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charts/chart3.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B5FE" w14:textId="5EC85698" w:rsidR="00FC26D3" w:rsidRPr="00DE3A6F" w:rsidRDefault="00D26859" w:rsidP="00753838">
      <w:pPr>
        <w:pStyle w:val="Pagedecouverture"/>
        <w:rPr>
          <w:noProof/>
        </w:rPr>
      </w:pPr>
      <w:bookmarkStart w:id="0" w:name="LW_BM_COVERPAGE"/>
      <w:r>
        <w:rPr>
          <w:noProof/>
        </w:rPr>
        <w:pict w14:anchorId="5A014E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FD63AC6-A7E4-4FF0-B632-5972331DBE89" style="width:455.25pt;height:342pt">
            <v:imagedata r:id="rId14" o:title=""/>
          </v:shape>
        </w:pict>
      </w:r>
    </w:p>
    <w:bookmarkEnd w:id="0"/>
    <w:p w14:paraId="530196CE" w14:textId="77777777" w:rsidR="007D2C78" w:rsidRPr="00DE3A6F" w:rsidRDefault="007D2C78" w:rsidP="007D2C78">
      <w:pPr>
        <w:rPr>
          <w:noProof/>
        </w:rPr>
        <w:sectPr w:rsidR="007D2C78" w:rsidRPr="00DE3A6F" w:rsidSect="00753838">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14:paraId="7F034C40" w14:textId="77777777" w:rsidR="00167262" w:rsidRPr="00DE3A6F" w:rsidRDefault="00167262" w:rsidP="00301BBE">
      <w:pPr>
        <w:pStyle w:val="Pagedecouverture"/>
        <w:rPr>
          <w:noProof/>
        </w:rPr>
      </w:pPr>
    </w:p>
    <w:p w14:paraId="3C913746" w14:textId="77777777" w:rsidR="00301BBE" w:rsidRPr="00DE3A6F" w:rsidRDefault="00301BBE" w:rsidP="00301BBE">
      <w:pPr>
        <w:pStyle w:val="Pagedecouverture"/>
        <w:rPr>
          <w:noProof/>
        </w:rPr>
        <w:sectPr w:rsidR="00301BBE" w:rsidRPr="00DE3A6F" w:rsidSect="007D2C78">
          <w:headerReference w:type="even" r:id="rId21"/>
          <w:headerReference w:type="default" r:id="rId22"/>
          <w:footerReference w:type="even" r:id="rId23"/>
          <w:footerReference w:type="default" r:id="rId24"/>
          <w:headerReference w:type="first" r:id="rId25"/>
          <w:footerReference w:type="first" r:id="rId26"/>
          <w:pgSz w:w="11906" w:h="16838"/>
          <w:pgMar w:top="1134" w:right="1417" w:bottom="1134" w:left="1417" w:header="709" w:footer="709" w:gutter="0"/>
          <w:pgNumType w:start="0"/>
          <w:cols w:space="720"/>
          <w:docGrid w:linePitch="326"/>
        </w:sectPr>
      </w:pPr>
    </w:p>
    <w:sdt>
      <w:sdtPr>
        <w:rPr>
          <w:rFonts w:ascii="Times New Roman" w:hAnsi="Times New Roman"/>
          <w:b w:val="0"/>
          <w:noProof/>
          <w:sz w:val="22"/>
          <w:szCs w:val="22"/>
        </w:rPr>
        <w:alias w:val="Table of Contents"/>
        <w:tag w:val="eqT1QegFOKAi3zHpinqjV4"/>
        <w:id w:val="64073399"/>
      </w:sdtPr>
      <w:sdtEndPr/>
      <w:sdtContent>
        <w:p w14:paraId="2A02545E" w14:textId="75BD233D" w:rsidR="00190177" w:rsidRPr="00DE3A6F" w:rsidRDefault="00EB1099" w:rsidP="008B6005">
          <w:pPr>
            <w:pStyle w:val="TOCHeading"/>
            <w:rPr>
              <w:noProof/>
            </w:rPr>
          </w:pPr>
          <w:sdt>
            <w:sdtPr>
              <w:rPr>
                <w:noProof/>
              </w:rPr>
              <w:id w:val="-214508680"/>
              <w:dataBinding w:xpath="/Texts/TOCHeading" w:storeItemID="{4EF90DE6-88B6-4264-9629-4D8DFDFE87D2}"/>
              <w:text w:multiLine="1"/>
            </w:sdtPr>
            <w:sdtEndPr/>
            <w:sdtContent>
              <w:r w:rsidR="005D02B1" w:rsidRPr="00DE3A6F">
                <w:rPr>
                  <w:noProof/>
                </w:rPr>
                <w:t>Contents</w:t>
              </w:r>
            </w:sdtContent>
          </w:sdt>
        </w:p>
        <w:p w14:paraId="26715E5C" w14:textId="17930896" w:rsidR="00880372" w:rsidRDefault="004F6F3F">
          <w:pPr>
            <w:pStyle w:val="TOC1"/>
            <w:rPr>
              <w:rFonts w:asciiTheme="minorHAnsi" w:eastAsiaTheme="minorEastAsia" w:hAnsiTheme="minorHAnsi" w:cstheme="minorBidi"/>
              <w:b w:val="0"/>
              <w:noProof/>
              <w:kern w:val="2"/>
              <w:sz w:val="24"/>
              <w:szCs w:val="24"/>
              <w:lang w:val="en-IE" w:eastAsia="en-IE"/>
              <w14:ligatures w14:val="standardContextual"/>
            </w:rPr>
          </w:pPr>
          <w:r w:rsidRPr="00DE3A6F">
            <w:rPr>
              <w:noProof/>
            </w:rPr>
            <w:fldChar w:fldCharType="begin"/>
          </w:r>
          <w:r w:rsidRPr="00DE3A6F">
            <w:rPr>
              <w:noProof/>
            </w:rPr>
            <w:instrText>TOC \o "1-4" \h \z \t "ChapterTitle;5;PartTitle;5;SectionTitle;5;AnnexTitle;6" \* MERGEFORMAT</w:instrText>
          </w:r>
          <w:r w:rsidRPr="00DE3A6F">
            <w:rPr>
              <w:noProof/>
            </w:rPr>
            <w:fldChar w:fldCharType="separate"/>
          </w:r>
          <w:hyperlink w:anchor="_Toc234447036" w:history="1">
            <w:r w:rsidR="00880372" w:rsidRPr="006B566D">
              <w:rPr>
                <w:rStyle w:val="Hyperlink"/>
                <w:noProof/>
              </w:rPr>
              <w:t>EXECUTIVE SUMMARY</w:t>
            </w:r>
            <w:r w:rsidR="00880372">
              <w:rPr>
                <w:noProof/>
                <w:webHidden/>
              </w:rPr>
              <w:tab/>
            </w:r>
            <w:r w:rsidR="00880372">
              <w:rPr>
                <w:noProof/>
                <w:webHidden/>
              </w:rPr>
              <w:fldChar w:fldCharType="begin"/>
            </w:r>
            <w:r w:rsidR="00880372">
              <w:rPr>
                <w:noProof/>
                <w:webHidden/>
              </w:rPr>
              <w:instrText xml:space="preserve"> PAGEREF _Toc234447036 \h </w:instrText>
            </w:r>
            <w:r w:rsidR="00880372">
              <w:rPr>
                <w:noProof/>
                <w:webHidden/>
              </w:rPr>
            </w:r>
            <w:r w:rsidR="00880372">
              <w:rPr>
                <w:noProof/>
                <w:webHidden/>
              </w:rPr>
              <w:fldChar w:fldCharType="separate"/>
            </w:r>
            <w:r w:rsidR="00D26859">
              <w:rPr>
                <w:noProof/>
                <w:webHidden/>
              </w:rPr>
              <w:t>2</w:t>
            </w:r>
            <w:r w:rsidR="00880372">
              <w:rPr>
                <w:noProof/>
                <w:webHidden/>
              </w:rPr>
              <w:fldChar w:fldCharType="end"/>
            </w:r>
          </w:hyperlink>
        </w:p>
        <w:p w14:paraId="663DAC30" w14:textId="3642E54D" w:rsidR="00880372" w:rsidRDefault="00880372">
          <w:pPr>
            <w:pStyle w:val="TOC1"/>
            <w:rPr>
              <w:rFonts w:asciiTheme="minorHAnsi" w:eastAsiaTheme="minorEastAsia" w:hAnsiTheme="minorHAnsi" w:cstheme="minorBidi"/>
              <w:b w:val="0"/>
              <w:noProof/>
              <w:kern w:val="2"/>
              <w:sz w:val="24"/>
              <w:szCs w:val="24"/>
              <w:lang w:val="en-IE" w:eastAsia="en-IE"/>
              <w14:ligatures w14:val="standardContextual"/>
            </w:rPr>
          </w:pPr>
          <w:hyperlink w:anchor="_Toc234447037" w:history="1">
            <w:r w:rsidRPr="006B566D">
              <w:rPr>
                <w:rStyle w:val="Hyperlink"/>
                <w:noProof/>
              </w:rPr>
              <w:t>1.</w:t>
            </w:r>
            <w:r>
              <w:rPr>
                <w:rFonts w:asciiTheme="minorHAnsi" w:eastAsiaTheme="minorEastAsia" w:hAnsiTheme="minorHAnsi" w:cstheme="minorBidi"/>
                <w:b w:val="0"/>
                <w:noProof/>
                <w:kern w:val="2"/>
                <w:sz w:val="24"/>
                <w:szCs w:val="24"/>
                <w:lang w:val="en-IE" w:eastAsia="en-IE"/>
                <w14:ligatures w14:val="standardContextual"/>
              </w:rPr>
              <w:tab/>
            </w:r>
            <w:r w:rsidRPr="006B566D">
              <w:rPr>
                <w:rStyle w:val="Hyperlink"/>
                <w:noProof/>
              </w:rPr>
              <w:t>Introduction</w:t>
            </w:r>
            <w:r>
              <w:rPr>
                <w:noProof/>
                <w:webHidden/>
              </w:rPr>
              <w:tab/>
            </w:r>
            <w:r>
              <w:rPr>
                <w:noProof/>
                <w:webHidden/>
              </w:rPr>
              <w:fldChar w:fldCharType="begin"/>
            </w:r>
            <w:r>
              <w:rPr>
                <w:noProof/>
                <w:webHidden/>
              </w:rPr>
              <w:instrText xml:space="preserve"> PAGEREF _Toc234447037 \h </w:instrText>
            </w:r>
            <w:r>
              <w:rPr>
                <w:noProof/>
                <w:webHidden/>
              </w:rPr>
            </w:r>
            <w:r>
              <w:rPr>
                <w:noProof/>
                <w:webHidden/>
              </w:rPr>
              <w:fldChar w:fldCharType="separate"/>
            </w:r>
            <w:r w:rsidR="00D26859">
              <w:rPr>
                <w:noProof/>
                <w:webHidden/>
              </w:rPr>
              <w:t>4</w:t>
            </w:r>
            <w:r>
              <w:rPr>
                <w:noProof/>
                <w:webHidden/>
              </w:rPr>
              <w:fldChar w:fldCharType="end"/>
            </w:r>
          </w:hyperlink>
        </w:p>
        <w:p w14:paraId="67039330" w14:textId="6AC3BC0F"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38" w:history="1">
            <w:r w:rsidRPr="006B566D">
              <w:rPr>
                <w:rStyle w:val="Hyperlink"/>
              </w:rPr>
              <w:t>1.1.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The EU’s financial interests and their protection</w:t>
            </w:r>
            <w:r>
              <w:rPr>
                <w:webHidden/>
              </w:rPr>
              <w:tab/>
            </w:r>
            <w:r>
              <w:rPr>
                <w:webHidden/>
              </w:rPr>
              <w:fldChar w:fldCharType="begin"/>
            </w:r>
            <w:r>
              <w:rPr>
                <w:webHidden/>
              </w:rPr>
              <w:instrText xml:space="preserve"> PAGEREF _Toc234447038 \h </w:instrText>
            </w:r>
            <w:r>
              <w:rPr>
                <w:webHidden/>
              </w:rPr>
            </w:r>
            <w:r>
              <w:rPr>
                <w:webHidden/>
              </w:rPr>
              <w:fldChar w:fldCharType="separate"/>
            </w:r>
            <w:r w:rsidR="00D26859">
              <w:rPr>
                <w:webHidden/>
              </w:rPr>
              <w:t>4</w:t>
            </w:r>
            <w:r>
              <w:rPr>
                <w:webHidden/>
              </w:rPr>
              <w:fldChar w:fldCharType="end"/>
            </w:r>
          </w:hyperlink>
        </w:p>
        <w:p w14:paraId="0F328BE8" w14:textId="4ABE2BC6"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39" w:history="1">
            <w:r w:rsidRPr="006B566D">
              <w:rPr>
                <w:rStyle w:val="Hyperlink"/>
              </w:rPr>
              <w:t>1.2.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Methodological approach</w:t>
            </w:r>
            <w:r>
              <w:rPr>
                <w:webHidden/>
              </w:rPr>
              <w:tab/>
            </w:r>
            <w:r>
              <w:rPr>
                <w:webHidden/>
              </w:rPr>
              <w:fldChar w:fldCharType="begin"/>
            </w:r>
            <w:r>
              <w:rPr>
                <w:webHidden/>
              </w:rPr>
              <w:instrText xml:space="preserve"> PAGEREF _Toc234447039 \h </w:instrText>
            </w:r>
            <w:r>
              <w:rPr>
                <w:webHidden/>
              </w:rPr>
            </w:r>
            <w:r>
              <w:rPr>
                <w:webHidden/>
              </w:rPr>
              <w:fldChar w:fldCharType="separate"/>
            </w:r>
            <w:r w:rsidR="00D26859">
              <w:rPr>
                <w:webHidden/>
              </w:rPr>
              <w:t>5</w:t>
            </w:r>
            <w:r>
              <w:rPr>
                <w:webHidden/>
              </w:rPr>
              <w:fldChar w:fldCharType="end"/>
            </w:r>
          </w:hyperlink>
        </w:p>
        <w:p w14:paraId="212DF33D" w14:textId="732FEDD2"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40" w:history="1">
            <w:r w:rsidRPr="006B566D">
              <w:rPr>
                <w:rStyle w:val="Hyperlink"/>
                <w:noProof/>
              </w:rPr>
              <w:t>1.2.1.</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A systemic approach to the anti-fraud cycle</w:t>
            </w:r>
            <w:r>
              <w:rPr>
                <w:noProof/>
                <w:webHidden/>
              </w:rPr>
              <w:tab/>
            </w:r>
            <w:r>
              <w:rPr>
                <w:noProof/>
                <w:webHidden/>
              </w:rPr>
              <w:fldChar w:fldCharType="begin"/>
            </w:r>
            <w:r>
              <w:rPr>
                <w:noProof/>
                <w:webHidden/>
              </w:rPr>
              <w:instrText xml:space="preserve"> PAGEREF _Toc234447040 \h </w:instrText>
            </w:r>
            <w:r>
              <w:rPr>
                <w:noProof/>
                <w:webHidden/>
              </w:rPr>
            </w:r>
            <w:r>
              <w:rPr>
                <w:noProof/>
                <w:webHidden/>
              </w:rPr>
              <w:fldChar w:fldCharType="separate"/>
            </w:r>
            <w:r w:rsidR="00D26859">
              <w:rPr>
                <w:noProof/>
                <w:webHidden/>
              </w:rPr>
              <w:t>5</w:t>
            </w:r>
            <w:r>
              <w:rPr>
                <w:noProof/>
                <w:webHidden/>
              </w:rPr>
              <w:fldChar w:fldCharType="end"/>
            </w:r>
          </w:hyperlink>
        </w:p>
        <w:p w14:paraId="7AD92839" w14:textId="3A805736"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41" w:history="1">
            <w:r w:rsidRPr="006B566D">
              <w:rPr>
                <w:rStyle w:val="Hyperlink"/>
                <w:noProof/>
              </w:rPr>
              <w:t>1.2.2.</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Prevention</w:t>
            </w:r>
            <w:r>
              <w:rPr>
                <w:noProof/>
                <w:webHidden/>
              </w:rPr>
              <w:tab/>
            </w:r>
            <w:r>
              <w:rPr>
                <w:noProof/>
                <w:webHidden/>
              </w:rPr>
              <w:fldChar w:fldCharType="begin"/>
            </w:r>
            <w:r>
              <w:rPr>
                <w:noProof/>
                <w:webHidden/>
              </w:rPr>
              <w:instrText xml:space="preserve"> PAGEREF _Toc234447041 \h </w:instrText>
            </w:r>
            <w:r>
              <w:rPr>
                <w:noProof/>
                <w:webHidden/>
              </w:rPr>
            </w:r>
            <w:r>
              <w:rPr>
                <w:noProof/>
                <w:webHidden/>
              </w:rPr>
              <w:fldChar w:fldCharType="separate"/>
            </w:r>
            <w:r w:rsidR="00D26859">
              <w:rPr>
                <w:noProof/>
                <w:webHidden/>
              </w:rPr>
              <w:t>6</w:t>
            </w:r>
            <w:r>
              <w:rPr>
                <w:noProof/>
                <w:webHidden/>
              </w:rPr>
              <w:fldChar w:fldCharType="end"/>
            </w:r>
          </w:hyperlink>
        </w:p>
        <w:p w14:paraId="77E91454" w14:textId="22407B8E"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42" w:history="1">
            <w:r w:rsidRPr="006B566D">
              <w:rPr>
                <w:rStyle w:val="Hyperlink"/>
                <w:noProof/>
              </w:rPr>
              <w:t>1.2.3.</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Detection</w:t>
            </w:r>
            <w:r>
              <w:rPr>
                <w:noProof/>
                <w:webHidden/>
              </w:rPr>
              <w:tab/>
            </w:r>
            <w:r>
              <w:rPr>
                <w:noProof/>
                <w:webHidden/>
              </w:rPr>
              <w:fldChar w:fldCharType="begin"/>
            </w:r>
            <w:r>
              <w:rPr>
                <w:noProof/>
                <w:webHidden/>
              </w:rPr>
              <w:instrText xml:space="preserve"> PAGEREF _Toc234447042 \h </w:instrText>
            </w:r>
            <w:r>
              <w:rPr>
                <w:noProof/>
                <w:webHidden/>
              </w:rPr>
            </w:r>
            <w:r>
              <w:rPr>
                <w:noProof/>
                <w:webHidden/>
              </w:rPr>
              <w:fldChar w:fldCharType="separate"/>
            </w:r>
            <w:r w:rsidR="00D26859">
              <w:rPr>
                <w:noProof/>
                <w:webHidden/>
              </w:rPr>
              <w:t>6</w:t>
            </w:r>
            <w:r>
              <w:rPr>
                <w:noProof/>
                <w:webHidden/>
              </w:rPr>
              <w:fldChar w:fldCharType="end"/>
            </w:r>
          </w:hyperlink>
        </w:p>
        <w:p w14:paraId="43BDE402" w14:textId="4649D749"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43" w:history="1">
            <w:r w:rsidRPr="006B566D">
              <w:rPr>
                <w:rStyle w:val="Hyperlink"/>
                <w:noProof/>
              </w:rPr>
              <w:t>1.2.4.</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Investigation and prosecution</w:t>
            </w:r>
            <w:r>
              <w:rPr>
                <w:noProof/>
                <w:webHidden/>
              </w:rPr>
              <w:tab/>
            </w:r>
            <w:r>
              <w:rPr>
                <w:noProof/>
                <w:webHidden/>
              </w:rPr>
              <w:fldChar w:fldCharType="begin"/>
            </w:r>
            <w:r>
              <w:rPr>
                <w:noProof/>
                <w:webHidden/>
              </w:rPr>
              <w:instrText xml:space="preserve"> PAGEREF _Toc234447043 \h </w:instrText>
            </w:r>
            <w:r>
              <w:rPr>
                <w:noProof/>
                <w:webHidden/>
              </w:rPr>
            </w:r>
            <w:r>
              <w:rPr>
                <w:noProof/>
                <w:webHidden/>
              </w:rPr>
              <w:fldChar w:fldCharType="separate"/>
            </w:r>
            <w:r w:rsidR="00D26859">
              <w:rPr>
                <w:noProof/>
                <w:webHidden/>
              </w:rPr>
              <w:t>7</w:t>
            </w:r>
            <w:r>
              <w:rPr>
                <w:noProof/>
                <w:webHidden/>
              </w:rPr>
              <w:fldChar w:fldCharType="end"/>
            </w:r>
          </w:hyperlink>
        </w:p>
        <w:p w14:paraId="66E1068D" w14:textId="185E615D"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44" w:history="1">
            <w:r w:rsidRPr="006B566D">
              <w:rPr>
                <w:rStyle w:val="Hyperlink"/>
                <w:noProof/>
              </w:rPr>
              <w:t>1.2.5.</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Recovery and sanctioning</w:t>
            </w:r>
            <w:r>
              <w:rPr>
                <w:noProof/>
                <w:webHidden/>
              </w:rPr>
              <w:tab/>
            </w:r>
            <w:r>
              <w:rPr>
                <w:noProof/>
                <w:webHidden/>
              </w:rPr>
              <w:fldChar w:fldCharType="begin"/>
            </w:r>
            <w:r>
              <w:rPr>
                <w:noProof/>
                <w:webHidden/>
              </w:rPr>
              <w:instrText xml:space="preserve"> PAGEREF _Toc234447044 \h </w:instrText>
            </w:r>
            <w:r>
              <w:rPr>
                <w:noProof/>
                <w:webHidden/>
              </w:rPr>
            </w:r>
            <w:r>
              <w:rPr>
                <w:noProof/>
                <w:webHidden/>
              </w:rPr>
              <w:fldChar w:fldCharType="separate"/>
            </w:r>
            <w:r w:rsidR="00D26859">
              <w:rPr>
                <w:noProof/>
                <w:webHidden/>
              </w:rPr>
              <w:t>7</w:t>
            </w:r>
            <w:r>
              <w:rPr>
                <w:noProof/>
                <w:webHidden/>
              </w:rPr>
              <w:fldChar w:fldCharType="end"/>
            </w:r>
          </w:hyperlink>
        </w:p>
        <w:p w14:paraId="61C549A7" w14:textId="1717973B"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45" w:history="1">
            <w:r w:rsidRPr="006B566D">
              <w:rPr>
                <w:rStyle w:val="Hyperlink"/>
                <w:noProof/>
              </w:rPr>
              <w:t>1.2.6.</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Reporting and monitoring</w:t>
            </w:r>
            <w:r>
              <w:rPr>
                <w:noProof/>
                <w:webHidden/>
              </w:rPr>
              <w:tab/>
            </w:r>
            <w:r>
              <w:rPr>
                <w:noProof/>
                <w:webHidden/>
              </w:rPr>
              <w:fldChar w:fldCharType="begin"/>
            </w:r>
            <w:r>
              <w:rPr>
                <w:noProof/>
                <w:webHidden/>
              </w:rPr>
              <w:instrText xml:space="preserve"> PAGEREF _Toc234447045 \h </w:instrText>
            </w:r>
            <w:r>
              <w:rPr>
                <w:noProof/>
                <w:webHidden/>
              </w:rPr>
            </w:r>
            <w:r>
              <w:rPr>
                <w:noProof/>
                <w:webHidden/>
              </w:rPr>
              <w:fldChar w:fldCharType="separate"/>
            </w:r>
            <w:r w:rsidR="00D26859">
              <w:rPr>
                <w:noProof/>
                <w:webHidden/>
              </w:rPr>
              <w:t>7</w:t>
            </w:r>
            <w:r>
              <w:rPr>
                <w:noProof/>
                <w:webHidden/>
              </w:rPr>
              <w:fldChar w:fldCharType="end"/>
            </w:r>
          </w:hyperlink>
        </w:p>
        <w:p w14:paraId="68A7843A" w14:textId="59966C48"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46" w:history="1">
            <w:r w:rsidRPr="006B566D">
              <w:rPr>
                <w:rStyle w:val="Hyperlink"/>
              </w:rPr>
              <w:t>1.3.</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Data sources</w:t>
            </w:r>
            <w:r>
              <w:rPr>
                <w:webHidden/>
              </w:rPr>
              <w:tab/>
            </w:r>
            <w:r>
              <w:rPr>
                <w:webHidden/>
              </w:rPr>
              <w:fldChar w:fldCharType="begin"/>
            </w:r>
            <w:r>
              <w:rPr>
                <w:webHidden/>
              </w:rPr>
              <w:instrText xml:space="preserve"> PAGEREF _Toc234447046 \h </w:instrText>
            </w:r>
            <w:r>
              <w:rPr>
                <w:webHidden/>
              </w:rPr>
            </w:r>
            <w:r>
              <w:rPr>
                <w:webHidden/>
              </w:rPr>
              <w:fldChar w:fldCharType="separate"/>
            </w:r>
            <w:r w:rsidR="00D26859">
              <w:rPr>
                <w:webHidden/>
              </w:rPr>
              <w:t>7</w:t>
            </w:r>
            <w:r>
              <w:rPr>
                <w:webHidden/>
              </w:rPr>
              <w:fldChar w:fldCharType="end"/>
            </w:r>
          </w:hyperlink>
        </w:p>
        <w:p w14:paraId="7D8888DF" w14:textId="6E958283"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47" w:history="1">
            <w:r w:rsidRPr="006B566D">
              <w:rPr>
                <w:rStyle w:val="Hyperlink"/>
              </w:rPr>
              <w:t>1.4.</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Special boxes for key points</w:t>
            </w:r>
            <w:r>
              <w:rPr>
                <w:webHidden/>
              </w:rPr>
              <w:tab/>
            </w:r>
            <w:r>
              <w:rPr>
                <w:webHidden/>
              </w:rPr>
              <w:fldChar w:fldCharType="begin"/>
            </w:r>
            <w:r>
              <w:rPr>
                <w:webHidden/>
              </w:rPr>
              <w:instrText xml:space="preserve"> PAGEREF _Toc234447047 \h </w:instrText>
            </w:r>
            <w:r>
              <w:rPr>
                <w:webHidden/>
              </w:rPr>
            </w:r>
            <w:r>
              <w:rPr>
                <w:webHidden/>
              </w:rPr>
              <w:fldChar w:fldCharType="separate"/>
            </w:r>
            <w:r w:rsidR="00D26859">
              <w:rPr>
                <w:webHidden/>
              </w:rPr>
              <w:t>11</w:t>
            </w:r>
            <w:r>
              <w:rPr>
                <w:webHidden/>
              </w:rPr>
              <w:fldChar w:fldCharType="end"/>
            </w:r>
          </w:hyperlink>
        </w:p>
        <w:p w14:paraId="79F7D11D" w14:textId="7E7CE12E" w:rsidR="00880372" w:rsidRDefault="00880372">
          <w:pPr>
            <w:pStyle w:val="TOC1"/>
            <w:rPr>
              <w:rFonts w:asciiTheme="minorHAnsi" w:eastAsiaTheme="minorEastAsia" w:hAnsiTheme="minorHAnsi" w:cstheme="minorBidi"/>
              <w:b w:val="0"/>
              <w:noProof/>
              <w:kern w:val="2"/>
              <w:sz w:val="24"/>
              <w:szCs w:val="24"/>
              <w:lang w:val="en-IE" w:eastAsia="en-IE"/>
              <w14:ligatures w14:val="standardContextual"/>
            </w:rPr>
          </w:pPr>
          <w:hyperlink w:anchor="_Toc234447048" w:history="1">
            <w:r w:rsidRPr="006B566D">
              <w:rPr>
                <w:rStyle w:val="Hyperlink"/>
                <w:noProof/>
              </w:rPr>
              <w:t>2.</w:t>
            </w:r>
            <w:r>
              <w:rPr>
                <w:rFonts w:asciiTheme="minorHAnsi" w:eastAsiaTheme="minorEastAsia" w:hAnsiTheme="minorHAnsi" w:cstheme="minorBidi"/>
                <w:b w:val="0"/>
                <w:noProof/>
                <w:kern w:val="2"/>
                <w:sz w:val="24"/>
                <w:szCs w:val="24"/>
                <w:lang w:val="en-IE" w:eastAsia="en-IE"/>
                <w14:ligatures w14:val="standardContextual"/>
              </w:rPr>
              <w:tab/>
            </w:r>
            <w:r w:rsidRPr="006B566D">
              <w:rPr>
                <w:rStyle w:val="Hyperlink"/>
                <w:noProof/>
              </w:rPr>
              <w:t>Main developments in the protection of the EU’s financial interests in 2025</w:t>
            </w:r>
            <w:r>
              <w:rPr>
                <w:noProof/>
                <w:webHidden/>
              </w:rPr>
              <w:tab/>
            </w:r>
            <w:r>
              <w:rPr>
                <w:noProof/>
                <w:webHidden/>
              </w:rPr>
              <w:fldChar w:fldCharType="begin"/>
            </w:r>
            <w:r>
              <w:rPr>
                <w:noProof/>
                <w:webHidden/>
              </w:rPr>
              <w:instrText xml:space="preserve"> PAGEREF _Toc234447048 \h </w:instrText>
            </w:r>
            <w:r>
              <w:rPr>
                <w:noProof/>
                <w:webHidden/>
              </w:rPr>
            </w:r>
            <w:r>
              <w:rPr>
                <w:noProof/>
                <w:webHidden/>
              </w:rPr>
              <w:fldChar w:fldCharType="separate"/>
            </w:r>
            <w:r w:rsidR="00D26859">
              <w:rPr>
                <w:noProof/>
                <w:webHidden/>
              </w:rPr>
              <w:t>13</w:t>
            </w:r>
            <w:r>
              <w:rPr>
                <w:noProof/>
                <w:webHidden/>
              </w:rPr>
              <w:fldChar w:fldCharType="end"/>
            </w:r>
          </w:hyperlink>
        </w:p>
        <w:p w14:paraId="331E3A59" w14:textId="487C47F5"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49" w:history="1">
            <w:r w:rsidRPr="006B566D">
              <w:rPr>
                <w:rStyle w:val="Hyperlink"/>
              </w:rPr>
              <w:t>2.1.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Strengthening the legal framework</w:t>
            </w:r>
            <w:r>
              <w:rPr>
                <w:webHidden/>
              </w:rPr>
              <w:tab/>
            </w:r>
            <w:r>
              <w:rPr>
                <w:webHidden/>
              </w:rPr>
              <w:fldChar w:fldCharType="begin"/>
            </w:r>
            <w:r>
              <w:rPr>
                <w:webHidden/>
              </w:rPr>
              <w:instrText xml:space="preserve"> PAGEREF _Toc234447049 \h </w:instrText>
            </w:r>
            <w:r>
              <w:rPr>
                <w:webHidden/>
              </w:rPr>
            </w:r>
            <w:r>
              <w:rPr>
                <w:webHidden/>
              </w:rPr>
              <w:fldChar w:fldCharType="separate"/>
            </w:r>
            <w:r w:rsidR="00D26859">
              <w:rPr>
                <w:webHidden/>
              </w:rPr>
              <w:t>13</w:t>
            </w:r>
            <w:r>
              <w:rPr>
                <w:webHidden/>
              </w:rPr>
              <w:fldChar w:fldCharType="end"/>
            </w:r>
          </w:hyperlink>
        </w:p>
        <w:p w14:paraId="29B14911" w14:textId="7CE0445E"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50" w:history="1">
            <w:r w:rsidRPr="006B566D">
              <w:rPr>
                <w:rStyle w:val="Hyperlink"/>
                <w:noProof/>
              </w:rPr>
              <w:t>2.1.1.</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The legislative proposal for the next MFF</w:t>
            </w:r>
            <w:r>
              <w:rPr>
                <w:noProof/>
                <w:webHidden/>
              </w:rPr>
              <w:tab/>
            </w:r>
            <w:r>
              <w:rPr>
                <w:noProof/>
                <w:webHidden/>
              </w:rPr>
              <w:fldChar w:fldCharType="begin"/>
            </w:r>
            <w:r>
              <w:rPr>
                <w:noProof/>
                <w:webHidden/>
              </w:rPr>
              <w:instrText xml:space="preserve"> PAGEREF _Toc234447050 \h </w:instrText>
            </w:r>
            <w:r>
              <w:rPr>
                <w:noProof/>
                <w:webHidden/>
              </w:rPr>
            </w:r>
            <w:r>
              <w:rPr>
                <w:noProof/>
                <w:webHidden/>
              </w:rPr>
              <w:fldChar w:fldCharType="separate"/>
            </w:r>
            <w:r w:rsidR="00D26859">
              <w:rPr>
                <w:noProof/>
                <w:webHidden/>
              </w:rPr>
              <w:t>13</w:t>
            </w:r>
            <w:r>
              <w:rPr>
                <w:noProof/>
                <w:webHidden/>
              </w:rPr>
              <w:fldChar w:fldCharType="end"/>
            </w:r>
          </w:hyperlink>
        </w:p>
        <w:p w14:paraId="114CD7C3" w14:textId="5211A0CA"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51" w:history="1">
            <w:r w:rsidRPr="006B566D">
              <w:rPr>
                <w:rStyle w:val="Hyperlink"/>
                <w:noProof/>
              </w:rPr>
              <w:t>2.1.2.</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Review of the anti-fraud architecture</w:t>
            </w:r>
            <w:r>
              <w:rPr>
                <w:noProof/>
                <w:webHidden/>
              </w:rPr>
              <w:tab/>
            </w:r>
            <w:r>
              <w:rPr>
                <w:noProof/>
                <w:webHidden/>
              </w:rPr>
              <w:fldChar w:fldCharType="begin"/>
            </w:r>
            <w:r>
              <w:rPr>
                <w:noProof/>
                <w:webHidden/>
              </w:rPr>
              <w:instrText xml:space="preserve"> PAGEREF _Toc234447051 \h </w:instrText>
            </w:r>
            <w:r>
              <w:rPr>
                <w:noProof/>
                <w:webHidden/>
              </w:rPr>
            </w:r>
            <w:r>
              <w:rPr>
                <w:noProof/>
                <w:webHidden/>
              </w:rPr>
              <w:fldChar w:fldCharType="separate"/>
            </w:r>
            <w:r w:rsidR="00D26859">
              <w:rPr>
                <w:noProof/>
                <w:webHidden/>
              </w:rPr>
              <w:t>14</w:t>
            </w:r>
            <w:r>
              <w:rPr>
                <w:noProof/>
                <w:webHidden/>
              </w:rPr>
              <w:fldChar w:fldCharType="end"/>
            </w:r>
          </w:hyperlink>
        </w:p>
        <w:p w14:paraId="4BFE0B5C" w14:textId="36F0B59C"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52" w:history="1">
            <w:r w:rsidRPr="006B566D">
              <w:rPr>
                <w:rStyle w:val="Hyperlink"/>
              </w:rPr>
              <w:t>2.1.2.1.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Key priorities identified in the White Paper</w:t>
            </w:r>
            <w:r>
              <w:rPr>
                <w:webHidden/>
              </w:rPr>
              <w:tab/>
            </w:r>
            <w:r>
              <w:rPr>
                <w:webHidden/>
              </w:rPr>
              <w:fldChar w:fldCharType="begin"/>
            </w:r>
            <w:r>
              <w:rPr>
                <w:webHidden/>
              </w:rPr>
              <w:instrText xml:space="preserve"> PAGEREF _Toc234447052 \h </w:instrText>
            </w:r>
            <w:r>
              <w:rPr>
                <w:webHidden/>
              </w:rPr>
            </w:r>
            <w:r>
              <w:rPr>
                <w:webHidden/>
              </w:rPr>
              <w:fldChar w:fldCharType="separate"/>
            </w:r>
            <w:r w:rsidR="00D26859">
              <w:rPr>
                <w:webHidden/>
              </w:rPr>
              <w:t>14</w:t>
            </w:r>
            <w:r>
              <w:rPr>
                <w:webHidden/>
              </w:rPr>
              <w:fldChar w:fldCharType="end"/>
            </w:r>
          </w:hyperlink>
        </w:p>
        <w:p w14:paraId="6C06B91D" w14:textId="37713135"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53" w:history="1">
            <w:r w:rsidRPr="006B566D">
              <w:rPr>
                <w:rStyle w:val="Hyperlink"/>
              </w:rPr>
              <w:t>2.1.2.2.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Sources informing the review</w:t>
            </w:r>
            <w:r>
              <w:rPr>
                <w:webHidden/>
              </w:rPr>
              <w:tab/>
            </w:r>
            <w:r>
              <w:rPr>
                <w:webHidden/>
              </w:rPr>
              <w:fldChar w:fldCharType="begin"/>
            </w:r>
            <w:r>
              <w:rPr>
                <w:webHidden/>
              </w:rPr>
              <w:instrText xml:space="preserve"> PAGEREF _Toc234447053 \h </w:instrText>
            </w:r>
            <w:r>
              <w:rPr>
                <w:webHidden/>
              </w:rPr>
            </w:r>
            <w:r>
              <w:rPr>
                <w:webHidden/>
              </w:rPr>
              <w:fldChar w:fldCharType="separate"/>
            </w:r>
            <w:r w:rsidR="00D26859">
              <w:rPr>
                <w:webHidden/>
              </w:rPr>
              <w:t>14</w:t>
            </w:r>
            <w:r>
              <w:rPr>
                <w:webHidden/>
              </w:rPr>
              <w:fldChar w:fldCharType="end"/>
            </w:r>
          </w:hyperlink>
        </w:p>
        <w:p w14:paraId="58F86E91" w14:textId="2FB2C38E"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54" w:history="1">
            <w:r w:rsidRPr="006B566D">
              <w:rPr>
                <w:rStyle w:val="Hyperlink"/>
                <w:noProof/>
              </w:rPr>
              <w:t>2.1.3.</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The anti-corruption package</w:t>
            </w:r>
            <w:r>
              <w:rPr>
                <w:noProof/>
                <w:webHidden/>
              </w:rPr>
              <w:tab/>
            </w:r>
            <w:r>
              <w:rPr>
                <w:noProof/>
                <w:webHidden/>
              </w:rPr>
              <w:fldChar w:fldCharType="begin"/>
            </w:r>
            <w:r>
              <w:rPr>
                <w:noProof/>
                <w:webHidden/>
              </w:rPr>
              <w:instrText xml:space="preserve"> PAGEREF _Toc234447054 \h </w:instrText>
            </w:r>
            <w:r>
              <w:rPr>
                <w:noProof/>
                <w:webHidden/>
              </w:rPr>
            </w:r>
            <w:r>
              <w:rPr>
                <w:noProof/>
                <w:webHidden/>
              </w:rPr>
              <w:fldChar w:fldCharType="separate"/>
            </w:r>
            <w:r w:rsidR="00D26859">
              <w:rPr>
                <w:noProof/>
                <w:webHidden/>
              </w:rPr>
              <w:t>15</w:t>
            </w:r>
            <w:r>
              <w:rPr>
                <w:noProof/>
                <w:webHidden/>
              </w:rPr>
              <w:fldChar w:fldCharType="end"/>
            </w:r>
          </w:hyperlink>
        </w:p>
        <w:p w14:paraId="4DB69335" w14:textId="7179223E"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55" w:history="1">
            <w:r w:rsidRPr="006B566D">
              <w:rPr>
                <w:rStyle w:val="Hyperlink"/>
              </w:rPr>
              <w:t>2.1.3.1.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Directive on combating corruption</w:t>
            </w:r>
            <w:r>
              <w:rPr>
                <w:webHidden/>
              </w:rPr>
              <w:tab/>
            </w:r>
            <w:r>
              <w:rPr>
                <w:webHidden/>
              </w:rPr>
              <w:fldChar w:fldCharType="begin"/>
            </w:r>
            <w:r>
              <w:rPr>
                <w:webHidden/>
              </w:rPr>
              <w:instrText xml:space="preserve"> PAGEREF _Toc234447055 \h </w:instrText>
            </w:r>
            <w:r>
              <w:rPr>
                <w:webHidden/>
              </w:rPr>
            </w:r>
            <w:r>
              <w:rPr>
                <w:webHidden/>
              </w:rPr>
              <w:fldChar w:fldCharType="separate"/>
            </w:r>
            <w:r w:rsidR="00D26859">
              <w:rPr>
                <w:webHidden/>
              </w:rPr>
              <w:t>15</w:t>
            </w:r>
            <w:r>
              <w:rPr>
                <w:webHidden/>
              </w:rPr>
              <w:fldChar w:fldCharType="end"/>
            </w:r>
          </w:hyperlink>
        </w:p>
        <w:p w14:paraId="703A2C9F" w14:textId="2259E903"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56" w:history="1">
            <w:r w:rsidRPr="006B566D">
              <w:rPr>
                <w:rStyle w:val="Hyperlink"/>
              </w:rPr>
              <w:t>2.1.3.2.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EU network against corruption</w:t>
            </w:r>
            <w:r>
              <w:rPr>
                <w:webHidden/>
              </w:rPr>
              <w:tab/>
            </w:r>
            <w:r>
              <w:rPr>
                <w:webHidden/>
              </w:rPr>
              <w:fldChar w:fldCharType="begin"/>
            </w:r>
            <w:r>
              <w:rPr>
                <w:webHidden/>
              </w:rPr>
              <w:instrText xml:space="preserve"> PAGEREF _Toc234447056 \h </w:instrText>
            </w:r>
            <w:r>
              <w:rPr>
                <w:webHidden/>
              </w:rPr>
            </w:r>
            <w:r>
              <w:rPr>
                <w:webHidden/>
              </w:rPr>
              <w:fldChar w:fldCharType="separate"/>
            </w:r>
            <w:r w:rsidR="00D26859">
              <w:rPr>
                <w:webHidden/>
              </w:rPr>
              <w:t>16</w:t>
            </w:r>
            <w:r>
              <w:rPr>
                <w:webHidden/>
              </w:rPr>
              <w:fldChar w:fldCharType="end"/>
            </w:r>
          </w:hyperlink>
        </w:p>
        <w:p w14:paraId="02CEBDD6" w14:textId="17DEB52A"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57" w:history="1">
            <w:r w:rsidRPr="006B566D">
              <w:rPr>
                <w:rStyle w:val="Hyperlink"/>
              </w:rPr>
              <w:t>2.1.3.3.</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The EU anti-corruption strategy</w:t>
            </w:r>
            <w:r>
              <w:rPr>
                <w:webHidden/>
              </w:rPr>
              <w:tab/>
            </w:r>
            <w:r>
              <w:rPr>
                <w:webHidden/>
              </w:rPr>
              <w:fldChar w:fldCharType="begin"/>
            </w:r>
            <w:r>
              <w:rPr>
                <w:webHidden/>
              </w:rPr>
              <w:instrText xml:space="preserve"> PAGEREF _Toc234447057 \h </w:instrText>
            </w:r>
            <w:r>
              <w:rPr>
                <w:webHidden/>
              </w:rPr>
            </w:r>
            <w:r>
              <w:rPr>
                <w:webHidden/>
              </w:rPr>
              <w:fldChar w:fldCharType="separate"/>
            </w:r>
            <w:r w:rsidR="00D26859">
              <w:rPr>
                <w:webHidden/>
              </w:rPr>
              <w:t>16</w:t>
            </w:r>
            <w:r>
              <w:rPr>
                <w:webHidden/>
              </w:rPr>
              <w:fldChar w:fldCharType="end"/>
            </w:r>
          </w:hyperlink>
        </w:p>
        <w:p w14:paraId="505567C6" w14:textId="7723A242"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58" w:history="1">
            <w:r w:rsidRPr="006B566D">
              <w:rPr>
                <w:rStyle w:val="Hyperlink"/>
              </w:rPr>
              <w:t>2.2.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Overview of national measures adopted in 2025</w:t>
            </w:r>
            <w:r>
              <w:rPr>
                <w:webHidden/>
              </w:rPr>
              <w:tab/>
            </w:r>
            <w:r>
              <w:rPr>
                <w:webHidden/>
              </w:rPr>
              <w:fldChar w:fldCharType="begin"/>
            </w:r>
            <w:r>
              <w:rPr>
                <w:webHidden/>
              </w:rPr>
              <w:instrText xml:space="preserve"> PAGEREF _Toc234447058 \h </w:instrText>
            </w:r>
            <w:r>
              <w:rPr>
                <w:webHidden/>
              </w:rPr>
            </w:r>
            <w:r>
              <w:rPr>
                <w:webHidden/>
              </w:rPr>
              <w:fldChar w:fldCharType="separate"/>
            </w:r>
            <w:r w:rsidR="00D26859">
              <w:rPr>
                <w:webHidden/>
              </w:rPr>
              <w:t>16</w:t>
            </w:r>
            <w:r>
              <w:rPr>
                <w:webHidden/>
              </w:rPr>
              <w:fldChar w:fldCharType="end"/>
            </w:r>
          </w:hyperlink>
        </w:p>
        <w:p w14:paraId="777AF723" w14:textId="102CB853"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59" w:history="1">
            <w:r w:rsidRPr="006B566D">
              <w:rPr>
                <w:rStyle w:val="Hyperlink"/>
              </w:rPr>
              <w:t>2.3.</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Strengthening the governance and coordination of the fight against fraud</w:t>
            </w:r>
            <w:r>
              <w:rPr>
                <w:webHidden/>
              </w:rPr>
              <w:tab/>
            </w:r>
            <w:r>
              <w:rPr>
                <w:webHidden/>
              </w:rPr>
              <w:fldChar w:fldCharType="begin"/>
            </w:r>
            <w:r>
              <w:rPr>
                <w:webHidden/>
              </w:rPr>
              <w:instrText xml:space="preserve"> PAGEREF _Toc234447059 \h </w:instrText>
            </w:r>
            <w:r>
              <w:rPr>
                <w:webHidden/>
              </w:rPr>
            </w:r>
            <w:r>
              <w:rPr>
                <w:webHidden/>
              </w:rPr>
              <w:fldChar w:fldCharType="separate"/>
            </w:r>
            <w:r w:rsidR="00D26859">
              <w:rPr>
                <w:webHidden/>
              </w:rPr>
              <w:t>19</w:t>
            </w:r>
            <w:r>
              <w:rPr>
                <w:webHidden/>
              </w:rPr>
              <w:fldChar w:fldCharType="end"/>
            </w:r>
          </w:hyperlink>
        </w:p>
        <w:p w14:paraId="4367F340" w14:textId="2BE352E1"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60" w:history="1">
            <w:r w:rsidRPr="006B566D">
              <w:rPr>
                <w:rStyle w:val="Hyperlink"/>
                <w:noProof/>
              </w:rPr>
              <w:t>2.3.1.</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Implementation of the action plan accompanying the Commission anti-fraud strategy</w:t>
            </w:r>
            <w:r>
              <w:rPr>
                <w:noProof/>
                <w:webHidden/>
              </w:rPr>
              <w:tab/>
            </w:r>
            <w:r>
              <w:rPr>
                <w:noProof/>
                <w:webHidden/>
              </w:rPr>
              <w:fldChar w:fldCharType="begin"/>
            </w:r>
            <w:r>
              <w:rPr>
                <w:noProof/>
                <w:webHidden/>
              </w:rPr>
              <w:instrText xml:space="preserve"> PAGEREF _Toc234447060 \h </w:instrText>
            </w:r>
            <w:r>
              <w:rPr>
                <w:noProof/>
                <w:webHidden/>
              </w:rPr>
            </w:r>
            <w:r>
              <w:rPr>
                <w:noProof/>
                <w:webHidden/>
              </w:rPr>
              <w:fldChar w:fldCharType="separate"/>
            </w:r>
            <w:r w:rsidR="00D26859">
              <w:rPr>
                <w:noProof/>
                <w:webHidden/>
              </w:rPr>
              <w:t>19</w:t>
            </w:r>
            <w:r>
              <w:rPr>
                <w:noProof/>
                <w:webHidden/>
              </w:rPr>
              <w:fldChar w:fldCharType="end"/>
            </w:r>
          </w:hyperlink>
        </w:p>
        <w:p w14:paraId="05EBA9B5" w14:textId="59E701F7"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61" w:history="1">
            <w:r w:rsidRPr="006B566D">
              <w:rPr>
                <w:rStyle w:val="Hyperlink"/>
                <w:noProof/>
              </w:rPr>
              <w:t>2.3.2.</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National anti-fraud strategies</w:t>
            </w:r>
            <w:r>
              <w:rPr>
                <w:noProof/>
                <w:webHidden/>
              </w:rPr>
              <w:tab/>
            </w:r>
            <w:r>
              <w:rPr>
                <w:noProof/>
                <w:webHidden/>
              </w:rPr>
              <w:fldChar w:fldCharType="begin"/>
            </w:r>
            <w:r>
              <w:rPr>
                <w:noProof/>
                <w:webHidden/>
              </w:rPr>
              <w:instrText xml:space="preserve"> PAGEREF _Toc234447061 \h </w:instrText>
            </w:r>
            <w:r>
              <w:rPr>
                <w:noProof/>
                <w:webHidden/>
              </w:rPr>
            </w:r>
            <w:r>
              <w:rPr>
                <w:noProof/>
                <w:webHidden/>
              </w:rPr>
              <w:fldChar w:fldCharType="separate"/>
            </w:r>
            <w:r w:rsidR="00D26859">
              <w:rPr>
                <w:noProof/>
                <w:webHidden/>
              </w:rPr>
              <w:t>19</w:t>
            </w:r>
            <w:r>
              <w:rPr>
                <w:noProof/>
                <w:webHidden/>
              </w:rPr>
              <w:fldChar w:fldCharType="end"/>
            </w:r>
          </w:hyperlink>
        </w:p>
        <w:p w14:paraId="3CDA34DC" w14:textId="455E56DF"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62" w:history="1">
            <w:r w:rsidRPr="006B566D">
              <w:rPr>
                <w:rStyle w:val="Hyperlink"/>
              </w:rPr>
              <w:t>2.4.</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Enhancing anti-fraud frameworks: A review of member states’ progress on reporting and digitalisation</w:t>
            </w:r>
            <w:r>
              <w:rPr>
                <w:webHidden/>
              </w:rPr>
              <w:tab/>
            </w:r>
            <w:r>
              <w:rPr>
                <w:webHidden/>
              </w:rPr>
              <w:fldChar w:fldCharType="begin"/>
            </w:r>
            <w:r>
              <w:rPr>
                <w:webHidden/>
              </w:rPr>
              <w:instrText xml:space="preserve"> PAGEREF _Toc234447062 \h </w:instrText>
            </w:r>
            <w:r>
              <w:rPr>
                <w:webHidden/>
              </w:rPr>
            </w:r>
            <w:r>
              <w:rPr>
                <w:webHidden/>
              </w:rPr>
              <w:fldChar w:fldCharType="separate"/>
            </w:r>
            <w:r w:rsidR="00D26859">
              <w:rPr>
                <w:webHidden/>
              </w:rPr>
              <w:t>22</w:t>
            </w:r>
            <w:r>
              <w:rPr>
                <w:webHidden/>
              </w:rPr>
              <w:fldChar w:fldCharType="end"/>
            </w:r>
          </w:hyperlink>
        </w:p>
        <w:p w14:paraId="1A2AA6ED" w14:textId="227AF626"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63" w:history="1">
            <w:r w:rsidRPr="006B566D">
              <w:rPr>
                <w:rStyle w:val="Hyperlink"/>
                <w:noProof/>
              </w:rPr>
              <w:t>2.4.1.</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Member State actions: follow-up to the recommendation in the 2024 PIF report</w:t>
            </w:r>
            <w:r>
              <w:rPr>
                <w:noProof/>
                <w:webHidden/>
              </w:rPr>
              <w:tab/>
            </w:r>
            <w:r>
              <w:rPr>
                <w:noProof/>
                <w:webHidden/>
              </w:rPr>
              <w:tab/>
            </w:r>
            <w:r>
              <w:rPr>
                <w:noProof/>
                <w:webHidden/>
              </w:rPr>
              <w:tab/>
            </w:r>
            <w:r>
              <w:rPr>
                <w:noProof/>
                <w:webHidden/>
              </w:rPr>
              <w:fldChar w:fldCharType="begin"/>
            </w:r>
            <w:r>
              <w:rPr>
                <w:noProof/>
                <w:webHidden/>
              </w:rPr>
              <w:instrText xml:space="preserve"> PAGEREF _Toc234447063 \h </w:instrText>
            </w:r>
            <w:r>
              <w:rPr>
                <w:noProof/>
                <w:webHidden/>
              </w:rPr>
            </w:r>
            <w:r>
              <w:rPr>
                <w:noProof/>
                <w:webHidden/>
              </w:rPr>
              <w:fldChar w:fldCharType="separate"/>
            </w:r>
            <w:r w:rsidR="00D26859">
              <w:rPr>
                <w:noProof/>
                <w:webHidden/>
              </w:rPr>
              <w:t>22</w:t>
            </w:r>
            <w:r>
              <w:rPr>
                <w:noProof/>
                <w:webHidden/>
              </w:rPr>
              <w:fldChar w:fldCharType="end"/>
            </w:r>
          </w:hyperlink>
        </w:p>
        <w:p w14:paraId="7152A51E" w14:textId="14965D29"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64" w:history="1">
            <w:r w:rsidRPr="006B566D">
              <w:rPr>
                <w:rStyle w:val="Hyperlink"/>
                <w:rFonts w:eastAsia="Times New Roman Bold"/>
              </w:rPr>
              <w:t>2.4.1.1.</w:t>
            </w:r>
            <w:r>
              <w:rPr>
                <w:rFonts w:asciiTheme="minorHAnsi" w:eastAsiaTheme="minorEastAsia" w:hAnsiTheme="minorHAnsi" w:cstheme="minorBidi"/>
                <w:kern w:val="2"/>
                <w:sz w:val="24"/>
                <w:szCs w:val="24"/>
                <w:lang w:val="en-IE" w:eastAsia="en-IE"/>
                <w14:ligatures w14:val="standardContextual"/>
              </w:rPr>
              <w:tab/>
            </w:r>
            <w:r w:rsidRPr="006B566D">
              <w:rPr>
                <w:rStyle w:val="Hyperlink"/>
                <w:rFonts w:eastAsia="Times New Roman Bold"/>
              </w:rPr>
              <w:t>Improved reporting and more effective communication channels</w:t>
            </w:r>
            <w:r>
              <w:rPr>
                <w:webHidden/>
              </w:rPr>
              <w:tab/>
            </w:r>
            <w:r>
              <w:rPr>
                <w:webHidden/>
              </w:rPr>
              <w:fldChar w:fldCharType="begin"/>
            </w:r>
            <w:r>
              <w:rPr>
                <w:webHidden/>
              </w:rPr>
              <w:instrText xml:space="preserve"> PAGEREF _Toc234447064 \h </w:instrText>
            </w:r>
            <w:r>
              <w:rPr>
                <w:webHidden/>
              </w:rPr>
            </w:r>
            <w:r>
              <w:rPr>
                <w:webHidden/>
              </w:rPr>
              <w:fldChar w:fldCharType="separate"/>
            </w:r>
            <w:r w:rsidR="00D26859">
              <w:rPr>
                <w:webHidden/>
              </w:rPr>
              <w:t>23</w:t>
            </w:r>
            <w:r>
              <w:rPr>
                <w:webHidden/>
              </w:rPr>
              <w:fldChar w:fldCharType="end"/>
            </w:r>
          </w:hyperlink>
        </w:p>
        <w:p w14:paraId="0A9553A2" w14:textId="4F145027"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65" w:history="1">
            <w:r w:rsidRPr="006B566D">
              <w:rPr>
                <w:rStyle w:val="Hyperlink"/>
              </w:rPr>
              <w:t>2.4.1.2.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Digitalisation and AI</w:t>
            </w:r>
            <w:r>
              <w:rPr>
                <w:webHidden/>
              </w:rPr>
              <w:tab/>
            </w:r>
            <w:r>
              <w:rPr>
                <w:webHidden/>
              </w:rPr>
              <w:fldChar w:fldCharType="begin"/>
            </w:r>
            <w:r>
              <w:rPr>
                <w:webHidden/>
              </w:rPr>
              <w:instrText xml:space="preserve"> PAGEREF _Toc234447065 \h </w:instrText>
            </w:r>
            <w:r>
              <w:rPr>
                <w:webHidden/>
              </w:rPr>
            </w:r>
            <w:r>
              <w:rPr>
                <w:webHidden/>
              </w:rPr>
              <w:fldChar w:fldCharType="separate"/>
            </w:r>
            <w:r w:rsidR="00D26859">
              <w:rPr>
                <w:webHidden/>
              </w:rPr>
              <w:t>25</w:t>
            </w:r>
            <w:r>
              <w:rPr>
                <w:webHidden/>
              </w:rPr>
              <w:fldChar w:fldCharType="end"/>
            </w:r>
          </w:hyperlink>
        </w:p>
        <w:p w14:paraId="1DB61857" w14:textId="005D14D7"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66" w:history="1">
            <w:r w:rsidRPr="006B566D">
              <w:rPr>
                <w:rStyle w:val="Hyperlink"/>
              </w:rPr>
              <w:t>2.5.</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Implementation of the EU anti-fraud programme</w:t>
            </w:r>
            <w:r>
              <w:rPr>
                <w:webHidden/>
              </w:rPr>
              <w:tab/>
            </w:r>
            <w:r>
              <w:rPr>
                <w:webHidden/>
              </w:rPr>
              <w:fldChar w:fldCharType="begin"/>
            </w:r>
            <w:r>
              <w:rPr>
                <w:webHidden/>
              </w:rPr>
              <w:instrText xml:space="preserve"> PAGEREF _Toc234447066 \h </w:instrText>
            </w:r>
            <w:r>
              <w:rPr>
                <w:webHidden/>
              </w:rPr>
            </w:r>
            <w:r>
              <w:rPr>
                <w:webHidden/>
              </w:rPr>
              <w:fldChar w:fldCharType="separate"/>
            </w:r>
            <w:r w:rsidR="00D26859">
              <w:rPr>
                <w:webHidden/>
              </w:rPr>
              <w:t>27</w:t>
            </w:r>
            <w:r>
              <w:rPr>
                <w:webHidden/>
              </w:rPr>
              <w:fldChar w:fldCharType="end"/>
            </w:r>
          </w:hyperlink>
        </w:p>
        <w:p w14:paraId="6DD074B4" w14:textId="0F01BD68" w:rsidR="00880372" w:rsidRDefault="00880372">
          <w:pPr>
            <w:pStyle w:val="TOC1"/>
            <w:rPr>
              <w:rFonts w:asciiTheme="minorHAnsi" w:eastAsiaTheme="minorEastAsia" w:hAnsiTheme="minorHAnsi" w:cstheme="minorBidi"/>
              <w:b w:val="0"/>
              <w:noProof/>
              <w:kern w:val="2"/>
              <w:sz w:val="24"/>
              <w:szCs w:val="24"/>
              <w:lang w:val="en-IE" w:eastAsia="en-IE"/>
              <w14:ligatures w14:val="standardContextual"/>
            </w:rPr>
          </w:pPr>
          <w:hyperlink w:anchor="_Toc234447067" w:history="1">
            <w:r w:rsidRPr="006B566D">
              <w:rPr>
                <w:rStyle w:val="Hyperlink"/>
                <w:noProof/>
              </w:rPr>
              <w:t>3.</w:t>
            </w:r>
            <w:r>
              <w:rPr>
                <w:rFonts w:asciiTheme="minorHAnsi" w:eastAsiaTheme="minorEastAsia" w:hAnsiTheme="minorHAnsi" w:cstheme="minorBidi"/>
                <w:b w:val="0"/>
                <w:noProof/>
                <w:kern w:val="2"/>
                <w:sz w:val="24"/>
                <w:szCs w:val="24"/>
                <w:lang w:val="en-IE" w:eastAsia="en-IE"/>
                <w14:ligatures w14:val="standardContextual"/>
              </w:rPr>
              <w:tab/>
            </w:r>
            <w:r w:rsidRPr="006B566D">
              <w:rPr>
                <w:rStyle w:val="Hyperlink"/>
                <w:noProof/>
              </w:rPr>
              <w:t>A holistic view of the fight against fraud affecting the EU’s financial interests</w:t>
            </w:r>
            <w:r>
              <w:rPr>
                <w:noProof/>
                <w:webHidden/>
              </w:rPr>
              <w:tab/>
            </w:r>
            <w:r>
              <w:rPr>
                <w:noProof/>
                <w:webHidden/>
              </w:rPr>
              <w:fldChar w:fldCharType="begin"/>
            </w:r>
            <w:r>
              <w:rPr>
                <w:noProof/>
                <w:webHidden/>
              </w:rPr>
              <w:instrText xml:space="preserve"> PAGEREF _Toc234447067 \h </w:instrText>
            </w:r>
            <w:r>
              <w:rPr>
                <w:noProof/>
                <w:webHidden/>
              </w:rPr>
            </w:r>
            <w:r>
              <w:rPr>
                <w:noProof/>
                <w:webHidden/>
              </w:rPr>
              <w:fldChar w:fldCharType="separate"/>
            </w:r>
            <w:r w:rsidR="00D26859">
              <w:rPr>
                <w:noProof/>
                <w:webHidden/>
              </w:rPr>
              <w:t>28</w:t>
            </w:r>
            <w:r>
              <w:rPr>
                <w:noProof/>
                <w:webHidden/>
              </w:rPr>
              <w:fldChar w:fldCharType="end"/>
            </w:r>
          </w:hyperlink>
        </w:p>
        <w:p w14:paraId="711A18F2" w14:textId="39BD1754"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68" w:history="1">
            <w:r w:rsidRPr="006B566D">
              <w:rPr>
                <w:rStyle w:val="Hyperlink"/>
              </w:rPr>
              <w:t>3.1.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The protection of the EU’s financial interests through the anti-fraud cycle</w:t>
            </w:r>
            <w:r>
              <w:rPr>
                <w:webHidden/>
              </w:rPr>
              <w:tab/>
            </w:r>
            <w:r>
              <w:rPr>
                <w:webHidden/>
              </w:rPr>
              <w:fldChar w:fldCharType="begin"/>
            </w:r>
            <w:r>
              <w:rPr>
                <w:webHidden/>
              </w:rPr>
              <w:instrText xml:space="preserve"> PAGEREF _Toc234447068 \h </w:instrText>
            </w:r>
            <w:r>
              <w:rPr>
                <w:webHidden/>
              </w:rPr>
            </w:r>
            <w:r>
              <w:rPr>
                <w:webHidden/>
              </w:rPr>
              <w:fldChar w:fldCharType="separate"/>
            </w:r>
            <w:r w:rsidR="00D26859">
              <w:rPr>
                <w:webHidden/>
              </w:rPr>
              <w:t>28</w:t>
            </w:r>
            <w:r>
              <w:rPr>
                <w:webHidden/>
              </w:rPr>
              <w:fldChar w:fldCharType="end"/>
            </w:r>
          </w:hyperlink>
        </w:p>
        <w:p w14:paraId="113BE9FD" w14:textId="53EE4245"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69" w:history="1">
            <w:r w:rsidRPr="006B566D">
              <w:rPr>
                <w:rStyle w:val="Hyperlink"/>
                <w:noProof/>
              </w:rPr>
              <w:t>3.1.1.</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Detection</w:t>
            </w:r>
            <w:r>
              <w:rPr>
                <w:noProof/>
                <w:webHidden/>
              </w:rPr>
              <w:tab/>
            </w:r>
            <w:r>
              <w:rPr>
                <w:noProof/>
                <w:webHidden/>
              </w:rPr>
              <w:fldChar w:fldCharType="begin"/>
            </w:r>
            <w:r>
              <w:rPr>
                <w:noProof/>
                <w:webHidden/>
              </w:rPr>
              <w:instrText xml:space="preserve"> PAGEREF _Toc234447069 \h </w:instrText>
            </w:r>
            <w:r>
              <w:rPr>
                <w:noProof/>
                <w:webHidden/>
              </w:rPr>
            </w:r>
            <w:r>
              <w:rPr>
                <w:noProof/>
                <w:webHidden/>
              </w:rPr>
              <w:fldChar w:fldCharType="separate"/>
            </w:r>
            <w:r w:rsidR="00D26859">
              <w:rPr>
                <w:noProof/>
                <w:webHidden/>
              </w:rPr>
              <w:t>28</w:t>
            </w:r>
            <w:r>
              <w:rPr>
                <w:noProof/>
                <w:webHidden/>
              </w:rPr>
              <w:fldChar w:fldCharType="end"/>
            </w:r>
          </w:hyperlink>
        </w:p>
        <w:p w14:paraId="428C3BF1" w14:textId="715397C0"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70" w:history="1">
            <w:r w:rsidRPr="006B566D">
              <w:rPr>
                <w:rStyle w:val="Hyperlink"/>
                <w:noProof/>
              </w:rPr>
              <w:t>3.1.2.</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Prevention (early detection)</w:t>
            </w:r>
            <w:r>
              <w:rPr>
                <w:noProof/>
                <w:webHidden/>
              </w:rPr>
              <w:tab/>
            </w:r>
            <w:r>
              <w:rPr>
                <w:noProof/>
                <w:webHidden/>
              </w:rPr>
              <w:fldChar w:fldCharType="begin"/>
            </w:r>
            <w:r>
              <w:rPr>
                <w:noProof/>
                <w:webHidden/>
              </w:rPr>
              <w:instrText xml:space="preserve"> PAGEREF _Toc234447070 \h </w:instrText>
            </w:r>
            <w:r>
              <w:rPr>
                <w:noProof/>
                <w:webHidden/>
              </w:rPr>
            </w:r>
            <w:r>
              <w:rPr>
                <w:noProof/>
                <w:webHidden/>
              </w:rPr>
              <w:fldChar w:fldCharType="separate"/>
            </w:r>
            <w:r w:rsidR="00D26859">
              <w:rPr>
                <w:noProof/>
                <w:webHidden/>
              </w:rPr>
              <w:t>32</w:t>
            </w:r>
            <w:r>
              <w:rPr>
                <w:noProof/>
                <w:webHidden/>
              </w:rPr>
              <w:fldChar w:fldCharType="end"/>
            </w:r>
          </w:hyperlink>
        </w:p>
        <w:p w14:paraId="18E46CC3" w14:textId="025D3492"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71" w:history="1">
            <w:r w:rsidRPr="006B566D">
              <w:rPr>
                <w:rStyle w:val="Hyperlink"/>
                <w:noProof/>
              </w:rPr>
              <w:t>3.1.3.</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Investigation and prosecution</w:t>
            </w:r>
            <w:r>
              <w:rPr>
                <w:noProof/>
                <w:webHidden/>
              </w:rPr>
              <w:tab/>
            </w:r>
            <w:r>
              <w:rPr>
                <w:noProof/>
                <w:webHidden/>
              </w:rPr>
              <w:fldChar w:fldCharType="begin"/>
            </w:r>
            <w:r>
              <w:rPr>
                <w:noProof/>
                <w:webHidden/>
              </w:rPr>
              <w:instrText xml:space="preserve"> PAGEREF _Toc234447071 \h </w:instrText>
            </w:r>
            <w:r>
              <w:rPr>
                <w:noProof/>
                <w:webHidden/>
              </w:rPr>
            </w:r>
            <w:r>
              <w:rPr>
                <w:noProof/>
                <w:webHidden/>
              </w:rPr>
              <w:fldChar w:fldCharType="separate"/>
            </w:r>
            <w:r w:rsidR="00D26859">
              <w:rPr>
                <w:noProof/>
                <w:webHidden/>
              </w:rPr>
              <w:t>34</w:t>
            </w:r>
            <w:r>
              <w:rPr>
                <w:noProof/>
                <w:webHidden/>
              </w:rPr>
              <w:fldChar w:fldCharType="end"/>
            </w:r>
          </w:hyperlink>
        </w:p>
        <w:p w14:paraId="0E2D3103" w14:textId="0E5CDB97"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72" w:history="1">
            <w:r w:rsidRPr="006B566D">
              <w:rPr>
                <w:rStyle w:val="Hyperlink"/>
                <w:noProof/>
              </w:rPr>
              <w:t>3.1.4.</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Recovery and sanctioning</w:t>
            </w:r>
            <w:r>
              <w:rPr>
                <w:noProof/>
                <w:webHidden/>
              </w:rPr>
              <w:tab/>
            </w:r>
            <w:r>
              <w:rPr>
                <w:noProof/>
                <w:webHidden/>
              </w:rPr>
              <w:fldChar w:fldCharType="begin"/>
            </w:r>
            <w:r>
              <w:rPr>
                <w:noProof/>
                <w:webHidden/>
              </w:rPr>
              <w:instrText xml:space="preserve"> PAGEREF _Toc234447072 \h </w:instrText>
            </w:r>
            <w:r>
              <w:rPr>
                <w:noProof/>
                <w:webHidden/>
              </w:rPr>
            </w:r>
            <w:r>
              <w:rPr>
                <w:noProof/>
                <w:webHidden/>
              </w:rPr>
              <w:fldChar w:fldCharType="separate"/>
            </w:r>
            <w:r w:rsidR="00D26859">
              <w:rPr>
                <w:noProof/>
                <w:webHidden/>
              </w:rPr>
              <w:t>36</w:t>
            </w:r>
            <w:r>
              <w:rPr>
                <w:noProof/>
                <w:webHidden/>
              </w:rPr>
              <w:fldChar w:fldCharType="end"/>
            </w:r>
          </w:hyperlink>
        </w:p>
        <w:p w14:paraId="76BDEE18" w14:textId="6E2F0EDC"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73" w:history="1">
            <w:r w:rsidRPr="006B566D">
              <w:rPr>
                <w:rStyle w:val="Hyperlink"/>
              </w:rPr>
              <w:t>3.1.4.1.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Recovery</w:t>
            </w:r>
            <w:r>
              <w:rPr>
                <w:webHidden/>
              </w:rPr>
              <w:tab/>
            </w:r>
            <w:r>
              <w:rPr>
                <w:webHidden/>
              </w:rPr>
              <w:fldChar w:fldCharType="begin"/>
            </w:r>
            <w:r>
              <w:rPr>
                <w:webHidden/>
              </w:rPr>
              <w:instrText xml:space="preserve"> PAGEREF _Toc234447073 \h </w:instrText>
            </w:r>
            <w:r>
              <w:rPr>
                <w:webHidden/>
              </w:rPr>
            </w:r>
            <w:r>
              <w:rPr>
                <w:webHidden/>
              </w:rPr>
              <w:fldChar w:fldCharType="separate"/>
            </w:r>
            <w:r w:rsidR="00D26859">
              <w:rPr>
                <w:webHidden/>
              </w:rPr>
              <w:t>36</w:t>
            </w:r>
            <w:r>
              <w:rPr>
                <w:webHidden/>
              </w:rPr>
              <w:fldChar w:fldCharType="end"/>
            </w:r>
          </w:hyperlink>
        </w:p>
        <w:p w14:paraId="6F63FCC9" w14:textId="7E4485BC"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74" w:history="1">
            <w:r w:rsidRPr="006B566D">
              <w:rPr>
                <w:rStyle w:val="Hyperlink"/>
              </w:rPr>
              <w:t>3.1.4.2.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Sanctioning</w:t>
            </w:r>
            <w:r>
              <w:rPr>
                <w:webHidden/>
              </w:rPr>
              <w:tab/>
            </w:r>
            <w:r>
              <w:rPr>
                <w:webHidden/>
              </w:rPr>
              <w:fldChar w:fldCharType="begin"/>
            </w:r>
            <w:r>
              <w:rPr>
                <w:webHidden/>
              </w:rPr>
              <w:instrText xml:space="preserve"> PAGEREF _Toc234447074 \h </w:instrText>
            </w:r>
            <w:r>
              <w:rPr>
                <w:webHidden/>
              </w:rPr>
            </w:r>
            <w:r>
              <w:rPr>
                <w:webHidden/>
              </w:rPr>
              <w:fldChar w:fldCharType="separate"/>
            </w:r>
            <w:r w:rsidR="00D26859">
              <w:rPr>
                <w:webHidden/>
              </w:rPr>
              <w:t>38</w:t>
            </w:r>
            <w:r>
              <w:rPr>
                <w:webHidden/>
              </w:rPr>
              <w:fldChar w:fldCharType="end"/>
            </w:r>
          </w:hyperlink>
        </w:p>
        <w:p w14:paraId="69E5A4C7" w14:textId="074A6F54"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75" w:history="1">
            <w:r w:rsidRPr="006B566D">
              <w:rPr>
                <w:rStyle w:val="Hyperlink"/>
              </w:rPr>
              <w:t>3.2.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Main findings by budgetary sector</w:t>
            </w:r>
            <w:r>
              <w:rPr>
                <w:webHidden/>
              </w:rPr>
              <w:tab/>
            </w:r>
            <w:r>
              <w:rPr>
                <w:webHidden/>
              </w:rPr>
              <w:fldChar w:fldCharType="begin"/>
            </w:r>
            <w:r>
              <w:rPr>
                <w:webHidden/>
              </w:rPr>
              <w:instrText xml:space="preserve"> PAGEREF _Toc234447075 \h </w:instrText>
            </w:r>
            <w:r>
              <w:rPr>
                <w:webHidden/>
              </w:rPr>
            </w:r>
            <w:r>
              <w:rPr>
                <w:webHidden/>
              </w:rPr>
              <w:fldChar w:fldCharType="separate"/>
            </w:r>
            <w:r w:rsidR="00D26859">
              <w:rPr>
                <w:webHidden/>
              </w:rPr>
              <w:t>39</w:t>
            </w:r>
            <w:r>
              <w:rPr>
                <w:webHidden/>
              </w:rPr>
              <w:fldChar w:fldCharType="end"/>
            </w:r>
          </w:hyperlink>
        </w:p>
        <w:p w14:paraId="29EF4694" w14:textId="30C24349"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76" w:history="1">
            <w:r w:rsidRPr="006B566D">
              <w:rPr>
                <w:rStyle w:val="Hyperlink"/>
                <w:noProof/>
              </w:rPr>
              <w:t>3.2.1.</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Revenue – traditional own resources</w:t>
            </w:r>
            <w:r>
              <w:rPr>
                <w:noProof/>
                <w:webHidden/>
              </w:rPr>
              <w:tab/>
            </w:r>
            <w:r>
              <w:rPr>
                <w:noProof/>
                <w:webHidden/>
              </w:rPr>
              <w:fldChar w:fldCharType="begin"/>
            </w:r>
            <w:r>
              <w:rPr>
                <w:noProof/>
                <w:webHidden/>
              </w:rPr>
              <w:instrText xml:space="preserve"> PAGEREF _Toc234447076 \h </w:instrText>
            </w:r>
            <w:r>
              <w:rPr>
                <w:noProof/>
                <w:webHidden/>
              </w:rPr>
            </w:r>
            <w:r>
              <w:rPr>
                <w:noProof/>
                <w:webHidden/>
              </w:rPr>
              <w:fldChar w:fldCharType="separate"/>
            </w:r>
            <w:r w:rsidR="00D26859">
              <w:rPr>
                <w:noProof/>
                <w:webHidden/>
              </w:rPr>
              <w:t>39</w:t>
            </w:r>
            <w:r>
              <w:rPr>
                <w:noProof/>
                <w:webHidden/>
              </w:rPr>
              <w:fldChar w:fldCharType="end"/>
            </w:r>
          </w:hyperlink>
        </w:p>
        <w:p w14:paraId="5B735EE6" w14:textId="2A120B1B"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77" w:history="1">
            <w:r w:rsidRPr="006B566D">
              <w:rPr>
                <w:rStyle w:val="Hyperlink"/>
                <w:noProof/>
              </w:rPr>
              <w:t>3.2.2.</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Expenditure</w:t>
            </w:r>
            <w:r>
              <w:rPr>
                <w:noProof/>
                <w:webHidden/>
              </w:rPr>
              <w:tab/>
            </w:r>
            <w:r>
              <w:rPr>
                <w:noProof/>
                <w:webHidden/>
              </w:rPr>
              <w:fldChar w:fldCharType="begin"/>
            </w:r>
            <w:r>
              <w:rPr>
                <w:noProof/>
                <w:webHidden/>
              </w:rPr>
              <w:instrText xml:space="preserve"> PAGEREF _Toc234447077 \h </w:instrText>
            </w:r>
            <w:r>
              <w:rPr>
                <w:noProof/>
                <w:webHidden/>
              </w:rPr>
            </w:r>
            <w:r>
              <w:rPr>
                <w:noProof/>
                <w:webHidden/>
              </w:rPr>
              <w:fldChar w:fldCharType="separate"/>
            </w:r>
            <w:r w:rsidR="00D26859">
              <w:rPr>
                <w:noProof/>
                <w:webHidden/>
              </w:rPr>
              <w:t>41</w:t>
            </w:r>
            <w:r>
              <w:rPr>
                <w:noProof/>
                <w:webHidden/>
              </w:rPr>
              <w:fldChar w:fldCharType="end"/>
            </w:r>
          </w:hyperlink>
        </w:p>
        <w:p w14:paraId="740C942A" w14:textId="004BB498"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78" w:history="1">
            <w:r w:rsidRPr="006B566D">
              <w:rPr>
                <w:rStyle w:val="Hyperlink"/>
              </w:rPr>
              <w:t>3.2.2.1.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Shared management</w:t>
            </w:r>
            <w:r>
              <w:rPr>
                <w:webHidden/>
              </w:rPr>
              <w:tab/>
            </w:r>
            <w:r>
              <w:rPr>
                <w:webHidden/>
              </w:rPr>
              <w:fldChar w:fldCharType="begin"/>
            </w:r>
            <w:r>
              <w:rPr>
                <w:webHidden/>
              </w:rPr>
              <w:instrText xml:space="preserve"> PAGEREF _Toc234447078 \h </w:instrText>
            </w:r>
            <w:r>
              <w:rPr>
                <w:webHidden/>
              </w:rPr>
            </w:r>
            <w:r>
              <w:rPr>
                <w:webHidden/>
              </w:rPr>
              <w:fldChar w:fldCharType="separate"/>
            </w:r>
            <w:r w:rsidR="00D26859">
              <w:rPr>
                <w:webHidden/>
              </w:rPr>
              <w:t>41</w:t>
            </w:r>
            <w:r>
              <w:rPr>
                <w:webHidden/>
              </w:rPr>
              <w:fldChar w:fldCharType="end"/>
            </w:r>
          </w:hyperlink>
        </w:p>
        <w:p w14:paraId="219CFDB4" w14:textId="2735FBEF"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79" w:history="1">
            <w:r w:rsidRPr="006B566D">
              <w:rPr>
                <w:rStyle w:val="Hyperlink"/>
              </w:rPr>
              <w:t>3.2.2.2.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Indirect management – Neighbourhood and the world</w:t>
            </w:r>
            <w:r>
              <w:rPr>
                <w:webHidden/>
              </w:rPr>
              <w:tab/>
            </w:r>
            <w:r>
              <w:rPr>
                <w:webHidden/>
              </w:rPr>
              <w:fldChar w:fldCharType="begin"/>
            </w:r>
            <w:r>
              <w:rPr>
                <w:webHidden/>
              </w:rPr>
              <w:instrText xml:space="preserve"> PAGEREF _Toc234447079 \h </w:instrText>
            </w:r>
            <w:r>
              <w:rPr>
                <w:webHidden/>
              </w:rPr>
            </w:r>
            <w:r>
              <w:rPr>
                <w:webHidden/>
              </w:rPr>
              <w:fldChar w:fldCharType="separate"/>
            </w:r>
            <w:r w:rsidR="00D26859">
              <w:rPr>
                <w:webHidden/>
              </w:rPr>
              <w:t>45</w:t>
            </w:r>
            <w:r>
              <w:rPr>
                <w:webHidden/>
              </w:rPr>
              <w:fldChar w:fldCharType="end"/>
            </w:r>
          </w:hyperlink>
        </w:p>
        <w:p w14:paraId="1EBDB257" w14:textId="1A34C94D" w:rsidR="00880372" w:rsidRDefault="00880372">
          <w:pPr>
            <w:pStyle w:val="TOC4"/>
            <w:rPr>
              <w:rFonts w:asciiTheme="minorHAnsi" w:eastAsiaTheme="minorEastAsia" w:hAnsiTheme="minorHAnsi" w:cstheme="minorBidi"/>
              <w:kern w:val="2"/>
              <w:sz w:val="24"/>
              <w:szCs w:val="24"/>
              <w:lang w:val="en-IE" w:eastAsia="en-IE"/>
              <w14:ligatures w14:val="standardContextual"/>
            </w:rPr>
          </w:pPr>
          <w:hyperlink w:anchor="_Toc234447080" w:history="1">
            <w:r w:rsidRPr="006B566D">
              <w:rPr>
                <w:rStyle w:val="Hyperlink"/>
              </w:rPr>
              <w:t>3.2.2.3.</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Direct management</w:t>
            </w:r>
            <w:r>
              <w:rPr>
                <w:webHidden/>
              </w:rPr>
              <w:tab/>
            </w:r>
            <w:r>
              <w:rPr>
                <w:webHidden/>
              </w:rPr>
              <w:fldChar w:fldCharType="begin"/>
            </w:r>
            <w:r>
              <w:rPr>
                <w:webHidden/>
              </w:rPr>
              <w:instrText xml:space="preserve"> PAGEREF _Toc234447080 \h </w:instrText>
            </w:r>
            <w:r>
              <w:rPr>
                <w:webHidden/>
              </w:rPr>
            </w:r>
            <w:r>
              <w:rPr>
                <w:webHidden/>
              </w:rPr>
              <w:fldChar w:fldCharType="separate"/>
            </w:r>
            <w:r w:rsidR="00D26859">
              <w:rPr>
                <w:webHidden/>
              </w:rPr>
              <w:t>45</w:t>
            </w:r>
            <w:r>
              <w:rPr>
                <w:webHidden/>
              </w:rPr>
              <w:fldChar w:fldCharType="end"/>
            </w:r>
          </w:hyperlink>
        </w:p>
        <w:p w14:paraId="6E6F862D" w14:textId="0E6F4BDA"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81" w:history="1">
            <w:r w:rsidRPr="006B566D">
              <w:rPr>
                <w:rStyle w:val="Hyperlink"/>
                <w:noProof/>
              </w:rPr>
              <w:t>3.2.3.</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Recovery and resilience facility</w:t>
            </w:r>
            <w:r>
              <w:rPr>
                <w:noProof/>
                <w:webHidden/>
              </w:rPr>
              <w:tab/>
            </w:r>
            <w:r>
              <w:rPr>
                <w:noProof/>
                <w:webHidden/>
              </w:rPr>
              <w:fldChar w:fldCharType="begin"/>
            </w:r>
            <w:r>
              <w:rPr>
                <w:noProof/>
                <w:webHidden/>
              </w:rPr>
              <w:instrText xml:space="preserve"> PAGEREF _Toc234447081 \h </w:instrText>
            </w:r>
            <w:r>
              <w:rPr>
                <w:noProof/>
                <w:webHidden/>
              </w:rPr>
            </w:r>
            <w:r>
              <w:rPr>
                <w:noProof/>
                <w:webHidden/>
              </w:rPr>
              <w:fldChar w:fldCharType="separate"/>
            </w:r>
            <w:r w:rsidR="00D26859">
              <w:rPr>
                <w:noProof/>
                <w:webHidden/>
              </w:rPr>
              <w:t>46</w:t>
            </w:r>
            <w:r>
              <w:rPr>
                <w:noProof/>
                <w:webHidden/>
              </w:rPr>
              <w:fldChar w:fldCharType="end"/>
            </w:r>
          </w:hyperlink>
        </w:p>
        <w:p w14:paraId="477B4CA1" w14:textId="2945B8F4"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82" w:history="1">
            <w:r w:rsidRPr="006B566D">
              <w:rPr>
                <w:rStyle w:val="Hyperlink"/>
              </w:rPr>
              <w:t>3.3.</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Fraud enablers against the EU budget</w:t>
            </w:r>
            <w:r>
              <w:rPr>
                <w:webHidden/>
              </w:rPr>
              <w:tab/>
            </w:r>
            <w:r>
              <w:rPr>
                <w:webHidden/>
              </w:rPr>
              <w:fldChar w:fldCharType="begin"/>
            </w:r>
            <w:r>
              <w:rPr>
                <w:webHidden/>
              </w:rPr>
              <w:instrText xml:space="preserve"> PAGEREF _Toc234447082 \h </w:instrText>
            </w:r>
            <w:r>
              <w:rPr>
                <w:webHidden/>
              </w:rPr>
            </w:r>
            <w:r>
              <w:rPr>
                <w:webHidden/>
              </w:rPr>
              <w:fldChar w:fldCharType="separate"/>
            </w:r>
            <w:r w:rsidR="00D26859">
              <w:rPr>
                <w:webHidden/>
              </w:rPr>
              <w:t>47</w:t>
            </w:r>
            <w:r>
              <w:rPr>
                <w:webHidden/>
              </w:rPr>
              <w:fldChar w:fldCharType="end"/>
            </w:r>
          </w:hyperlink>
        </w:p>
        <w:p w14:paraId="6037A610" w14:textId="78FA0AA6"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83" w:history="1">
            <w:r w:rsidRPr="006B566D">
              <w:rPr>
                <w:rStyle w:val="Hyperlink"/>
                <w:noProof/>
              </w:rPr>
              <w:t>3.3.1.</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Organised crime</w:t>
            </w:r>
            <w:r>
              <w:rPr>
                <w:noProof/>
                <w:webHidden/>
              </w:rPr>
              <w:tab/>
            </w:r>
            <w:r>
              <w:rPr>
                <w:noProof/>
                <w:webHidden/>
              </w:rPr>
              <w:fldChar w:fldCharType="begin"/>
            </w:r>
            <w:r>
              <w:rPr>
                <w:noProof/>
                <w:webHidden/>
              </w:rPr>
              <w:instrText xml:space="preserve"> PAGEREF _Toc234447083 \h </w:instrText>
            </w:r>
            <w:r>
              <w:rPr>
                <w:noProof/>
                <w:webHidden/>
              </w:rPr>
            </w:r>
            <w:r>
              <w:rPr>
                <w:noProof/>
                <w:webHidden/>
              </w:rPr>
              <w:fldChar w:fldCharType="separate"/>
            </w:r>
            <w:r w:rsidR="00D26859">
              <w:rPr>
                <w:noProof/>
                <w:webHidden/>
              </w:rPr>
              <w:t>47</w:t>
            </w:r>
            <w:r>
              <w:rPr>
                <w:noProof/>
                <w:webHidden/>
              </w:rPr>
              <w:fldChar w:fldCharType="end"/>
            </w:r>
          </w:hyperlink>
        </w:p>
        <w:p w14:paraId="51EA8B07" w14:textId="20192688"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84" w:history="1">
            <w:r w:rsidRPr="006B566D">
              <w:rPr>
                <w:rStyle w:val="Hyperlink"/>
                <w:noProof/>
              </w:rPr>
              <w:t>3.3.2.</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Corruption</w:t>
            </w:r>
            <w:r>
              <w:rPr>
                <w:noProof/>
                <w:webHidden/>
              </w:rPr>
              <w:tab/>
            </w:r>
            <w:r>
              <w:rPr>
                <w:noProof/>
                <w:webHidden/>
              </w:rPr>
              <w:fldChar w:fldCharType="begin"/>
            </w:r>
            <w:r>
              <w:rPr>
                <w:noProof/>
                <w:webHidden/>
              </w:rPr>
              <w:instrText xml:space="preserve"> PAGEREF _Toc234447084 \h </w:instrText>
            </w:r>
            <w:r>
              <w:rPr>
                <w:noProof/>
                <w:webHidden/>
              </w:rPr>
            </w:r>
            <w:r>
              <w:rPr>
                <w:noProof/>
                <w:webHidden/>
              </w:rPr>
              <w:fldChar w:fldCharType="separate"/>
            </w:r>
            <w:r w:rsidR="00D26859">
              <w:rPr>
                <w:noProof/>
                <w:webHidden/>
              </w:rPr>
              <w:t>47</w:t>
            </w:r>
            <w:r>
              <w:rPr>
                <w:noProof/>
                <w:webHidden/>
              </w:rPr>
              <w:fldChar w:fldCharType="end"/>
            </w:r>
          </w:hyperlink>
        </w:p>
        <w:p w14:paraId="2DE475DE" w14:textId="0028508F" w:rsidR="00880372" w:rsidRDefault="00880372">
          <w:pPr>
            <w:pStyle w:val="TOC3"/>
            <w:rPr>
              <w:rFonts w:asciiTheme="minorHAnsi" w:eastAsiaTheme="minorEastAsia" w:hAnsiTheme="minorHAnsi" w:cstheme="minorBidi"/>
              <w:noProof/>
              <w:kern w:val="2"/>
              <w:sz w:val="24"/>
              <w:szCs w:val="24"/>
              <w:lang w:val="en-IE" w:eastAsia="en-IE"/>
              <w14:ligatures w14:val="standardContextual"/>
            </w:rPr>
          </w:pPr>
          <w:hyperlink w:anchor="_Toc234447085" w:history="1">
            <w:r w:rsidRPr="006B566D">
              <w:rPr>
                <w:rStyle w:val="Hyperlink"/>
                <w:noProof/>
              </w:rPr>
              <w:t>3.3.3.</w:t>
            </w:r>
            <w:r>
              <w:rPr>
                <w:rFonts w:asciiTheme="minorHAnsi" w:eastAsiaTheme="minorEastAsia" w:hAnsiTheme="minorHAnsi" w:cstheme="minorBidi"/>
                <w:noProof/>
                <w:kern w:val="2"/>
                <w:sz w:val="24"/>
                <w:szCs w:val="24"/>
                <w:lang w:val="en-IE" w:eastAsia="en-IE"/>
                <w14:ligatures w14:val="standardContextual"/>
              </w:rPr>
              <w:tab/>
            </w:r>
            <w:r w:rsidRPr="006B566D">
              <w:rPr>
                <w:rStyle w:val="Hyperlink"/>
                <w:noProof/>
              </w:rPr>
              <w:t>Conflicts of interest</w:t>
            </w:r>
            <w:r>
              <w:rPr>
                <w:noProof/>
                <w:webHidden/>
              </w:rPr>
              <w:tab/>
            </w:r>
            <w:r>
              <w:rPr>
                <w:noProof/>
                <w:webHidden/>
              </w:rPr>
              <w:fldChar w:fldCharType="begin"/>
            </w:r>
            <w:r>
              <w:rPr>
                <w:noProof/>
                <w:webHidden/>
              </w:rPr>
              <w:instrText xml:space="preserve"> PAGEREF _Toc234447085 \h </w:instrText>
            </w:r>
            <w:r>
              <w:rPr>
                <w:noProof/>
                <w:webHidden/>
              </w:rPr>
            </w:r>
            <w:r>
              <w:rPr>
                <w:noProof/>
                <w:webHidden/>
              </w:rPr>
              <w:fldChar w:fldCharType="separate"/>
            </w:r>
            <w:r w:rsidR="00D26859">
              <w:rPr>
                <w:noProof/>
                <w:webHidden/>
              </w:rPr>
              <w:t>48</w:t>
            </w:r>
            <w:r>
              <w:rPr>
                <w:noProof/>
                <w:webHidden/>
              </w:rPr>
              <w:fldChar w:fldCharType="end"/>
            </w:r>
          </w:hyperlink>
        </w:p>
        <w:p w14:paraId="308A95D3" w14:textId="1A5F316E" w:rsidR="00880372" w:rsidRDefault="00880372">
          <w:pPr>
            <w:pStyle w:val="TOC1"/>
            <w:rPr>
              <w:rFonts w:asciiTheme="minorHAnsi" w:eastAsiaTheme="minorEastAsia" w:hAnsiTheme="minorHAnsi" w:cstheme="minorBidi"/>
              <w:b w:val="0"/>
              <w:noProof/>
              <w:kern w:val="2"/>
              <w:sz w:val="24"/>
              <w:szCs w:val="24"/>
              <w:lang w:val="en-IE" w:eastAsia="en-IE"/>
              <w14:ligatures w14:val="standardContextual"/>
            </w:rPr>
          </w:pPr>
          <w:hyperlink w:anchor="_Toc234447086" w:history="1">
            <w:r w:rsidRPr="006B566D">
              <w:rPr>
                <w:rStyle w:val="Hyperlink"/>
                <w:noProof/>
              </w:rPr>
              <w:t>4.</w:t>
            </w:r>
            <w:r>
              <w:rPr>
                <w:rFonts w:asciiTheme="minorHAnsi" w:eastAsiaTheme="minorEastAsia" w:hAnsiTheme="minorHAnsi" w:cstheme="minorBidi"/>
                <w:b w:val="0"/>
                <w:noProof/>
                <w:kern w:val="2"/>
                <w:sz w:val="24"/>
                <w:szCs w:val="24"/>
                <w:lang w:val="en-IE" w:eastAsia="en-IE"/>
                <w14:ligatures w14:val="standardContextual"/>
              </w:rPr>
              <w:tab/>
            </w:r>
            <w:r w:rsidRPr="006B566D">
              <w:rPr>
                <w:rStyle w:val="Hyperlink"/>
                <w:noProof/>
              </w:rPr>
              <w:t>Conclusions and recommendations</w:t>
            </w:r>
            <w:r>
              <w:rPr>
                <w:noProof/>
                <w:webHidden/>
              </w:rPr>
              <w:tab/>
            </w:r>
            <w:r>
              <w:rPr>
                <w:noProof/>
                <w:webHidden/>
              </w:rPr>
              <w:fldChar w:fldCharType="begin"/>
            </w:r>
            <w:r>
              <w:rPr>
                <w:noProof/>
                <w:webHidden/>
              </w:rPr>
              <w:instrText xml:space="preserve"> PAGEREF _Toc234447086 \h </w:instrText>
            </w:r>
            <w:r>
              <w:rPr>
                <w:noProof/>
                <w:webHidden/>
              </w:rPr>
            </w:r>
            <w:r>
              <w:rPr>
                <w:noProof/>
                <w:webHidden/>
              </w:rPr>
              <w:fldChar w:fldCharType="separate"/>
            </w:r>
            <w:r w:rsidR="00D26859">
              <w:rPr>
                <w:noProof/>
                <w:webHidden/>
              </w:rPr>
              <w:t>49</w:t>
            </w:r>
            <w:r>
              <w:rPr>
                <w:noProof/>
                <w:webHidden/>
              </w:rPr>
              <w:fldChar w:fldCharType="end"/>
            </w:r>
          </w:hyperlink>
        </w:p>
        <w:p w14:paraId="4FA280C4" w14:textId="549C265C"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87" w:history="1">
            <w:r w:rsidRPr="006B566D">
              <w:rPr>
                <w:rStyle w:val="Hyperlink"/>
              </w:rPr>
              <w:t>4.1.</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Prevention</w:t>
            </w:r>
            <w:r>
              <w:rPr>
                <w:webHidden/>
              </w:rPr>
              <w:tab/>
            </w:r>
            <w:r>
              <w:rPr>
                <w:webHidden/>
              </w:rPr>
              <w:fldChar w:fldCharType="begin"/>
            </w:r>
            <w:r>
              <w:rPr>
                <w:webHidden/>
              </w:rPr>
              <w:instrText xml:space="preserve"> PAGEREF _Toc234447087 \h </w:instrText>
            </w:r>
            <w:r>
              <w:rPr>
                <w:webHidden/>
              </w:rPr>
            </w:r>
            <w:r>
              <w:rPr>
                <w:webHidden/>
              </w:rPr>
              <w:fldChar w:fldCharType="separate"/>
            </w:r>
            <w:r w:rsidR="00D26859">
              <w:rPr>
                <w:webHidden/>
              </w:rPr>
              <w:t>49</w:t>
            </w:r>
            <w:r>
              <w:rPr>
                <w:webHidden/>
              </w:rPr>
              <w:fldChar w:fldCharType="end"/>
            </w:r>
          </w:hyperlink>
        </w:p>
        <w:p w14:paraId="2832B320" w14:textId="788CA9C9"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88" w:history="1">
            <w:r w:rsidRPr="006B566D">
              <w:rPr>
                <w:rStyle w:val="Hyperlink"/>
              </w:rPr>
              <w:t>4.2.</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Detection</w:t>
            </w:r>
            <w:r>
              <w:rPr>
                <w:webHidden/>
              </w:rPr>
              <w:tab/>
            </w:r>
            <w:r>
              <w:rPr>
                <w:webHidden/>
              </w:rPr>
              <w:fldChar w:fldCharType="begin"/>
            </w:r>
            <w:r>
              <w:rPr>
                <w:webHidden/>
              </w:rPr>
              <w:instrText xml:space="preserve"> PAGEREF _Toc234447088 \h </w:instrText>
            </w:r>
            <w:r>
              <w:rPr>
                <w:webHidden/>
              </w:rPr>
            </w:r>
            <w:r>
              <w:rPr>
                <w:webHidden/>
              </w:rPr>
              <w:fldChar w:fldCharType="separate"/>
            </w:r>
            <w:r w:rsidR="00D26859">
              <w:rPr>
                <w:webHidden/>
              </w:rPr>
              <w:t>49</w:t>
            </w:r>
            <w:r>
              <w:rPr>
                <w:webHidden/>
              </w:rPr>
              <w:fldChar w:fldCharType="end"/>
            </w:r>
          </w:hyperlink>
        </w:p>
        <w:p w14:paraId="3C0E96E3" w14:textId="7472E8C4"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89" w:history="1">
            <w:r w:rsidRPr="006B566D">
              <w:rPr>
                <w:rStyle w:val="Hyperlink"/>
              </w:rPr>
              <w:t>4.3.</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Investigation and prosecution</w:t>
            </w:r>
            <w:r>
              <w:rPr>
                <w:webHidden/>
              </w:rPr>
              <w:tab/>
            </w:r>
            <w:r>
              <w:rPr>
                <w:webHidden/>
              </w:rPr>
              <w:fldChar w:fldCharType="begin"/>
            </w:r>
            <w:r>
              <w:rPr>
                <w:webHidden/>
              </w:rPr>
              <w:instrText xml:space="preserve"> PAGEREF _Toc234447089 \h </w:instrText>
            </w:r>
            <w:r>
              <w:rPr>
                <w:webHidden/>
              </w:rPr>
            </w:r>
            <w:r>
              <w:rPr>
                <w:webHidden/>
              </w:rPr>
              <w:fldChar w:fldCharType="separate"/>
            </w:r>
            <w:r w:rsidR="00D26859">
              <w:rPr>
                <w:webHidden/>
              </w:rPr>
              <w:t>50</w:t>
            </w:r>
            <w:r>
              <w:rPr>
                <w:webHidden/>
              </w:rPr>
              <w:fldChar w:fldCharType="end"/>
            </w:r>
          </w:hyperlink>
        </w:p>
        <w:p w14:paraId="16BF4827" w14:textId="1B74DCA3" w:rsidR="00880372" w:rsidRDefault="00880372">
          <w:pPr>
            <w:pStyle w:val="TOC2"/>
            <w:rPr>
              <w:rFonts w:asciiTheme="minorHAnsi" w:eastAsiaTheme="minorEastAsia" w:hAnsiTheme="minorHAnsi" w:cstheme="minorBidi"/>
              <w:kern w:val="2"/>
              <w:sz w:val="24"/>
              <w:szCs w:val="24"/>
              <w:lang w:val="en-IE" w:eastAsia="en-IE"/>
              <w14:ligatures w14:val="standardContextual"/>
            </w:rPr>
          </w:pPr>
          <w:hyperlink w:anchor="_Toc234447090" w:history="1">
            <w:r w:rsidRPr="006B566D">
              <w:rPr>
                <w:rStyle w:val="Hyperlink"/>
              </w:rPr>
              <w:t>4.4.</w:t>
            </w:r>
            <w:r>
              <w:rPr>
                <w:rFonts w:asciiTheme="minorHAnsi" w:eastAsiaTheme="minorEastAsia" w:hAnsiTheme="minorHAnsi" w:cstheme="minorBidi"/>
                <w:kern w:val="2"/>
                <w:sz w:val="24"/>
                <w:szCs w:val="24"/>
                <w:lang w:val="en-IE" w:eastAsia="en-IE"/>
                <w14:ligatures w14:val="standardContextual"/>
              </w:rPr>
              <w:tab/>
            </w:r>
            <w:r w:rsidRPr="006B566D">
              <w:rPr>
                <w:rStyle w:val="Hyperlink"/>
              </w:rPr>
              <w:t>Recovery and sanctioning</w:t>
            </w:r>
            <w:r>
              <w:rPr>
                <w:webHidden/>
              </w:rPr>
              <w:tab/>
            </w:r>
            <w:r>
              <w:rPr>
                <w:webHidden/>
              </w:rPr>
              <w:fldChar w:fldCharType="begin"/>
            </w:r>
            <w:r>
              <w:rPr>
                <w:webHidden/>
              </w:rPr>
              <w:instrText xml:space="preserve"> PAGEREF _Toc234447090 \h </w:instrText>
            </w:r>
            <w:r>
              <w:rPr>
                <w:webHidden/>
              </w:rPr>
            </w:r>
            <w:r>
              <w:rPr>
                <w:webHidden/>
              </w:rPr>
              <w:fldChar w:fldCharType="separate"/>
            </w:r>
            <w:r w:rsidR="00D26859">
              <w:rPr>
                <w:webHidden/>
              </w:rPr>
              <w:t>50</w:t>
            </w:r>
            <w:r>
              <w:rPr>
                <w:webHidden/>
              </w:rPr>
              <w:fldChar w:fldCharType="end"/>
            </w:r>
          </w:hyperlink>
        </w:p>
        <w:p w14:paraId="5E81DE1D" w14:textId="433FB0CC" w:rsidR="00190177" w:rsidRPr="00DE3A6F" w:rsidRDefault="004F6F3F">
          <w:pPr>
            <w:rPr>
              <w:noProof/>
            </w:rPr>
          </w:pPr>
          <w:r w:rsidRPr="00DE3A6F">
            <w:rPr>
              <w:noProof/>
            </w:rPr>
            <w:fldChar w:fldCharType="end"/>
          </w:r>
          <w:r w:rsidRPr="00DE3A6F">
            <w:rPr>
              <w:noProof/>
            </w:rPr>
            <w:br w:type="page"/>
          </w:r>
        </w:p>
      </w:sdtContent>
    </w:sdt>
    <w:p w14:paraId="3732D574" w14:textId="02E9EFD2" w:rsidR="001E21E5" w:rsidRPr="00DE3A6F" w:rsidRDefault="1E833616" w:rsidP="00DE241B">
      <w:pPr>
        <w:pStyle w:val="Heading1"/>
        <w:numPr>
          <w:ilvl w:val="0"/>
          <w:numId w:val="0"/>
        </w:numPr>
        <w:rPr>
          <w:noProof/>
        </w:rPr>
      </w:pPr>
      <w:bookmarkStart w:id="1" w:name="_Toc234447036"/>
      <w:r w:rsidRPr="00DE3A6F">
        <w:rPr>
          <w:noProof/>
        </w:rPr>
        <w:lastRenderedPageBreak/>
        <w:t>EXECUTIVE SUMMARY</w:t>
      </w:r>
      <w:bookmarkEnd w:id="1"/>
    </w:p>
    <w:p w14:paraId="61DD0E60" w14:textId="6BEB9722" w:rsidR="00AE308D" w:rsidRPr="00DE3A6F" w:rsidRDefault="68C14ACA" w:rsidP="00AE308D">
      <w:pPr>
        <w:rPr>
          <w:noProof/>
        </w:rPr>
      </w:pPr>
      <w:r w:rsidRPr="002F651F">
        <w:rPr>
          <w:noProof/>
        </w:rPr>
        <w:t xml:space="preserve">This year’s annual report on the protection of the EU’s financial interests (PIF </w:t>
      </w:r>
      <w:r w:rsidR="001B1B4C" w:rsidRPr="002F651F">
        <w:rPr>
          <w:noProof/>
        </w:rPr>
        <w:t>report</w:t>
      </w:r>
      <w:r w:rsidRPr="002F651F">
        <w:rPr>
          <w:noProof/>
        </w:rPr>
        <w:t>) presents the first comprehensive overview of efforts to combat fraud and financial irregularities affecting the U</w:t>
      </w:r>
      <w:r w:rsidR="16795033" w:rsidRPr="002F651F">
        <w:rPr>
          <w:noProof/>
        </w:rPr>
        <w:t>nion’s financial interests</w:t>
      </w:r>
      <w:r w:rsidRPr="002F651F">
        <w:rPr>
          <w:noProof/>
        </w:rPr>
        <w:t xml:space="preserve">, structured around the concept of the anti-fraud cycle. It marks the beginning of a refined EU reporting framework, consolidating data from all relevant </w:t>
      </w:r>
      <w:r w:rsidR="00BB79A0" w:rsidRPr="002F651F">
        <w:rPr>
          <w:noProof/>
        </w:rPr>
        <w:t xml:space="preserve">actors </w:t>
      </w:r>
      <w:r w:rsidRPr="002F651F">
        <w:rPr>
          <w:noProof/>
        </w:rPr>
        <w:t xml:space="preserve">into a single PIF </w:t>
      </w:r>
      <w:r w:rsidR="00A913BE" w:rsidRPr="002F651F">
        <w:rPr>
          <w:noProof/>
        </w:rPr>
        <w:t>report</w:t>
      </w:r>
      <w:r w:rsidRPr="002F651F">
        <w:rPr>
          <w:noProof/>
        </w:rPr>
        <w:t xml:space="preserve">. The aim is to </w:t>
      </w:r>
      <w:r w:rsidR="00A913BE" w:rsidRPr="002F651F">
        <w:rPr>
          <w:noProof/>
        </w:rPr>
        <w:t xml:space="preserve">increase </w:t>
      </w:r>
      <w:r w:rsidRPr="002F651F">
        <w:rPr>
          <w:noProof/>
        </w:rPr>
        <w:t xml:space="preserve">transparency and accountability, as proposed in the </w:t>
      </w:r>
      <w:r w:rsidR="6FD81CB7" w:rsidRPr="002F651F">
        <w:rPr>
          <w:noProof/>
        </w:rPr>
        <w:t xml:space="preserve">White Paper </w:t>
      </w:r>
      <w:r w:rsidR="002D3523" w:rsidRPr="002F651F">
        <w:rPr>
          <w:noProof/>
        </w:rPr>
        <w:t>on</w:t>
      </w:r>
      <w:r w:rsidR="6FD81CB7" w:rsidRPr="002F651F">
        <w:rPr>
          <w:noProof/>
        </w:rPr>
        <w:t xml:space="preserve"> the </w:t>
      </w:r>
      <w:r w:rsidR="002D3523" w:rsidRPr="002F651F">
        <w:rPr>
          <w:noProof/>
        </w:rPr>
        <w:t>anti</w:t>
      </w:r>
      <w:r w:rsidRPr="002F651F">
        <w:rPr>
          <w:noProof/>
        </w:rPr>
        <w:t>-</w:t>
      </w:r>
      <w:r w:rsidR="002D3523" w:rsidRPr="002F651F">
        <w:rPr>
          <w:noProof/>
        </w:rPr>
        <w:t xml:space="preserve">fraud architecture </w:t>
      </w:r>
      <w:r w:rsidRPr="002F651F">
        <w:rPr>
          <w:noProof/>
        </w:rPr>
        <w:t>(AFA) review .</w:t>
      </w:r>
    </w:p>
    <w:p w14:paraId="787D6A17" w14:textId="719738E7" w:rsidR="00AE308D" w:rsidRPr="00DE3A6F" w:rsidRDefault="68C14ACA" w:rsidP="00AE308D">
      <w:pPr>
        <w:rPr>
          <w:noProof/>
        </w:rPr>
      </w:pPr>
      <w:r w:rsidRPr="002F651F">
        <w:rPr>
          <w:noProof/>
        </w:rPr>
        <w:t xml:space="preserve">To this end, several new indicators have been identified to measure the activities </w:t>
      </w:r>
      <w:r w:rsidR="00FE5663" w:rsidRPr="002F651F">
        <w:rPr>
          <w:noProof/>
        </w:rPr>
        <w:t xml:space="preserve">of </w:t>
      </w:r>
      <w:r w:rsidRPr="002F651F">
        <w:rPr>
          <w:noProof/>
        </w:rPr>
        <w:t xml:space="preserve">and results </w:t>
      </w:r>
      <w:r w:rsidR="00FE5663" w:rsidRPr="002F651F">
        <w:rPr>
          <w:noProof/>
        </w:rPr>
        <w:t xml:space="preserve">achieved by </w:t>
      </w:r>
      <w:r w:rsidRPr="002F651F">
        <w:rPr>
          <w:noProof/>
        </w:rPr>
        <w:t>EU and national AFA actors in prevention, detection, investigation</w:t>
      </w:r>
      <w:r w:rsidR="00AE308D" w:rsidRPr="002F651F">
        <w:rPr>
          <w:noProof/>
        </w:rPr>
        <w:t xml:space="preserve"> and </w:t>
      </w:r>
      <w:r w:rsidRPr="002F651F">
        <w:rPr>
          <w:noProof/>
        </w:rPr>
        <w:t>prosecution, recovery and sanctioning.</w:t>
      </w:r>
    </w:p>
    <w:p w14:paraId="7E5BDFCD" w14:textId="267AD0BE" w:rsidR="00AE308D" w:rsidRPr="00DE3A6F" w:rsidRDefault="00AE308D" w:rsidP="00AE308D">
      <w:pPr>
        <w:rPr>
          <w:noProof/>
        </w:rPr>
      </w:pPr>
      <w:r w:rsidRPr="002F651F">
        <w:rPr>
          <w:noProof/>
        </w:rPr>
        <w:t xml:space="preserve">The report also provides an overview of the key measures adopted at both EU and national levels to strengthen the protection of the EU’s financial interests. At EU level, the Commission has proposed a legislative package for the next </w:t>
      </w:r>
      <w:r w:rsidR="00C021BF" w:rsidRPr="002F651F">
        <w:rPr>
          <w:noProof/>
        </w:rPr>
        <w:t xml:space="preserve">multiannual financial framework </w:t>
      </w:r>
      <w:r w:rsidRPr="002F651F">
        <w:rPr>
          <w:noProof/>
        </w:rPr>
        <w:t xml:space="preserve">(MFF), based on a performance-focused delivery model that incorporates lessons from the Recovery and Resilience Facility (RRF) into future spending programmes. The proposal includes mandatory requirements for Member States to report detected fraud and irregularities, </w:t>
      </w:r>
      <w:r w:rsidR="009237A7" w:rsidRPr="002F651F">
        <w:rPr>
          <w:noProof/>
        </w:rPr>
        <w:t>and</w:t>
      </w:r>
      <w:r w:rsidRPr="002F651F">
        <w:rPr>
          <w:noProof/>
        </w:rPr>
        <w:t xml:space="preserve"> to adopt comprehensive national anti-fraud strategies.</w:t>
      </w:r>
    </w:p>
    <w:p w14:paraId="25A5A799" w14:textId="4ABD3F8B" w:rsidR="00AE308D" w:rsidRPr="00DE3A6F" w:rsidRDefault="68C14ACA" w:rsidP="00AE308D">
      <w:pPr>
        <w:rPr>
          <w:noProof/>
        </w:rPr>
      </w:pPr>
      <w:r w:rsidRPr="00DE3A6F">
        <w:rPr>
          <w:noProof/>
        </w:rPr>
        <w:t xml:space="preserve">The legislative package was accompanied by the publication of </w:t>
      </w:r>
      <w:r w:rsidR="0001370E">
        <w:rPr>
          <w:noProof/>
        </w:rPr>
        <w:t xml:space="preserve">White Paper for </w:t>
      </w:r>
      <w:r w:rsidRPr="00DE3A6F">
        <w:rPr>
          <w:noProof/>
        </w:rPr>
        <w:t>the AFA review, which is expected to lead to a Commission communication</w:t>
      </w:r>
      <w:r w:rsidR="49D47E6C" w:rsidRPr="00DE3A6F">
        <w:rPr>
          <w:noProof/>
        </w:rPr>
        <w:t xml:space="preserve">, </w:t>
      </w:r>
      <w:r w:rsidRPr="00DE3A6F">
        <w:rPr>
          <w:noProof/>
        </w:rPr>
        <w:t>to be adopted by the end of 2026</w:t>
      </w:r>
      <w:r w:rsidR="009C0814" w:rsidRPr="00CA1602">
        <w:rPr>
          <w:noProof/>
        </w:rPr>
        <w:t xml:space="preserve">. This may result in </w:t>
      </w:r>
      <w:r w:rsidRPr="00DE3A6F">
        <w:rPr>
          <w:noProof/>
        </w:rPr>
        <w:t xml:space="preserve">legislative proposals amending the key legal acts governing EU AFA actors. Political agreement on the Directive on </w:t>
      </w:r>
      <w:r w:rsidR="00545AFF" w:rsidRPr="00DE3A6F">
        <w:rPr>
          <w:noProof/>
        </w:rPr>
        <w:t xml:space="preserve">combating corruption </w:t>
      </w:r>
      <w:r w:rsidRPr="00DE3A6F">
        <w:rPr>
          <w:noProof/>
        </w:rPr>
        <w:t xml:space="preserve">was reached </w:t>
      </w:r>
      <w:r w:rsidR="00545AFF" w:rsidRPr="00CA1602">
        <w:rPr>
          <w:noProof/>
        </w:rPr>
        <w:t xml:space="preserve">at </w:t>
      </w:r>
      <w:r w:rsidRPr="00DE3A6F">
        <w:rPr>
          <w:noProof/>
        </w:rPr>
        <w:t xml:space="preserve">the end of 2025, and the legal act entered into force on </w:t>
      </w:r>
      <w:r w:rsidR="00545AFF" w:rsidRPr="00CA1602">
        <w:rPr>
          <w:noProof/>
        </w:rPr>
        <w:t>31 </w:t>
      </w:r>
      <w:r w:rsidRPr="00DE3A6F">
        <w:rPr>
          <w:noProof/>
        </w:rPr>
        <w:t xml:space="preserve">May 2026. It will be </w:t>
      </w:r>
      <w:r w:rsidR="009C4B07" w:rsidRPr="00CA1602">
        <w:rPr>
          <w:noProof/>
        </w:rPr>
        <w:t xml:space="preserve">underpinned </w:t>
      </w:r>
      <w:r w:rsidRPr="00DE3A6F">
        <w:rPr>
          <w:noProof/>
        </w:rPr>
        <w:t>by the EU’s first anti-corruption strategy.</w:t>
      </w:r>
    </w:p>
    <w:p w14:paraId="35E2A5E1" w14:textId="5D73D904" w:rsidR="00AE308D" w:rsidRPr="00DE3A6F" w:rsidRDefault="68C14ACA" w:rsidP="00AE308D">
      <w:pPr>
        <w:rPr>
          <w:noProof/>
        </w:rPr>
      </w:pPr>
      <w:r w:rsidRPr="002F651F">
        <w:rPr>
          <w:noProof/>
        </w:rPr>
        <w:t xml:space="preserve">Prevention </w:t>
      </w:r>
      <w:r w:rsidR="291C6AA2" w:rsidRPr="002F651F">
        <w:rPr>
          <w:noProof/>
        </w:rPr>
        <w:t>is</w:t>
      </w:r>
      <w:r w:rsidRPr="002F651F">
        <w:rPr>
          <w:noProof/>
        </w:rPr>
        <w:t xml:space="preserve"> the stage of the anti-fraud cycle</w:t>
      </w:r>
      <w:r w:rsidR="3B90172D" w:rsidRPr="002F651F">
        <w:rPr>
          <w:noProof/>
        </w:rPr>
        <w:t xml:space="preserve"> </w:t>
      </w:r>
      <w:r w:rsidR="00F66074" w:rsidRPr="002F651F">
        <w:rPr>
          <w:noProof/>
        </w:rPr>
        <w:t>where there has been</w:t>
      </w:r>
      <w:r w:rsidR="3B90172D" w:rsidRPr="002F651F">
        <w:rPr>
          <w:noProof/>
        </w:rPr>
        <w:t xml:space="preserve"> most improvement</w:t>
      </w:r>
      <w:r w:rsidRPr="002F651F">
        <w:rPr>
          <w:noProof/>
        </w:rPr>
        <w:t>, thanks to a sustained focus on preventive measures</w:t>
      </w:r>
      <w:r w:rsidR="00824638">
        <w:rPr>
          <w:noProof/>
        </w:rPr>
        <w:t xml:space="preserve">, </w:t>
      </w:r>
      <w:r w:rsidR="00824638" w:rsidRPr="00824638">
        <w:rPr>
          <w:noProof/>
        </w:rPr>
        <w:t>such as early detection and exclusion mechanisms, capacity building and improved information-sharing among authorities</w:t>
      </w:r>
      <w:r w:rsidRPr="002F651F">
        <w:rPr>
          <w:noProof/>
        </w:rPr>
        <w:t xml:space="preserve">. Early detection of suspected fraud has increased, reducing the need for costly recovery proceedings and minimising </w:t>
      </w:r>
      <w:r w:rsidR="00F66074" w:rsidRPr="002F651F">
        <w:rPr>
          <w:noProof/>
        </w:rPr>
        <w:t xml:space="preserve">the </w:t>
      </w:r>
      <w:r w:rsidRPr="002F651F">
        <w:rPr>
          <w:noProof/>
        </w:rPr>
        <w:t xml:space="preserve">risks associated with failed fund retrieval. It is crucial that national authorities systematically </w:t>
      </w:r>
      <w:r w:rsidR="00AE308D" w:rsidRPr="002F651F">
        <w:rPr>
          <w:noProof/>
        </w:rPr>
        <w:t xml:space="preserve">refer </w:t>
      </w:r>
      <w:r w:rsidR="00084A57" w:rsidRPr="002F651F">
        <w:rPr>
          <w:noProof/>
        </w:rPr>
        <w:t xml:space="preserve">these </w:t>
      </w:r>
      <w:r w:rsidRPr="002F651F">
        <w:rPr>
          <w:noProof/>
        </w:rPr>
        <w:t>cases to prosecution services and report them to the Commission in a timely manner.</w:t>
      </w:r>
    </w:p>
    <w:p w14:paraId="53028187" w14:textId="3E2EBC47" w:rsidR="00AE308D" w:rsidRPr="00DE3A6F" w:rsidRDefault="00AE308D" w:rsidP="00AE308D">
      <w:pPr>
        <w:rPr>
          <w:noProof/>
        </w:rPr>
      </w:pPr>
      <w:r w:rsidRPr="002F651F">
        <w:rPr>
          <w:noProof/>
        </w:rPr>
        <w:t xml:space="preserve">Detection has remained relatively stable over the past five years, except for a </w:t>
      </w:r>
      <w:r w:rsidR="00E9222D" w:rsidRPr="002F651F">
        <w:rPr>
          <w:noProof/>
        </w:rPr>
        <w:t xml:space="preserve">sizeable </w:t>
      </w:r>
      <w:r w:rsidRPr="002F651F">
        <w:rPr>
          <w:noProof/>
        </w:rPr>
        <w:t>increase in fraud cases reported in 2024 and fluctuations in specific budgetary areas. The financial amounts at stake have risen since 2023, which may reflect a greater focus on high-value cases. An analysis of detection methods reveals untapped potential in risk-based approaches, IT tools, and whistleblowing</w:t>
      </w:r>
      <w:r w:rsidR="008E5DAA" w:rsidRPr="002F651F">
        <w:rPr>
          <w:noProof/>
        </w:rPr>
        <w:t xml:space="preserve">, </w:t>
      </w:r>
      <w:r w:rsidRPr="002F651F">
        <w:rPr>
          <w:noProof/>
        </w:rPr>
        <w:t>particularly for fraud identification.</w:t>
      </w:r>
      <w:r w:rsidR="007431EB">
        <w:rPr>
          <w:noProof/>
        </w:rPr>
        <w:t xml:space="preserve"> In 2025, </w:t>
      </w:r>
      <w:r w:rsidR="00B53228" w:rsidRPr="00B53228">
        <w:rPr>
          <w:noProof/>
        </w:rPr>
        <w:t>a total of 13</w:t>
      </w:r>
      <w:r w:rsidR="00B53228">
        <w:rPr>
          <w:noProof/>
        </w:rPr>
        <w:t> </w:t>
      </w:r>
      <w:r w:rsidR="00B53228" w:rsidRPr="00B53228">
        <w:rPr>
          <w:noProof/>
        </w:rPr>
        <w:t xml:space="preserve">010 irregularities </w:t>
      </w:r>
      <w:r w:rsidR="00FC0513">
        <w:rPr>
          <w:noProof/>
        </w:rPr>
        <w:t xml:space="preserve">(-7.6% </w:t>
      </w:r>
      <w:r w:rsidR="001A6834">
        <w:rPr>
          <w:noProof/>
        </w:rPr>
        <w:t>on 2024)</w:t>
      </w:r>
      <w:r w:rsidR="00B53228" w:rsidRPr="00B53228">
        <w:rPr>
          <w:noProof/>
        </w:rPr>
        <w:t>, amounting to EUR</w:t>
      </w:r>
      <w:r w:rsidR="00B53228">
        <w:rPr>
          <w:noProof/>
        </w:rPr>
        <w:t> </w:t>
      </w:r>
      <w:r w:rsidR="00B53228" w:rsidRPr="00B53228">
        <w:rPr>
          <w:noProof/>
        </w:rPr>
        <w:t xml:space="preserve">2.1 billion </w:t>
      </w:r>
      <w:r w:rsidR="001A6834">
        <w:rPr>
          <w:noProof/>
        </w:rPr>
        <w:t xml:space="preserve">(+12.8% on 2024) </w:t>
      </w:r>
      <w:r w:rsidR="00B53228" w:rsidRPr="00B53228">
        <w:rPr>
          <w:noProof/>
        </w:rPr>
        <w:t>were recorded</w:t>
      </w:r>
      <w:r w:rsidR="001A6834">
        <w:rPr>
          <w:noProof/>
        </w:rPr>
        <w:t xml:space="preserve">. Of these, 986 were </w:t>
      </w:r>
      <w:r w:rsidR="00FC5D6E">
        <w:rPr>
          <w:noProof/>
        </w:rPr>
        <w:t>classified as fraudulent cases (</w:t>
      </w:r>
      <w:r w:rsidR="00241C32">
        <w:rPr>
          <w:noProof/>
        </w:rPr>
        <w:t>-32</w:t>
      </w:r>
      <w:r w:rsidR="00696F12">
        <w:rPr>
          <w:noProof/>
        </w:rPr>
        <w:t>% on 2024)</w:t>
      </w:r>
      <w:r w:rsidR="00A77F12">
        <w:rPr>
          <w:noProof/>
        </w:rPr>
        <w:t xml:space="preserve"> amounting to </w:t>
      </w:r>
      <w:r w:rsidR="00A77F12" w:rsidRPr="001D7BC2">
        <w:rPr>
          <w:noProof/>
        </w:rPr>
        <w:t>EUR 274.3 million in 2025 (-49.2% on 2024)</w:t>
      </w:r>
      <w:r w:rsidR="0039286E">
        <w:rPr>
          <w:noProof/>
        </w:rPr>
        <w:t>.</w:t>
      </w:r>
    </w:p>
    <w:p w14:paraId="222FFB40" w14:textId="054831C7" w:rsidR="00AE308D" w:rsidRPr="00DE3A6F" w:rsidRDefault="68C14ACA" w:rsidP="00AE308D">
      <w:pPr>
        <w:rPr>
          <w:noProof/>
        </w:rPr>
      </w:pPr>
      <w:r w:rsidRPr="002F651F">
        <w:rPr>
          <w:noProof/>
        </w:rPr>
        <w:t xml:space="preserve">Investigation and prosecution are often lengthy and complex, with many cases taking years to </w:t>
      </w:r>
      <w:r w:rsidR="20127B2A" w:rsidRPr="002F651F">
        <w:rPr>
          <w:noProof/>
        </w:rPr>
        <w:t>lead to a final judgment</w:t>
      </w:r>
      <w:r w:rsidRPr="002F651F">
        <w:rPr>
          <w:noProof/>
        </w:rPr>
        <w:t>. The AFA review will examine ways to improve coordination and cooperation between key EU actors</w:t>
      </w:r>
      <w:r w:rsidR="291C6AA2" w:rsidRPr="002F651F">
        <w:rPr>
          <w:noProof/>
        </w:rPr>
        <w:t xml:space="preserve">, </w:t>
      </w:r>
      <w:r w:rsidR="003C62F8" w:rsidRPr="002F651F">
        <w:rPr>
          <w:noProof/>
        </w:rPr>
        <w:t xml:space="preserve">especially </w:t>
      </w:r>
      <w:r w:rsidRPr="002F651F">
        <w:rPr>
          <w:noProof/>
        </w:rPr>
        <w:t>OLAF and the European Public Prosecutor’s Office (EPPO)</w:t>
      </w:r>
      <w:r w:rsidR="291C6AA2" w:rsidRPr="002F651F">
        <w:rPr>
          <w:noProof/>
        </w:rPr>
        <w:t xml:space="preserve">, </w:t>
      </w:r>
      <w:r w:rsidRPr="002F651F">
        <w:rPr>
          <w:noProof/>
        </w:rPr>
        <w:t>to streamline these processes. Ongoing cooperation and support from national services remain essential.</w:t>
      </w:r>
    </w:p>
    <w:p w14:paraId="25C68C9C" w14:textId="791CAAF6" w:rsidR="00AE308D" w:rsidRPr="00DE3A6F" w:rsidRDefault="00AE308D" w:rsidP="00AE308D">
      <w:pPr>
        <w:rPr>
          <w:noProof/>
        </w:rPr>
      </w:pPr>
      <w:r w:rsidRPr="00DE3A6F">
        <w:rPr>
          <w:noProof/>
        </w:rPr>
        <w:t xml:space="preserve">Recovery and sanctioning continue to be areas requiring further improvement. </w:t>
      </w:r>
      <w:r w:rsidR="005B01A2" w:rsidRPr="00CA1602">
        <w:rPr>
          <w:noProof/>
        </w:rPr>
        <w:t xml:space="preserve">Closer </w:t>
      </w:r>
      <w:r w:rsidRPr="00DE3A6F">
        <w:rPr>
          <w:noProof/>
        </w:rPr>
        <w:t>cooperation and coordination between investigative, prosecutorial, judicial, and administrative bodies would boost recovery rates and provide better data on the outcomes of judicial actions</w:t>
      </w:r>
      <w:r w:rsidR="0099259F" w:rsidRPr="00DE3A6F">
        <w:rPr>
          <w:noProof/>
        </w:rPr>
        <w:t xml:space="preserve">, </w:t>
      </w:r>
      <w:r w:rsidRPr="00DE3A6F">
        <w:rPr>
          <w:noProof/>
        </w:rPr>
        <w:t>including sanctions and penalties imposed.</w:t>
      </w:r>
    </w:p>
    <w:p w14:paraId="34339197" w14:textId="558C43B5" w:rsidR="00440F24" w:rsidRPr="00DE3A6F" w:rsidRDefault="00455988" w:rsidP="044E42F4">
      <w:pPr>
        <w:rPr>
          <w:noProof/>
        </w:rPr>
      </w:pPr>
      <w:r w:rsidRPr="00DE3A6F">
        <w:rPr>
          <w:noProof/>
        </w:rPr>
        <w:br w:type="page"/>
      </w:r>
    </w:p>
    <w:p w14:paraId="39652E84" w14:textId="77777777" w:rsidR="00190177" w:rsidRPr="00DE3A6F" w:rsidRDefault="00440F24">
      <w:pPr>
        <w:rPr>
          <w:b/>
          <w:noProof/>
        </w:rPr>
      </w:pPr>
      <w:bookmarkStart w:id="2" w:name="_Toc76127613"/>
      <w:r w:rsidRPr="00DE3A6F">
        <w:rPr>
          <w:b/>
          <w:noProof/>
        </w:rPr>
        <w:lastRenderedPageBreak/>
        <w:t>LIST OF ABBREVIATIONS</w:t>
      </w:r>
      <w:bookmarkEnd w:id="2"/>
    </w:p>
    <w:tbl>
      <w:tblPr>
        <w:tblW w:w="8364" w:type="dxa"/>
        <w:tblInd w:w="108" w:type="dxa"/>
        <w:tblLook w:val="04A0" w:firstRow="1" w:lastRow="0" w:firstColumn="1" w:lastColumn="0" w:noHBand="0" w:noVBand="1"/>
      </w:tblPr>
      <w:tblGrid>
        <w:gridCol w:w="1400"/>
        <w:gridCol w:w="6964"/>
      </w:tblGrid>
      <w:tr w:rsidR="00CF7811" w:rsidRPr="00CA1602" w14:paraId="38009487" w14:textId="77777777" w:rsidTr="28D37C99">
        <w:trPr>
          <w:trHeight w:val="315"/>
        </w:trPr>
        <w:tc>
          <w:tcPr>
            <w:tcW w:w="1400" w:type="dxa"/>
            <w:tcBorders>
              <w:top w:val="nil"/>
              <w:left w:val="nil"/>
              <w:bottom w:val="nil"/>
              <w:right w:val="nil"/>
            </w:tcBorders>
            <w:noWrap/>
            <w:vAlign w:val="bottom"/>
          </w:tcPr>
          <w:p w14:paraId="79B63D90" w14:textId="792BD08F" w:rsidR="00CF7811" w:rsidRPr="00DE3A6F" w:rsidRDefault="00CF7811" w:rsidP="00A27EF6">
            <w:pPr>
              <w:spacing w:after="0"/>
              <w:jc w:val="left"/>
              <w:rPr>
                <w:noProof/>
                <w:color w:val="000000"/>
                <w:szCs w:val="24"/>
              </w:rPr>
            </w:pPr>
            <w:r w:rsidRPr="00DE3A6F">
              <w:rPr>
                <w:noProof/>
                <w:color w:val="000000"/>
                <w:szCs w:val="24"/>
              </w:rPr>
              <w:t>AF</w:t>
            </w:r>
            <w:r w:rsidR="00273DEC" w:rsidRPr="00DE3A6F">
              <w:rPr>
                <w:noProof/>
                <w:color w:val="000000"/>
                <w:szCs w:val="24"/>
              </w:rPr>
              <w:t>A</w:t>
            </w:r>
          </w:p>
        </w:tc>
        <w:tc>
          <w:tcPr>
            <w:tcW w:w="6964" w:type="dxa"/>
            <w:tcBorders>
              <w:top w:val="nil"/>
              <w:left w:val="nil"/>
              <w:bottom w:val="nil"/>
              <w:right w:val="nil"/>
            </w:tcBorders>
            <w:noWrap/>
            <w:vAlign w:val="bottom"/>
          </w:tcPr>
          <w:p w14:paraId="5F64C5AE" w14:textId="46B1AAA3" w:rsidR="00CF7811" w:rsidRPr="00DE3A6F" w:rsidRDefault="00CF7811" w:rsidP="00A27EF6">
            <w:pPr>
              <w:spacing w:after="0"/>
              <w:jc w:val="left"/>
              <w:rPr>
                <w:noProof/>
                <w:color w:val="000000"/>
                <w:szCs w:val="24"/>
              </w:rPr>
            </w:pPr>
            <w:r w:rsidRPr="00DE3A6F">
              <w:rPr>
                <w:noProof/>
                <w:color w:val="000000"/>
                <w:szCs w:val="24"/>
              </w:rPr>
              <w:t>Anti-</w:t>
            </w:r>
            <w:r w:rsidR="00B24531" w:rsidRPr="00CA1602">
              <w:rPr>
                <w:noProof/>
                <w:color w:val="000000"/>
                <w:szCs w:val="24"/>
              </w:rPr>
              <w:t>fraud architecture</w:t>
            </w:r>
          </w:p>
        </w:tc>
      </w:tr>
      <w:tr w:rsidR="00EA292B" w:rsidRPr="00CA1602" w14:paraId="490A5F4E" w14:textId="77777777" w:rsidTr="28D37C99">
        <w:trPr>
          <w:trHeight w:val="315"/>
        </w:trPr>
        <w:tc>
          <w:tcPr>
            <w:tcW w:w="1400" w:type="dxa"/>
            <w:tcBorders>
              <w:top w:val="nil"/>
              <w:left w:val="nil"/>
              <w:bottom w:val="nil"/>
              <w:right w:val="nil"/>
            </w:tcBorders>
            <w:noWrap/>
            <w:vAlign w:val="bottom"/>
          </w:tcPr>
          <w:p w14:paraId="63990301" w14:textId="5317988C" w:rsidR="00EA292B" w:rsidRPr="00DE3A6F" w:rsidRDefault="00EA292B" w:rsidP="00A27EF6">
            <w:pPr>
              <w:spacing w:after="0"/>
              <w:jc w:val="left"/>
              <w:rPr>
                <w:noProof/>
                <w:color w:val="000000"/>
                <w:szCs w:val="24"/>
              </w:rPr>
            </w:pPr>
            <w:r w:rsidRPr="00DE3A6F">
              <w:rPr>
                <w:noProof/>
                <w:color w:val="000000"/>
                <w:szCs w:val="24"/>
              </w:rPr>
              <w:t>AFIS</w:t>
            </w:r>
          </w:p>
        </w:tc>
        <w:tc>
          <w:tcPr>
            <w:tcW w:w="6964" w:type="dxa"/>
            <w:tcBorders>
              <w:top w:val="nil"/>
              <w:left w:val="nil"/>
              <w:bottom w:val="nil"/>
              <w:right w:val="nil"/>
            </w:tcBorders>
            <w:noWrap/>
            <w:vAlign w:val="bottom"/>
          </w:tcPr>
          <w:p w14:paraId="001537CD" w14:textId="0F4FF08E" w:rsidR="00EA292B" w:rsidRPr="00DE3A6F" w:rsidRDefault="00EA292B" w:rsidP="00A27EF6">
            <w:pPr>
              <w:spacing w:after="0"/>
              <w:jc w:val="left"/>
              <w:rPr>
                <w:noProof/>
                <w:color w:val="000000"/>
                <w:szCs w:val="24"/>
              </w:rPr>
            </w:pPr>
            <w:r w:rsidRPr="00DE3A6F">
              <w:rPr>
                <w:noProof/>
                <w:color w:val="000000"/>
                <w:szCs w:val="24"/>
              </w:rPr>
              <w:t>Anti-Fraud Information System</w:t>
            </w:r>
          </w:p>
        </w:tc>
      </w:tr>
      <w:tr w:rsidR="00F92CBE" w:rsidRPr="00CA1602" w:rsidDel="00F45C87" w14:paraId="2ECED6AF" w14:textId="77777777" w:rsidTr="28D37C99">
        <w:trPr>
          <w:trHeight w:val="315"/>
        </w:trPr>
        <w:tc>
          <w:tcPr>
            <w:tcW w:w="1400" w:type="dxa"/>
            <w:tcBorders>
              <w:top w:val="nil"/>
              <w:left w:val="nil"/>
              <w:bottom w:val="nil"/>
              <w:right w:val="nil"/>
            </w:tcBorders>
            <w:noWrap/>
            <w:vAlign w:val="bottom"/>
          </w:tcPr>
          <w:p w14:paraId="094EE39A" w14:textId="77777777" w:rsidR="00F92CBE" w:rsidRPr="00DE3A6F" w:rsidDel="00F45C87" w:rsidRDefault="00F92CBE" w:rsidP="00A27EF6">
            <w:pPr>
              <w:spacing w:after="0"/>
              <w:jc w:val="left"/>
              <w:rPr>
                <w:noProof/>
                <w:color w:val="000000"/>
                <w:szCs w:val="24"/>
              </w:rPr>
            </w:pPr>
            <w:r w:rsidRPr="00DE3A6F">
              <w:rPr>
                <w:noProof/>
                <w:color w:val="000000"/>
                <w:szCs w:val="24"/>
              </w:rPr>
              <w:t>AI</w:t>
            </w:r>
          </w:p>
        </w:tc>
        <w:tc>
          <w:tcPr>
            <w:tcW w:w="6964" w:type="dxa"/>
            <w:tcBorders>
              <w:top w:val="nil"/>
              <w:left w:val="nil"/>
              <w:bottom w:val="nil"/>
              <w:right w:val="nil"/>
            </w:tcBorders>
            <w:noWrap/>
            <w:vAlign w:val="bottom"/>
          </w:tcPr>
          <w:p w14:paraId="327E3548" w14:textId="024C6DF4" w:rsidR="00F92CBE" w:rsidRPr="00DE3A6F" w:rsidDel="00F45C87" w:rsidRDefault="00F92CBE" w:rsidP="002A0AAD">
            <w:pPr>
              <w:spacing w:after="0"/>
              <w:jc w:val="left"/>
              <w:rPr>
                <w:noProof/>
                <w:color w:val="000000"/>
                <w:szCs w:val="24"/>
              </w:rPr>
            </w:pPr>
            <w:r w:rsidRPr="00DE3A6F">
              <w:rPr>
                <w:noProof/>
                <w:color w:val="000000"/>
                <w:szCs w:val="24"/>
              </w:rPr>
              <w:t xml:space="preserve">Artificial </w:t>
            </w:r>
            <w:r w:rsidR="00B24531" w:rsidRPr="00CA1602">
              <w:rPr>
                <w:noProof/>
                <w:color w:val="000000"/>
                <w:szCs w:val="24"/>
              </w:rPr>
              <w:t>intelligence</w:t>
            </w:r>
          </w:p>
        </w:tc>
      </w:tr>
      <w:tr w:rsidR="00273DEC" w:rsidRPr="00CA1602" w14:paraId="2C33DAA6" w14:textId="77777777" w:rsidTr="28D37C99">
        <w:trPr>
          <w:trHeight w:val="315"/>
        </w:trPr>
        <w:tc>
          <w:tcPr>
            <w:tcW w:w="1400" w:type="dxa"/>
            <w:tcBorders>
              <w:top w:val="nil"/>
              <w:left w:val="nil"/>
              <w:bottom w:val="nil"/>
              <w:right w:val="nil"/>
            </w:tcBorders>
            <w:noWrap/>
            <w:vAlign w:val="bottom"/>
          </w:tcPr>
          <w:p w14:paraId="6676BD1F" w14:textId="305FE0B1" w:rsidR="00273DEC" w:rsidRPr="00DE3A6F" w:rsidRDefault="00273DEC" w:rsidP="00A27EF6">
            <w:pPr>
              <w:spacing w:after="0"/>
              <w:jc w:val="left"/>
              <w:rPr>
                <w:noProof/>
                <w:color w:val="000000"/>
                <w:szCs w:val="24"/>
              </w:rPr>
            </w:pPr>
            <w:r w:rsidRPr="00DE3A6F">
              <w:rPr>
                <w:noProof/>
                <w:color w:val="000000"/>
                <w:szCs w:val="24"/>
              </w:rPr>
              <w:t>AMLA</w:t>
            </w:r>
          </w:p>
        </w:tc>
        <w:tc>
          <w:tcPr>
            <w:tcW w:w="6964" w:type="dxa"/>
            <w:tcBorders>
              <w:top w:val="nil"/>
              <w:left w:val="nil"/>
              <w:bottom w:val="nil"/>
              <w:right w:val="nil"/>
            </w:tcBorders>
            <w:noWrap/>
            <w:vAlign w:val="bottom"/>
          </w:tcPr>
          <w:p w14:paraId="74423D3A" w14:textId="60279FF3" w:rsidR="00273DEC" w:rsidRPr="00DE3A6F" w:rsidRDefault="00273DEC" w:rsidP="00304DA3">
            <w:pPr>
              <w:spacing w:after="0"/>
              <w:jc w:val="left"/>
              <w:rPr>
                <w:noProof/>
                <w:color w:val="000000"/>
                <w:szCs w:val="24"/>
              </w:rPr>
            </w:pPr>
            <w:r w:rsidRPr="00DE3A6F">
              <w:rPr>
                <w:noProof/>
              </w:rPr>
              <w:t>Authority for Anti-Money Laundering and Countering the Financing of Terrorism</w:t>
            </w:r>
          </w:p>
        </w:tc>
      </w:tr>
      <w:tr w:rsidR="00273DEC" w:rsidRPr="00CA1602" w14:paraId="1AF37406" w14:textId="77777777" w:rsidTr="28D37C99">
        <w:trPr>
          <w:trHeight w:val="315"/>
        </w:trPr>
        <w:tc>
          <w:tcPr>
            <w:tcW w:w="1400" w:type="dxa"/>
            <w:tcBorders>
              <w:top w:val="nil"/>
              <w:left w:val="nil"/>
              <w:bottom w:val="nil"/>
              <w:right w:val="nil"/>
            </w:tcBorders>
            <w:noWrap/>
            <w:vAlign w:val="bottom"/>
          </w:tcPr>
          <w:p w14:paraId="7A48FE0F" w14:textId="43EA7BCC" w:rsidR="00273DEC" w:rsidRPr="00DE3A6F" w:rsidRDefault="00273DEC" w:rsidP="00A27EF6">
            <w:pPr>
              <w:spacing w:after="0"/>
              <w:jc w:val="left"/>
              <w:rPr>
                <w:noProof/>
                <w:color w:val="000000"/>
                <w:szCs w:val="24"/>
              </w:rPr>
            </w:pPr>
            <w:r w:rsidRPr="00DE3A6F">
              <w:rPr>
                <w:noProof/>
                <w:color w:val="000000"/>
                <w:szCs w:val="24"/>
              </w:rPr>
              <w:t>AFCOS</w:t>
            </w:r>
          </w:p>
        </w:tc>
        <w:tc>
          <w:tcPr>
            <w:tcW w:w="6964" w:type="dxa"/>
            <w:tcBorders>
              <w:top w:val="nil"/>
              <w:left w:val="nil"/>
              <w:bottom w:val="nil"/>
              <w:right w:val="nil"/>
            </w:tcBorders>
            <w:noWrap/>
            <w:vAlign w:val="bottom"/>
          </w:tcPr>
          <w:p w14:paraId="5D477F82" w14:textId="1FE6E7F6" w:rsidR="00273DEC" w:rsidRPr="00DE3A6F" w:rsidRDefault="00273DEC" w:rsidP="00304DA3">
            <w:pPr>
              <w:spacing w:after="0"/>
              <w:jc w:val="left"/>
              <w:rPr>
                <w:noProof/>
              </w:rPr>
            </w:pPr>
            <w:r w:rsidRPr="00DE3A6F">
              <w:rPr>
                <w:noProof/>
              </w:rPr>
              <w:t>Anti-Fraud Coordination Services</w:t>
            </w:r>
          </w:p>
        </w:tc>
      </w:tr>
      <w:tr w:rsidR="00440F24" w:rsidRPr="00CA1602" w14:paraId="1F5C15DB" w14:textId="77777777" w:rsidTr="28D37C99">
        <w:trPr>
          <w:trHeight w:val="315"/>
        </w:trPr>
        <w:tc>
          <w:tcPr>
            <w:tcW w:w="1400" w:type="dxa"/>
            <w:tcBorders>
              <w:top w:val="nil"/>
              <w:left w:val="nil"/>
              <w:bottom w:val="nil"/>
              <w:right w:val="nil"/>
            </w:tcBorders>
            <w:noWrap/>
            <w:vAlign w:val="bottom"/>
            <w:hideMark/>
          </w:tcPr>
          <w:p w14:paraId="500ED502" w14:textId="77777777" w:rsidR="00440F24" w:rsidRPr="00DE3A6F" w:rsidRDefault="00440F24" w:rsidP="00A27EF6">
            <w:pPr>
              <w:spacing w:after="0"/>
              <w:jc w:val="left"/>
              <w:rPr>
                <w:noProof/>
                <w:color w:val="000000"/>
                <w:szCs w:val="24"/>
              </w:rPr>
            </w:pPr>
            <w:r w:rsidRPr="00DE3A6F">
              <w:rPr>
                <w:noProof/>
                <w:color w:val="000000"/>
                <w:szCs w:val="24"/>
              </w:rPr>
              <w:t>CAFS</w:t>
            </w:r>
          </w:p>
        </w:tc>
        <w:tc>
          <w:tcPr>
            <w:tcW w:w="6964" w:type="dxa"/>
            <w:tcBorders>
              <w:top w:val="nil"/>
              <w:left w:val="nil"/>
              <w:bottom w:val="nil"/>
              <w:right w:val="nil"/>
            </w:tcBorders>
            <w:noWrap/>
            <w:vAlign w:val="bottom"/>
            <w:hideMark/>
          </w:tcPr>
          <w:p w14:paraId="640E9AF8" w14:textId="323BA178" w:rsidR="00440F24" w:rsidRPr="00DE3A6F" w:rsidRDefault="00440F24" w:rsidP="00304DA3">
            <w:pPr>
              <w:spacing w:after="0"/>
              <w:jc w:val="left"/>
              <w:rPr>
                <w:noProof/>
                <w:color w:val="000000"/>
                <w:szCs w:val="24"/>
              </w:rPr>
            </w:pPr>
            <w:r w:rsidRPr="00DE3A6F">
              <w:rPr>
                <w:noProof/>
                <w:color w:val="000000"/>
                <w:szCs w:val="24"/>
              </w:rPr>
              <w:t xml:space="preserve">Commission </w:t>
            </w:r>
            <w:r w:rsidR="00C5324A" w:rsidRPr="00DE3A6F">
              <w:rPr>
                <w:noProof/>
                <w:color w:val="000000"/>
                <w:szCs w:val="24"/>
              </w:rPr>
              <w:t>anti-fraud strategy</w:t>
            </w:r>
          </w:p>
        </w:tc>
      </w:tr>
      <w:tr w:rsidR="002174DB" w:rsidRPr="00CA1602" w14:paraId="301637A6" w14:textId="77777777" w:rsidTr="28D37C99">
        <w:trPr>
          <w:trHeight w:val="315"/>
        </w:trPr>
        <w:tc>
          <w:tcPr>
            <w:tcW w:w="1400" w:type="dxa"/>
            <w:tcBorders>
              <w:top w:val="nil"/>
              <w:left w:val="nil"/>
              <w:bottom w:val="nil"/>
              <w:right w:val="nil"/>
            </w:tcBorders>
            <w:noWrap/>
            <w:vAlign w:val="bottom"/>
          </w:tcPr>
          <w:p w14:paraId="2ABF2C68" w14:textId="77777777" w:rsidR="002174DB" w:rsidRPr="00DE3A6F" w:rsidRDefault="002174DB" w:rsidP="00A27EF6">
            <w:pPr>
              <w:spacing w:after="0"/>
              <w:jc w:val="left"/>
              <w:rPr>
                <w:noProof/>
                <w:color w:val="000000"/>
                <w:szCs w:val="24"/>
              </w:rPr>
            </w:pPr>
            <w:r w:rsidRPr="00DE3A6F">
              <w:rPr>
                <w:noProof/>
                <w:color w:val="000000"/>
                <w:szCs w:val="24"/>
              </w:rPr>
              <w:t>CAP</w:t>
            </w:r>
          </w:p>
        </w:tc>
        <w:tc>
          <w:tcPr>
            <w:tcW w:w="6964" w:type="dxa"/>
            <w:tcBorders>
              <w:top w:val="nil"/>
              <w:left w:val="nil"/>
              <w:bottom w:val="nil"/>
              <w:right w:val="nil"/>
            </w:tcBorders>
            <w:noWrap/>
            <w:vAlign w:val="bottom"/>
          </w:tcPr>
          <w:p w14:paraId="03174DF4" w14:textId="3BF95379" w:rsidR="002174DB" w:rsidRPr="00DE3A6F" w:rsidRDefault="002174DB" w:rsidP="00A27EF6">
            <w:pPr>
              <w:spacing w:after="0"/>
              <w:jc w:val="left"/>
              <w:rPr>
                <w:noProof/>
                <w:color w:val="000000"/>
                <w:szCs w:val="24"/>
              </w:rPr>
            </w:pPr>
            <w:r w:rsidRPr="00DE3A6F">
              <w:rPr>
                <w:noProof/>
                <w:color w:val="000000"/>
                <w:szCs w:val="24"/>
              </w:rPr>
              <w:t xml:space="preserve">Common </w:t>
            </w:r>
            <w:r w:rsidR="00C5324A" w:rsidRPr="00DE3A6F">
              <w:rPr>
                <w:noProof/>
                <w:color w:val="000000"/>
                <w:szCs w:val="24"/>
              </w:rPr>
              <w:t>agricultural policy</w:t>
            </w:r>
          </w:p>
        </w:tc>
      </w:tr>
      <w:tr w:rsidR="00273DEC" w:rsidRPr="00CA1602" w:rsidDel="00A60CB2" w14:paraId="5F045AA5" w14:textId="77777777" w:rsidTr="28D37C99">
        <w:trPr>
          <w:trHeight w:val="315"/>
        </w:trPr>
        <w:tc>
          <w:tcPr>
            <w:tcW w:w="1400" w:type="dxa"/>
            <w:tcBorders>
              <w:top w:val="nil"/>
              <w:left w:val="nil"/>
              <w:bottom w:val="nil"/>
              <w:right w:val="nil"/>
            </w:tcBorders>
            <w:noWrap/>
            <w:vAlign w:val="bottom"/>
          </w:tcPr>
          <w:p w14:paraId="3FCA3CAD" w14:textId="0D6C4866" w:rsidR="00273DEC" w:rsidRPr="00DE3A6F" w:rsidRDefault="00273DEC" w:rsidP="00A27EF6">
            <w:pPr>
              <w:spacing w:after="0"/>
              <w:jc w:val="left"/>
              <w:rPr>
                <w:noProof/>
                <w:color w:val="000000"/>
                <w:szCs w:val="24"/>
              </w:rPr>
            </w:pPr>
            <w:r w:rsidRPr="00DE3A6F">
              <w:rPr>
                <w:noProof/>
                <w:color w:val="000000"/>
                <w:szCs w:val="24"/>
              </w:rPr>
              <w:t>CONT</w:t>
            </w:r>
          </w:p>
        </w:tc>
        <w:tc>
          <w:tcPr>
            <w:tcW w:w="6964" w:type="dxa"/>
            <w:tcBorders>
              <w:top w:val="nil"/>
              <w:left w:val="nil"/>
              <w:bottom w:val="nil"/>
              <w:right w:val="nil"/>
            </w:tcBorders>
            <w:noWrap/>
            <w:vAlign w:val="bottom"/>
          </w:tcPr>
          <w:p w14:paraId="4C8680B4" w14:textId="234447FC" w:rsidR="00273DEC" w:rsidRPr="00DE3A6F" w:rsidRDefault="00273DEC" w:rsidP="00A27EF6">
            <w:pPr>
              <w:spacing w:after="0"/>
              <w:jc w:val="left"/>
              <w:rPr>
                <w:noProof/>
              </w:rPr>
            </w:pPr>
            <w:r w:rsidRPr="00DE3A6F">
              <w:rPr>
                <w:noProof/>
              </w:rPr>
              <w:t>Committee on Budgetary Control</w:t>
            </w:r>
          </w:p>
        </w:tc>
      </w:tr>
      <w:tr w:rsidR="00D4481B" w:rsidRPr="00CA1602" w:rsidDel="00A60CB2" w14:paraId="413973CC" w14:textId="77777777" w:rsidTr="28D37C99">
        <w:trPr>
          <w:trHeight w:val="315"/>
        </w:trPr>
        <w:tc>
          <w:tcPr>
            <w:tcW w:w="1400" w:type="dxa"/>
            <w:tcBorders>
              <w:top w:val="nil"/>
              <w:left w:val="nil"/>
              <w:bottom w:val="nil"/>
              <w:right w:val="nil"/>
            </w:tcBorders>
            <w:noWrap/>
            <w:vAlign w:val="bottom"/>
          </w:tcPr>
          <w:p w14:paraId="7098A5A4" w14:textId="3E750580" w:rsidR="00D4481B" w:rsidRPr="00DE3A6F" w:rsidRDefault="00D4481B" w:rsidP="00A27EF6">
            <w:pPr>
              <w:spacing w:after="0"/>
              <w:jc w:val="left"/>
              <w:rPr>
                <w:noProof/>
                <w:color w:val="000000"/>
                <w:szCs w:val="24"/>
              </w:rPr>
            </w:pPr>
            <w:r w:rsidRPr="00DE3A6F">
              <w:rPr>
                <w:noProof/>
                <w:color w:val="000000"/>
                <w:szCs w:val="24"/>
              </w:rPr>
              <w:t>CSP</w:t>
            </w:r>
          </w:p>
        </w:tc>
        <w:tc>
          <w:tcPr>
            <w:tcW w:w="6964" w:type="dxa"/>
            <w:tcBorders>
              <w:top w:val="nil"/>
              <w:left w:val="nil"/>
              <w:bottom w:val="nil"/>
              <w:right w:val="nil"/>
            </w:tcBorders>
            <w:noWrap/>
            <w:vAlign w:val="bottom"/>
          </w:tcPr>
          <w:p w14:paraId="2B178AED" w14:textId="284EF470" w:rsidR="00D4481B" w:rsidRPr="00DE3A6F" w:rsidRDefault="00D4481B" w:rsidP="00A27EF6">
            <w:pPr>
              <w:spacing w:after="0"/>
              <w:jc w:val="left"/>
              <w:rPr>
                <w:noProof/>
              </w:rPr>
            </w:pPr>
            <w:r w:rsidRPr="00DE3A6F">
              <w:rPr>
                <w:noProof/>
              </w:rPr>
              <w:t xml:space="preserve">CAP </w:t>
            </w:r>
            <w:r w:rsidR="00A7677B" w:rsidRPr="00DE3A6F">
              <w:rPr>
                <w:noProof/>
              </w:rPr>
              <w:t>strategic plan</w:t>
            </w:r>
          </w:p>
        </w:tc>
      </w:tr>
      <w:tr w:rsidR="004F4F39" w:rsidRPr="00CA1602" w:rsidDel="00A60CB2" w14:paraId="00C576AF" w14:textId="77777777" w:rsidTr="28D37C99">
        <w:trPr>
          <w:trHeight w:val="315"/>
        </w:trPr>
        <w:tc>
          <w:tcPr>
            <w:tcW w:w="1400" w:type="dxa"/>
            <w:tcBorders>
              <w:top w:val="nil"/>
              <w:left w:val="nil"/>
              <w:bottom w:val="nil"/>
              <w:right w:val="nil"/>
            </w:tcBorders>
            <w:noWrap/>
            <w:vAlign w:val="bottom"/>
          </w:tcPr>
          <w:p w14:paraId="5F61A303" w14:textId="4ADB0FC3" w:rsidR="004F4F39" w:rsidRPr="00DE3A6F" w:rsidDel="00A60CB2" w:rsidRDefault="00273DEC" w:rsidP="00A27EF6">
            <w:pPr>
              <w:spacing w:after="0"/>
              <w:jc w:val="left"/>
              <w:rPr>
                <w:noProof/>
                <w:color w:val="000000"/>
                <w:szCs w:val="24"/>
              </w:rPr>
            </w:pPr>
            <w:r w:rsidRPr="00DE3A6F">
              <w:rPr>
                <w:noProof/>
                <w:color w:val="000000"/>
                <w:szCs w:val="24"/>
              </w:rPr>
              <w:t>ECA</w:t>
            </w:r>
          </w:p>
        </w:tc>
        <w:tc>
          <w:tcPr>
            <w:tcW w:w="6964" w:type="dxa"/>
            <w:tcBorders>
              <w:top w:val="nil"/>
              <w:left w:val="nil"/>
              <w:bottom w:val="nil"/>
              <w:right w:val="nil"/>
            </w:tcBorders>
            <w:noWrap/>
            <w:vAlign w:val="bottom"/>
          </w:tcPr>
          <w:p w14:paraId="3FB7946A" w14:textId="4D00BA3A" w:rsidR="004F4F39" w:rsidRPr="00DE3A6F" w:rsidDel="00A60CB2" w:rsidRDefault="00273DEC" w:rsidP="00A27EF6">
            <w:pPr>
              <w:spacing w:after="0"/>
              <w:jc w:val="left"/>
              <w:rPr>
                <w:noProof/>
              </w:rPr>
            </w:pPr>
            <w:r w:rsidRPr="00DE3A6F">
              <w:rPr>
                <w:noProof/>
              </w:rPr>
              <w:t>European Court of Auditors</w:t>
            </w:r>
          </w:p>
        </w:tc>
      </w:tr>
      <w:tr w:rsidR="00440F24" w:rsidRPr="00CA1602" w14:paraId="7234E6AE" w14:textId="77777777" w:rsidTr="28D37C99">
        <w:trPr>
          <w:trHeight w:val="315"/>
        </w:trPr>
        <w:tc>
          <w:tcPr>
            <w:tcW w:w="1400" w:type="dxa"/>
            <w:tcBorders>
              <w:top w:val="nil"/>
              <w:left w:val="nil"/>
              <w:bottom w:val="nil"/>
              <w:right w:val="nil"/>
            </w:tcBorders>
            <w:noWrap/>
            <w:vAlign w:val="bottom"/>
            <w:hideMark/>
          </w:tcPr>
          <w:p w14:paraId="3266D8B0" w14:textId="77777777" w:rsidR="00440F24" w:rsidRPr="00DE3A6F" w:rsidRDefault="00440F24" w:rsidP="00A27EF6">
            <w:pPr>
              <w:spacing w:after="0"/>
              <w:jc w:val="left"/>
              <w:rPr>
                <w:noProof/>
                <w:color w:val="000000"/>
                <w:szCs w:val="24"/>
              </w:rPr>
            </w:pPr>
            <w:r w:rsidRPr="00DE3A6F">
              <w:rPr>
                <w:noProof/>
                <w:color w:val="000000"/>
                <w:szCs w:val="24"/>
              </w:rPr>
              <w:t>EDES</w:t>
            </w:r>
          </w:p>
        </w:tc>
        <w:tc>
          <w:tcPr>
            <w:tcW w:w="6964" w:type="dxa"/>
            <w:tcBorders>
              <w:top w:val="nil"/>
              <w:left w:val="nil"/>
              <w:bottom w:val="nil"/>
              <w:right w:val="nil"/>
            </w:tcBorders>
            <w:noWrap/>
            <w:vAlign w:val="bottom"/>
            <w:hideMark/>
          </w:tcPr>
          <w:p w14:paraId="2E93ABDC" w14:textId="77777777" w:rsidR="00440F24" w:rsidRPr="00DE3A6F" w:rsidRDefault="00440F24" w:rsidP="00A27EF6">
            <w:pPr>
              <w:spacing w:after="0"/>
              <w:jc w:val="left"/>
              <w:rPr>
                <w:noProof/>
                <w:color w:val="000000"/>
                <w:szCs w:val="24"/>
              </w:rPr>
            </w:pPr>
            <w:r w:rsidRPr="00DE3A6F">
              <w:rPr>
                <w:noProof/>
                <w:color w:val="000000"/>
                <w:szCs w:val="24"/>
              </w:rPr>
              <w:t>Early Detection and Exclusion System</w:t>
            </w:r>
          </w:p>
        </w:tc>
      </w:tr>
      <w:tr w:rsidR="00440F24" w:rsidRPr="00CA1602" w14:paraId="06709427" w14:textId="77777777" w:rsidTr="28D37C99">
        <w:trPr>
          <w:trHeight w:val="315"/>
        </w:trPr>
        <w:tc>
          <w:tcPr>
            <w:tcW w:w="1400" w:type="dxa"/>
            <w:tcBorders>
              <w:top w:val="nil"/>
              <w:left w:val="nil"/>
              <w:bottom w:val="nil"/>
              <w:right w:val="nil"/>
            </w:tcBorders>
            <w:noWrap/>
            <w:vAlign w:val="bottom"/>
            <w:hideMark/>
          </w:tcPr>
          <w:p w14:paraId="72829BE7" w14:textId="77777777" w:rsidR="00440F24" w:rsidRPr="00DE3A6F" w:rsidRDefault="00440F24" w:rsidP="00A27EF6">
            <w:pPr>
              <w:spacing w:after="0"/>
              <w:jc w:val="left"/>
              <w:rPr>
                <w:noProof/>
                <w:color w:val="000000"/>
                <w:szCs w:val="24"/>
              </w:rPr>
            </w:pPr>
            <w:r w:rsidRPr="00DE3A6F">
              <w:rPr>
                <w:noProof/>
                <w:color w:val="000000"/>
                <w:szCs w:val="24"/>
              </w:rPr>
              <w:t>EPPO</w:t>
            </w:r>
          </w:p>
        </w:tc>
        <w:tc>
          <w:tcPr>
            <w:tcW w:w="6964" w:type="dxa"/>
            <w:tcBorders>
              <w:top w:val="nil"/>
              <w:left w:val="nil"/>
              <w:bottom w:val="nil"/>
              <w:right w:val="nil"/>
            </w:tcBorders>
            <w:noWrap/>
            <w:vAlign w:val="bottom"/>
            <w:hideMark/>
          </w:tcPr>
          <w:p w14:paraId="17A3EABA" w14:textId="77777777" w:rsidR="00440F24" w:rsidRPr="00DE3A6F" w:rsidRDefault="00440F24" w:rsidP="00F37220">
            <w:pPr>
              <w:spacing w:after="0"/>
              <w:jc w:val="left"/>
              <w:rPr>
                <w:noProof/>
                <w:color w:val="000000"/>
                <w:szCs w:val="24"/>
              </w:rPr>
            </w:pPr>
            <w:r w:rsidRPr="00DE3A6F">
              <w:rPr>
                <w:noProof/>
                <w:color w:val="000000"/>
                <w:szCs w:val="24"/>
              </w:rPr>
              <w:t>European Public Prosecut</w:t>
            </w:r>
            <w:r w:rsidR="00F37220" w:rsidRPr="00DE3A6F">
              <w:rPr>
                <w:noProof/>
                <w:color w:val="000000"/>
                <w:szCs w:val="24"/>
              </w:rPr>
              <w:t>or</w:t>
            </w:r>
            <w:r w:rsidR="009D4863" w:rsidRPr="00DE3A6F">
              <w:rPr>
                <w:noProof/>
                <w:color w:val="000000"/>
                <w:szCs w:val="24"/>
              </w:rPr>
              <w:t>’</w:t>
            </w:r>
            <w:r w:rsidRPr="00DE3A6F">
              <w:rPr>
                <w:noProof/>
                <w:color w:val="000000"/>
                <w:szCs w:val="24"/>
              </w:rPr>
              <w:t>s Office</w:t>
            </w:r>
          </w:p>
        </w:tc>
      </w:tr>
      <w:tr w:rsidR="00304DA3" w:rsidRPr="00CA1602" w14:paraId="2C21C267" w14:textId="77777777" w:rsidTr="28D37C99">
        <w:trPr>
          <w:trHeight w:val="315"/>
        </w:trPr>
        <w:tc>
          <w:tcPr>
            <w:tcW w:w="1400" w:type="dxa"/>
            <w:tcBorders>
              <w:top w:val="nil"/>
              <w:left w:val="nil"/>
              <w:bottom w:val="nil"/>
              <w:right w:val="nil"/>
            </w:tcBorders>
            <w:noWrap/>
            <w:vAlign w:val="bottom"/>
          </w:tcPr>
          <w:p w14:paraId="27F04096" w14:textId="77777777" w:rsidR="00304DA3" w:rsidRPr="00DE3A6F" w:rsidRDefault="00304DA3" w:rsidP="00A27EF6">
            <w:pPr>
              <w:spacing w:after="0"/>
              <w:jc w:val="left"/>
              <w:rPr>
                <w:noProof/>
                <w:color w:val="000000"/>
                <w:szCs w:val="24"/>
              </w:rPr>
            </w:pPr>
            <w:r w:rsidRPr="00DE3A6F">
              <w:rPr>
                <w:noProof/>
                <w:color w:val="000000"/>
                <w:szCs w:val="24"/>
              </w:rPr>
              <w:t>ERDF</w:t>
            </w:r>
          </w:p>
        </w:tc>
        <w:tc>
          <w:tcPr>
            <w:tcW w:w="6964" w:type="dxa"/>
            <w:tcBorders>
              <w:top w:val="nil"/>
              <w:left w:val="nil"/>
              <w:bottom w:val="nil"/>
              <w:right w:val="nil"/>
            </w:tcBorders>
            <w:noWrap/>
            <w:vAlign w:val="bottom"/>
          </w:tcPr>
          <w:p w14:paraId="46EA789C" w14:textId="77777777" w:rsidR="00304DA3" w:rsidRPr="00DE3A6F" w:rsidRDefault="00304DA3" w:rsidP="004F4F39">
            <w:pPr>
              <w:spacing w:after="0"/>
              <w:jc w:val="left"/>
              <w:rPr>
                <w:noProof/>
                <w:color w:val="000000"/>
                <w:szCs w:val="24"/>
              </w:rPr>
            </w:pPr>
            <w:r w:rsidRPr="00DE3A6F">
              <w:rPr>
                <w:noProof/>
                <w:color w:val="000000"/>
                <w:szCs w:val="24"/>
              </w:rPr>
              <w:t xml:space="preserve">European </w:t>
            </w:r>
            <w:r w:rsidR="004F4F39" w:rsidRPr="00DE3A6F">
              <w:rPr>
                <w:noProof/>
                <w:color w:val="000000"/>
                <w:szCs w:val="24"/>
              </w:rPr>
              <w:t xml:space="preserve">Regional </w:t>
            </w:r>
            <w:r w:rsidRPr="00DE3A6F">
              <w:rPr>
                <w:noProof/>
                <w:color w:val="000000"/>
                <w:szCs w:val="24"/>
              </w:rPr>
              <w:t xml:space="preserve">and </w:t>
            </w:r>
            <w:r w:rsidR="004F4F39" w:rsidRPr="00DE3A6F">
              <w:rPr>
                <w:noProof/>
                <w:color w:val="000000"/>
                <w:szCs w:val="24"/>
              </w:rPr>
              <w:t>Development Fund</w:t>
            </w:r>
          </w:p>
        </w:tc>
      </w:tr>
      <w:tr w:rsidR="00304DA3" w:rsidRPr="00CA1602" w14:paraId="002E5491" w14:textId="77777777" w:rsidTr="28D37C99">
        <w:trPr>
          <w:trHeight w:val="315"/>
        </w:trPr>
        <w:tc>
          <w:tcPr>
            <w:tcW w:w="1400" w:type="dxa"/>
            <w:tcBorders>
              <w:top w:val="nil"/>
              <w:left w:val="nil"/>
              <w:bottom w:val="nil"/>
              <w:right w:val="nil"/>
            </w:tcBorders>
            <w:noWrap/>
            <w:vAlign w:val="bottom"/>
          </w:tcPr>
          <w:p w14:paraId="262BB912" w14:textId="77777777" w:rsidR="00304DA3" w:rsidRPr="00DE3A6F" w:rsidRDefault="00304DA3" w:rsidP="00A27EF6">
            <w:pPr>
              <w:spacing w:after="0"/>
              <w:jc w:val="left"/>
              <w:rPr>
                <w:noProof/>
                <w:color w:val="000000"/>
                <w:szCs w:val="24"/>
              </w:rPr>
            </w:pPr>
            <w:r w:rsidRPr="00DE3A6F">
              <w:rPr>
                <w:noProof/>
                <w:color w:val="000000"/>
                <w:szCs w:val="24"/>
              </w:rPr>
              <w:t>ESF</w:t>
            </w:r>
          </w:p>
        </w:tc>
        <w:tc>
          <w:tcPr>
            <w:tcW w:w="6964" w:type="dxa"/>
            <w:tcBorders>
              <w:top w:val="nil"/>
              <w:left w:val="nil"/>
              <w:bottom w:val="nil"/>
              <w:right w:val="nil"/>
            </w:tcBorders>
            <w:noWrap/>
            <w:vAlign w:val="bottom"/>
          </w:tcPr>
          <w:p w14:paraId="76679E3C" w14:textId="77777777" w:rsidR="00304DA3" w:rsidRPr="00DE3A6F" w:rsidRDefault="00304DA3" w:rsidP="004F4F39">
            <w:pPr>
              <w:spacing w:after="0"/>
              <w:jc w:val="left"/>
              <w:rPr>
                <w:noProof/>
                <w:color w:val="000000"/>
                <w:szCs w:val="24"/>
              </w:rPr>
            </w:pPr>
            <w:r w:rsidRPr="00DE3A6F">
              <w:rPr>
                <w:noProof/>
                <w:color w:val="000000"/>
                <w:szCs w:val="24"/>
              </w:rPr>
              <w:t xml:space="preserve">European </w:t>
            </w:r>
            <w:r w:rsidR="004F4F39" w:rsidRPr="00DE3A6F">
              <w:rPr>
                <w:noProof/>
                <w:color w:val="000000"/>
                <w:szCs w:val="24"/>
              </w:rPr>
              <w:t>S</w:t>
            </w:r>
            <w:r w:rsidRPr="00DE3A6F">
              <w:rPr>
                <w:noProof/>
                <w:color w:val="000000"/>
                <w:szCs w:val="24"/>
              </w:rPr>
              <w:t xml:space="preserve">ocial </w:t>
            </w:r>
            <w:r w:rsidR="004F4F39" w:rsidRPr="00DE3A6F">
              <w:rPr>
                <w:noProof/>
                <w:color w:val="000000"/>
                <w:szCs w:val="24"/>
              </w:rPr>
              <w:t>F</w:t>
            </w:r>
            <w:r w:rsidRPr="00DE3A6F">
              <w:rPr>
                <w:noProof/>
                <w:color w:val="000000"/>
                <w:szCs w:val="24"/>
              </w:rPr>
              <w:t>und</w:t>
            </w:r>
          </w:p>
        </w:tc>
      </w:tr>
      <w:tr w:rsidR="00440F24" w:rsidRPr="00CA1602" w14:paraId="48131E19" w14:textId="77777777" w:rsidTr="28D37C99">
        <w:trPr>
          <w:trHeight w:val="315"/>
        </w:trPr>
        <w:tc>
          <w:tcPr>
            <w:tcW w:w="1400" w:type="dxa"/>
            <w:tcBorders>
              <w:top w:val="nil"/>
              <w:left w:val="nil"/>
              <w:bottom w:val="nil"/>
              <w:right w:val="nil"/>
            </w:tcBorders>
            <w:noWrap/>
            <w:vAlign w:val="bottom"/>
            <w:hideMark/>
          </w:tcPr>
          <w:p w14:paraId="0C6F0064" w14:textId="77777777" w:rsidR="00440F24" w:rsidRPr="00DE3A6F" w:rsidRDefault="00440F24" w:rsidP="00A27EF6">
            <w:pPr>
              <w:spacing w:after="0"/>
              <w:jc w:val="left"/>
              <w:rPr>
                <w:noProof/>
                <w:color w:val="000000"/>
                <w:szCs w:val="24"/>
              </w:rPr>
            </w:pPr>
            <w:r w:rsidRPr="00DE3A6F">
              <w:rPr>
                <w:noProof/>
                <w:color w:val="000000"/>
                <w:szCs w:val="24"/>
              </w:rPr>
              <w:t>EU</w:t>
            </w:r>
          </w:p>
        </w:tc>
        <w:tc>
          <w:tcPr>
            <w:tcW w:w="6964" w:type="dxa"/>
            <w:tcBorders>
              <w:top w:val="nil"/>
              <w:left w:val="nil"/>
              <w:bottom w:val="nil"/>
              <w:right w:val="nil"/>
            </w:tcBorders>
            <w:noWrap/>
            <w:vAlign w:val="bottom"/>
            <w:hideMark/>
          </w:tcPr>
          <w:p w14:paraId="196EBB46" w14:textId="77777777" w:rsidR="00440F24" w:rsidRPr="00DE3A6F" w:rsidRDefault="00440F24" w:rsidP="00A27EF6">
            <w:pPr>
              <w:spacing w:after="0"/>
              <w:jc w:val="left"/>
              <w:rPr>
                <w:noProof/>
                <w:color w:val="000000"/>
                <w:szCs w:val="24"/>
              </w:rPr>
            </w:pPr>
            <w:r w:rsidRPr="00DE3A6F">
              <w:rPr>
                <w:noProof/>
                <w:color w:val="000000"/>
                <w:szCs w:val="24"/>
              </w:rPr>
              <w:t>European Union</w:t>
            </w:r>
          </w:p>
        </w:tc>
      </w:tr>
      <w:tr w:rsidR="009334E5" w:rsidRPr="00CA1602" w14:paraId="49EB4969" w14:textId="77777777" w:rsidTr="28D37C99">
        <w:trPr>
          <w:trHeight w:val="315"/>
        </w:trPr>
        <w:tc>
          <w:tcPr>
            <w:tcW w:w="1400" w:type="dxa"/>
            <w:tcBorders>
              <w:top w:val="nil"/>
              <w:left w:val="nil"/>
              <w:bottom w:val="nil"/>
              <w:right w:val="nil"/>
            </w:tcBorders>
            <w:noWrap/>
            <w:vAlign w:val="bottom"/>
          </w:tcPr>
          <w:p w14:paraId="20768016" w14:textId="77777777" w:rsidR="009334E5" w:rsidRPr="00DE3A6F" w:rsidRDefault="009334E5" w:rsidP="00A27EF6">
            <w:pPr>
              <w:spacing w:after="0"/>
              <w:jc w:val="left"/>
              <w:rPr>
                <w:noProof/>
                <w:color w:val="000000"/>
                <w:szCs w:val="24"/>
              </w:rPr>
            </w:pPr>
            <w:r w:rsidRPr="00DE3A6F">
              <w:rPr>
                <w:noProof/>
                <w:color w:val="000000"/>
                <w:szCs w:val="24"/>
              </w:rPr>
              <w:t>FEAD</w:t>
            </w:r>
          </w:p>
        </w:tc>
        <w:tc>
          <w:tcPr>
            <w:tcW w:w="6964" w:type="dxa"/>
            <w:tcBorders>
              <w:top w:val="nil"/>
              <w:left w:val="nil"/>
              <w:bottom w:val="nil"/>
              <w:right w:val="nil"/>
            </w:tcBorders>
            <w:noWrap/>
            <w:vAlign w:val="bottom"/>
          </w:tcPr>
          <w:p w14:paraId="7D1C8370" w14:textId="77777777" w:rsidR="009334E5" w:rsidRPr="00DE3A6F" w:rsidRDefault="002174DB" w:rsidP="00A27EF6">
            <w:pPr>
              <w:spacing w:after="0"/>
              <w:jc w:val="left"/>
              <w:rPr>
                <w:noProof/>
                <w:color w:val="000000"/>
                <w:szCs w:val="24"/>
              </w:rPr>
            </w:pPr>
            <w:r w:rsidRPr="00DE3A6F">
              <w:rPr>
                <w:noProof/>
                <w:color w:val="000000"/>
                <w:szCs w:val="24"/>
              </w:rPr>
              <w:t>Fund for European Aid to the Most Deprived</w:t>
            </w:r>
          </w:p>
        </w:tc>
      </w:tr>
      <w:tr w:rsidR="00273DEC" w:rsidRPr="00CA1602" w14:paraId="79444FD0" w14:textId="77777777" w:rsidTr="28D37C99">
        <w:trPr>
          <w:trHeight w:val="315"/>
        </w:trPr>
        <w:tc>
          <w:tcPr>
            <w:tcW w:w="1400" w:type="dxa"/>
            <w:tcBorders>
              <w:top w:val="nil"/>
              <w:left w:val="nil"/>
              <w:bottom w:val="nil"/>
              <w:right w:val="nil"/>
            </w:tcBorders>
            <w:noWrap/>
            <w:vAlign w:val="bottom"/>
          </w:tcPr>
          <w:p w14:paraId="1B20000A" w14:textId="620DDE5E" w:rsidR="00273DEC" w:rsidRPr="00A30293" w:rsidRDefault="00273DEC" w:rsidP="28D37C99">
            <w:pPr>
              <w:spacing w:after="0"/>
              <w:jc w:val="left"/>
              <w:rPr>
                <w:noProof/>
                <w:color w:val="000000"/>
              </w:rPr>
            </w:pPr>
            <w:r w:rsidRPr="00A30293">
              <w:rPr>
                <w:noProof/>
                <w:color w:val="000000" w:themeColor="text1"/>
              </w:rPr>
              <w:t>FPDNet</w:t>
            </w:r>
          </w:p>
        </w:tc>
        <w:tc>
          <w:tcPr>
            <w:tcW w:w="6964" w:type="dxa"/>
            <w:tcBorders>
              <w:top w:val="nil"/>
              <w:left w:val="nil"/>
              <w:bottom w:val="nil"/>
              <w:right w:val="nil"/>
            </w:tcBorders>
            <w:noWrap/>
            <w:vAlign w:val="bottom"/>
          </w:tcPr>
          <w:p w14:paraId="35AE42C5" w14:textId="3150A3D6" w:rsidR="00273DEC" w:rsidRPr="00DE3A6F" w:rsidRDefault="00273DEC" w:rsidP="00A27EF6">
            <w:pPr>
              <w:spacing w:after="0"/>
              <w:jc w:val="left"/>
              <w:rPr>
                <w:noProof/>
                <w:color w:val="000000"/>
                <w:szCs w:val="24"/>
              </w:rPr>
            </w:pPr>
            <w:r w:rsidRPr="00DE3A6F">
              <w:rPr>
                <w:noProof/>
                <w:color w:val="000000"/>
                <w:szCs w:val="24"/>
              </w:rPr>
              <w:t>Fraud Prevention and Detection Network</w:t>
            </w:r>
          </w:p>
        </w:tc>
      </w:tr>
      <w:tr w:rsidR="00A57A8E" w:rsidRPr="00CA1602" w14:paraId="51524A42" w14:textId="77777777" w:rsidTr="28D37C99">
        <w:trPr>
          <w:trHeight w:val="315"/>
        </w:trPr>
        <w:tc>
          <w:tcPr>
            <w:tcW w:w="1400" w:type="dxa"/>
            <w:tcBorders>
              <w:top w:val="nil"/>
              <w:left w:val="nil"/>
              <w:bottom w:val="nil"/>
              <w:right w:val="nil"/>
            </w:tcBorders>
            <w:noWrap/>
            <w:vAlign w:val="bottom"/>
          </w:tcPr>
          <w:p w14:paraId="1CBF28F3" w14:textId="7645EFA0" w:rsidR="00A57A8E" w:rsidRPr="00DE3A6F" w:rsidRDefault="00A57A8E" w:rsidP="00A27EF6">
            <w:pPr>
              <w:spacing w:after="0"/>
              <w:jc w:val="left"/>
              <w:rPr>
                <w:noProof/>
                <w:color w:val="000000"/>
                <w:szCs w:val="24"/>
              </w:rPr>
            </w:pPr>
            <w:r w:rsidRPr="00DE3A6F">
              <w:rPr>
                <w:noProof/>
                <w:color w:val="000000"/>
                <w:szCs w:val="24"/>
              </w:rPr>
              <w:t>IBOA</w:t>
            </w:r>
          </w:p>
        </w:tc>
        <w:tc>
          <w:tcPr>
            <w:tcW w:w="6964" w:type="dxa"/>
            <w:tcBorders>
              <w:top w:val="nil"/>
              <w:left w:val="nil"/>
              <w:bottom w:val="nil"/>
              <w:right w:val="nil"/>
            </w:tcBorders>
            <w:noWrap/>
            <w:vAlign w:val="bottom"/>
          </w:tcPr>
          <w:p w14:paraId="6C92A860" w14:textId="461D7198" w:rsidR="00A57A8E" w:rsidRPr="00DE3A6F" w:rsidRDefault="00A57A8E" w:rsidP="00A27EF6">
            <w:pPr>
              <w:spacing w:after="0"/>
              <w:jc w:val="left"/>
              <w:rPr>
                <w:noProof/>
                <w:color w:val="000000"/>
                <w:szCs w:val="24"/>
              </w:rPr>
            </w:pPr>
            <w:r w:rsidRPr="00DE3A6F">
              <w:rPr>
                <w:noProof/>
                <w:color w:val="000000"/>
                <w:szCs w:val="24"/>
              </w:rPr>
              <w:t xml:space="preserve">Institutions, </w:t>
            </w:r>
            <w:r w:rsidR="00A7677B" w:rsidRPr="00DE3A6F">
              <w:rPr>
                <w:noProof/>
                <w:color w:val="000000"/>
                <w:szCs w:val="24"/>
              </w:rPr>
              <w:t>bodies, offices and agencies</w:t>
            </w:r>
          </w:p>
        </w:tc>
      </w:tr>
      <w:tr w:rsidR="00440F24" w:rsidRPr="00CA1602" w14:paraId="7474A81C" w14:textId="77777777" w:rsidTr="28D37C99">
        <w:trPr>
          <w:trHeight w:val="315"/>
        </w:trPr>
        <w:tc>
          <w:tcPr>
            <w:tcW w:w="1400" w:type="dxa"/>
            <w:tcBorders>
              <w:top w:val="nil"/>
              <w:left w:val="nil"/>
              <w:bottom w:val="nil"/>
              <w:right w:val="nil"/>
            </w:tcBorders>
            <w:noWrap/>
            <w:vAlign w:val="bottom"/>
          </w:tcPr>
          <w:p w14:paraId="626C265F" w14:textId="77777777" w:rsidR="00440F24" w:rsidRPr="00DE3A6F" w:rsidRDefault="00440F24" w:rsidP="00A27EF6">
            <w:pPr>
              <w:spacing w:after="0"/>
              <w:jc w:val="left"/>
              <w:rPr>
                <w:noProof/>
                <w:color w:val="000000"/>
                <w:szCs w:val="24"/>
              </w:rPr>
            </w:pPr>
            <w:r w:rsidRPr="00DE3A6F">
              <w:rPr>
                <w:noProof/>
                <w:color w:val="000000"/>
                <w:szCs w:val="24"/>
              </w:rPr>
              <w:t>IMS</w:t>
            </w:r>
          </w:p>
        </w:tc>
        <w:tc>
          <w:tcPr>
            <w:tcW w:w="6964" w:type="dxa"/>
            <w:tcBorders>
              <w:top w:val="nil"/>
              <w:left w:val="nil"/>
              <w:bottom w:val="nil"/>
              <w:right w:val="nil"/>
            </w:tcBorders>
            <w:noWrap/>
            <w:vAlign w:val="bottom"/>
          </w:tcPr>
          <w:p w14:paraId="6A08F38F" w14:textId="77777777" w:rsidR="00440F24" w:rsidRPr="00DE3A6F" w:rsidRDefault="00440F24" w:rsidP="00A27EF6">
            <w:pPr>
              <w:spacing w:after="0"/>
              <w:jc w:val="left"/>
              <w:rPr>
                <w:noProof/>
                <w:color w:val="000000"/>
                <w:szCs w:val="24"/>
              </w:rPr>
            </w:pPr>
            <w:r w:rsidRPr="00DE3A6F">
              <w:rPr>
                <w:noProof/>
                <w:color w:val="000000"/>
                <w:szCs w:val="24"/>
              </w:rPr>
              <w:t>Irregularity Management System</w:t>
            </w:r>
          </w:p>
        </w:tc>
      </w:tr>
      <w:tr w:rsidR="0088404A" w:rsidRPr="00CA1602" w14:paraId="2F41BA15" w14:textId="77777777" w:rsidTr="28D37C99">
        <w:trPr>
          <w:trHeight w:val="315"/>
        </w:trPr>
        <w:tc>
          <w:tcPr>
            <w:tcW w:w="1400" w:type="dxa"/>
            <w:tcBorders>
              <w:top w:val="nil"/>
              <w:left w:val="nil"/>
              <w:bottom w:val="nil"/>
              <w:right w:val="nil"/>
            </w:tcBorders>
            <w:noWrap/>
            <w:vAlign w:val="bottom"/>
          </w:tcPr>
          <w:p w14:paraId="3A624158" w14:textId="77777777" w:rsidR="0088404A" w:rsidRPr="00DE3A6F" w:rsidRDefault="0088404A" w:rsidP="00A27EF6">
            <w:pPr>
              <w:spacing w:after="0"/>
              <w:jc w:val="left"/>
              <w:rPr>
                <w:noProof/>
                <w:color w:val="000000"/>
                <w:szCs w:val="24"/>
              </w:rPr>
            </w:pPr>
            <w:r w:rsidRPr="00DE3A6F">
              <w:rPr>
                <w:noProof/>
                <w:color w:val="000000"/>
                <w:szCs w:val="24"/>
              </w:rPr>
              <w:t>IPA</w:t>
            </w:r>
          </w:p>
        </w:tc>
        <w:tc>
          <w:tcPr>
            <w:tcW w:w="6964" w:type="dxa"/>
            <w:tcBorders>
              <w:top w:val="nil"/>
              <w:left w:val="nil"/>
              <w:bottom w:val="nil"/>
              <w:right w:val="nil"/>
            </w:tcBorders>
            <w:noWrap/>
            <w:vAlign w:val="bottom"/>
          </w:tcPr>
          <w:p w14:paraId="66719A84" w14:textId="77777777" w:rsidR="0088404A" w:rsidRPr="00A30293" w:rsidRDefault="0088404A" w:rsidP="28D37C99">
            <w:pPr>
              <w:spacing w:after="0"/>
              <w:jc w:val="left"/>
              <w:rPr>
                <w:noProof/>
                <w:color w:val="000000"/>
              </w:rPr>
            </w:pPr>
            <w:r w:rsidRPr="00A30293">
              <w:rPr>
                <w:noProof/>
                <w:color w:val="000000" w:themeColor="text1"/>
              </w:rPr>
              <w:t>Instrument for Pre-Accession</w:t>
            </w:r>
          </w:p>
        </w:tc>
      </w:tr>
      <w:tr w:rsidR="00EA292B" w:rsidRPr="00CA1602" w14:paraId="5663AD2F" w14:textId="77777777" w:rsidTr="28D37C99">
        <w:trPr>
          <w:trHeight w:val="315"/>
        </w:trPr>
        <w:tc>
          <w:tcPr>
            <w:tcW w:w="1400" w:type="dxa"/>
            <w:tcBorders>
              <w:top w:val="nil"/>
              <w:left w:val="nil"/>
              <w:bottom w:val="nil"/>
              <w:right w:val="nil"/>
            </w:tcBorders>
            <w:noWrap/>
            <w:vAlign w:val="bottom"/>
          </w:tcPr>
          <w:p w14:paraId="08BAC993" w14:textId="66E0ED3D" w:rsidR="00EA292B" w:rsidRPr="00DE3A6F" w:rsidRDefault="00EA292B" w:rsidP="00A27EF6">
            <w:pPr>
              <w:spacing w:after="0"/>
              <w:jc w:val="left"/>
              <w:rPr>
                <w:noProof/>
                <w:color w:val="000000"/>
                <w:szCs w:val="24"/>
              </w:rPr>
            </w:pPr>
            <w:r w:rsidRPr="00DE3A6F">
              <w:rPr>
                <w:noProof/>
                <w:color w:val="000000"/>
                <w:szCs w:val="24"/>
              </w:rPr>
              <w:t>IT</w:t>
            </w:r>
          </w:p>
        </w:tc>
        <w:tc>
          <w:tcPr>
            <w:tcW w:w="6964" w:type="dxa"/>
            <w:tcBorders>
              <w:top w:val="nil"/>
              <w:left w:val="nil"/>
              <w:bottom w:val="nil"/>
              <w:right w:val="nil"/>
            </w:tcBorders>
            <w:noWrap/>
            <w:vAlign w:val="bottom"/>
          </w:tcPr>
          <w:p w14:paraId="00D3BF6F" w14:textId="3F3473AC" w:rsidR="00EA292B" w:rsidRPr="00DE3A6F" w:rsidRDefault="00EA292B" w:rsidP="00CF7811">
            <w:pPr>
              <w:spacing w:after="0"/>
              <w:jc w:val="left"/>
              <w:rPr>
                <w:noProof/>
                <w:color w:val="000000"/>
                <w:szCs w:val="24"/>
              </w:rPr>
            </w:pPr>
            <w:r w:rsidRPr="00DE3A6F">
              <w:rPr>
                <w:noProof/>
                <w:color w:val="000000"/>
                <w:szCs w:val="24"/>
              </w:rPr>
              <w:t xml:space="preserve">Information </w:t>
            </w:r>
            <w:r w:rsidR="00807916" w:rsidRPr="00CA1602">
              <w:rPr>
                <w:noProof/>
                <w:color w:val="000000"/>
                <w:szCs w:val="24"/>
              </w:rPr>
              <w:t>technology</w:t>
            </w:r>
          </w:p>
        </w:tc>
      </w:tr>
      <w:tr w:rsidR="00866442" w:rsidRPr="00CA1602" w14:paraId="6790CE2D" w14:textId="77777777" w:rsidTr="28D37C99">
        <w:trPr>
          <w:trHeight w:val="315"/>
        </w:trPr>
        <w:tc>
          <w:tcPr>
            <w:tcW w:w="1400" w:type="dxa"/>
            <w:tcBorders>
              <w:top w:val="nil"/>
              <w:left w:val="nil"/>
              <w:bottom w:val="nil"/>
              <w:right w:val="nil"/>
            </w:tcBorders>
            <w:noWrap/>
            <w:vAlign w:val="bottom"/>
          </w:tcPr>
          <w:p w14:paraId="078C8256" w14:textId="77777777" w:rsidR="00866442" w:rsidRPr="00DE3A6F" w:rsidRDefault="00866442" w:rsidP="00A27EF6">
            <w:pPr>
              <w:spacing w:after="0"/>
              <w:jc w:val="left"/>
              <w:rPr>
                <w:noProof/>
                <w:color w:val="000000"/>
                <w:szCs w:val="24"/>
              </w:rPr>
            </w:pPr>
            <w:r w:rsidRPr="00DE3A6F">
              <w:rPr>
                <w:noProof/>
                <w:color w:val="000000"/>
                <w:szCs w:val="24"/>
              </w:rPr>
              <w:t>JCO</w:t>
            </w:r>
          </w:p>
        </w:tc>
        <w:tc>
          <w:tcPr>
            <w:tcW w:w="6964" w:type="dxa"/>
            <w:tcBorders>
              <w:top w:val="nil"/>
              <w:left w:val="nil"/>
              <w:bottom w:val="nil"/>
              <w:right w:val="nil"/>
            </w:tcBorders>
            <w:noWrap/>
            <w:vAlign w:val="bottom"/>
          </w:tcPr>
          <w:p w14:paraId="3470D464" w14:textId="5D0B6E54" w:rsidR="00866442" w:rsidRPr="00DE3A6F" w:rsidRDefault="00866442" w:rsidP="00A27EF6">
            <w:pPr>
              <w:spacing w:after="0"/>
              <w:jc w:val="left"/>
              <w:rPr>
                <w:noProof/>
                <w:color w:val="000000"/>
                <w:szCs w:val="24"/>
              </w:rPr>
            </w:pPr>
            <w:r w:rsidRPr="00DE3A6F">
              <w:rPr>
                <w:noProof/>
                <w:color w:val="000000"/>
                <w:szCs w:val="24"/>
              </w:rPr>
              <w:t xml:space="preserve">Joint </w:t>
            </w:r>
            <w:r w:rsidR="00807916" w:rsidRPr="00DE3A6F">
              <w:rPr>
                <w:noProof/>
                <w:color w:val="000000"/>
                <w:szCs w:val="24"/>
              </w:rPr>
              <w:t>customs operation</w:t>
            </w:r>
          </w:p>
        </w:tc>
      </w:tr>
      <w:tr w:rsidR="00C06C2A" w:rsidRPr="00CA1602" w14:paraId="7A4AD4A1" w14:textId="77777777" w:rsidTr="28D37C99">
        <w:trPr>
          <w:trHeight w:val="315"/>
        </w:trPr>
        <w:tc>
          <w:tcPr>
            <w:tcW w:w="1400" w:type="dxa"/>
            <w:tcBorders>
              <w:top w:val="nil"/>
              <w:left w:val="nil"/>
              <w:bottom w:val="nil"/>
              <w:right w:val="nil"/>
            </w:tcBorders>
            <w:noWrap/>
            <w:vAlign w:val="bottom"/>
          </w:tcPr>
          <w:p w14:paraId="2BD16CE1" w14:textId="68906B2E" w:rsidR="00C06C2A" w:rsidRPr="00DE3A6F" w:rsidRDefault="00C06C2A" w:rsidP="00A27EF6">
            <w:pPr>
              <w:spacing w:after="0"/>
              <w:jc w:val="left"/>
              <w:rPr>
                <w:noProof/>
                <w:color w:val="000000"/>
                <w:szCs w:val="24"/>
              </w:rPr>
            </w:pPr>
            <w:r w:rsidRPr="00DE3A6F">
              <w:rPr>
                <w:noProof/>
                <w:color w:val="000000"/>
                <w:szCs w:val="24"/>
              </w:rPr>
              <w:t>JTF</w:t>
            </w:r>
          </w:p>
        </w:tc>
        <w:tc>
          <w:tcPr>
            <w:tcW w:w="6964" w:type="dxa"/>
            <w:tcBorders>
              <w:top w:val="nil"/>
              <w:left w:val="nil"/>
              <w:bottom w:val="nil"/>
              <w:right w:val="nil"/>
            </w:tcBorders>
            <w:noWrap/>
            <w:vAlign w:val="bottom"/>
          </w:tcPr>
          <w:p w14:paraId="1C4ABD3F" w14:textId="02B5D33E" w:rsidR="00C06C2A" w:rsidRPr="00DE3A6F" w:rsidRDefault="00C06C2A" w:rsidP="00A27EF6">
            <w:pPr>
              <w:spacing w:after="0"/>
              <w:jc w:val="left"/>
              <w:rPr>
                <w:noProof/>
                <w:color w:val="000000"/>
                <w:szCs w:val="24"/>
              </w:rPr>
            </w:pPr>
            <w:r w:rsidRPr="00DE3A6F">
              <w:rPr>
                <w:noProof/>
                <w:color w:val="000000"/>
                <w:szCs w:val="24"/>
              </w:rPr>
              <w:t>Just Transition Fund</w:t>
            </w:r>
          </w:p>
        </w:tc>
      </w:tr>
      <w:tr w:rsidR="00A30293" w:rsidRPr="00CA1602" w14:paraId="6E75E52D" w14:textId="77777777" w:rsidTr="28D37C99">
        <w:trPr>
          <w:trHeight w:val="315"/>
        </w:trPr>
        <w:tc>
          <w:tcPr>
            <w:tcW w:w="1400" w:type="dxa"/>
            <w:tcBorders>
              <w:top w:val="nil"/>
              <w:left w:val="nil"/>
              <w:bottom w:val="nil"/>
              <w:right w:val="nil"/>
            </w:tcBorders>
            <w:noWrap/>
            <w:vAlign w:val="bottom"/>
          </w:tcPr>
          <w:p w14:paraId="367AF8C9" w14:textId="564612F4" w:rsidR="00A30293" w:rsidRPr="00DE3A6F" w:rsidRDefault="00A30293" w:rsidP="00A27EF6">
            <w:pPr>
              <w:spacing w:after="0"/>
              <w:jc w:val="left"/>
              <w:rPr>
                <w:noProof/>
                <w:color w:val="000000"/>
                <w:szCs w:val="24"/>
              </w:rPr>
            </w:pPr>
            <w:r>
              <w:rPr>
                <w:noProof/>
                <w:color w:val="000000"/>
                <w:szCs w:val="24"/>
              </w:rPr>
              <w:t>MFF</w:t>
            </w:r>
          </w:p>
        </w:tc>
        <w:tc>
          <w:tcPr>
            <w:tcW w:w="6964" w:type="dxa"/>
            <w:tcBorders>
              <w:top w:val="nil"/>
              <w:left w:val="nil"/>
              <w:bottom w:val="nil"/>
              <w:right w:val="nil"/>
            </w:tcBorders>
            <w:noWrap/>
            <w:vAlign w:val="bottom"/>
          </w:tcPr>
          <w:p w14:paraId="26A6F79C" w14:textId="2CCF1BD8" w:rsidR="00A30293" w:rsidRPr="00DE3A6F" w:rsidRDefault="00A30293" w:rsidP="00A27EF6">
            <w:pPr>
              <w:spacing w:after="0"/>
              <w:jc w:val="left"/>
              <w:rPr>
                <w:noProof/>
                <w:color w:val="000000"/>
                <w:szCs w:val="24"/>
              </w:rPr>
            </w:pPr>
            <w:r>
              <w:rPr>
                <w:noProof/>
                <w:color w:val="000000"/>
                <w:szCs w:val="24"/>
              </w:rPr>
              <w:t>Multiannual financial framework</w:t>
            </w:r>
          </w:p>
        </w:tc>
      </w:tr>
      <w:tr w:rsidR="009334E5" w:rsidRPr="00CA1602" w14:paraId="4C31F5FF" w14:textId="77777777" w:rsidTr="28D37C99">
        <w:trPr>
          <w:trHeight w:val="315"/>
        </w:trPr>
        <w:tc>
          <w:tcPr>
            <w:tcW w:w="1400" w:type="dxa"/>
            <w:tcBorders>
              <w:top w:val="nil"/>
              <w:left w:val="nil"/>
              <w:bottom w:val="nil"/>
              <w:right w:val="nil"/>
            </w:tcBorders>
            <w:noWrap/>
            <w:vAlign w:val="bottom"/>
          </w:tcPr>
          <w:p w14:paraId="394289FC" w14:textId="77777777" w:rsidR="009334E5" w:rsidRPr="00DE3A6F" w:rsidRDefault="009334E5" w:rsidP="00A27EF6">
            <w:pPr>
              <w:spacing w:after="0"/>
              <w:jc w:val="left"/>
              <w:rPr>
                <w:noProof/>
                <w:color w:val="000000"/>
                <w:szCs w:val="24"/>
              </w:rPr>
            </w:pPr>
            <w:r w:rsidRPr="00DE3A6F">
              <w:rPr>
                <w:noProof/>
                <w:color w:val="000000"/>
                <w:szCs w:val="24"/>
              </w:rPr>
              <w:t>NAFS</w:t>
            </w:r>
          </w:p>
        </w:tc>
        <w:tc>
          <w:tcPr>
            <w:tcW w:w="6964" w:type="dxa"/>
            <w:tcBorders>
              <w:top w:val="nil"/>
              <w:left w:val="nil"/>
              <w:bottom w:val="nil"/>
              <w:right w:val="nil"/>
            </w:tcBorders>
            <w:noWrap/>
            <w:vAlign w:val="bottom"/>
          </w:tcPr>
          <w:p w14:paraId="48B46921" w14:textId="3D5BFA15" w:rsidR="009334E5" w:rsidRPr="00DE3A6F" w:rsidRDefault="009334E5" w:rsidP="00A27EF6">
            <w:pPr>
              <w:spacing w:after="0"/>
              <w:jc w:val="left"/>
              <w:rPr>
                <w:noProof/>
                <w:color w:val="000000"/>
                <w:szCs w:val="24"/>
              </w:rPr>
            </w:pPr>
            <w:r w:rsidRPr="00DE3A6F">
              <w:rPr>
                <w:noProof/>
                <w:color w:val="000000"/>
                <w:szCs w:val="24"/>
              </w:rPr>
              <w:t xml:space="preserve">National </w:t>
            </w:r>
            <w:r w:rsidR="00807916" w:rsidRPr="00DE3A6F">
              <w:rPr>
                <w:noProof/>
                <w:color w:val="000000"/>
                <w:szCs w:val="24"/>
              </w:rPr>
              <w:t>anti-fraud strategies</w:t>
            </w:r>
          </w:p>
        </w:tc>
      </w:tr>
      <w:tr w:rsidR="00440F24" w:rsidRPr="00CA1602" w14:paraId="6B1B979B" w14:textId="77777777" w:rsidTr="28D37C99">
        <w:trPr>
          <w:trHeight w:val="315"/>
        </w:trPr>
        <w:tc>
          <w:tcPr>
            <w:tcW w:w="1400" w:type="dxa"/>
            <w:tcBorders>
              <w:top w:val="nil"/>
              <w:left w:val="nil"/>
              <w:bottom w:val="nil"/>
              <w:right w:val="nil"/>
            </w:tcBorders>
            <w:noWrap/>
            <w:vAlign w:val="bottom"/>
            <w:hideMark/>
          </w:tcPr>
          <w:p w14:paraId="1AD9443D" w14:textId="77777777" w:rsidR="00440F24" w:rsidRPr="00DE3A6F" w:rsidRDefault="00440F24" w:rsidP="00A27EF6">
            <w:pPr>
              <w:spacing w:after="0"/>
              <w:jc w:val="left"/>
              <w:rPr>
                <w:noProof/>
                <w:color w:val="000000"/>
                <w:szCs w:val="24"/>
              </w:rPr>
            </w:pPr>
            <w:r w:rsidRPr="00DE3A6F">
              <w:rPr>
                <w:noProof/>
                <w:color w:val="000000"/>
                <w:szCs w:val="24"/>
              </w:rPr>
              <w:t>OLAF</w:t>
            </w:r>
          </w:p>
        </w:tc>
        <w:tc>
          <w:tcPr>
            <w:tcW w:w="6964" w:type="dxa"/>
            <w:tcBorders>
              <w:top w:val="nil"/>
              <w:left w:val="nil"/>
              <w:bottom w:val="nil"/>
              <w:right w:val="nil"/>
            </w:tcBorders>
            <w:noWrap/>
            <w:vAlign w:val="bottom"/>
            <w:hideMark/>
          </w:tcPr>
          <w:p w14:paraId="1C1BA1D1" w14:textId="77777777" w:rsidR="00440F24" w:rsidRPr="00DE3A6F" w:rsidRDefault="00440F24" w:rsidP="00A27EF6">
            <w:pPr>
              <w:spacing w:after="0"/>
              <w:jc w:val="left"/>
              <w:rPr>
                <w:noProof/>
                <w:color w:val="000000"/>
                <w:szCs w:val="24"/>
              </w:rPr>
            </w:pPr>
            <w:r w:rsidRPr="00DE3A6F">
              <w:rPr>
                <w:noProof/>
                <w:color w:val="000000"/>
                <w:szCs w:val="24"/>
              </w:rPr>
              <w:t>European Anti-Fraud Office</w:t>
            </w:r>
          </w:p>
        </w:tc>
      </w:tr>
      <w:tr w:rsidR="00440F24" w:rsidRPr="00CA1602" w14:paraId="5FDBC8DD" w14:textId="77777777" w:rsidTr="28D37C99">
        <w:trPr>
          <w:trHeight w:val="315"/>
        </w:trPr>
        <w:tc>
          <w:tcPr>
            <w:tcW w:w="1400" w:type="dxa"/>
            <w:tcBorders>
              <w:top w:val="nil"/>
              <w:left w:val="nil"/>
              <w:bottom w:val="nil"/>
              <w:right w:val="nil"/>
            </w:tcBorders>
            <w:noWrap/>
            <w:vAlign w:val="bottom"/>
            <w:hideMark/>
          </w:tcPr>
          <w:p w14:paraId="1C93F67E" w14:textId="77777777" w:rsidR="00440F24" w:rsidRPr="00DE3A6F" w:rsidRDefault="00440F24" w:rsidP="00A27EF6">
            <w:pPr>
              <w:spacing w:after="0"/>
              <w:jc w:val="left"/>
              <w:rPr>
                <w:noProof/>
                <w:color w:val="000000"/>
                <w:szCs w:val="24"/>
              </w:rPr>
            </w:pPr>
            <w:r w:rsidRPr="00DE3A6F">
              <w:rPr>
                <w:noProof/>
                <w:color w:val="000000"/>
                <w:szCs w:val="24"/>
              </w:rPr>
              <w:t>PIF</w:t>
            </w:r>
          </w:p>
        </w:tc>
        <w:tc>
          <w:tcPr>
            <w:tcW w:w="6964" w:type="dxa"/>
            <w:tcBorders>
              <w:top w:val="nil"/>
              <w:left w:val="nil"/>
              <w:bottom w:val="nil"/>
              <w:right w:val="nil"/>
            </w:tcBorders>
            <w:noWrap/>
            <w:vAlign w:val="bottom"/>
            <w:hideMark/>
          </w:tcPr>
          <w:p w14:paraId="736409E0" w14:textId="77777777" w:rsidR="00440F24" w:rsidRPr="00A30293" w:rsidRDefault="00440F24" w:rsidP="28D37C99">
            <w:pPr>
              <w:spacing w:after="0"/>
              <w:jc w:val="left"/>
              <w:rPr>
                <w:noProof/>
                <w:color w:val="000000"/>
              </w:rPr>
            </w:pPr>
            <w:r w:rsidRPr="00A30293">
              <w:rPr>
                <w:noProof/>
                <w:color w:val="000000" w:themeColor="text1"/>
              </w:rPr>
              <w:t>Protection of financial interests</w:t>
            </w:r>
          </w:p>
        </w:tc>
      </w:tr>
      <w:tr w:rsidR="00182088" w:rsidRPr="00CA1602" w14:paraId="658AB762" w14:textId="77777777" w:rsidTr="28D37C99">
        <w:trPr>
          <w:trHeight w:val="315"/>
        </w:trPr>
        <w:tc>
          <w:tcPr>
            <w:tcW w:w="1400" w:type="dxa"/>
            <w:tcBorders>
              <w:top w:val="nil"/>
              <w:left w:val="nil"/>
              <w:bottom w:val="nil"/>
              <w:right w:val="nil"/>
            </w:tcBorders>
            <w:noWrap/>
            <w:vAlign w:val="bottom"/>
          </w:tcPr>
          <w:p w14:paraId="0DB5B51C" w14:textId="77777777" w:rsidR="00182088" w:rsidRPr="00DE3A6F" w:rsidRDefault="00182088" w:rsidP="00A27EF6">
            <w:pPr>
              <w:spacing w:after="0"/>
              <w:jc w:val="left"/>
              <w:rPr>
                <w:noProof/>
                <w:color w:val="000000"/>
                <w:szCs w:val="24"/>
              </w:rPr>
            </w:pPr>
            <w:r w:rsidRPr="00DE3A6F">
              <w:rPr>
                <w:noProof/>
                <w:color w:val="000000"/>
                <w:szCs w:val="24"/>
              </w:rPr>
              <w:t>PFIU audits</w:t>
            </w:r>
          </w:p>
        </w:tc>
        <w:tc>
          <w:tcPr>
            <w:tcW w:w="6964" w:type="dxa"/>
            <w:tcBorders>
              <w:top w:val="nil"/>
              <w:left w:val="nil"/>
              <w:bottom w:val="nil"/>
              <w:right w:val="nil"/>
            </w:tcBorders>
            <w:noWrap/>
            <w:vAlign w:val="bottom"/>
          </w:tcPr>
          <w:p w14:paraId="0EF19917" w14:textId="77777777" w:rsidR="00182088" w:rsidRPr="00A30293" w:rsidRDefault="00182088" w:rsidP="28D37C99">
            <w:pPr>
              <w:spacing w:after="0"/>
              <w:jc w:val="left"/>
              <w:rPr>
                <w:noProof/>
                <w:color w:val="000000"/>
              </w:rPr>
            </w:pPr>
            <w:r w:rsidRPr="00A30293">
              <w:rPr>
                <w:noProof/>
                <w:color w:val="000000" w:themeColor="text1"/>
              </w:rPr>
              <w:t>Audits on the protection of the financial interests of the Union</w:t>
            </w:r>
          </w:p>
        </w:tc>
      </w:tr>
      <w:tr w:rsidR="00440F24" w:rsidRPr="00CA1602" w14:paraId="15B1E070" w14:textId="77777777" w:rsidTr="28D37C99">
        <w:trPr>
          <w:trHeight w:val="315"/>
        </w:trPr>
        <w:tc>
          <w:tcPr>
            <w:tcW w:w="1400" w:type="dxa"/>
            <w:tcBorders>
              <w:top w:val="nil"/>
              <w:left w:val="nil"/>
              <w:bottom w:val="nil"/>
              <w:right w:val="nil"/>
            </w:tcBorders>
            <w:noWrap/>
            <w:vAlign w:val="bottom"/>
            <w:hideMark/>
          </w:tcPr>
          <w:p w14:paraId="15AA1501" w14:textId="77777777" w:rsidR="00440F24" w:rsidRPr="00DE3A6F" w:rsidRDefault="00440F24" w:rsidP="00A27EF6">
            <w:pPr>
              <w:spacing w:after="0"/>
              <w:jc w:val="left"/>
              <w:rPr>
                <w:noProof/>
                <w:color w:val="000000"/>
                <w:szCs w:val="24"/>
              </w:rPr>
            </w:pPr>
            <w:r w:rsidRPr="00DE3A6F">
              <w:rPr>
                <w:noProof/>
                <w:color w:val="000000"/>
                <w:szCs w:val="24"/>
              </w:rPr>
              <w:t>RRF</w:t>
            </w:r>
          </w:p>
        </w:tc>
        <w:tc>
          <w:tcPr>
            <w:tcW w:w="6964" w:type="dxa"/>
            <w:tcBorders>
              <w:top w:val="nil"/>
              <w:left w:val="nil"/>
              <w:bottom w:val="nil"/>
              <w:right w:val="nil"/>
            </w:tcBorders>
            <w:noWrap/>
            <w:vAlign w:val="bottom"/>
            <w:hideMark/>
          </w:tcPr>
          <w:p w14:paraId="38F47824" w14:textId="77777777" w:rsidR="00440F24" w:rsidRPr="00DE3A6F" w:rsidRDefault="00440F24" w:rsidP="00A27EF6">
            <w:pPr>
              <w:spacing w:after="0"/>
              <w:jc w:val="left"/>
              <w:rPr>
                <w:noProof/>
                <w:color w:val="000000"/>
                <w:szCs w:val="24"/>
              </w:rPr>
            </w:pPr>
            <w:r w:rsidRPr="00DE3A6F">
              <w:rPr>
                <w:noProof/>
                <w:color w:val="000000"/>
                <w:szCs w:val="24"/>
              </w:rPr>
              <w:t>Recovery and Resilience Facility</w:t>
            </w:r>
          </w:p>
        </w:tc>
      </w:tr>
      <w:tr w:rsidR="00972C40" w:rsidRPr="00CA1602" w14:paraId="7D1ACFF0" w14:textId="77777777" w:rsidTr="28D37C99">
        <w:trPr>
          <w:trHeight w:val="315"/>
        </w:trPr>
        <w:tc>
          <w:tcPr>
            <w:tcW w:w="1400" w:type="dxa"/>
            <w:tcBorders>
              <w:top w:val="nil"/>
              <w:left w:val="nil"/>
              <w:bottom w:val="nil"/>
              <w:right w:val="nil"/>
            </w:tcBorders>
            <w:noWrap/>
            <w:vAlign w:val="bottom"/>
          </w:tcPr>
          <w:p w14:paraId="63FBD69E" w14:textId="77777777" w:rsidR="00972C40" w:rsidRPr="00DE3A6F" w:rsidRDefault="00972C40" w:rsidP="00A27EF6">
            <w:pPr>
              <w:spacing w:after="0"/>
              <w:jc w:val="left"/>
              <w:rPr>
                <w:noProof/>
                <w:color w:val="000000"/>
                <w:szCs w:val="24"/>
              </w:rPr>
            </w:pPr>
            <w:r w:rsidRPr="00DE3A6F">
              <w:rPr>
                <w:noProof/>
                <w:color w:val="000000"/>
                <w:szCs w:val="24"/>
              </w:rPr>
              <w:t>RRP</w:t>
            </w:r>
          </w:p>
        </w:tc>
        <w:tc>
          <w:tcPr>
            <w:tcW w:w="6964" w:type="dxa"/>
            <w:tcBorders>
              <w:top w:val="nil"/>
              <w:left w:val="nil"/>
              <w:bottom w:val="nil"/>
              <w:right w:val="nil"/>
            </w:tcBorders>
            <w:noWrap/>
            <w:vAlign w:val="bottom"/>
          </w:tcPr>
          <w:p w14:paraId="4F655280" w14:textId="2B5ADA63" w:rsidR="00972C40" w:rsidRPr="00DE3A6F" w:rsidRDefault="00972C40" w:rsidP="00866442">
            <w:pPr>
              <w:spacing w:after="0"/>
              <w:jc w:val="left"/>
              <w:rPr>
                <w:noProof/>
                <w:color w:val="000000"/>
                <w:szCs w:val="24"/>
              </w:rPr>
            </w:pPr>
            <w:r w:rsidRPr="00DE3A6F">
              <w:rPr>
                <w:noProof/>
                <w:color w:val="000000"/>
                <w:szCs w:val="24"/>
              </w:rPr>
              <w:t xml:space="preserve">National </w:t>
            </w:r>
            <w:r w:rsidR="00807916" w:rsidRPr="00DE3A6F">
              <w:rPr>
                <w:noProof/>
                <w:color w:val="000000"/>
                <w:szCs w:val="24"/>
              </w:rPr>
              <w:t>recovery and resilience plan</w:t>
            </w:r>
          </w:p>
        </w:tc>
      </w:tr>
      <w:tr w:rsidR="00440F24" w:rsidRPr="00CA1602" w14:paraId="4438088D" w14:textId="77777777" w:rsidTr="28D37C99">
        <w:trPr>
          <w:trHeight w:val="315"/>
        </w:trPr>
        <w:tc>
          <w:tcPr>
            <w:tcW w:w="1400" w:type="dxa"/>
            <w:tcBorders>
              <w:top w:val="nil"/>
              <w:left w:val="nil"/>
              <w:bottom w:val="nil"/>
              <w:right w:val="nil"/>
            </w:tcBorders>
            <w:noWrap/>
            <w:vAlign w:val="bottom"/>
            <w:hideMark/>
          </w:tcPr>
          <w:p w14:paraId="08A8296B" w14:textId="77777777" w:rsidR="00440F24" w:rsidRPr="00DE3A6F" w:rsidRDefault="00440F24" w:rsidP="00A27EF6">
            <w:pPr>
              <w:spacing w:after="0"/>
              <w:jc w:val="left"/>
              <w:rPr>
                <w:noProof/>
                <w:color w:val="000000"/>
                <w:szCs w:val="24"/>
              </w:rPr>
            </w:pPr>
            <w:r w:rsidRPr="00DE3A6F">
              <w:rPr>
                <w:noProof/>
                <w:color w:val="000000"/>
                <w:szCs w:val="24"/>
              </w:rPr>
              <w:t>TFEU</w:t>
            </w:r>
          </w:p>
        </w:tc>
        <w:tc>
          <w:tcPr>
            <w:tcW w:w="6964" w:type="dxa"/>
            <w:tcBorders>
              <w:top w:val="nil"/>
              <w:left w:val="nil"/>
              <w:bottom w:val="nil"/>
              <w:right w:val="nil"/>
            </w:tcBorders>
            <w:noWrap/>
            <w:vAlign w:val="bottom"/>
            <w:hideMark/>
          </w:tcPr>
          <w:p w14:paraId="3649B1D5" w14:textId="77777777" w:rsidR="00440F24" w:rsidRPr="00DE3A6F" w:rsidRDefault="00440F24" w:rsidP="00A27EF6">
            <w:pPr>
              <w:spacing w:after="0"/>
              <w:jc w:val="left"/>
              <w:rPr>
                <w:noProof/>
                <w:color w:val="000000"/>
                <w:szCs w:val="24"/>
              </w:rPr>
            </w:pPr>
            <w:r w:rsidRPr="00DE3A6F">
              <w:rPr>
                <w:noProof/>
                <w:color w:val="000000"/>
                <w:szCs w:val="24"/>
              </w:rPr>
              <w:t xml:space="preserve">Treaty on the Functioning of the European Union </w:t>
            </w:r>
          </w:p>
        </w:tc>
      </w:tr>
      <w:tr w:rsidR="00440F24" w:rsidRPr="00CA1602" w14:paraId="7434EC89" w14:textId="77777777" w:rsidTr="28D37C99">
        <w:trPr>
          <w:trHeight w:val="315"/>
        </w:trPr>
        <w:tc>
          <w:tcPr>
            <w:tcW w:w="1400" w:type="dxa"/>
            <w:tcBorders>
              <w:top w:val="nil"/>
              <w:left w:val="nil"/>
              <w:bottom w:val="nil"/>
              <w:right w:val="nil"/>
            </w:tcBorders>
            <w:noWrap/>
            <w:vAlign w:val="bottom"/>
            <w:hideMark/>
          </w:tcPr>
          <w:p w14:paraId="34ACF0B3" w14:textId="77777777" w:rsidR="00440F24" w:rsidRPr="00DE3A6F" w:rsidRDefault="00440F24" w:rsidP="00A27EF6">
            <w:pPr>
              <w:spacing w:after="0"/>
              <w:jc w:val="left"/>
              <w:rPr>
                <w:noProof/>
                <w:color w:val="000000"/>
                <w:szCs w:val="24"/>
              </w:rPr>
            </w:pPr>
            <w:r w:rsidRPr="00DE3A6F">
              <w:rPr>
                <w:noProof/>
                <w:color w:val="000000"/>
                <w:szCs w:val="24"/>
              </w:rPr>
              <w:t>TOR</w:t>
            </w:r>
          </w:p>
        </w:tc>
        <w:tc>
          <w:tcPr>
            <w:tcW w:w="6964" w:type="dxa"/>
            <w:tcBorders>
              <w:top w:val="nil"/>
              <w:left w:val="nil"/>
              <w:bottom w:val="nil"/>
              <w:right w:val="nil"/>
            </w:tcBorders>
            <w:noWrap/>
            <w:vAlign w:val="bottom"/>
            <w:hideMark/>
          </w:tcPr>
          <w:p w14:paraId="699AD6F2" w14:textId="77777777" w:rsidR="00440F24" w:rsidRPr="00DE3A6F" w:rsidRDefault="00440F24" w:rsidP="00A27EF6">
            <w:pPr>
              <w:spacing w:after="0"/>
              <w:jc w:val="left"/>
              <w:rPr>
                <w:noProof/>
                <w:color w:val="000000"/>
                <w:szCs w:val="24"/>
              </w:rPr>
            </w:pPr>
            <w:r w:rsidRPr="00DE3A6F">
              <w:rPr>
                <w:noProof/>
                <w:color w:val="000000"/>
                <w:szCs w:val="24"/>
              </w:rPr>
              <w:t xml:space="preserve">Traditional </w:t>
            </w:r>
            <w:r w:rsidR="0012637C" w:rsidRPr="00DE3A6F">
              <w:rPr>
                <w:noProof/>
                <w:color w:val="000000"/>
                <w:szCs w:val="24"/>
              </w:rPr>
              <w:t>o</w:t>
            </w:r>
            <w:r w:rsidRPr="00DE3A6F">
              <w:rPr>
                <w:noProof/>
                <w:color w:val="000000"/>
                <w:szCs w:val="24"/>
              </w:rPr>
              <w:t xml:space="preserve">wn </w:t>
            </w:r>
            <w:r w:rsidR="0012637C" w:rsidRPr="00DE3A6F">
              <w:rPr>
                <w:noProof/>
                <w:color w:val="000000"/>
                <w:szCs w:val="24"/>
              </w:rPr>
              <w:t>r</w:t>
            </w:r>
            <w:r w:rsidRPr="00DE3A6F">
              <w:rPr>
                <w:noProof/>
                <w:color w:val="000000"/>
                <w:szCs w:val="24"/>
              </w:rPr>
              <w:t>esources</w:t>
            </w:r>
          </w:p>
        </w:tc>
      </w:tr>
      <w:tr w:rsidR="009334E5" w:rsidRPr="00CA1602" w14:paraId="75C33B87" w14:textId="77777777" w:rsidTr="28D37C99">
        <w:trPr>
          <w:trHeight w:val="315"/>
        </w:trPr>
        <w:tc>
          <w:tcPr>
            <w:tcW w:w="1400" w:type="dxa"/>
            <w:tcBorders>
              <w:top w:val="nil"/>
              <w:left w:val="nil"/>
              <w:bottom w:val="nil"/>
              <w:right w:val="nil"/>
            </w:tcBorders>
            <w:noWrap/>
            <w:vAlign w:val="bottom"/>
          </w:tcPr>
          <w:p w14:paraId="2D632FD1" w14:textId="77777777" w:rsidR="009334E5" w:rsidRPr="00DE3A6F" w:rsidRDefault="009334E5" w:rsidP="00A27EF6">
            <w:pPr>
              <w:spacing w:after="0"/>
              <w:jc w:val="left"/>
              <w:rPr>
                <w:noProof/>
                <w:color w:val="000000"/>
                <w:szCs w:val="24"/>
              </w:rPr>
            </w:pPr>
            <w:r w:rsidRPr="00DE3A6F">
              <w:rPr>
                <w:noProof/>
                <w:color w:val="000000"/>
                <w:szCs w:val="24"/>
              </w:rPr>
              <w:t>UAFP</w:t>
            </w:r>
          </w:p>
        </w:tc>
        <w:tc>
          <w:tcPr>
            <w:tcW w:w="6964" w:type="dxa"/>
            <w:tcBorders>
              <w:top w:val="nil"/>
              <w:left w:val="nil"/>
              <w:bottom w:val="nil"/>
              <w:right w:val="nil"/>
            </w:tcBorders>
            <w:noWrap/>
            <w:vAlign w:val="bottom"/>
          </w:tcPr>
          <w:p w14:paraId="512E3C11" w14:textId="2AE75617" w:rsidR="009334E5" w:rsidRPr="00A30293" w:rsidRDefault="009334E5" w:rsidP="28D37C99">
            <w:pPr>
              <w:spacing w:after="0"/>
              <w:jc w:val="left"/>
              <w:rPr>
                <w:noProof/>
                <w:color w:val="000000"/>
              </w:rPr>
            </w:pPr>
            <w:r w:rsidRPr="00A30293">
              <w:rPr>
                <w:noProof/>
                <w:color w:val="000000" w:themeColor="text1"/>
              </w:rPr>
              <w:t xml:space="preserve">Union </w:t>
            </w:r>
            <w:r w:rsidR="00807916" w:rsidRPr="00A30293">
              <w:rPr>
                <w:noProof/>
                <w:color w:val="000000" w:themeColor="text1"/>
              </w:rPr>
              <w:t>anti-fraud programme</w:t>
            </w:r>
          </w:p>
        </w:tc>
      </w:tr>
      <w:tr w:rsidR="00440F24" w:rsidRPr="00CA1602" w14:paraId="2E3AFF4D" w14:textId="77777777" w:rsidTr="28D37C99">
        <w:trPr>
          <w:trHeight w:val="315"/>
        </w:trPr>
        <w:tc>
          <w:tcPr>
            <w:tcW w:w="1400" w:type="dxa"/>
            <w:tcBorders>
              <w:top w:val="nil"/>
              <w:left w:val="nil"/>
              <w:bottom w:val="nil"/>
              <w:right w:val="nil"/>
            </w:tcBorders>
            <w:noWrap/>
            <w:vAlign w:val="bottom"/>
          </w:tcPr>
          <w:p w14:paraId="5DCFA4B3" w14:textId="77777777" w:rsidR="00440F24" w:rsidRPr="00DE3A6F" w:rsidRDefault="00440F24" w:rsidP="00A27EF6">
            <w:pPr>
              <w:spacing w:after="0"/>
              <w:jc w:val="left"/>
              <w:rPr>
                <w:noProof/>
                <w:color w:val="000000"/>
                <w:szCs w:val="24"/>
              </w:rPr>
            </w:pPr>
            <w:r w:rsidRPr="00DE3A6F">
              <w:rPr>
                <w:noProof/>
                <w:color w:val="000000"/>
                <w:szCs w:val="24"/>
              </w:rPr>
              <w:t>VAT</w:t>
            </w:r>
          </w:p>
        </w:tc>
        <w:tc>
          <w:tcPr>
            <w:tcW w:w="6964" w:type="dxa"/>
            <w:tcBorders>
              <w:top w:val="nil"/>
              <w:left w:val="nil"/>
              <w:bottom w:val="nil"/>
              <w:right w:val="nil"/>
            </w:tcBorders>
            <w:noWrap/>
            <w:vAlign w:val="bottom"/>
          </w:tcPr>
          <w:p w14:paraId="01EE4E35" w14:textId="119A90F2" w:rsidR="00440F24" w:rsidRPr="00DE3A6F" w:rsidRDefault="00440F24" w:rsidP="00A27EF6">
            <w:pPr>
              <w:spacing w:after="0"/>
              <w:jc w:val="left"/>
              <w:rPr>
                <w:noProof/>
                <w:color w:val="000000"/>
                <w:szCs w:val="24"/>
              </w:rPr>
            </w:pPr>
            <w:r w:rsidRPr="00DE3A6F">
              <w:rPr>
                <w:noProof/>
                <w:color w:val="000000"/>
                <w:szCs w:val="24"/>
              </w:rPr>
              <w:t xml:space="preserve">Value </w:t>
            </w:r>
            <w:r w:rsidR="00807916" w:rsidRPr="00DE3A6F">
              <w:rPr>
                <w:noProof/>
                <w:color w:val="000000"/>
                <w:szCs w:val="24"/>
              </w:rPr>
              <w:t>added tax</w:t>
            </w:r>
          </w:p>
        </w:tc>
      </w:tr>
      <w:tr w:rsidR="000E1CEB" w:rsidRPr="00CA1602" w14:paraId="5878C7BB" w14:textId="77777777" w:rsidTr="28D37C99">
        <w:trPr>
          <w:trHeight w:val="315"/>
        </w:trPr>
        <w:tc>
          <w:tcPr>
            <w:tcW w:w="1400" w:type="dxa"/>
            <w:tcBorders>
              <w:top w:val="nil"/>
              <w:left w:val="nil"/>
              <w:bottom w:val="nil"/>
              <w:right w:val="nil"/>
            </w:tcBorders>
            <w:noWrap/>
            <w:vAlign w:val="bottom"/>
          </w:tcPr>
          <w:p w14:paraId="57BBE39E" w14:textId="6E65180C" w:rsidR="000E1CEB" w:rsidRPr="00DE3A6F" w:rsidRDefault="000E1CEB" w:rsidP="00A27EF6">
            <w:pPr>
              <w:spacing w:after="0"/>
              <w:jc w:val="left"/>
              <w:rPr>
                <w:noProof/>
                <w:color w:val="000000"/>
                <w:szCs w:val="24"/>
              </w:rPr>
            </w:pPr>
            <w:r w:rsidRPr="00DE3A6F">
              <w:rPr>
                <w:noProof/>
                <w:color w:val="000000"/>
                <w:szCs w:val="24"/>
              </w:rPr>
              <w:t>YEI</w:t>
            </w:r>
          </w:p>
        </w:tc>
        <w:tc>
          <w:tcPr>
            <w:tcW w:w="6964" w:type="dxa"/>
            <w:tcBorders>
              <w:top w:val="nil"/>
              <w:left w:val="nil"/>
              <w:bottom w:val="nil"/>
              <w:right w:val="nil"/>
            </w:tcBorders>
            <w:noWrap/>
            <w:vAlign w:val="bottom"/>
          </w:tcPr>
          <w:p w14:paraId="5E17F758" w14:textId="66AF000A" w:rsidR="000E1CEB" w:rsidRPr="00DE3A6F" w:rsidRDefault="000E1CEB" w:rsidP="00A27EF6">
            <w:pPr>
              <w:spacing w:after="0"/>
              <w:jc w:val="left"/>
              <w:rPr>
                <w:noProof/>
                <w:color w:val="000000"/>
                <w:szCs w:val="24"/>
              </w:rPr>
            </w:pPr>
            <w:r w:rsidRPr="00DE3A6F">
              <w:rPr>
                <w:noProof/>
                <w:color w:val="000000"/>
                <w:szCs w:val="24"/>
              </w:rPr>
              <w:t xml:space="preserve">Youth </w:t>
            </w:r>
            <w:r w:rsidR="00807916" w:rsidRPr="00DE3A6F">
              <w:rPr>
                <w:noProof/>
                <w:color w:val="000000"/>
                <w:szCs w:val="24"/>
              </w:rPr>
              <w:t>employment initiative</w:t>
            </w:r>
          </w:p>
        </w:tc>
      </w:tr>
    </w:tbl>
    <w:p w14:paraId="286101B8" w14:textId="77777777" w:rsidR="00440F24" w:rsidRPr="00DE3A6F" w:rsidRDefault="00440F24" w:rsidP="13F9CCF2">
      <w:pPr>
        <w:rPr>
          <w:b/>
          <w:bCs/>
          <w:i/>
          <w:iCs/>
          <w:noProof/>
        </w:rPr>
      </w:pPr>
    </w:p>
    <w:p w14:paraId="2C8BCB08" w14:textId="77777777" w:rsidR="00440F24" w:rsidRPr="00DE3A6F" w:rsidRDefault="00440F24" w:rsidP="00440F24">
      <w:pPr>
        <w:rPr>
          <w:noProof/>
        </w:rPr>
      </w:pPr>
      <w:r w:rsidRPr="00DE3A6F">
        <w:rPr>
          <w:noProof/>
        </w:rPr>
        <w:br w:type="page"/>
      </w:r>
    </w:p>
    <w:p w14:paraId="09F8CDEC" w14:textId="77777777" w:rsidR="00190177" w:rsidRPr="00DE3A6F" w:rsidRDefault="0048430C" w:rsidP="00B147F9">
      <w:pPr>
        <w:pStyle w:val="Heading1"/>
        <w:rPr>
          <w:noProof/>
        </w:rPr>
      </w:pPr>
      <w:bookmarkStart w:id="3" w:name="_Toc202011312"/>
      <w:bookmarkStart w:id="4" w:name="_Toc234447037"/>
      <w:r w:rsidRPr="00DE3A6F">
        <w:rPr>
          <w:noProof/>
        </w:rPr>
        <w:lastRenderedPageBreak/>
        <w:t>Introduction</w:t>
      </w:r>
      <w:bookmarkEnd w:id="3"/>
      <w:bookmarkEnd w:id="4"/>
    </w:p>
    <w:p w14:paraId="29008C4F" w14:textId="77777777" w:rsidR="00E93574" w:rsidRPr="00DE3A6F" w:rsidRDefault="2D4CFE85" w:rsidP="00A01F05">
      <w:pPr>
        <w:pStyle w:val="Heading2"/>
        <w:rPr>
          <w:noProof/>
        </w:rPr>
      </w:pPr>
      <w:bookmarkStart w:id="5" w:name="_The_EU’s_financial"/>
      <w:bookmarkStart w:id="6" w:name="_Toc202011313"/>
      <w:bookmarkStart w:id="7" w:name="_Toc234447038"/>
      <w:bookmarkEnd w:id="5"/>
      <w:r w:rsidRPr="00E65AA4">
        <w:rPr>
          <w:noProof/>
        </w:rPr>
        <w:t>The EU’s financial interests and their protection</w:t>
      </w:r>
      <w:bookmarkEnd w:id="6"/>
      <w:bookmarkEnd w:id="7"/>
    </w:p>
    <w:p w14:paraId="151387AC" w14:textId="3CB96941" w:rsidR="0048430C" w:rsidRPr="00DE3A6F" w:rsidRDefault="5D201B42" w:rsidP="221E107C">
      <w:pPr>
        <w:rPr>
          <w:noProof/>
        </w:rPr>
      </w:pPr>
      <w:r w:rsidRPr="00E65AA4">
        <w:rPr>
          <w:noProof/>
        </w:rPr>
        <w:t>The EU’s 202</w:t>
      </w:r>
      <w:r w:rsidR="3D1FBAAE" w:rsidRPr="00E65AA4">
        <w:rPr>
          <w:noProof/>
        </w:rPr>
        <w:t>5</w:t>
      </w:r>
      <w:r w:rsidRPr="00E65AA4">
        <w:rPr>
          <w:noProof/>
        </w:rPr>
        <w:t xml:space="preserve"> budget amounts to </w:t>
      </w:r>
      <w:r w:rsidR="00DB20BE" w:rsidRPr="00E65AA4">
        <w:rPr>
          <w:noProof/>
        </w:rPr>
        <w:t>EUR </w:t>
      </w:r>
      <w:r w:rsidR="462A5327" w:rsidRPr="00E65AA4">
        <w:rPr>
          <w:noProof/>
        </w:rPr>
        <w:t>199.4</w:t>
      </w:r>
      <w:r w:rsidR="3A67ECD4" w:rsidRPr="00E65AA4">
        <w:rPr>
          <w:noProof/>
        </w:rPr>
        <w:t xml:space="preserve"> </w:t>
      </w:r>
      <w:r w:rsidRPr="00E65AA4">
        <w:rPr>
          <w:noProof/>
        </w:rPr>
        <w:t xml:space="preserve">billion in commitment appropriations and </w:t>
      </w:r>
      <w:r w:rsidR="00DB20BE" w:rsidRPr="00E65AA4">
        <w:rPr>
          <w:noProof/>
        </w:rPr>
        <w:t>EUR </w:t>
      </w:r>
      <w:r w:rsidR="0B29CB18" w:rsidRPr="00E65AA4">
        <w:rPr>
          <w:noProof/>
        </w:rPr>
        <w:t>155.2</w:t>
      </w:r>
      <w:r w:rsidR="058EEAFE" w:rsidRPr="00E65AA4">
        <w:rPr>
          <w:noProof/>
        </w:rPr>
        <w:t xml:space="preserve"> </w:t>
      </w:r>
      <w:r w:rsidRPr="00E65AA4">
        <w:rPr>
          <w:noProof/>
        </w:rPr>
        <w:t xml:space="preserve">billion in payment appropriations. The 2021-2027 </w:t>
      </w:r>
      <w:r w:rsidR="00C87448" w:rsidRPr="00E65AA4">
        <w:rPr>
          <w:noProof/>
        </w:rPr>
        <w:t>MFF</w:t>
      </w:r>
      <w:r w:rsidRPr="00E65AA4">
        <w:rPr>
          <w:noProof/>
        </w:rPr>
        <w:t xml:space="preserve"> amounts to EUR </w:t>
      </w:r>
      <w:r w:rsidR="058EEAFE" w:rsidRPr="00E65AA4">
        <w:rPr>
          <w:noProof/>
        </w:rPr>
        <w:t>1 20</w:t>
      </w:r>
      <w:r w:rsidR="59A65659" w:rsidRPr="00E65AA4">
        <w:rPr>
          <w:noProof/>
        </w:rPr>
        <w:t>2</w:t>
      </w:r>
      <w:r w:rsidR="058EEAFE" w:rsidRPr="00E65AA4">
        <w:rPr>
          <w:noProof/>
        </w:rPr>
        <w:t>.</w:t>
      </w:r>
      <w:r w:rsidR="51EE3195" w:rsidRPr="00E65AA4">
        <w:rPr>
          <w:noProof/>
        </w:rPr>
        <w:t>8</w:t>
      </w:r>
      <w:r w:rsidRPr="00E65AA4">
        <w:rPr>
          <w:noProof/>
        </w:rPr>
        <w:t xml:space="preserve"> billion</w:t>
      </w:r>
      <w:r w:rsidR="058EEAFE" w:rsidRPr="00E65AA4">
        <w:rPr>
          <w:noProof/>
        </w:rPr>
        <w:t> (</w:t>
      </w:r>
      <w:r w:rsidR="00600CD6" w:rsidRPr="00E65AA4">
        <w:rPr>
          <w:rStyle w:val="FootnoteReference"/>
          <w:noProof/>
        </w:rPr>
        <w:footnoteReference w:id="2"/>
      </w:r>
      <w:r w:rsidR="058EEAFE" w:rsidRPr="00E65AA4">
        <w:rPr>
          <w:noProof/>
        </w:rPr>
        <w:t>)</w:t>
      </w:r>
      <w:r w:rsidRPr="00E65AA4">
        <w:rPr>
          <w:noProof/>
        </w:rPr>
        <w:t>. Additional resources come from NextGeneration EU, the EU’s post-COVID economic recovery package</w:t>
      </w:r>
      <w:r w:rsidR="395FCF00" w:rsidRPr="00E65AA4">
        <w:rPr>
          <w:noProof/>
        </w:rPr>
        <w:t xml:space="preserve"> under which </w:t>
      </w:r>
      <w:r w:rsidR="00DB20BE" w:rsidRPr="00E65AA4">
        <w:rPr>
          <w:noProof/>
        </w:rPr>
        <w:t>EUR </w:t>
      </w:r>
      <w:r w:rsidRPr="00E65AA4">
        <w:rPr>
          <w:noProof/>
        </w:rPr>
        <w:t>750 billion</w:t>
      </w:r>
      <w:r w:rsidR="00DB20BE" w:rsidRPr="00E65AA4">
        <w:rPr>
          <w:noProof/>
        </w:rPr>
        <w:t> (</w:t>
      </w:r>
      <w:r w:rsidR="003C4BB2" w:rsidRPr="00E65AA4">
        <w:rPr>
          <w:rStyle w:val="FootnoteReference"/>
          <w:noProof/>
        </w:rPr>
        <w:footnoteReference w:id="3"/>
      </w:r>
      <w:r w:rsidR="00DB20BE" w:rsidRPr="00E65AA4">
        <w:rPr>
          <w:noProof/>
        </w:rPr>
        <w:t>)</w:t>
      </w:r>
      <w:r w:rsidRPr="00E65AA4">
        <w:rPr>
          <w:noProof/>
        </w:rPr>
        <w:t xml:space="preserve"> </w:t>
      </w:r>
      <w:r w:rsidR="395FCF00" w:rsidRPr="00E65AA4">
        <w:rPr>
          <w:noProof/>
        </w:rPr>
        <w:t xml:space="preserve">is </w:t>
      </w:r>
      <w:r w:rsidRPr="00E65AA4">
        <w:rPr>
          <w:noProof/>
        </w:rPr>
        <w:t>to be spent between 2021 and 2026.</w:t>
      </w:r>
    </w:p>
    <w:p w14:paraId="29488436" w14:textId="3007B975" w:rsidR="007868A2" w:rsidRPr="00DE3A6F" w:rsidRDefault="65572DAC" w:rsidP="0048430C">
      <w:pPr>
        <w:rPr>
          <w:noProof/>
        </w:rPr>
      </w:pPr>
      <w:r w:rsidRPr="00DE3A6F">
        <w:rPr>
          <w:noProof/>
        </w:rPr>
        <w:t>These financial</w:t>
      </w:r>
      <w:r w:rsidR="13FAA153" w:rsidRPr="00DE3A6F">
        <w:rPr>
          <w:noProof/>
        </w:rPr>
        <w:t xml:space="preserve"> resources</w:t>
      </w:r>
      <w:r w:rsidRPr="00DE3A6F">
        <w:rPr>
          <w:noProof/>
        </w:rPr>
        <w:t xml:space="preserve"> </w:t>
      </w:r>
      <w:r w:rsidR="6622CA2C" w:rsidRPr="00DE3A6F">
        <w:rPr>
          <w:noProof/>
        </w:rPr>
        <w:t>enable the</w:t>
      </w:r>
      <w:r w:rsidR="13FAA153" w:rsidRPr="00DE3A6F">
        <w:rPr>
          <w:noProof/>
        </w:rPr>
        <w:t xml:space="preserve"> EU </w:t>
      </w:r>
      <w:r w:rsidRPr="00DE3A6F">
        <w:rPr>
          <w:noProof/>
        </w:rPr>
        <w:t xml:space="preserve">to </w:t>
      </w:r>
      <w:r w:rsidR="13FAA153" w:rsidRPr="00DE3A6F">
        <w:rPr>
          <w:noProof/>
        </w:rPr>
        <w:t xml:space="preserve">finance its policies and promote its </w:t>
      </w:r>
      <w:r w:rsidR="308E9A65" w:rsidRPr="00CA1602">
        <w:rPr>
          <w:noProof/>
        </w:rPr>
        <w:t xml:space="preserve">objectives </w:t>
      </w:r>
      <w:r w:rsidR="13FAA153" w:rsidRPr="00DE3A6F">
        <w:rPr>
          <w:noProof/>
        </w:rPr>
        <w:t>and values.</w:t>
      </w:r>
    </w:p>
    <w:p w14:paraId="5E04E455" w14:textId="0BCE1BC5" w:rsidR="007868A2" w:rsidRPr="00DE3A6F" w:rsidRDefault="00DE46ED" w:rsidP="0048430C">
      <w:pPr>
        <w:rPr>
          <w:noProof/>
        </w:rPr>
      </w:pPr>
      <w:r w:rsidRPr="00E65AA4">
        <w:rPr>
          <w:noProof/>
        </w:rPr>
        <w:t>EU Member States manage the largest share of EU expenditure and collect VAT and traditional own resources (TOR</w:t>
      </w:r>
      <w:r w:rsidR="00E070A6" w:rsidRPr="00E65AA4">
        <w:rPr>
          <w:noProof/>
        </w:rPr>
        <w:t>), the latter mainly taking the form of</w:t>
      </w:r>
      <w:r w:rsidRPr="00E65AA4">
        <w:rPr>
          <w:noProof/>
        </w:rPr>
        <w:t xml:space="preserve"> customs duties.</w:t>
      </w:r>
    </w:p>
    <w:p w14:paraId="7CB86D1D" w14:textId="6BBA4176" w:rsidR="0048430C" w:rsidRPr="00DE3A6F" w:rsidRDefault="1F2B3C48" w:rsidP="007868A2">
      <w:pPr>
        <w:rPr>
          <w:noProof/>
        </w:rPr>
      </w:pPr>
      <w:r w:rsidRPr="00E65AA4">
        <w:rPr>
          <w:noProof/>
        </w:rPr>
        <w:t>I</w:t>
      </w:r>
      <w:r w:rsidR="3897BD04" w:rsidRPr="00E65AA4">
        <w:rPr>
          <w:noProof/>
        </w:rPr>
        <w:t xml:space="preserve">n accordance with </w:t>
      </w:r>
      <w:hyperlink r:id="rId27">
        <w:r w:rsidRPr="00E65AA4">
          <w:rPr>
            <w:rStyle w:val="Hyperlink"/>
            <w:noProof/>
          </w:rPr>
          <w:t>A</w:t>
        </w:r>
        <w:r w:rsidR="3897BD04" w:rsidRPr="00E65AA4">
          <w:rPr>
            <w:rStyle w:val="Hyperlink"/>
            <w:noProof/>
          </w:rPr>
          <w:t>rticle 325</w:t>
        </w:r>
      </w:hyperlink>
      <w:r w:rsidR="3897BD04" w:rsidRPr="00E65AA4">
        <w:rPr>
          <w:noProof/>
        </w:rPr>
        <w:t xml:space="preserve"> </w:t>
      </w:r>
      <w:r w:rsidR="395FCF00" w:rsidRPr="00E65AA4">
        <w:rPr>
          <w:noProof/>
        </w:rPr>
        <w:t xml:space="preserve">of the </w:t>
      </w:r>
      <w:r w:rsidR="3897BD04" w:rsidRPr="00E65AA4">
        <w:rPr>
          <w:noProof/>
        </w:rPr>
        <w:t>T</w:t>
      </w:r>
      <w:r w:rsidR="395FCF00" w:rsidRPr="00E65AA4">
        <w:rPr>
          <w:noProof/>
        </w:rPr>
        <w:t xml:space="preserve">reaty on the </w:t>
      </w:r>
      <w:r w:rsidR="3897BD04" w:rsidRPr="00E65AA4">
        <w:rPr>
          <w:noProof/>
        </w:rPr>
        <w:t>F</w:t>
      </w:r>
      <w:r w:rsidR="395FCF00" w:rsidRPr="00E65AA4">
        <w:rPr>
          <w:noProof/>
        </w:rPr>
        <w:t xml:space="preserve">unctioning of the </w:t>
      </w:r>
      <w:r w:rsidR="3897BD04" w:rsidRPr="00E65AA4">
        <w:rPr>
          <w:noProof/>
        </w:rPr>
        <w:t>E</w:t>
      </w:r>
      <w:r w:rsidR="395FCF00" w:rsidRPr="00E65AA4">
        <w:rPr>
          <w:noProof/>
        </w:rPr>
        <w:t xml:space="preserve">uropean </w:t>
      </w:r>
      <w:r w:rsidR="3897BD04" w:rsidRPr="00E65AA4">
        <w:rPr>
          <w:noProof/>
        </w:rPr>
        <w:t>U</w:t>
      </w:r>
      <w:r w:rsidR="395FCF00" w:rsidRPr="00E65AA4">
        <w:rPr>
          <w:noProof/>
        </w:rPr>
        <w:t>nion (TFEU)</w:t>
      </w:r>
      <w:r w:rsidR="3897BD04" w:rsidRPr="00E65AA4">
        <w:rPr>
          <w:noProof/>
        </w:rPr>
        <w:t xml:space="preserve">, </w:t>
      </w:r>
      <w:r w:rsidRPr="00E65AA4">
        <w:rPr>
          <w:noProof/>
        </w:rPr>
        <w:t xml:space="preserve">the EU and its Member States </w:t>
      </w:r>
      <w:r w:rsidR="7A15F329" w:rsidRPr="00E65AA4">
        <w:rPr>
          <w:noProof/>
        </w:rPr>
        <w:t xml:space="preserve">must </w:t>
      </w:r>
      <w:r w:rsidR="3897BD04" w:rsidRPr="00E65AA4">
        <w:rPr>
          <w:noProof/>
        </w:rPr>
        <w:t xml:space="preserve">counter fraud and any other illegal activities </w:t>
      </w:r>
      <w:r w:rsidR="7B9DF214" w:rsidRPr="00E65AA4">
        <w:rPr>
          <w:noProof/>
        </w:rPr>
        <w:t xml:space="preserve">that </w:t>
      </w:r>
      <w:r w:rsidR="3897BD04" w:rsidRPr="00E65AA4">
        <w:rPr>
          <w:noProof/>
        </w:rPr>
        <w:t xml:space="preserve">affect the </w:t>
      </w:r>
      <w:r w:rsidRPr="00E65AA4">
        <w:rPr>
          <w:noProof/>
        </w:rPr>
        <w:t xml:space="preserve">EU’s </w:t>
      </w:r>
      <w:r w:rsidR="3897BD04" w:rsidRPr="00E65AA4">
        <w:rPr>
          <w:noProof/>
        </w:rPr>
        <w:t xml:space="preserve">financial interests. </w:t>
      </w:r>
      <w:r w:rsidR="00C52B2B" w:rsidRPr="00E65AA4">
        <w:rPr>
          <w:noProof/>
        </w:rPr>
        <w:t xml:space="preserve">Under paragraph 5 of that </w:t>
      </w:r>
      <w:r w:rsidRPr="00E65AA4">
        <w:rPr>
          <w:noProof/>
        </w:rPr>
        <w:t>A</w:t>
      </w:r>
      <w:r w:rsidR="3897BD04" w:rsidRPr="00E65AA4">
        <w:rPr>
          <w:noProof/>
        </w:rPr>
        <w:t xml:space="preserve">rticle, </w:t>
      </w:r>
      <w:r w:rsidRPr="00E65AA4">
        <w:rPr>
          <w:noProof/>
        </w:rPr>
        <w:t xml:space="preserve">each year </w:t>
      </w:r>
      <w:r w:rsidR="3897BD04" w:rsidRPr="00E65AA4">
        <w:rPr>
          <w:noProof/>
        </w:rPr>
        <w:t xml:space="preserve">the Commission, in cooperation with the Member States, </w:t>
      </w:r>
      <w:r w:rsidR="00C52B2B" w:rsidRPr="00E65AA4">
        <w:rPr>
          <w:noProof/>
        </w:rPr>
        <w:t xml:space="preserve">must </w:t>
      </w:r>
      <w:r w:rsidR="3897BD04" w:rsidRPr="00E65AA4">
        <w:rPr>
          <w:noProof/>
        </w:rPr>
        <w:t xml:space="preserve">submit </w:t>
      </w:r>
      <w:r w:rsidRPr="00E65AA4">
        <w:rPr>
          <w:noProof/>
        </w:rPr>
        <w:t xml:space="preserve">a report </w:t>
      </w:r>
      <w:r w:rsidR="3897BD04" w:rsidRPr="00E65AA4">
        <w:rPr>
          <w:noProof/>
        </w:rPr>
        <w:t xml:space="preserve">to the European Parliament and the Council on the measures taken </w:t>
      </w:r>
      <w:r w:rsidR="7B9DF214" w:rsidRPr="00E65AA4">
        <w:rPr>
          <w:noProof/>
        </w:rPr>
        <w:t xml:space="preserve">to </w:t>
      </w:r>
      <w:r w:rsidR="3897BD04" w:rsidRPr="00E65AA4">
        <w:rPr>
          <w:noProof/>
        </w:rPr>
        <w:t xml:space="preserve">implement </w:t>
      </w:r>
      <w:r w:rsidR="00C52B2B" w:rsidRPr="00E65AA4">
        <w:rPr>
          <w:noProof/>
        </w:rPr>
        <w:t xml:space="preserve">the </w:t>
      </w:r>
      <w:r w:rsidRPr="00E65AA4">
        <w:rPr>
          <w:noProof/>
        </w:rPr>
        <w:t>A</w:t>
      </w:r>
      <w:r w:rsidR="3897BD04" w:rsidRPr="00E65AA4">
        <w:rPr>
          <w:noProof/>
        </w:rPr>
        <w:t xml:space="preserve">rticle. </w:t>
      </w:r>
      <w:r w:rsidRPr="00E65AA4">
        <w:rPr>
          <w:noProof/>
        </w:rPr>
        <w:t>This report</w:t>
      </w:r>
      <w:r w:rsidR="3897BD04" w:rsidRPr="00E65AA4">
        <w:rPr>
          <w:noProof/>
        </w:rPr>
        <w:t xml:space="preserve">, also known as </w:t>
      </w:r>
      <w:r w:rsidRPr="00E65AA4">
        <w:rPr>
          <w:noProof/>
        </w:rPr>
        <w:t xml:space="preserve">the </w:t>
      </w:r>
      <w:r w:rsidR="3897BD04" w:rsidRPr="00E65AA4">
        <w:rPr>
          <w:noProof/>
        </w:rPr>
        <w:t xml:space="preserve">PIF </w:t>
      </w:r>
      <w:r w:rsidR="395FCF00" w:rsidRPr="00E65AA4">
        <w:rPr>
          <w:noProof/>
        </w:rPr>
        <w:t>r</w:t>
      </w:r>
      <w:r w:rsidR="3897BD04" w:rsidRPr="00E65AA4">
        <w:rPr>
          <w:noProof/>
        </w:rPr>
        <w:t>eport, meets th</w:t>
      </w:r>
      <w:r w:rsidRPr="00E65AA4">
        <w:rPr>
          <w:noProof/>
        </w:rPr>
        <w:t>at</w:t>
      </w:r>
      <w:r w:rsidR="3897BD04" w:rsidRPr="00E65AA4">
        <w:rPr>
          <w:noProof/>
        </w:rPr>
        <w:t xml:space="preserve"> obligation</w:t>
      </w:r>
      <w:r w:rsidRPr="00E65AA4">
        <w:rPr>
          <w:noProof/>
        </w:rPr>
        <w:t xml:space="preserve"> for 202</w:t>
      </w:r>
      <w:r w:rsidR="3D1FBAAE" w:rsidRPr="00E65AA4">
        <w:rPr>
          <w:noProof/>
        </w:rPr>
        <w:t>5</w:t>
      </w:r>
      <w:r w:rsidR="5D201B42" w:rsidRPr="00E65AA4">
        <w:rPr>
          <w:noProof/>
        </w:rPr>
        <w:t> (</w:t>
      </w:r>
      <w:r w:rsidR="00DE46ED" w:rsidRPr="00E65AA4">
        <w:rPr>
          <w:rStyle w:val="FootnoteReference"/>
          <w:noProof/>
        </w:rPr>
        <w:footnoteReference w:id="4"/>
      </w:r>
      <w:r w:rsidR="5D201B42" w:rsidRPr="00E65AA4">
        <w:rPr>
          <w:noProof/>
        </w:rPr>
        <w:t>)</w:t>
      </w:r>
      <w:r w:rsidR="3897BD04" w:rsidRPr="00E65AA4">
        <w:rPr>
          <w:noProof/>
        </w:rPr>
        <w:t xml:space="preserve">. It is accompanied by </w:t>
      </w:r>
      <w:r w:rsidR="4D6E0310" w:rsidRPr="00E65AA4">
        <w:rPr>
          <w:noProof/>
        </w:rPr>
        <w:t>seven</w:t>
      </w:r>
      <w:r w:rsidR="3897BD04" w:rsidRPr="00E65AA4">
        <w:rPr>
          <w:noProof/>
        </w:rPr>
        <w:t xml:space="preserve"> working documents</w:t>
      </w:r>
      <w:r w:rsidR="6CB78DC2" w:rsidRPr="00E65AA4">
        <w:rPr>
          <w:noProof/>
        </w:rPr>
        <w:t> (</w:t>
      </w:r>
      <w:r w:rsidR="007868A2" w:rsidRPr="00E65AA4">
        <w:rPr>
          <w:rStyle w:val="FootnoteReference"/>
          <w:noProof/>
        </w:rPr>
        <w:footnoteReference w:id="5"/>
      </w:r>
      <w:r w:rsidR="6CB78DC2" w:rsidRPr="00E65AA4">
        <w:rPr>
          <w:noProof/>
        </w:rPr>
        <w:t>)</w:t>
      </w:r>
      <w:r w:rsidR="3897BD04" w:rsidRPr="00E65AA4">
        <w:rPr>
          <w:noProof/>
        </w:rPr>
        <w:t>.</w:t>
      </w:r>
      <w:r w:rsidR="50B9DF7D" w:rsidRPr="00E65AA4">
        <w:rPr>
          <w:noProof/>
        </w:rPr>
        <w:t xml:space="preserve"> </w:t>
      </w:r>
    </w:p>
    <w:p w14:paraId="697F6BFE" w14:textId="58EB560F" w:rsidR="005F0550" w:rsidRPr="00DE3A6F" w:rsidRDefault="05E4032E" w:rsidP="007868A2">
      <w:pPr>
        <w:rPr>
          <w:noProof/>
        </w:rPr>
      </w:pPr>
      <w:r w:rsidRPr="00E65AA4">
        <w:rPr>
          <w:noProof/>
        </w:rPr>
        <w:t xml:space="preserve">On </w:t>
      </w:r>
      <w:r w:rsidR="0093726B" w:rsidRPr="00E65AA4">
        <w:rPr>
          <w:noProof/>
        </w:rPr>
        <w:t>6 </w:t>
      </w:r>
      <w:r w:rsidRPr="00E65AA4">
        <w:rPr>
          <w:noProof/>
        </w:rPr>
        <w:t>May 2025, the European Parliament adopted its resolution on the protection of the EU’s financial interests for 2023 (</w:t>
      </w:r>
      <w:r w:rsidR="005F0550" w:rsidRPr="00E65AA4">
        <w:rPr>
          <w:rStyle w:val="FootnoteReference"/>
          <w:noProof/>
        </w:rPr>
        <w:footnoteReference w:id="6"/>
      </w:r>
      <w:r w:rsidR="75BD4263" w:rsidRPr="00E65AA4">
        <w:rPr>
          <w:noProof/>
        </w:rPr>
        <w:t>). Parliament</w:t>
      </w:r>
      <w:r w:rsidRPr="00E65AA4">
        <w:rPr>
          <w:noProof/>
        </w:rPr>
        <w:t xml:space="preserve"> </w:t>
      </w:r>
      <w:r w:rsidR="3D1FBAAE" w:rsidRPr="00E65AA4">
        <w:rPr>
          <w:noProof/>
        </w:rPr>
        <w:t xml:space="preserve">reiterated its </w:t>
      </w:r>
      <w:r w:rsidRPr="00E65AA4">
        <w:rPr>
          <w:noProof/>
        </w:rPr>
        <w:t xml:space="preserve">call for the PIF report to </w:t>
      </w:r>
      <w:r w:rsidR="1612FECC" w:rsidRPr="00E65AA4">
        <w:rPr>
          <w:noProof/>
        </w:rPr>
        <w:t xml:space="preserve">become a tool </w:t>
      </w:r>
      <w:r w:rsidR="0093726B" w:rsidRPr="00E65AA4">
        <w:rPr>
          <w:noProof/>
        </w:rPr>
        <w:t xml:space="preserve">to improve the </w:t>
      </w:r>
      <w:r w:rsidR="1612FECC" w:rsidRPr="00E65AA4">
        <w:rPr>
          <w:noProof/>
        </w:rPr>
        <w:t xml:space="preserve">governance </w:t>
      </w:r>
      <w:r w:rsidR="395FCF00" w:rsidRPr="00E65AA4">
        <w:rPr>
          <w:noProof/>
        </w:rPr>
        <w:t>of the EU’s anti-fraud architecture</w:t>
      </w:r>
      <w:r w:rsidR="6DF0A114" w:rsidRPr="00E65AA4">
        <w:rPr>
          <w:noProof/>
        </w:rPr>
        <w:t xml:space="preserve"> (AFA)</w:t>
      </w:r>
      <w:r w:rsidR="395FCF00" w:rsidRPr="00E65AA4">
        <w:rPr>
          <w:noProof/>
        </w:rPr>
        <w:t xml:space="preserve"> </w:t>
      </w:r>
      <w:r w:rsidR="1612FECC" w:rsidRPr="00E65AA4">
        <w:rPr>
          <w:noProof/>
        </w:rPr>
        <w:t xml:space="preserve">and </w:t>
      </w:r>
      <w:r w:rsidR="395FCF00" w:rsidRPr="00E65AA4">
        <w:rPr>
          <w:noProof/>
        </w:rPr>
        <w:t xml:space="preserve">for the report’s </w:t>
      </w:r>
      <w:r w:rsidR="1612FECC" w:rsidRPr="00E65AA4">
        <w:rPr>
          <w:noProof/>
        </w:rPr>
        <w:t>holistic approach</w:t>
      </w:r>
      <w:r w:rsidR="395FCF00" w:rsidRPr="00E65AA4">
        <w:rPr>
          <w:noProof/>
        </w:rPr>
        <w:t xml:space="preserve"> to be </w:t>
      </w:r>
      <w:r w:rsidR="0093726B" w:rsidRPr="00E65AA4">
        <w:rPr>
          <w:noProof/>
        </w:rPr>
        <w:t>expanded</w:t>
      </w:r>
      <w:r w:rsidR="53E543CE" w:rsidRPr="00E65AA4">
        <w:rPr>
          <w:noProof/>
        </w:rPr>
        <w:t>.</w:t>
      </w:r>
      <w:r w:rsidR="1612FECC" w:rsidRPr="00E65AA4">
        <w:rPr>
          <w:noProof/>
        </w:rPr>
        <w:t xml:space="preserve"> </w:t>
      </w:r>
      <w:r w:rsidR="53E543CE" w:rsidRPr="00E65AA4">
        <w:rPr>
          <w:noProof/>
        </w:rPr>
        <w:t xml:space="preserve">In line with </w:t>
      </w:r>
      <w:r w:rsidR="1A03738A" w:rsidRPr="00E65AA4">
        <w:rPr>
          <w:noProof/>
        </w:rPr>
        <w:t>this</w:t>
      </w:r>
      <w:r w:rsidR="3D1FBAAE" w:rsidRPr="00E65AA4">
        <w:rPr>
          <w:noProof/>
        </w:rPr>
        <w:t xml:space="preserve"> and previous</w:t>
      </w:r>
      <w:r w:rsidR="53E543CE" w:rsidRPr="00E65AA4">
        <w:rPr>
          <w:noProof/>
        </w:rPr>
        <w:t xml:space="preserve"> request</w:t>
      </w:r>
      <w:r w:rsidR="3D1FBAAE" w:rsidRPr="00E65AA4">
        <w:rPr>
          <w:noProof/>
        </w:rPr>
        <w:t>s</w:t>
      </w:r>
      <w:r w:rsidR="53E543CE" w:rsidRPr="00E65AA4">
        <w:rPr>
          <w:noProof/>
        </w:rPr>
        <w:t xml:space="preserve">, </w:t>
      </w:r>
      <w:r w:rsidR="1612FECC" w:rsidRPr="00E65AA4">
        <w:rPr>
          <w:noProof/>
        </w:rPr>
        <w:t xml:space="preserve">the </w:t>
      </w:r>
      <w:r w:rsidR="395FCF00" w:rsidRPr="00E65AA4">
        <w:rPr>
          <w:noProof/>
        </w:rPr>
        <w:t>202</w:t>
      </w:r>
      <w:r w:rsidR="3D1FBAAE" w:rsidRPr="00E65AA4">
        <w:rPr>
          <w:noProof/>
        </w:rPr>
        <w:t>5</w:t>
      </w:r>
      <w:r w:rsidR="395FCF00" w:rsidRPr="00E65AA4">
        <w:rPr>
          <w:noProof/>
        </w:rPr>
        <w:t xml:space="preserve"> PIF report </w:t>
      </w:r>
      <w:r w:rsidR="40163F42" w:rsidRPr="00E65AA4">
        <w:rPr>
          <w:noProof/>
        </w:rPr>
        <w:t>is</w:t>
      </w:r>
      <w:r w:rsidR="3D1FBAAE" w:rsidRPr="00E65AA4">
        <w:rPr>
          <w:noProof/>
        </w:rPr>
        <w:t xml:space="preserve"> based on the concept of the anti-fraud cycle to </w:t>
      </w:r>
      <w:r w:rsidR="00DD1645" w:rsidRPr="00E65AA4">
        <w:rPr>
          <w:noProof/>
        </w:rPr>
        <w:t xml:space="preserve">give </w:t>
      </w:r>
      <w:r w:rsidR="3D1FBAAE" w:rsidRPr="00E65AA4">
        <w:rPr>
          <w:noProof/>
        </w:rPr>
        <w:t xml:space="preserve">a </w:t>
      </w:r>
      <w:r w:rsidR="62C5F619" w:rsidRPr="00E65AA4">
        <w:rPr>
          <w:noProof/>
        </w:rPr>
        <w:t>more comprehensive overview of the key measures taken in 202</w:t>
      </w:r>
      <w:r w:rsidR="3D1FBAAE" w:rsidRPr="00E65AA4">
        <w:rPr>
          <w:noProof/>
        </w:rPr>
        <w:t>5</w:t>
      </w:r>
      <w:r w:rsidR="62C5F619" w:rsidRPr="00E65AA4">
        <w:rPr>
          <w:noProof/>
        </w:rPr>
        <w:t xml:space="preserve"> and </w:t>
      </w:r>
      <w:r w:rsidR="3D1FBAAE" w:rsidRPr="00E65AA4">
        <w:rPr>
          <w:noProof/>
        </w:rPr>
        <w:t xml:space="preserve">the main results </w:t>
      </w:r>
      <w:r w:rsidR="00DD1645" w:rsidRPr="00E65AA4">
        <w:rPr>
          <w:noProof/>
        </w:rPr>
        <w:t xml:space="preserve">achieved </w:t>
      </w:r>
      <w:r w:rsidR="3D1FBAAE" w:rsidRPr="00E65AA4">
        <w:rPr>
          <w:noProof/>
        </w:rPr>
        <w:t>by</w:t>
      </w:r>
      <w:r w:rsidR="62C5F619" w:rsidRPr="00E65AA4">
        <w:rPr>
          <w:noProof/>
        </w:rPr>
        <w:t xml:space="preserve"> </w:t>
      </w:r>
      <w:r w:rsidR="00E11F0A" w:rsidRPr="00E65AA4">
        <w:rPr>
          <w:noProof/>
        </w:rPr>
        <w:t>AFA</w:t>
      </w:r>
      <w:r w:rsidR="3D1FBAAE" w:rsidRPr="00E65AA4">
        <w:rPr>
          <w:noProof/>
        </w:rPr>
        <w:t xml:space="preserve"> </w:t>
      </w:r>
      <w:r w:rsidR="00DD1645" w:rsidRPr="00E65AA4">
        <w:rPr>
          <w:noProof/>
        </w:rPr>
        <w:t>actors in</w:t>
      </w:r>
      <w:r w:rsidR="3D1FBAAE" w:rsidRPr="00E65AA4">
        <w:rPr>
          <w:noProof/>
        </w:rPr>
        <w:t xml:space="preserve"> counter</w:t>
      </w:r>
      <w:r w:rsidR="00DD1645" w:rsidRPr="00E65AA4">
        <w:rPr>
          <w:noProof/>
        </w:rPr>
        <w:t>ing</w:t>
      </w:r>
      <w:r w:rsidR="3D1FBAAE" w:rsidRPr="00E65AA4">
        <w:rPr>
          <w:noProof/>
        </w:rPr>
        <w:t xml:space="preserve"> fraud and irregularities</w:t>
      </w:r>
      <w:r w:rsidR="1612FECC" w:rsidRPr="00E65AA4">
        <w:rPr>
          <w:noProof/>
        </w:rPr>
        <w:t>.</w:t>
      </w:r>
    </w:p>
    <w:bookmarkStart w:id="8" w:name="_Hlk169018490"/>
    <w:p w14:paraId="585ED76C" w14:textId="2001370A" w:rsidR="00067531" w:rsidRPr="00DE3A6F" w:rsidRDefault="005F502A" w:rsidP="00067531">
      <w:pPr>
        <w:rPr>
          <w:noProof/>
        </w:rPr>
      </w:pPr>
      <w:r w:rsidRPr="00DE3A6F">
        <w:rPr>
          <w:noProof/>
        </w:rPr>
        <w:fldChar w:fldCharType="begin"/>
      </w:r>
      <w:r w:rsidRPr="00DE3A6F">
        <w:rPr>
          <w:noProof/>
        </w:rPr>
        <w:instrText xml:space="preserve"> HYPERLINK  \l "_The_EU_anti-fraud" </w:instrText>
      </w:r>
      <w:r w:rsidRPr="00DE3A6F">
        <w:rPr>
          <w:noProof/>
        </w:rPr>
      </w:r>
      <w:r w:rsidRPr="00DE3A6F">
        <w:rPr>
          <w:noProof/>
        </w:rPr>
        <w:fldChar w:fldCharType="separate"/>
      </w:r>
      <w:r w:rsidR="53E543CE" w:rsidRPr="00E65AA4">
        <w:rPr>
          <w:rStyle w:val="Hyperlink"/>
          <w:noProof/>
        </w:rPr>
        <w:t>Section 2</w:t>
      </w:r>
      <w:r w:rsidRPr="00DE3A6F">
        <w:rPr>
          <w:noProof/>
        </w:rPr>
        <w:fldChar w:fldCharType="end"/>
      </w:r>
      <w:r w:rsidR="53E543CE" w:rsidRPr="00E65AA4">
        <w:rPr>
          <w:noProof/>
        </w:rPr>
        <w:t xml:space="preserve"> </w:t>
      </w:r>
      <w:r w:rsidR="3D1FBAAE" w:rsidRPr="00E65AA4">
        <w:rPr>
          <w:noProof/>
        </w:rPr>
        <w:t xml:space="preserve">covers the main developments </w:t>
      </w:r>
      <w:r w:rsidR="00B83849" w:rsidRPr="00E65AA4">
        <w:rPr>
          <w:noProof/>
        </w:rPr>
        <w:t xml:space="preserve">of </w:t>
      </w:r>
      <w:r w:rsidR="3D1FBAAE" w:rsidRPr="00E65AA4">
        <w:rPr>
          <w:noProof/>
        </w:rPr>
        <w:t xml:space="preserve">the </w:t>
      </w:r>
      <w:r w:rsidR="00835788" w:rsidRPr="00E65AA4">
        <w:rPr>
          <w:noProof/>
        </w:rPr>
        <w:t>AFA</w:t>
      </w:r>
      <w:r w:rsidR="3D1FBAAE" w:rsidRPr="00E65AA4">
        <w:rPr>
          <w:noProof/>
        </w:rPr>
        <w:t xml:space="preserve"> at European and national level</w:t>
      </w:r>
      <w:r w:rsidR="395FCF00" w:rsidRPr="00E65AA4">
        <w:rPr>
          <w:noProof/>
        </w:rPr>
        <w:t>. It looks at</w:t>
      </w:r>
      <w:r w:rsidR="5D201B42" w:rsidRPr="00E65AA4">
        <w:rPr>
          <w:noProof/>
        </w:rPr>
        <w:t xml:space="preserve"> </w:t>
      </w:r>
      <w:r w:rsidR="00E32250" w:rsidRPr="00E65AA4">
        <w:rPr>
          <w:noProof/>
        </w:rPr>
        <w:t xml:space="preserve">the </w:t>
      </w:r>
      <w:r w:rsidR="3D1FBAAE" w:rsidRPr="00E65AA4">
        <w:rPr>
          <w:noProof/>
        </w:rPr>
        <w:t>legal f</w:t>
      </w:r>
      <w:r w:rsidR="00FC3975" w:rsidRPr="00E65AA4">
        <w:rPr>
          <w:noProof/>
        </w:rPr>
        <w:t>ramework</w:t>
      </w:r>
      <w:r w:rsidR="3D1FBAAE" w:rsidRPr="00E65AA4">
        <w:rPr>
          <w:noProof/>
        </w:rPr>
        <w:t xml:space="preserve">, the consolidation of governance, major developments in </w:t>
      </w:r>
      <w:r w:rsidR="0017173F" w:rsidRPr="00E65AA4">
        <w:rPr>
          <w:noProof/>
        </w:rPr>
        <w:t xml:space="preserve">digitalising </w:t>
      </w:r>
      <w:r w:rsidR="3D1FBAAE" w:rsidRPr="00E65AA4">
        <w:rPr>
          <w:noProof/>
        </w:rPr>
        <w:t xml:space="preserve">the fight against fraud and the support offered by the Commission in this area through the Union </w:t>
      </w:r>
      <w:r w:rsidR="00982618" w:rsidRPr="00E65AA4">
        <w:rPr>
          <w:noProof/>
        </w:rPr>
        <w:t xml:space="preserve">anti-fraud programme </w:t>
      </w:r>
      <w:r w:rsidR="3D1FBAAE" w:rsidRPr="00E65AA4">
        <w:rPr>
          <w:noProof/>
        </w:rPr>
        <w:t>(UAFP).</w:t>
      </w:r>
      <w:r w:rsidR="5D201B42" w:rsidRPr="00E65AA4">
        <w:rPr>
          <w:noProof/>
        </w:rPr>
        <w:t xml:space="preserve"> </w:t>
      </w:r>
      <w:hyperlink w:anchor="_Digitalisation_of_the" w:history="1">
        <w:r w:rsidR="5D201B42" w:rsidRPr="00E65AA4">
          <w:rPr>
            <w:rStyle w:val="Hyperlink"/>
            <w:noProof/>
          </w:rPr>
          <w:t>Section 3</w:t>
        </w:r>
      </w:hyperlink>
      <w:r w:rsidR="5D201B42" w:rsidRPr="00E65AA4">
        <w:rPr>
          <w:noProof/>
        </w:rPr>
        <w:t xml:space="preserve"> presents data on the fight against fraud</w:t>
      </w:r>
      <w:r w:rsidR="3C600B1A" w:rsidRPr="00E65AA4">
        <w:rPr>
          <w:noProof/>
        </w:rPr>
        <w:t xml:space="preserve"> </w:t>
      </w:r>
      <w:r w:rsidR="0774E1F6" w:rsidRPr="00E65AA4">
        <w:rPr>
          <w:noProof/>
        </w:rPr>
        <w:t>from</w:t>
      </w:r>
      <w:r w:rsidR="3C600B1A" w:rsidRPr="00E65AA4">
        <w:rPr>
          <w:noProof/>
        </w:rPr>
        <w:t xml:space="preserve"> the four perspectives </w:t>
      </w:r>
      <w:r w:rsidR="00195342" w:rsidRPr="00E65AA4">
        <w:rPr>
          <w:noProof/>
        </w:rPr>
        <w:t xml:space="preserve">corresponding to </w:t>
      </w:r>
      <w:r w:rsidR="3C600B1A" w:rsidRPr="00E65AA4">
        <w:rPr>
          <w:noProof/>
        </w:rPr>
        <w:t xml:space="preserve">the stages of the anti-fraud cycle and on </w:t>
      </w:r>
      <w:r w:rsidR="00C36C34" w:rsidRPr="00E65AA4">
        <w:rPr>
          <w:noProof/>
        </w:rPr>
        <w:t xml:space="preserve">specific </w:t>
      </w:r>
      <w:r w:rsidR="000C6E91" w:rsidRPr="00E65AA4">
        <w:rPr>
          <w:noProof/>
        </w:rPr>
        <w:t xml:space="preserve">enablers </w:t>
      </w:r>
      <w:r w:rsidR="3C600B1A" w:rsidRPr="00E65AA4">
        <w:rPr>
          <w:noProof/>
        </w:rPr>
        <w:t xml:space="preserve">to which the EU budget </w:t>
      </w:r>
      <w:r w:rsidR="3C600B1A" w:rsidRPr="00E65AA4">
        <w:rPr>
          <w:noProof/>
        </w:rPr>
        <w:lastRenderedPageBreak/>
        <w:t xml:space="preserve">is exposed: </w:t>
      </w:r>
      <w:r w:rsidR="5D201B42" w:rsidRPr="00E65AA4">
        <w:rPr>
          <w:noProof/>
        </w:rPr>
        <w:t xml:space="preserve">corruption, </w:t>
      </w:r>
      <w:r w:rsidR="3C600B1A" w:rsidRPr="00E65AA4">
        <w:rPr>
          <w:noProof/>
        </w:rPr>
        <w:t>organised crime</w:t>
      </w:r>
      <w:r w:rsidR="00C36C34" w:rsidRPr="00E65AA4">
        <w:rPr>
          <w:noProof/>
        </w:rPr>
        <w:t xml:space="preserve"> and</w:t>
      </w:r>
      <w:r w:rsidR="3C600B1A" w:rsidRPr="00E65AA4">
        <w:rPr>
          <w:noProof/>
        </w:rPr>
        <w:t xml:space="preserve"> </w:t>
      </w:r>
      <w:r w:rsidR="5D201B42" w:rsidRPr="00E65AA4">
        <w:rPr>
          <w:noProof/>
        </w:rPr>
        <w:t xml:space="preserve">conflicts of interest. </w:t>
      </w:r>
      <w:hyperlink w:anchor="_Conclusions_and_recommendations" w:history="1">
        <w:r w:rsidR="5D201B42" w:rsidRPr="00E65AA4">
          <w:rPr>
            <w:rStyle w:val="Hyperlink"/>
            <w:noProof/>
          </w:rPr>
          <w:t xml:space="preserve">Section </w:t>
        </w:r>
        <w:r w:rsidR="3C600B1A" w:rsidRPr="00E65AA4">
          <w:rPr>
            <w:rStyle w:val="Hyperlink"/>
            <w:noProof/>
          </w:rPr>
          <w:t>4</w:t>
        </w:r>
      </w:hyperlink>
      <w:r w:rsidR="5D201B42" w:rsidRPr="00E65AA4">
        <w:rPr>
          <w:noProof/>
        </w:rPr>
        <w:t xml:space="preserve"> provides conclusions and recommendations.</w:t>
      </w:r>
    </w:p>
    <w:p w14:paraId="3A299EF9" w14:textId="78C7612C" w:rsidR="00093AB1" w:rsidRPr="00DE3A6F" w:rsidRDefault="00093AB1" w:rsidP="00A01F05">
      <w:pPr>
        <w:pStyle w:val="Heading2"/>
        <w:rPr>
          <w:noProof/>
        </w:rPr>
      </w:pPr>
      <w:bookmarkStart w:id="9" w:name="_Data_sources"/>
      <w:bookmarkStart w:id="10" w:name="_Methodological_approach"/>
      <w:bookmarkStart w:id="11" w:name="_Toc234447039"/>
      <w:bookmarkStart w:id="12" w:name="_Toc202011314"/>
      <w:bookmarkEnd w:id="8"/>
      <w:bookmarkEnd w:id="9"/>
      <w:bookmarkEnd w:id="10"/>
      <w:r w:rsidRPr="00DE3A6F">
        <w:rPr>
          <w:noProof/>
        </w:rPr>
        <w:t>Methodological approach</w:t>
      </w:r>
      <w:bookmarkEnd w:id="11"/>
    </w:p>
    <w:p w14:paraId="09F4FF37" w14:textId="77777777" w:rsidR="00883671" w:rsidRPr="00DE3A6F" w:rsidRDefault="00883671" w:rsidP="00F43E85">
      <w:pPr>
        <w:pStyle w:val="Heading3"/>
        <w:rPr>
          <w:noProof/>
        </w:rPr>
      </w:pPr>
      <w:bookmarkStart w:id="13" w:name="_A_systemic_approach"/>
      <w:bookmarkEnd w:id="13"/>
      <w:r w:rsidRPr="00DE3A6F">
        <w:rPr>
          <w:noProof/>
        </w:rPr>
        <w:t xml:space="preserve"> </w:t>
      </w:r>
      <w:bookmarkStart w:id="14" w:name="_Toc234447040"/>
      <w:r w:rsidRPr="00DE3A6F">
        <w:rPr>
          <w:noProof/>
        </w:rPr>
        <w:t>A systemic approach to the anti-fraud cycle</w:t>
      </w:r>
      <w:bookmarkEnd w:id="14"/>
    </w:p>
    <w:p w14:paraId="5F6844FE" w14:textId="09203F39" w:rsidR="00234A05" w:rsidRPr="00E65AA4" w:rsidRDefault="00717401" w:rsidP="28D37C99">
      <w:pPr>
        <w:rPr>
          <w:noProof/>
          <w:sz w:val="24"/>
          <w:szCs w:val="24"/>
          <w:lang w:eastAsia="en-IE"/>
        </w:rPr>
      </w:pPr>
      <w:r>
        <w:rPr>
          <w:noProof/>
          <w:sz w:val="24"/>
          <w:szCs w:val="24"/>
          <w:lang w:eastAsia="en-IE"/>
        </w:rPr>
        <w:t>Following calls from the European Parliament to enhance the PIF report</w:t>
      </w:r>
      <w:r w:rsidR="00CF379A">
        <w:rPr>
          <w:noProof/>
          <w:sz w:val="24"/>
          <w:szCs w:val="24"/>
          <w:lang w:eastAsia="en-IE"/>
        </w:rPr>
        <w:t>’s</w:t>
      </w:r>
      <w:r>
        <w:rPr>
          <w:noProof/>
          <w:sz w:val="24"/>
          <w:szCs w:val="24"/>
          <w:lang w:eastAsia="en-IE"/>
        </w:rPr>
        <w:t xml:space="preserve"> holistic approach and the Commission’s commitment to develop it accordingly, t</w:t>
      </w:r>
      <w:r w:rsidR="00234A05" w:rsidRPr="00E65AA4">
        <w:rPr>
          <w:noProof/>
          <w:sz w:val="24"/>
          <w:szCs w:val="24"/>
          <w:lang w:eastAsia="en-IE"/>
        </w:rPr>
        <w:t xml:space="preserve">his year’s report adopts a </w:t>
      </w:r>
      <w:r w:rsidR="00234A05" w:rsidRPr="00E65AA4">
        <w:rPr>
          <w:b/>
          <w:bCs/>
          <w:noProof/>
          <w:sz w:val="24"/>
          <w:szCs w:val="24"/>
          <w:lang w:eastAsia="en-IE"/>
        </w:rPr>
        <w:t>systemic perspective</w:t>
      </w:r>
      <w:r w:rsidR="00234A05" w:rsidRPr="00E65AA4">
        <w:rPr>
          <w:noProof/>
          <w:sz w:val="24"/>
          <w:szCs w:val="24"/>
          <w:lang w:eastAsia="en-IE"/>
        </w:rPr>
        <w:t xml:space="preserve">, </w:t>
      </w:r>
      <w:r w:rsidR="00F4281B" w:rsidRPr="00E65AA4">
        <w:rPr>
          <w:noProof/>
          <w:sz w:val="24"/>
          <w:szCs w:val="24"/>
          <w:lang w:eastAsia="en-IE"/>
        </w:rPr>
        <w:t xml:space="preserve">supplementing </w:t>
      </w:r>
      <w:r w:rsidR="00234A05" w:rsidRPr="00E65AA4">
        <w:rPr>
          <w:noProof/>
          <w:sz w:val="24"/>
          <w:szCs w:val="24"/>
          <w:lang w:eastAsia="en-IE"/>
        </w:rPr>
        <w:t xml:space="preserve">the traditional focus on detection with a broader analysis of the </w:t>
      </w:r>
      <w:r w:rsidR="00234A05" w:rsidRPr="00E65AA4">
        <w:rPr>
          <w:b/>
          <w:bCs/>
          <w:noProof/>
          <w:sz w:val="24"/>
          <w:szCs w:val="24"/>
          <w:lang w:eastAsia="en-IE"/>
        </w:rPr>
        <w:t>entire anti-fraud cycle</w:t>
      </w:r>
      <w:r w:rsidR="00234A05" w:rsidRPr="00E65AA4">
        <w:rPr>
          <w:noProof/>
          <w:sz w:val="24"/>
          <w:szCs w:val="24"/>
          <w:lang w:eastAsia="en-IE"/>
        </w:rPr>
        <w:t xml:space="preserve"> (see </w:t>
      </w:r>
      <w:r w:rsidR="00234A05" w:rsidRPr="00E65AA4">
        <w:rPr>
          <w:b/>
          <w:bCs/>
          <w:noProof/>
          <w:sz w:val="24"/>
          <w:szCs w:val="24"/>
          <w:lang w:eastAsia="en-IE"/>
        </w:rPr>
        <w:t>Figure 1</w:t>
      </w:r>
      <w:r w:rsidR="00234A05" w:rsidRPr="00E65AA4">
        <w:rPr>
          <w:noProof/>
          <w:sz w:val="24"/>
          <w:szCs w:val="24"/>
          <w:lang w:eastAsia="en-IE"/>
        </w:rPr>
        <w:t>). This approach ensures a comprehensive assessment of efforts to protect the EU’s financial interests.</w:t>
      </w:r>
    </w:p>
    <w:p w14:paraId="2A2A2245" w14:textId="530B4BAF" w:rsidR="55F90E3E" w:rsidRPr="00DE3A6F" w:rsidRDefault="00463A77" w:rsidP="00463A77">
      <w:pPr>
        <w:pStyle w:val="Caption"/>
        <w:rPr>
          <w:b w:val="0"/>
          <w:bCs/>
          <w:i w:val="0"/>
          <w:iCs/>
          <w:noProof/>
        </w:rPr>
      </w:pPr>
      <w:r w:rsidRPr="00DE3A6F">
        <w:rPr>
          <w:noProof/>
        </w:rPr>
        <w:t xml:space="preserve">Figure </w:t>
      </w:r>
      <w:r w:rsidR="00C634A0" w:rsidRPr="00DE3A6F">
        <w:rPr>
          <w:noProof/>
        </w:rPr>
        <w:fldChar w:fldCharType="begin"/>
      </w:r>
      <w:r w:rsidR="00C634A0" w:rsidRPr="00DE3A6F">
        <w:rPr>
          <w:noProof/>
        </w:rPr>
        <w:instrText xml:space="preserve"> SEQ Figure \* ARABIC </w:instrText>
      </w:r>
      <w:r w:rsidR="00C634A0" w:rsidRPr="00DE3A6F">
        <w:rPr>
          <w:noProof/>
        </w:rPr>
        <w:fldChar w:fldCharType="separate"/>
      </w:r>
      <w:r w:rsidR="00A13C63">
        <w:rPr>
          <w:noProof/>
        </w:rPr>
        <w:t>1</w:t>
      </w:r>
      <w:r w:rsidR="00C634A0" w:rsidRPr="00DE3A6F">
        <w:rPr>
          <w:noProof/>
        </w:rPr>
        <w:fldChar w:fldCharType="end"/>
      </w:r>
      <w:r w:rsidR="598D54DC" w:rsidRPr="00DE3A6F">
        <w:rPr>
          <w:bCs/>
          <w:iCs/>
          <w:noProof/>
        </w:rPr>
        <w:t xml:space="preserve">: </w:t>
      </w:r>
      <w:r w:rsidR="7F6D8A85" w:rsidRPr="00DE3A6F">
        <w:rPr>
          <w:bCs/>
          <w:iCs/>
          <w:noProof/>
        </w:rPr>
        <w:t>The anti-fraud cycle</w:t>
      </w:r>
    </w:p>
    <w:p w14:paraId="5E614B9B" w14:textId="7B2C6CA6" w:rsidR="782B6995" w:rsidRPr="00DE3A6F" w:rsidRDefault="00876805" w:rsidP="221E107C">
      <w:pPr>
        <w:jc w:val="center"/>
        <w:rPr>
          <w:noProof/>
        </w:rPr>
      </w:pPr>
      <w:r w:rsidRPr="00E65AA4">
        <w:rPr>
          <w:noProof/>
        </w:rPr>
        <w:drawing>
          <wp:inline distT="0" distB="0" distL="0" distR="0" wp14:anchorId="342E4E2E" wp14:editId="7EDF19DB">
            <wp:extent cx="5472430" cy="3192145"/>
            <wp:effectExtent l="0" t="0" r="0" b="0"/>
            <wp:docPr id="265993543" name="Diagram 10" descr="The figure represents the anti-fraud cycle, a circle divided in four segments, each referring to one stage of the cycle: 1) prevention, 2) detection, 3) investigation and prosecution, and 4) recovery and sanctioning."/>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1C73308" w14:textId="31CA4A00" w:rsidR="00895D64" w:rsidRPr="00DE3A6F" w:rsidRDefault="00895D64" w:rsidP="00895D64">
      <w:pPr>
        <w:rPr>
          <w:noProof/>
        </w:rPr>
      </w:pPr>
      <w:r w:rsidRPr="00E65AA4">
        <w:rPr>
          <w:noProof/>
        </w:rPr>
        <w:t>The anti-fraud cycle comprises f</w:t>
      </w:r>
      <w:r w:rsidR="003802F9" w:rsidRPr="00E65AA4">
        <w:rPr>
          <w:noProof/>
        </w:rPr>
        <w:t>our</w:t>
      </w:r>
      <w:r w:rsidRPr="00E65AA4">
        <w:rPr>
          <w:noProof/>
        </w:rPr>
        <w:t xml:space="preserve"> interlinked stages</w:t>
      </w:r>
      <w:r w:rsidR="003802F9" w:rsidRPr="00E65AA4">
        <w:rPr>
          <w:noProof/>
        </w:rPr>
        <w:t xml:space="preserve"> and an additional key element</w:t>
      </w:r>
      <w:r w:rsidRPr="00E65AA4">
        <w:rPr>
          <w:noProof/>
        </w:rPr>
        <w:t>:</w:t>
      </w:r>
    </w:p>
    <w:p w14:paraId="61FD9DB6" w14:textId="15DFE331" w:rsidR="00895D64" w:rsidRPr="00DE3A6F" w:rsidRDefault="00895D64" w:rsidP="00895D64">
      <w:pPr>
        <w:numPr>
          <w:ilvl w:val="0"/>
          <w:numId w:val="41"/>
        </w:numPr>
        <w:rPr>
          <w:noProof/>
        </w:rPr>
      </w:pPr>
      <w:r w:rsidRPr="00DE3A6F">
        <w:rPr>
          <w:b/>
          <w:bCs/>
          <w:noProof/>
        </w:rPr>
        <w:t>Prevention</w:t>
      </w:r>
      <w:r w:rsidRPr="00DE3A6F">
        <w:rPr>
          <w:noProof/>
        </w:rPr>
        <w:t xml:space="preserve"> – </w:t>
      </w:r>
      <w:r w:rsidR="00F4281B" w:rsidRPr="00DE3A6F">
        <w:rPr>
          <w:noProof/>
        </w:rPr>
        <w:t>limiting</w:t>
      </w:r>
      <w:r w:rsidRPr="00DE3A6F">
        <w:rPr>
          <w:noProof/>
        </w:rPr>
        <w:t xml:space="preserve"> opportunities for fraud and irregularities.</w:t>
      </w:r>
    </w:p>
    <w:p w14:paraId="599826DB" w14:textId="24C77DB3" w:rsidR="00895D64" w:rsidRPr="00DE3A6F" w:rsidRDefault="00895D64" w:rsidP="00895D64">
      <w:pPr>
        <w:numPr>
          <w:ilvl w:val="0"/>
          <w:numId w:val="41"/>
        </w:numPr>
        <w:rPr>
          <w:noProof/>
        </w:rPr>
      </w:pPr>
      <w:r w:rsidRPr="00DE3A6F">
        <w:rPr>
          <w:b/>
          <w:bCs/>
          <w:noProof/>
        </w:rPr>
        <w:t>Detection</w:t>
      </w:r>
      <w:r w:rsidRPr="00DE3A6F">
        <w:rPr>
          <w:noProof/>
        </w:rPr>
        <w:t xml:space="preserve"> – </w:t>
      </w:r>
      <w:r w:rsidR="00F4281B" w:rsidRPr="00DE3A6F">
        <w:rPr>
          <w:noProof/>
        </w:rPr>
        <w:t>identifying</w:t>
      </w:r>
      <w:r w:rsidRPr="00DE3A6F">
        <w:rPr>
          <w:noProof/>
        </w:rPr>
        <w:t xml:space="preserve"> and addressing cases of fraud or irregularities.</w:t>
      </w:r>
    </w:p>
    <w:p w14:paraId="3D17944C" w14:textId="1F5FA00A" w:rsidR="00895D64" w:rsidRPr="00DE3A6F" w:rsidRDefault="44ED0760" w:rsidP="00895D64">
      <w:pPr>
        <w:numPr>
          <w:ilvl w:val="0"/>
          <w:numId w:val="41"/>
        </w:numPr>
        <w:rPr>
          <w:noProof/>
        </w:rPr>
      </w:pPr>
      <w:r w:rsidRPr="00E65AA4">
        <w:rPr>
          <w:b/>
          <w:bCs/>
          <w:noProof/>
        </w:rPr>
        <w:t>Investigation</w:t>
      </w:r>
      <w:r w:rsidRPr="00E65AA4">
        <w:rPr>
          <w:noProof/>
        </w:rPr>
        <w:t xml:space="preserve"> – </w:t>
      </w:r>
      <w:r w:rsidR="00F4281B" w:rsidRPr="00E65AA4">
        <w:rPr>
          <w:noProof/>
        </w:rPr>
        <w:t>gathering</w:t>
      </w:r>
      <w:r w:rsidRPr="00E65AA4">
        <w:rPr>
          <w:noProof/>
        </w:rPr>
        <w:t xml:space="preserve"> evidence to confirm fraud</w:t>
      </w:r>
      <w:r w:rsidR="00F4281B" w:rsidRPr="00E65AA4">
        <w:rPr>
          <w:noProof/>
        </w:rPr>
        <w:t xml:space="preserve"> and </w:t>
      </w:r>
      <w:r w:rsidR="6068E530" w:rsidRPr="00E65AA4">
        <w:rPr>
          <w:noProof/>
        </w:rPr>
        <w:t>irregularities</w:t>
      </w:r>
      <w:r w:rsidRPr="00E65AA4">
        <w:rPr>
          <w:noProof/>
        </w:rPr>
        <w:t xml:space="preserve"> and identify perpetrators.</w:t>
      </w:r>
    </w:p>
    <w:p w14:paraId="4CA1014C" w14:textId="706F3391" w:rsidR="00895D64" w:rsidRPr="00DE3A6F" w:rsidRDefault="00895D64" w:rsidP="00895D64">
      <w:pPr>
        <w:numPr>
          <w:ilvl w:val="0"/>
          <w:numId w:val="41"/>
        </w:numPr>
        <w:rPr>
          <w:noProof/>
        </w:rPr>
      </w:pPr>
      <w:r w:rsidRPr="00DE3A6F">
        <w:rPr>
          <w:b/>
          <w:bCs/>
          <w:noProof/>
        </w:rPr>
        <w:t>Recovery and sanctioning</w:t>
      </w:r>
      <w:r w:rsidRPr="00DE3A6F">
        <w:rPr>
          <w:noProof/>
        </w:rPr>
        <w:t xml:space="preserve"> – </w:t>
      </w:r>
      <w:r w:rsidR="00DB5166" w:rsidRPr="00DE3A6F">
        <w:rPr>
          <w:noProof/>
        </w:rPr>
        <w:t>recovering</w:t>
      </w:r>
      <w:r w:rsidRPr="00DE3A6F">
        <w:rPr>
          <w:noProof/>
        </w:rPr>
        <w:t xml:space="preserve"> funds and applying corrective measures (e.g., judicial proceedings, disciplinary action).</w:t>
      </w:r>
    </w:p>
    <w:p w14:paraId="57BBAAB5" w14:textId="18F3A08C" w:rsidR="00895D64" w:rsidRPr="00DE3A6F" w:rsidRDefault="00895D64" w:rsidP="00895D64">
      <w:pPr>
        <w:numPr>
          <w:ilvl w:val="0"/>
          <w:numId w:val="41"/>
        </w:numPr>
        <w:rPr>
          <w:noProof/>
        </w:rPr>
      </w:pPr>
      <w:r w:rsidRPr="00E65AA4">
        <w:rPr>
          <w:b/>
          <w:bCs/>
          <w:noProof/>
        </w:rPr>
        <w:t>Reporting</w:t>
      </w:r>
      <w:r w:rsidRPr="00E65AA4">
        <w:rPr>
          <w:noProof/>
        </w:rPr>
        <w:t xml:space="preserve"> – </w:t>
      </w:r>
      <w:r w:rsidR="00DB5166" w:rsidRPr="00E65AA4">
        <w:rPr>
          <w:noProof/>
        </w:rPr>
        <w:t xml:space="preserve">supplying </w:t>
      </w:r>
      <w:r w:rsidRPr="00E65AA4">
        <w:rPr>
          <w:noProof/>
        </w:rPr>
        <w:t>data to analyse performance and inform policy adjustments.</w:t>
      </w:r>
    </w:p>
    <w:p w14:paraId="1D3256BD" w14:textId="7958457F" w:rsidR="00AE33C2" w:rsidRPr="00DE3A6F" w:rsidRDefault="00AE33C2" w:rsidP="00AE33C2">
      <w:pPr>
        <w:rPr>
          <w:noProof/>
        </w:rPr>
      </w:pPr>
      <w:r w:rsidRPr="00DE3A6F">
        <w:rPr>
          <w:b/>
          <w:bCs/>
          <w:noProof/>
        </w:rPr>
        <w:t>Member States</w:t>
      </w:r>
      <w:r w:rsidRPr="00DE3A6F">
        <w:rPr>
          <w:noProof/>
        </w:rPr>
        <w:t xml:space="preserve"> must report detected irregularities and fraud </w:t>
      </w:r>
      <w:r w:rsidR="009653FC" w:rsidRPr="00CA1602">
        <w:rPr>
          <w:noProof/>
        </w:rPr>
        <w:t>to comply</w:t>
      </w:r>
      <w:r w:rsidRPr="00DE3A6F">
        <w:rPr>
          <w:noProof/>
        </w:rPr>
        <w:t xml:space="preserve"> with sectoral obligations, while </w:t>
      </w:r>
      <w:r w:rsidRPr="00DE3A6F">
        <w:rPr>
          <w:b/>
          <w:bCs/>
          <w:noProof/>
        </w:rPr>
        <w:t>EU anti-fraud actors</w:t>
      </w:r>
      <w:r w:rsidRPr="00DE3A6F">
        <w:rPr>
          <w:noProof/>
        </w:rPr>
        <w:t xml:space="preserve"> (e.g., OLAF, EPPO) provide investigative data. This reporting is critical: it enables the cycle’s effectiveness </w:t>
      </w:r>
      <w:r w:rsidR="007262DC" w:rsidRPr="00CA1602">
        <w:rPr>
          <w:noProof/>
        </w:rPr>
        <w:t xml:space="preserve">to be analysed </w:t>
      </w:r>
      <w:r w:rsidRPr="00DE3A6F">
        <w:rPr>
          <w:noProof/>
        </w:rPr>
        <w:t>and supports evidence-based feedback to improve all stages.</w:t>
      </w:r>
    </w:p>
    <w:p w14:paraId="6F301F1B" w14:textId="4A6F081B" w:rsidR="001C4FE9" w:rsidRPr="00DE3A6F" w:rsidRDefault="00AE33C2" w:rsidP="00AE33C2">
      <w:pPr>
        <w:rPr>
          <w:noProof/>
        </w:rPr>
      </w:pPr>
      <w:r w:rsidRPr="00E65AA4">
        <w:rPr>
          <w:noProof/>
        </w:rPr>
        <w:t xml:space="preserve">The stages of the cycle are </w:t>
      </w:r>
      <w:r w:rsidRPr="00E65AA4">
        <w:rPr>
          <w:b/>
          <w:bCs/>
          <w:noProof/>
        </w:rPr>
        <w:t>interdependent</w:t>
      </w:r>
      <w:r w:rsidR="00E564AD" w:rsidRPr="00E65AA4">
        <w:rPr>
          <w:noProof/>
        </w:rPr>
        <w:t>, as c</w:t>
      </w:r>
      <w:r w:rsidRPr="00E65AA4">
        <w:rPr>
          <w:noProof/>
        </w:rPr>
        <w:t xml:space="preserve">hanges in one area affect others. Multiple </w:t>
      </w:r>
      <w:r w:rsidRPr="00E65AA4">
        <w:rPr>
          <w:b/>
          <w:bCs/>
          <w:noProof/>
        </w:rPr>
        <w:t>EU and national actors</w:t>
      </w:r>
      <w:r w:rsidRPr="00E65AA4">
        <w:rPr>
          <w:noProof/>
        </w:rPr>
        <w:t xml:space="preserve"> operate across these stages, and </w:t>
      </w:r>
      <w:r w:rsidR="007C3E5B" w:rsidRPr="00E65AA4">
        <w:rPr>
          <w:noProof/>
        </w:rPr>
        <w:t xml:space="preserve">it </w:t>
      </w:r>
      <w:r w:rsidRPr="00E65AA4">
        <w:rPr>
          <w:noProof/>
        </w:rPr>
        <w:t>is essential</w:t>
      </w:r>
      <w:r w:rsidR="005C3E5E" w:rsidRPr="00E65AA4">
        <w:rPr>
          <w:noProof/>
        </w:rPr>
        <w:t xml:space="preserve"> for them to coordinate with each </w:t>
      </w:r>
      <w:r w:rsidR="005C3E5E" w:rsidRPr="00E65AA4">
        <w:rPr>
          <w:noProof/>
        </w:rPr>
        <w:lastRenderedPageBreak/>
        <w:t>other</w:t>
      </w:r>
      <w:r w:rsidRPr="00E65AA4">
        <w:rPr>
          <w:noProof/>
        </w:rPr>
        <w:t xml:space="preserve">. To strengthen this collaboration, the Commission has long advocated for </w:t>
      </w:r>
      <w:r w:rsidRPr="00E65AA4">
        <w:rPr>
          <w:b/>
          <w:bCs/>
          <w:noProof/>
        </w:rPr>
        <w:t>national anti-fraud strategies</w:t>
      </w:r>
      <w:r w:rsidR="001C4FE9" w:rsidRPr="00E65AA4">
        <w:rPr>
          <w:noProof/>
        </w:rPr>
        <w:t>.</w:t>
      </w:r>
    </w:p>
    <w:p w14:paraId="0EB39693" w14:textId="5B943162" w:rsidR="00AE33C2" w:rsidRPr="00DE3A6F" w:rsidRDefault="001C4FE9" w:rsidP="003C75A7">
      <w:pPr>
        <w:rPr>
          <w:noProof/>
        </w:rPr>
      </w:pPr>
      <w:r w:rsidRPr="00E65AA4">
        <w:rPr>
          <w:noProof/>
        </w:rPr>
        <w:t>This new approach also</w:t>
      </w:r>
      <w:r w:rsidR="00AE33C2" w:rsidRPr="00E65AA4">
        <w:rPr>
          <w:noProof/>
        </w:rPr>
        <w:t xml:space="preserve"> align</w:t>
      </w:r>
      <w:r w:rsidR="00B83FEE" w:rsidRPr="00E65AA4">
        <w:rPr>
          <w:noProof/>
        </w:rPr>
        <w:t>s</w:t>
      </w:r>
      <w:r w:rsidR="00AE33C2" w:rsidRPr="00E65AA4">
        <w:rPr>
          <w:noProof/>
        </w:rPr>
        <w:t xml:space="preserve"> with repeated calls from the </w:t>
      </w:r>
      <w:r w:rsidR="00AE33C2" w:rsidRPr="00E65AA4">
        <w:rPr>
          <w:b/>
          <w:bCs/>
          <w:noProof/>
        </w:rPr>
        <w:t>European Parliament</w:t>
      </w:r>
      <w:r w:rsidR="00AE33C2" w:rsidRPr="00E65AA4">
        <w:rPr>
          <w:noProof/>
        </w:rPr>
        <w:t xml:space="preserve"> for the PIF report to</w:t>
      </w:r>
      <w:r w:rsidR="00B83FEE" w:rsidRPr="00E65AA4">
        <w:rPr>
          <w:noProof/>
        </w:rPr>
        <w:t xml:space="preserve"> </w:t>
      </w:r>
      <w:r w:rsidR="00AE33C2" w:rsidRPr="00E65AA4">
        <w:rPr>
          <w:noProof/>
        </w:rPr>
        <w:t xml:space="preserve">provide a </w:t>
      </w:r>
      <w:r w:rsidR="00AE33C2" w:rsidRPr="00E65AA4">
        <w:rPr>
          <w:b/>
          <w:bCs/>
          <w:noProof/>
        </w:rPr>
        <w:t>fuller picture</w:t>
      </w:r>
      <w:r w:rsidR="00AE33C2" w:rsidRPr="00E65AA4">
        <w:rPr>
          <w:noProof/>
        </w:rPr>
        <w:t xml:space="preserve"> of anti-fraud </w:t>
      </w:r>
      <w:r w:rsidR="0036148D" w:rsidRPr="00E65AA4">
        <w:rPr>
          <w:noProof/>
        </w:rPr>
        <w:t>efforts and</w:t>
      </w:r>
      <w:r w:rsidR="00B83FEE" w:rsidRPr="00E65AA4">
        <w:rPr>
          <w:noProof/>
        </w:rPr>
        <w:t xml:space="preserve"> </w:t>
      </w:r>
      <w:r w:rsidR="00AE33C2" w:rsidRPr="00E65AA4">
        <w:rPr>
          <w:noProof/>
        </w:rPr>
        <w:t xml:space="preserve">measure the performance of </w:t>
      </w:r>
      <w:r w:rsidR="00AE33C2" w:rsidRPr="00E65AA4">
        <w:rPr>
          <w:b/>
          <w:bCs/>
          <w:noProof/>
        </w:rPr>
        <w:t>all actors</w:t>
      </w:r>
      <w:r w:rsidR="00AE33C2" w:rsidRPr="00E65AA4">
        <w:rPr>
          <w:noProof/>
        </w:rPr>
        <w:t xml:space="preserve"> at EU and national level.</w:t>
      </w:r>
    </w:p>
    <w:p w14:paraId="72ABDE20" w14:textId="77777777" w:rsidR="00093AB1" w:rsidRPr="00DE3A6F" w:rsidRDefault="00093AB1" w:rsidP="00F43E85">
      <w:pPr>
        <w:pStyle w:val="Heading3"/>
        <w:rPr>
          <w:noProof/>
        </w:rPr>
      </w:pPr>
      <w:bookmarkStart w:id="15" w:name="_Prevention"/>
      <w:bookmarkStart w:id="16" w:name="_Toc234447041"/>
      <w:bookmarkEnd w:id="15"/>
      <w:r w:rsidRPr="00DE3A6F">
        <w:rPr>
          <w:noProof/>
        </w:rPr>
        <w:t>Prevention</w:t>
      </w:r>
      <w:bookmarkEnd w:id="16"/>
    </w:p>
    <w:p w14:paraId="08A161E7" w14:textId="2096CE19" w:rsidR="0017263F" w:rsidRPr="00DE3A6F" w:rsidRDefault="0017263F" w:rsidP="0017263F">
      <w:pPr>
        <w:rPr>
          <w:noProof/>
        </w:rPr>
      </w:pPr>
      <w:r w:rsidRPr="00E65AA4">
        <w:rPr>
          <w:noProof/>
        </w:rPr>
        <w:t xml:space="preserve">Preventive measures aim to </w:t>
      </w:r>
      <w:r w:rsidRPr="00E65AA4">
        <w:rPr>
          <w:b/>
          <w:bCs/>
          <w:noProof/>
        </w:rPr>
        <w:t>minimise the occurrence</w:t>
      </w:r>
      <w:r w:rsidRPr="00E65AA4">
        <w:rPr>
          <w:noProof/>
        </w:rPr>
        <w:t xml:space="preserve"> of irregularities and fraud. </w:t>
      </w:r>
      <w:r w:rsidR="005C3E5E" w:rsidRPr="00E65AA4">
        <w:rPr>
          <w:noProof/>
        </w:rPr>
        <w:t xml:space="preserve">They </w:t>
      </w:r>
      <w:r w:rsidRPr="00E65AA4">
        <w:rPr>
          <w:noProof/>
        </w:rPr>
        <w:t>may include:</w:t>
      </w:r>
    </w:p>
    <w:p w14:paraId="3235827A" w14:textId="546D6A33" w:rsidR="0017263F" w:rsidRPr="00DE3A6F" w:rsidRDefault="0017263F" w:rsidP="0017263F">
      <w:pPr>
        <w:numPr>
          <w:ilvl w:val="0"/>
          <w:numId w:val="44"/>
        </w:numPr>
        <w:rPr>
          <w:noProof/>
        </w:rPr>
      </w:pPr>
      <w:r w:rsidRPr="00DE3A6F">
        <w:rPr>
          <w:noProof/>
        </w:rPr>
        <w:t>legislative action (e.g. stricter rules);</w:t>
      </w:r>
    </w:p>
    <w:p w14:paraId="49DB4570" w14:textId="04900D8F" w:rsidR="0017263F" w:rsidRPr="00DE3A6F" w:rsidRDefault="0017263F" w:rsidP="0017263F">
      <w:pPr>
        <w:numPr>
          <w:ilvl w:val="0"/>
          <w:numId w:val="44"/>
        </w:numPr>
        <w:rPr>
          <w:noProof/>
        </w:rPr>
      </w:pPr>
      <w:r w:rsidRPr="00E65AA4">
        <w:rPr>
          <w:noProof/>
        </w:rPr>
        <w:t>institutional frameworks (e.g. specialised bodies, robust procedures);</w:t>
      </w:r>
    </w:p>
    <w:p w14:paraId="7C03B1CD" w14:textId="77777777" w:rsidR="0017263F" w:rsidRPr="00DE3A6F" w:rsidRDefault="0017263F" w:rsidP="0017263F">
      <w:pPr>
        <w:numPr>
          <w:ilvl w:val="0"/>
          <w:numId w:val="44"/>
        </w:numPr>
        <w:rPr>
          <w:noProof/>
        </w:rPr>
      </w:pPr>
      <w:r w:rsidRPr="00DE3A6F">
        <w:rPr>
          <w:noProof/>
        </w:rPr>
        <w:t>transparency and accountability mechanisms;</w:t>
      </w:r>
    </w:p>
    <w:p w14:paraId="34C8F6B1" w14:textId="77777777" w:rsidR="0017263F" w:rsidRPr="00DE3A6F" w:rsidRDefault="0017263F" w:rsidP="0017263F">
      <w:pPr>
        <w:numPr>
          <w:ilvl w:val="0"/>
          <w:numId w:val="44"/>
        </w:numPr>
        <w:rPr>
          <w:noProof/>
        </w:rPr>
      </w:pPr>
      <w:r w:rsidRPr="00DE3A6F">
        <w:rPr>
          <w:noProof/>
        </w:rPr>
        <w:t>staff training and awareness-raising; and</w:t>
      </w:r>
    </w:p>
    <w:p w14:paraId="26EDE072" w14:textId="2564D110" w:rsidR="0017263F" w:rsidRPr="00DE3A6F" w:rsidRDefault="0017263F" w:rsidP="008C51BF">
      <w:pPr>
        <w:numPr>
          <w:ilvl w:val="0"/>
          <w:numId w:val="44"/>
        </w:numPr>
        <w:rPr>
          <w:noProof/>
        </w:rPr>
      </w:pPr>
      <w:r w:rsidRPr="00E65AA4">
        <w:rPr>
          <w:noProof/>
        </w:rPr>
        <w:t>organisational culture (e.g. zero-tolerance policies).</w:t>
      </w:r>
    </w:p>
    <w:p w14:paraId="4CC2C40B" w14:textId="103CF076" w:rsidR="009D548A" w:rsidRPr="00DE3A6F" w:rsidRDefault="009D548A" w:rsidP="008C51BF">
      <w:pPr>
        <w:rPr>
          <w:noProof/>
        </w:rPr>
      </w:pPr>
      <w:r w:rsidRPr="00E65AA4">
        <w:rPr>
          <w:noProof/>
        </w:rPr>
        <w:t xml:space="preserve">A </w:t>
      </w:r>
      <w:r w:rsidRPr="00E65AA4">
        <w:rPr>
          <w:b/>
          <w:bCs/>
          <w:noProof/>
        </w:rPr>
        <w:t>well-designed management and control system</w:t>
      </w:r>
      <w:r w:rsidRPr="00E65AA4">
        <w:rPr>
          <w:noProof/>
        </w:rPr>
        <w:t xml:space="preserve"> can </w:t>
      </w:r>
      <w:r w:rsidRPr="00E65AA4">
        <w:rPr>
          <w:b/>
          <w:bCs/>
          <w:noProof/>
        </w:rPr>
        <w:t>deter fraud</w:t>
      </w:r>
      <w:r w:rsidRPr="00E65AA4">
        <w:rPr>
          <w:noProof/>
        </w:rPr>
        <w:t xml:space="preserve"> by reducing opportunities </w:t>
      </w:r>
      <w:r w:rsidR="00D429F2" w:rsidRPr="00E65AA4">
        <w:rPr>
          <w:noProof/>
        </w:rPr>
        <w:t>and</w:t>
      </w:r>
      <w:r w:rsidRPr="00E65AA4">
        <w:rPr>
          <w:noProof/>
        </w:rPr>
        <w:t xml:space="preserve"> </w:t>
      </w:r>
      <w:r w:rsidRPr="00E65AA4">
        <w:rPr>
          <w:b/>
          <w:bCs/>
          <w:noProof/>
        </w:rPr>
        <w:t>enable early detection</w:t>
      </w:r>
      <w:r w:rsidRPr="00E65AA4">
        <w:rPr>
          <w:noProof/>
        </w:rPr>
        <w:t>, before funds are fully disbursed.</w:t>
      </w:r>
    </w:p>
    <w:p w14:paraId="34B791AD" w14:textId="27B50970" w:rsidR="00C24DF4" w:rsidRPr="00DE3A6F" w:rsidRDefault="00C24DF4" w:rsidP="00C24DF4">
      <w:pPr>
        <w:rPr>
          <w:noProof/>
        </w:rPr>
      </w:pPr>
      <w:r w:rsidRPr="00DE3A6F">
        <w:rPr>
          <w:b/>
          <w:bCs/>
          <w:noProof/>
        </w:rPr>
        <w:t>Effective prevention reduces the burden</w:t>
      </w:r>
      <w:r w:rsidRPr="00DE3A6F">
        <w:rPr>
          <w:noProof/>
        </w:rPr>
        <w:t xml:space="preserve"> on detection, investigation and correction.</w:t>
      </w:r>
    </w:p>
    <w:p w14:paraId="015C6EE5" w14:textId="77777777" w:rsidR="00C24DF4" w:rsidRPr="00DE3A6F" w:rsidRDefault="00C24DF4" w:rsidP="00C24DF4">
      <w:pPr>
        <w:rPr>
          <w:noProof/>
        </w:rPr>
      </w:pPr>
      <w:r w:rsidRPr="00DE3A6F">
        <w:rPr>
          <w:noProof/>
        </w:rPr>
        <w:t>This report examines prevention through two lenses:</w:t>
      </w:r>
    </w:p>
    <w:p w14:paraId="521700E3" w14:textId="3FB634C5" w:rsidR="00C24DF4" w:rsidRPr="00DE3A6F" w:rsidRDefault="00C24DF4" w:rsidP="00C24DF4">
      <w:pPr>
        <w:numPr>
          <w:ilvl w:val="0"/>
          <w:numId w:val="46"/>
        </w:numPr>
        <w:rPr>
          <w:noProof/>
        </w:rPr>
      </w:pPr>
      <w:r w:rsidRPr="00E65AA4">
        <w:rPr>
          <w:b/>
          <w:bCs/>
          <w:noProof/>
        </w:rPr>
        <w:t>Policy and legislative measures</w:t>
      </w:r>
      <w:r w:rsidRPr="00E65AA4">
        <w:rPr>
          <w:noProof/>
        </w:rPr>
        <w:t xml:space="preserve"> adopted by the </w:t>
      </w:r>
      <w:r w:rsidRPr="00E65AA4">
        <w:rPr>
          <w:b/>
          <w:bCs/>
          <w:noProof/>
        </w:rPr>
        <w:t>Commission</w:t>
      </w:r>
      <w:r w:rsidR="0090470D" w:rsidRPr="00E65AA4">
        <w:rPr>
          <w:b/>
          <w:bCs/>
          <w:noProof/>
        </w:rPr>
        <w:t> </w:t>
      </w:r>
      <w:r w:rsidR="00880372" w:rsidRPr="00E65AA4">
        <w:rPr>
          <w:rFonts w:eastAsia="Times New Roman Bold"/>
          <w:noProof/>
        </w:rPr>
        <w:t>(</w:t>
      </w:r>
      <w:r w:rsidR="00880372" w:rsidRPr="00E65AA4">
        <w:rPr>
          <w:rStyle w:val="FootnoteReference"/>
          <w:rFonts w:eastAsia="Times New Roman Bold"/>
          <w:noProof/>
        </w:rPr>
        <w:footnoteReference w:id="7"/>
      </w:r>
      <w:r w:rsidR="00880372" w:rsidRPr="00E65AA4">
        <w:rPr>
          <w:rFonts w:eastAsia="Times New Roman Bold"/>
          <w:noProof/>
        </w:rPr>
        <w:t>)</w:t>
      </w:r>
      <w:r w:rsidRPr="00E65AA4">
        <w:rPr>
          <w:b/>
          <w:bCs/>
          <w:noProof/>
        </w:rPr>
        <w:t xml:space="preserve"> and Member States</w:t>
      </w:r>
      <w:r w:rsidR="0090470D" w:rsidRPr="00E65AA4">
        <w:rPr>
          <w:b/>
          <w:bCs/>
          <w:noProof/>
        </w:rPr>
        <w:t> </w:t>
      </w:r>
      <w:r w:rsidR="0090470D" w:rsidRPr="00E65AA4">
        <w:rPr>
          <w:rFonts w:eastAsia="Times New Roman Bold"/>
          <w:noProof/>
        </w:rPr>
        <w:t>(</w:t>
      </w:r>
      <w:r w:rsidR="0090470D" w:rsidRPr="00E65AA4">
        <w:rPr>
          <w:rStyle w:val="FootnoteReference"/>
          <w:rFonts w:eastAsia="Times New Roman Bold"/>
          <w:noProof/>
        </w:rPr>
        <w:footnoteReference w:id="8"/>
      </w:r>
      <w:r w:rsidR="0090470D" w:rsidRPr="00E65AA4">
        <w:rPr>
          <w:rFonts w:eastAsia="Times New Roman Bold"/>
          <w:noProof/>
        </w:rPr>
        <w:t>)</w:t>
      </w:r>
      <w:r w:rsidRPr="00E65AA4">
        <w:rPr>
          <w:noProof/>
        </w:rPr>
        <w:t xml:space="preserve"> to </w:t>
      </w:r>
      <w:r w:rsidR="00250F95" w:rsidRPr="00E65AA4">
        <w:rPr>
          <w:noProof/>
        </w:rPr>
        <w:t xml:space="preserve">strengthen </w:t>
      </w:r>
      <w:r w:rsidRPr="00E65AA4">
        <w:rPr>
          <w:noProof/>
        </w:rPr>
        <w:t>the protection of EU financial interests.</w:t>
      </w:r>
    </w:p>
    <w:p w14:paraId="5789D90F" w14:textId="60D2F7B3" w:rsidR="00C24DF4" w:rsidRPr="00DE3A6F" w:rsidRDefault="00C24DF4" w:rsidP="00C24DF4">
      <w:pPr>
        <w:numPr>
          <w:ilvl w:val="0"/>
          <w:numId w:val="46"/>
        </w:numPr>
        <w:rPr>
          <w:noProof/>
        </w:rPr>
      </w:pPr>
      <w:r w:rsidRPr="00DE3A6F">
        <w:rPr>
          <w:b/>
          <w:bCs/>
          <w:noProof/>
        </w:rPr>
        <w:t xml:space="preserve">Early detection </w:t>
      </w:r>
      <w:r w:rsidR="00156E95" w:rsidRPr="00DE3A6F">
        <w:rPr>
          <w:rFonts w:eastAsia="Times New Roman Bold"/>
          <w:noProof/>
        </w:rPr>
        <w:t>of fraud and irregularities</w:t>
      </w:r>
      <w:r w:rsidRPr="00DE3A6F">
        <w:rPr>
          <w:noProof/>
        </w:rPr>
        <w:t xml:space="preserve"> that prevent</w:t>
      </w:r>
      <w:r w:rsidR="00156E95" w:rsidRPr="00DE3A6F">
        <w:rPr>
          <w:noProof/>
        </w:rPr>
        <w:t>s</w:t>
      </w:r>
      <w:r w:rsidRPr="00DE3A6F">
        <w:rPr>
          <w:noProof/>
        </w:rPr>
        <w:t xml:space="preserve"> funds </w:t>
      </w:r>
      <w:r w:rsidR="00156E95" w:rsidRPr="00DE3A6F">
        <w:rPr>
          <w:rFonts w:eastAsia="Times New Roman Bold"/>
          <w:noProof/>
        </w:rPr>
        <w:t>being unduly spent in full or in part (</w:t>
      </w:r>
      <w:r w:rsidR="00156E95" w:rsidRPr="00DE3A6F">
        <w:rPr>
          <w:rStyle w:val="FootnoteReference"/>
          <w:rFonts w:eastAsia="Times New Roman Bold"/>
          <w:noProof/>
        </w:rPr>
        <w:footnoteReference w:id="9"/>
      </w:r>
      <w:r w:rsidR="00156E95" w:rsidRPr="00DE3A6F">
        <w:rPr>
          <w:rFonts w:eastAsia="Times New Roman Bold"/>
          <w:noProof/>
        </w:rPr>
        <w:t>)</w:t>
      </w:r>
      <w:r w:rsidRPr="00DE3A6F">
        <w:rPr>
          <w:noProof/>
        </w:rPr>
        <w:t>.</w:t>
      </w:r>
    </w:p>
    <w:p w14:paraId="2350F56C" w14:textId="555E1479" w:rsidR="00093AB1" w:rsidRPr="00DE3A6F" w:rsidRDefault="51F878C6" w:rsidP="00F43E85">
      <w:pPr>
        <w:pStyle w:val="Heading3"/>
        <w:rPr>
          <w:noProof/>
        </w:rPr>
      </w:pPr>
      <w:bookmarkStart w:id="17" w:name="_Toc234447042"/>
      <w:r w:rsidRPr="00DE3A6F">
        <w:rPr>
          <w:noProof/>
        </w:rPr>
        <w:t>Detection</w:t>
      </w:r>
      <w:bookmarkEnd w:id="17"/>
    </w:p>
    <w:p w14:paraId="73E3EB33" w14:textId="0F764BF6" w:rsidR="00093AB1" w:rsidRPr="00DE3A6F" w:rsidRDefault="00F94324" w:rsidP="00093AB1">
      <w:pPr>
        <w:rPr>
          <w:noProof/>
        </w:rPr>
      </w:pPr>
      <w:r w:rsidRPr="00E65AA4">
        <w:rPr>
          <w:noProof/>
        </w:rPr>
        <w:t xml:space="preserve">Robust </w:t>
      </w:r>
      <w:r w:rsidRPr="00E65AA4">
        <w:rPr>
          <w:b/>
          <w:bCs/>
          <w:noProof/>
        </w:rPr>
        <w:t xml:space="preserve">detection capacity </w:t>
      </w:r>
      <w:r w:rsidRPr="00E65AA4">
        <w:rPr>
          <w:noProof/>
        </w:rPr>
        <w:t>is vital</w:t>
      </w:r>
      <w:r w:rsidR="51F878C6" w:rsidRPr="00E65AA4">
        <w:rPr>
          <w:noProof/>
        </w:rPr>
        <w:t xml:space="preserve"> to identify and correct irregularities and fraud. </w:t>
      </w:r>
      <w:r w:rsidR="000C1C85" w:rsidRPr="00E65AA4">
        <w:rPr>
          <w:b/>
          <w:bCs/>
          <w:noProof/>
        </w:rPr>
        <w:t xml:space="preserve">Low </w:t>
      </w:r>
      <w:r w:rsidR="51F878C6" w:rsidRPr="00E65AA4">
        <w:rPr>
          <w:b/>
          <w:bCs/>
          <w:noProof/>
        </w:rPr>
        <w:t>detection rates</w:t>
      </w:r>
      <w:r w:rsidR="51F878C6" w:rsidRPr="00E65AA4">
        <w:rPr>
          <w:noProof/>
        </w:rPr>
        <w:t xml:space="preserve"> </w:t>
      </w:r>
      <w:r w:rsidR="000778DF" w:rsidRPr="00E65AA4">
        <w:rPr>
          <w:noProof/>
        </w:rPr>
        <w:t xml:space="preserve">do </w:t>
      </w:r>
      <w:r w:rsidR="51F878C6" w:rsidRPr="00E65AA4">
        <w:rPr>
          <w:noProof/>
        </w:rPr>
        <w:t xml:space="preserve">not necessarily </w:t>
      </w:r>
      <w:r w:rsidR="00694843" w:rsidRPr="00E65AA4">
        <w:rPr>
          <w:noProof/>
        </w:rPr>
        <w:t xml:space="preserve">reflect </w:t>
      </w:r>
      <w:r w:rsidR="000778DF" w:rsidRPr="00E65AA4">
        <w:rPr>
          <w:noProof/>
        </w:rPr>
        <w:t>lower levels of fraud</w:t>
      </w:r>
      <w:r w:rsidR="00694843" w:rsidRPr="00E65AA4">
        <w:rPr>
          <w:noProof/>
        </w:rPr>
        <w:t>.</w:t>
      </w:r>
      <w:r w:rsidR="000778DF" w:rsidRPr="00E65AA4">
        <w:rPr>
          <w:noProof/>
        </w:rPr>
        <w:t xml:space="preserve"> </w:t>
      </w:r>
      <w:r w:rsidR="00694843" w:rsidRPr="00E65AA4">
        <w:rPr>
          <w:noProof/>
        </w:rPr>
        <w:t>O</w:t>
      </w:r>
      <w:r w:rsidR="00F60178" w:rsidRPr="00E65AA4">
        <w:rPr>
          <w:noProof/>
        </w:rPr>
        <w:t xml:space="preserve">n the contrary, </w:t>
      </w:r>
      <w:r w:rsidR="00506727" w:rsidRPr="00E65AA4">
        <w:rPr>
          <w:noProof/>
        </w:rPr>
        <w:t xml:space="preserve">they may indicate </w:t>
      </w:r>
      <w:r w:rsidR="00F60178" w:rsidRPr="00E65AA4">
        <w:rPr>
          <w:noProof/>
        </w:rPr>
        <w:t xml:space="preserve">weak controls, insufficient </w:t>
      </w:r>
      <w:r w:rsidR="51F878C6" w:rsidRPr="00E65AA4">
        <w:rPr>
          <w:noProof/>
        </w:rPr>
        <w:t>administrati</w:t>
      </w:r>
      <w:r w:rsidR="008B4755" w:rsidRPr="00E65AA4">
        <w:rPr>
          <w:noProof/>
        </w:rPr>
        <w:t>ve capacity</w:t>
      </w:r>
      <w:r w:rsidR="00506727" w:rsidRPr="00E65AA4">
        <w:rPr>
          <w:noProof/>
        </w:rPr>
        <w:t xml:space="preserve"> </w:t>
      </w:r>
      <w:r w:rsidR="008B4755" w:rsidRPr="00E65AA4">
        <w:rPr>
          <w:noProof/>
        </w:rPr>
        <w:t>or poor compliance with th</w:t>
      </w:r>
      <w:r w:rsidR="00753108" w:rsidRPr="00E65AA4">
        <w:rPr>
          <w:noProof/>
        </w:rPr>
        <w:t>e reporting obligation</w:t>
      </w:r>
      <w:r w:rsidR="51F878C6" w:rsidRPr="00E65AA4">
        <w:rPr>
          <w:noProof/>
        </w:rPr>
        <w:t xml:space="preserve">. </w:t>
      </w:r>
      <w:r w:rsidR="00F60178" w:rsidRPr="00E65AA4">
        <w:rPr>
          <w:noProof/>
        </w:rPr>
        <w:t xml:space="preserve">Conversely, </w:t>
      </w:r>
      <w:r w:rsidR="00F60178" w:rsidRPr="00E65AA4">
        <w:rPr>
          <w:b/>
          <w:bCs/>
          <w:noProof/>
        </w:rPr>
        <w:t xml:space="preserve">high detection rates </w:t>
      </w:r>
      <w:r w:rsidR="00F60178" w:rsidRPr="00E65AA4">
        <w:rPr>
          <w:noProof/>
        </w:rPr>
        <w:t xml:space="preserve">can act as a </w:t>
      </w:r>
      <w:r w:rsidR="00F60178" w:rsidRPr="00E65AA4">
        <w:rPr>
          <w:b/>
          <w:bCs/>
          <w:noProof/>
        </w:rPr>
        <w:t>deterrent</w:t>
      </w:r>
      <w:r w:rsidR="00CB4883" w:rsidRPr="00E65AA4">
        <w:rPr>
          <w:noProof/>
        </w:rPr>
        <w:t xml:space="preserve">. </w:t>
      </w:r>
      <w:r w:rsidR="51F878C6" w:rsidRPr="00E65AA4">
        <w:rPr>
          <w:noProof/>
        </w:rPr>
        <w:t>Detection data help</w:t>
      </w:r>
      <w:r w:rsidR="00CB4883" w:rsidRPr="00E65AA4">
        <w:rPr>
          <w:noProof/>
        </w:rPr>
        <w:t>s</w:t>
      </w:r>
      <w:r w:rsidR="51F878C6" w:rsidRPr="00E65AA4">
        <w:rPr>
          <w:noProof/>
        </w:rPr>
        <w:t xml:space="preserve"> </w:t>
      </w:r>
      <w:r w:rsidR="00CB4883" w:rsidRPr="00E65AA4">
        <w:rPr>
          <w:noProof/>
        </w:rPr>
        <w:t xml:space="preserve">refine </w:t>
      </w:r>
      <w:r w:rsidR="51F878C6" w:rsidRPr="00E65AA4">
        <w:rPr>
          <w:noProof/>
        </w:rPr>
        <w:t xml:space="preserve">preventive policies. </w:t>
      </w:r>
      <w:r w:rsidR="00CB4883" w:rsidRPr="00E65AA4">
        <w:rPr>
          <w:noProof/>
        </w:rPr>
        <w:t>I</w:t>
      </w:r>
      <w:r w:rsidR="51F878C6" w:rsidRPr="00E65AA4">
        <w:rPr>
          <w:noProof/>
        </w:rPr>
        <w:t xml:space="preserve">f detection </w:t>
      </w:r>
      <w:r w:rsidR="00CB4883" w:rsidRPr="00E65AA4">
        <w:rPr>
          <w:noProof/>
        </w:rPr>
        <w:t>fails</w:t>
      </w:r>
      <w:r w:rsidR="51F878C6" w:rsidRPr="00E65AA4">
        <w:rPr>
          <w:noProof/>
        </w:rPr>
        <w:t xml:space="preserve">, fraudulent cases may </w:t>
      </w:r>
      <w:r w:rsidR="00CB4883" w:rsidRPr="00E65AA4">
        <w:rPr>
          <w:noProof/>
        </w:rPr>
        <w:t>go</w:t>
      </w:r>
      <w:r w:rsidR="51F878C6" w:rsidRPr="00E65AA4">
        <w:rPr>
          <w:noProof/>
        </w:rPr>
        <w:t xml:space="preserve"> </w:t>
      </w:r>
      <w:r w:rsidR="00CB4883" w:rsidRPr="00E65AA4">
        <w:rPr>
          <w:noProof/>
        </w:rPr>
        <w:t>un</w:t>
      </w:r>
      <w:r w:rsidR="69BA2284" w:rsidRPr="00E65AA4">
        <w:rPr>
          <w:noProof/>
        </w:rPr>
        <w:t>investigated,</w:t>
      </w:r>
      <w:r w:rsidR="51F878C6" w:rsidRPr="00E65AA4">
        <w:rPr>
          <w:noProof/>
        </w:rPr>
        <w:t xml:space="preserve"> </w:t>
      </w:r>
      <w:r w:rsidR="00F52785" w:rsidRPr="00E65AA4">
        <w:rPr>
          <w:noProof/>
        </w:rPr>
        <w:t xml:space="preserve">hindering </w:t>
      </w:r>
      <w:r w:rsidR="51F878C6" w:rsidRPr="00E65AA4">
        <w:rPr>
          <w:noProof/>
        </w:rPr>
        <w:t xml:space="preserve">recovery </w:t>
      </w:r>
      <w:r w:rsidR="00F52785" w:rsidRPr="00E65AA4">
        <w:rPr>
          <w:noProof/>
        </w:rPr>
        <w:t xml:space="preserve">and </w:t>
      </w:r>
      <w:r w:rsidR="51F878C6" w:rsidRPr="00E65AA4">
        <w:rPr>
          <w:noProof/>
        </w:rPr>
        <w:t xml:space="preserve">corrective </w:t>
      </w:r>
      <w:r w:rsidR="00F52785" w:rsidRPr="00E65AA4">
        <w:rPr>
          <w:noProof/>
        </w:rPr>
        <w:t>action</w:t>
      </w:r>
      <w:r w:rsidR="51F878C6" w:rsidRPr="00E65AA4">
        <w:rPr>
          <w:noProof/>
        </w:rPr>
        <w:t xml:space="preserve">. </w:t>
      </w:r>
    </w:p>
    <w:p w14:paraId="09C301DC" w14:textId="09C0DC2C" w:rsidR="00093AB1" w:rsidRPr="00DE3A6F" w:rsidRDefault="14AD681A" w:rsidP="00093AB1">
      <w:pPr>
        <w:rPr>
          <w:noProof/>
        </w:rPr>
      </w:pPr>
      <w:r w:rsidRPr="00DE3A6F">
        <w:rPr>
          <w:noProof/>
        </w:rPr>
        <w:t xml:space="preserve">In </w:t>
      </w:r>
      <w:r w:rsidR="236ACD1E" w:rsidRPr="00DE3A6F">
        <w:rPr>
          <w:noProof/>
        </w:rPr>
        <w:t>th</w:t>
      </w:r>
      <w:r w:rsidR="315D46A3" w:rsidRPr="00DE3A6F">
        <w:rPr>
          <w:noProof/>
        </w:rPr>
        <w:t>is</w:t>
      </w:r>
      <w:r w:rsidR="236ACD1E" w:rsidRPr="00DE3A6F">
        <w:rPr>
          <w:noProof/>
        </w:rPr>
        <w:t xml:space="preserve"> report </w:t>
      </w:r>
      <w:r w:rsidRPr="00DE3A6F">
        <w:rPr>
          <w:noProof/>
        </w:rPr>
        <w:t xml:space="preserve">detection </w:t>
      </w:r>
      <w:r w:rsidR="5D44406E" w:rsidRPr="00DE3A6F">
        <w:rPr>
          <w:noProof/>
        </w:rPr>
        <w:t xml:space="preserve">is looked at from different angles: </w:t>
      </w:r>
      <w:r w:rsidR="00BA16DC" w:rsidRPr="00DE3A6F">
        <w:rPr>
          <w:noProof/>
        </w:rPr>
        <w:t xml:space="preserve">from a qualitative point of view, </w:t>
      </w:r>
      <w:r w:rsidR="1EA01930" w:rsidRPr="00DE3A6F">
        <w:rPr>
          <w:noProof/>
        </w:rPr>
        <w:t>through national and EU-level measures and</w:t>
      </w:r>
      <w:r w:rsidR="00BA16DC" w:rsidRPr="00CA1602">
        <w:rPr>
          <w:noProof/>
        </w:rPr>
        <w:t>, from a quantitative point of view,</w:t>
      </w:r>
      <w:r w:rsidR="1EA01930" w:rsidRPr="00DE3A6F">
        <w:rPr>
          <w:noProof/>
        </w:rPr>
        <w:t xml:space="preserve"> through data </w:t>
      </w:r>
      <w:r w:rsidR="236ACD1E" w:rsidRPr="00DE3A6F">
        <w:rPr>
          <w:noProof/>
        </w:rPr>
        <w:t xml:space="preserve">received </w:t>
      </w:r>
      <w:r w:rsidR="00C1064A" w:rsidRPr="00CA1602">
        <w:rPr>
          <w:noProof/>
        </w:rPr>
        <w:t xml:space="preserve">in </w:t>
      </w:r>
      <w:r w:rsidR="74EDE566" w:rsidRPr="00DE3A6F">
        <w:rPr>
          <w:noProof/>
        </w:rPr>
        <w:t xml:space="preserve">the </w:t>
      </w:r>
      <w:r w:rsidR="236ACD1E" w:rsidRPr="00DE3A6F">
        <w:rPr>
          <w:noProof/>
        </w:rPr>
        <w:t>I</w:t>
      </w:r>
      <w:r w:rsidR="1B738F92" w:rsidRPr="00DE3A6F">
        <w:rPr>
          <w:noProof/>
        </w:rPr>
        <w:t xml:space="preserve">rregularity </w:t>
      </w:r>
      <w:r w:rsidR="236ACD1E" w:rsidRPr="00DE3A6F">
        <w:rPr>
          <w:noProof/>
        </w:rPr>
        <w:t>M</w:t>
      </w:r>
      <w:r w:rsidR="798DB7AA" w:rsidRPr="00DE3A6F">
        <w:rPr>
          <w:noProof/>
        </w:rPr>
        <w:t xml:space="preserve">anagement </w:t>
      </w:r>
      <w:r w:rsidR="236ACD1E" w:rsidRPr="00DE3A6F">
        <w:rPr>
          <w:noProof/>
        </w:rPr>
        <w:t>S</w:t>
      </w:r>
      <w:r w:rsidR="3527E9A7" w:rsidRPr="00DE3A6F">
        <w:rPr>
          <w:noProof/>
        </w:rPr>
        <w:t>ystem (IMS)</w:t>
      </w:r>
      <w:r w:rsidR="236ACD1E" w:rsidRPr="00DE3A6F">
        <w:rPr>
          <w:noProof/>
        </w:rPr>
        <w:t xml:space="preserve"> and the OWNRES database</w:t>
      </w:r>
      <w:r w:rsidR="327BDA03" w:rsidRPr="00DE3A6F">
        <w:rPr>
          <w:noProof/>
        </w:rPr>
        <w:t xml:space="preserve"> (reported by Member States</w:t>
      </w:r>
      <w:r w:rsidR="00C1064A" w:rsidRPr="00CA1602">
        <w:rPr>
          <w:noProof/>
        </w:rPr>
        <w:t>)</w:t>
      </w:r>
      <w:r w:rsidR="7A17AFC1" w:rsidRPr="00DE3A6F">
        <w:rPr>
          <w:noProof/>
        </w:rPr>
        <w:t>,</w:t>
      </w:r>
      <w:r w:rsidR="236ACD1E" w:rsidRPr="00DE3A6F">
        <w:rPr>
          <w:noProof/>
        </w:rPr>
        <w:t xml:space="preserve"> </w:t>
      </w:r>
      <w:r w:rsidR="00C1064A" w:rsidRPr="00CA1602">
        <w:rPr>
          <w:noProof/>
        </w:rPr>
        <w:t>and</w:t>
      </w:r>
      <w:r w:rsidR="1C4F66E6" w:rsidRPr="00DE3A6F">
        <w:rPr>
          <w:noProof/>
        </w:rPr>
        <w:t xml:space="preserve"> </w:t>
      </w:r>
      <w:r w:rsidR="65162657" w:rsidRPr="00DE3A6F">
        <w:rPr>
          <w:noProof/>
        </w:rPr>
        <w:t>data published</w:t>
      </w:r>
      <w:r w:rsidR="2418961C" w:rsidRPr="00DE3A6F">
        <w:rPr>
          <w:noProof/>
        </w:rPr>
        <w:t xml:space="preserve"> in</w:t>
      </w:r>
      <w:r w:rsidR="1C4F66E6" w:rsidRPr="00DE3A6F">
        <w:rPr>
          <w:noProof/>
        </w:rPr>
        <w:t xml:space="preserve"> </w:t>
      </w:r>
      <w:r w:rsidR="35A58858" w:rsidRPr="00DE3A6F">
        <w:rPr>
          <w:noProof/>
        </w:rPr>
        <w:t xml:space="preserve">the </w:t>
      </w:r>
      <w:r w:rsidR="236ACD1E" w:rsidRPr="00DE3A6F">
        <w:rPr>
          <w:noProof/>
        </w:rPr>
        <w:t xml:space="preserve">OLAF and EPPO </w:t>
      </w:r>
      <w:r w:rsidR="2418961C" w:rsidRPr="00DE3A6F">
        <w:rPr>
          <w:noProof/>
        </w:rPr>
        <w:t xml:space="preserve">annual </w:t>
      </w:r>
      <w:r w:rsidR="236ACD1E" w:rsidRPr="00DE3A6F">
        <w:rPr>
          <w:noProof/>
        </w:rPr>
        <w:t>reports.</w:t>
      </w:r>
    </w:p>
    <w:p w14:paraId="192B11FE" w14:textId="43B6E4AD" w:rsidR="00093AB1" w:rsidRPr="00DE3A6F" w:rsidRDefault="00093AB1" w:rsidP="00F43E85">
      <w:pPr>
        <w:pStyle w:val="Heading3"/>
        <w:rPr>
          <w:noProof/>
        </w:rPr>
      </w:pPr>
      <w:bookmarkStart w:id="18" w:name="_Toc234447043"/>
      <w:r w:rsidRPr="00DE3A6F">
        <w:rPr>
          <w:noProof/>
        </w:rPr>
        <w:lastRenderedPageBreak/>
        <w:t>Investigation</w:t>
      </w:r>
      <w:r w:rsidR="005B196B">
        <w:rPr>
          <w:noProof/>
        </w:rPr>
        <w:t xml:space="preserve"> and prosecution</w:t>
      </w:r>
      <w:bookmarkEnd w:id="18"/>
    </w:p>
    <w:p w14:paraId="398D082A" w14:textId="449FB15A" w:rsidR="00583367" w:rsidRPr="00DE3A6F" w:rsidRDefault="3C600B1A" w:rsidP="00C216CE">
      <w:pPr>
        <w:rPr>
          <w:noProof/>
        </w:rPr>
      </w:pPr>
      <w:r w:rsidRPr="00E65AA4">
        <w:rPr>
          <w:noProof/>
        </w:rPr>
        <w:t xml:space="preserve">Once a potential case of fraud </w:t>
      </w:r>
      <w:r w:rsidR="005253D8" w:rsidRPr="00E65AA4">
        <w:rPr>
          <w:noProof/>
        </w:rPr>
        <w:t>is</w:t>
      </w:r>
      <w:r w:rsidRPr="00E65AA4">
        <w:rPr>
          <w:noProof/>
        </w:rPr>
        <w:t xml:space="preserve"> detected, </w:t>
      </w:r>
      <w:r w:rsidR="005253D8" w:rsidRPr="00E65AA4">
        <w:rPr>
          <w:noProof/>
        </w:rPr>
        <w:t>th</w:t>
      </w:r>
      <w:r w:rsidR="00C216CE" w:rsidRPr="00E65AA4">
        <w:rPr>
          <w:noProof/>
        </w:rPr>
        <w:t>o</w:t>
      </w:r>
      <w:r w:rsidR="005253D8" w:rsidRPr="00E65AA4">
        <w:rPr>
          <w:noProof/>
        </w:rPr>
        <w:t>rough investigations are required to</w:t>
      </w:r>
      <w:r w:rsidR="00C216CE" w:rsidRPr="00E65AA4">
        <w:rPr>
          <w:noProof/>
        </w:rPr>
        <w:t xml:space="preserve"> </w:t>
      </w:r>
      <w:r w:rsidRPr="00E65AA4">
        <w:rPr>
          <w:noProof/>
        </w:rPr>
        <w:t xml:space="preserve">confirm the facts, identify the perpetrators and enable corrective action. </w:t>
      </w:r>
    </w:p>
    <w:p w14:paraId="245DF22D" w14:textId="32B69891" w:rsidR="00093AB1" w:rsidRPr="00DE3A6F" w:rsidRDefault="5B005A9F" w:rsidP="00C216CE">
      <w:pPr>
        <w:rPr>
          <w:noProof/>
        </w:rPr>
      </w:pPr>
      <w:r w:rsidRPr="00E65AA4">
        <w:rPr>
          <w:noProof/>
        </w:rPr>
        <w:t>I</w:t>
      </w:r>
      <w:r w:rsidR="31EF445B" w:rsidRPr="00E65AA4">
        <w:rPr>
          <w:noProof/>
        </w:rPr>
        <w:t>nvestigation</w:t>
      </w:r>
      <w:r w:rsidRPr="00E65AA4">
        <w:rPr>
          <w:noProof/>
        </w:rPr>
        <w:t>s</w:t>
      </w:r>
      <w:r w:rsidR="31EF445B" w:rsidRPr="00E65AA4">
        <w:rPr>
          <w:noProof/>
        </w:rPr>
        <w:t xml:space="preserve"> </w:t>
      </w:r>
      <w:r w:rsidR="5049549D" w:rsidRPr="00E65AA4">
        <w:rPr>
          <w:noProof/>
        </w:rPr>
        <w:t xml:space="preserve">seek </w:t>
      </w:r>
      <w:r w:rsidR="274DE0D6" w:rsidRPr="00E65AA4">
        <w:rPr>
          <w:noProof/>
        </w:rPr>
        <w:t xml:space="preserve">to gather </w:t>
      </w:r>
      <w:r w:rsidR="31EF445B" w:rsidRPr="00E65AA4">
        <w:rPr>
          <w:noProof/>
        </w:rPr>
        <w:t xml:space="preserve">evidence </w:t>
      </w:r>
      <w:r w:rsidR="00583367" w:rsidRPr="00E65AA4">
        <w:rPr>
          <w:noProof/>
        </w:rPr>
        <w:t xml:space="preserve">for </w:t>
      </w:r>
      <w:r w:rsidRPr="00E65AA4">
        <w:rPr>
          <w:noProof/>
        </w:rPr>
        <w:t xml:space="preserve">prosecutions </w:t>
      </w:r>
      <w:r w:rsidR="00FE1398">
        <w:rPr>
          <w:noProof/>
        </w:rPr>
        <w:t xml:space="preserve">and </w:t>
      </w:r>
      <w:r w:rsidR="00F90BFE">
        <w:rPr>
          <w:noProof/>
        </w:rPr>
        <w:t>trials and</w:t>
      </w:r>
      <w:r w:rsidRPr="00E65AA4">
        <w:rPr>
          <w:noProof/>
        </w:rPr>
        <w:t xml:space="preserve"> </w:t>
      </w:r>
      <w:r w:rsidR="00FE1398">
        <w:rPr>
          <w:noProof/>
        </w:rPr>
        <w:t xml:space="preserve">could </w:t>
      </w:r>
      <w:r w:rsidRPr="00E65AA4">
        <w:rPr>
          <w:noProof/>
        </w:rPr>
        <w:t xml:space="preserve">generate </w:t>
      </w:r>
      <w:r w:rsidR="31EF445B" w:rsidRPr="00E65AA4">
        <w:rPr>
          <w:noProof/>
        </w:rPr>
        <w:t xml:space="preserve">insights </w:t>
      </w:r>
      <w:r w:rsidR="228678C9" w:rsidRPr="00E65AA4">
        <w:rPr>
          <w:noProof/>
        </w:rPr>
        <w:t xml:space="preserve">to improve </w:t>
      </w:r>
      <w:r w:rsidR="31EF445B" w:rsidRPr="00E65AA4">
        <w:rPr>
          <w:noProof/>
        </w:rPr>
        <w:t xml:space="preserve">prevention and detection. In the EU, </w:t>
      </w:r>
      <w:r w:rsidR="242B66A5" w:rsidRPr="00E65AA4">
        <w:rPr>
          <w:noProof/>
        </w:rPr>
        <w:t xml:space="preserve">administrative and criminal </w:t>
      </w:r>
      <w:r w:rsidR="31EF445B" w:rsidRPr="00E65AA4">
        <w:rPr>
          <w:noProof/>
        </w:rPr>
        <w:t xml:space="preserve">investigations are </w:t>
      </w:r>
      <w:r w:rsidR="0047267F" w:rsidRPr="00E65AA4">
        <w:rPr>
          <w:noProof/>
        </w:rPr>
        <w:t xml:space="preserve">carried out </w:t>
      </w:r>
      <w:r w:rsidR="31EF445B" w:rsidRPr="00E65AA4">
        <w:rPr>
          <w:noProof/>
        </w:rPr>
        <w:t>either by national authorities, or by OLAF</w:t>
      </w:r>
      <w:r w:rsidR="124E2B2A" w:rsidRPr="00E65AA4">
        <w:rPr>
          <w:noProof/>
        </w:rPr>
        <w:t xml:space="preserve"> (administrative investigations)</w:t>
      </w:r>
      <w:r w:rsidR="31EF445B" w:rsidRPr="00E65AA4">
        <w:rPr>
          <w:noProof/>
        </w:rPr>
        <w:t xml:space="preserve"> and the EPPO</w:t>
      </w:r>
      <w:r w:rsidR="47E0CDD7" w:rsidRPr="00E65AA4">
        <w:rPr>
          <w:noProof/>
        </w:rPr>
        <w:t xml:space="preserve"> (criminal investigations)</w:t>
      </w:r>
      <w:r w:rsidR="291B68B7" w:rsidRPr="00E65AA4">
        <w:rPr>
          <w:noProof/>
        </w:rPr>
        <w:t>,</w:t>
      </w:r>
      <w:r w:rsidR="31EF445B" w:rsidRPr="00E65AA4">
        <w:rPr>
          <w:noProof/>
        </w:rPr>
        <w:t xml:space="preserve"> in accordance with their </w:t>
      </w:r>
      <w:r w:rsidR="4538BD49" w:rsidRPr="00E65AA4">
        <w:rPr>
          <w:noProof/>
        </w:rPr>
        <w:t xml:space="preserve">respective </w:t>
      </w:r>
      <w:r w:rsidR="291B68B7" w:rsidRPr="00E65AA4">
        <w:rPr>
          <w:noProof/>
        </w:rPr>
        <w:t>mandates</w:t>
      </w:r>
      <w:r w:rsidR="31EF445B" w:rsidRPr="00E65AA4">
        <w:rPr>
          <w:noProof/>
        </w:rPr>
        <w:t>.</w:t>
      </w:r>
    </w:p>
    <w:p w14:paraId="432064F7" w14:textId="2F68AB52" w:rsidR="00093AB1" w:rsidRPr="00DE3A6F" w:rsidRDefault="00697BD0" w:rsidP="044E42F4">
      <w:pPr>
        <w:rPr>
          <w:noProof/>
        </w:rPr>
      </w:pPr>
      <w:r w:rsidRPr="00E65AA4">
        <w:rPr>
          <w:noProof/>
        </w:rPr>
        <w:t xml:space="preserve">This </w:t>
      </w:r>
      <w:r w:rsidR="51F878C6" w:rsidRPr="00E65AA4">
        <w:rPr>
          <w:noProof/>
        </w:rPr>
        <w:t xml:space="preserve">report </w:t>
      </w:r>
      <w:r w:rsidR="00D53515" w:rsidRPr="00E65AA4">
        <w:rPr>
          <w:noProof/>
        </w:rPr>
        <w:t xml:space="preserve">incorporates </w:t>
      </w:r>
      <w:r w:rsidR="51F878C6" w:rsidRPr="00E65AA4">
        <w:rPr>
          <w:noProof/>
        </w:rPr>
        <w:t xml:space="preserve">information on investigations based on </w:t>
      </w:r>
      <w:r w:rsidR="28694E10" w:rsidRPr="00E65AA4">
        <w:rPr>
          <w:noProof/>
        </w:rPr>
        <w:t>information</w:t>
      </w:r>
      <w:r w:rsidR="73DA9ACC" w:rsidRPr="00E65AA4">
        <w:rPr>
          <w:noProof/>
        </w:rPr>
        <w:t xml:space="preserve"> from national authorities (</w:t>
      </w:r>
      <w:r w:rsidR="51F878C6" w:rsidRPr="00E65AA4">
        <w:rPr>
          <w:noProof/>
        </w:rPr>
        <w:t>IMS</w:t>
      </w:r>
      <w:r w:rsidR="166B9F0B" w:rsidRPr="00E65AA4">
        <w:rPr>
          <w:noProof/>
        </w:rPr>
        <w:t xml:space="preserve"> and OWNRES)</w:t>
      </w:r>
      <w:r w:rsidR="51F878C6" w:rsidRPr="00E65AA4">
        <w:rPr>
          <w:noProof/>
        </w:rPr>
        <w:t xml:space="preserve">, OLAF and </w:t>
      </w:r>
      <w:r w:rsidR="00D53515" w:rsidRPr="00E65AA4">
        <w:rPr>
          <w:noProof/>
        </w:rPr>
        <w:t xml:space="preserve">the </w:t>
      </w:r>
      <w:r w:rsidR="51F878C6" w:rsidRPr="00E65AA4">
        <w:rPr>
          <w:noProof/>
        </w:rPr>
        <w:t xml:space="preserve">EPPO </w:t>
      </w:r>
      <w:r w:rsidR="7C7EA308" w:rsidRPr="00E65AA4">
        <w:rPr>
          <w:noProof/>
        </w:rPr>
        <w:t>(respective annual r</w:t>
      </w:r>
      <w:r w:rsidR="51F878C6" w:rsidRPr="00E65AA4">
        <w:rPr>
          <w:noProof/>
        </w:rPr>
        <w:t>eport</w:t>
      </w:r>
      <w:r w:rsidR="3A0453B5" w:rsidRPr="00E65AA4">
        <w:rPr>
          <w:noProof/>
        </w:rPr>
        <w:t>s</w:t>
      </w:r>
      <w:r w:rsidR="00800010">
        <w:rPr>
          <w:noProof/>
        </w:rPr>
        <w:t xml:space="preserve"> and data provided </w:t>
      </w:r>
      <w:r w:rsidR="00203ED1">
        <w:rPr>
          <w:noProof/>
        </w:rPr>
        <w:t>by the two bodies</w:t>
      </w:r>
      <w:r w:rsidR="3A0453B5" w:rsidRPr="00E65AA4">
        <w:rPr>
          <w:noProof/>
        </w:rPr>
        <w:t>)</w:t>
      </w:r>
      <w:r w:rsidR="51F878C6" w:rsidRPr="00E65AA4">
        <w:rPr>
          <w:noProof/>
        </w:rPr>
        <w:t>.</w:t>
      </w:r>
    </w:p>
    <w:p w14:paraId="4CCE2F8C" w14:textId="489C60E5" w:rsidR="00093AB1" w:rsidRPr="00DE3A6F" w:rsidRDefault="00093AB1" w:rsidP="00F43E85">
      <w:pPr>
        <w:pStyle w:val="Heading3"/>
        <w:rPr>
          <w:noProof/>
        </w:rPr>
      </w:pPr>
      <w:bookmarkStart w:id="19" w:name="_Toc234447044"/>
      <w:r w:rsidRPr="00DE3A6F">
        <w:rPr>
          <w:noProof/>
        </w:rPr>
        <w:t>Recovery and sanction</w:t>
      </w:r>
      <w:r w:rsidR="00824BAD" w:rsidRPr="00DE3A6F">
        <w:rPr>
          <w:noProof/>
        </w:rPr>
        <w:t>ing</w:t>
      </w:r>
      <w:bookmarkEnd w:id="19"/>
    </w:p>
    <w:p w14:paraId="1D02E335" w14:textId="396C949B" w:rsidR="00093AB1" w:rsidRPr="00DE3A6F" w:rsidRDefault="69A8EF5B" w:rsidP="00093AB1">
      <w:pPr>
        <w:rPr>
          <w:noProof/>
        </w:rPr>
      </w:pPr>
      <w:r w:rsidRPr="002F0C16">
        <w:rPr>
          <w:noProof/>
        </w:rPr>
        <w:t xml:space="preserve">Successful investigation lead to </w:t>
      </w:r>
      <w:r w:rsidR="00D162D0">
        <w:rPr>
          <w:noProof/>
        </w:rPr>
        <w:t xml:space="preserve">judicial proceedings or </w:t>
      </w:r>
      <w:r w:rsidRPr="002F0C16">
        <w:rPr>
          <w:noProof/>
        </w:rPr>
        <w:t xml:space="preserve">corrective measures, such as </w:t>
      </w:r>
      <w:r w:rsidR="7AE76957" w:rsidRPr="002F0C16">
        <w:rPr>
          <w:b/>
          <w:bCs/>
          <w:noProof/>
        </w:rPr>
        <w:t xml:space="preserve">financial </w:t>
      </w:r>
      <w:r w:rsidRPr="002F0C16">
        <w:rPr>
          <w:b/>
          <w:bCs/>
          <w:noProof/>
        </w:rPr>
        <w:t>recovery</w:t>
      </w:r>
      <w:r w:rsidRPr="002F0C16">
        <w:rPr>
          <w:noProof/>
        </w:rPr>
        <w:t xml:space="preserve"> </w:t>
      </w:r>
      <w:r w:rsidR="3F05179A" w:rsidRPr="002F0C16">
        <w:rPr>
          <w:noProof/>
        </w:rPr>
        <w:t>of sums due to the EU budget</w:t>
      </w:r>
      <w:r w:rsidRPr="002F0C16">
        <w:rPr>
          <w:noProof/>
        </w:rPr>
        <w:t xml:space="preserve">, </w:t>
      </w:r>
      <w:r w:rsidRPr="002F0C16">
        <w:rPr>
          <w:b/>
          <w:bCs/>
          <w:noProof/>
        </w:rPr>
        <w:t>disciplinary action</w:t>
      </w:r>
      <w:r w:rsidRPr="002F0C16">
        <w:rPr>
          <w:noProof/>
        </w:rPr>
        <w:t xml:space="preserve"> or </w:t>
      </w:r>
      <w:r w:rsidRPr="002F0C16">
        <w:rPr>
          <w:b/>
          <w:bCs/>
          <w:noProof/>
        </w:rPr>
        <w:t>administrative</w:t>
      </w:r>
      <w:r w:rsidR="79D3EADF" w:rsidRPr="002F0C16">
        <w:rPr>
          <w:b/>
          <w:bCs/>
          <w:noProof/>
        </w:rPr>
        <w:t xml:space="preserve"> </w:t>
      </w:r>
      <w:r w:rsidR="4B2CDD37" w:rsidRPr="002F0C16">
        <w:rPr>
          <w:b/>
          <w:bCs/>
          <w:noProof/>
        </w:rPr>
        <w:t>reforms</w:t>
      </w:r>
      <w:r w:rsidRPr="002F0C16">
        <w:rPr>
          <w:noProof/>
        </w:rPr>
        <w:t xml:space="preserve"> </w:t>
      </w:r>
      <w:r w:rsidR="4B2CDD37" w:rsidRPr="002F0C16">
        <w:rPr>
          <w:noProof/>
        </w:rPr>
        <w:t xml:space="preserve">to address and mitigate </w:t>
      </w:r>
      <w:r w:rsidR="0025727E" w:rsidRPr="002F0C16">
        <w:rPr>
          <w:noProof/>
        </w:rPr>
        <w:t xml:space="preserve">the </w:t>
      </w:r>
      <w:r w:rsidRPr="002F0C16">
        <w:rPr>
          <w:noProof/>
        </w:rPr>
        <w:t>risks</w:t>
      </w:r>
      <w:r w:rsidR="0025727E" w:rsidRPr="002F0C16">
        <w:rPr>
          <w:noProof/>
        </w:rPr>
        <w:t xml:space="preserve"> identified</w:t>
      </w:r>
      <w:r w:rsidRPr="002F0C16">
        <w:rPr>
          <w:noProof/>
        </w:rPr>
        <w:t xml:space="preserve">. </w:t>
      </w:r>
      <w:r w:rsidR="595C91DD" w:rsidRPr="002F0C16">
        <w:rPr>
          <w:noProof/>
        </w:rPr>
        <w:t xml:space="preserve">These outcomes </w:t>
      </w:r>
      <w:r w:rsidR="0025727E" w:rsidRPr="002F0C16">
        <w:rPr>
          <w:b/>
          <w:bCs/>
          <w:noProof/>
        </w:rPr>
        <w:t xml:space="preserve">strengthen </w:t>
      </w:r>
      <w:r w:rsidRPr="002F0C16">
        <w:rPr>
          <w:b/>
          <w:bCs/>
          <w:noProof/>
        </w:rPr>
        <w:t>prevention</w:t>
      </w:r>
      <w:r w:rsidRPr="002F0C16">
        <w:rPr>
          <w:noProof/>
        </w:rPr>
        <w:t xml:space="preserve">, either </w:t>
      </w:r>
      <w:r w:rsidR="68ECF63C" w:rsidRPr="002F0C16">
        <w:rPr>
          <w:noProof/>
        </w:rPr>
        <w:t xml:space="preserve">by deterring </w:t>
      </w:r>
      <w:r w:rsidRPr="002F0C16">
        <w:rPr>
          <w:noProof/>
        </w:rPr>
        <w:t xml:space="preserve">potential fraudsters or </w:t>
      </w:r>
      <w:r w:rsidR="0025727E" w:rsidRPr="002F0C16">
        <w:rPr>
          <w:noProof/>
        </w:rPr>
        <w:t xml:space="preserve">increasing </w:t>
      </w:r>
      <w:r w:rsidR="31A4A9B2" w:rsidRPr="002F0C16">
        <w:rPr>
          <w:noProof/>
        </w:rPr>
        <w:t>fraud-</w:t>
      </w:r>
      <w:r w:rsidRPr="002F0C16">
        <w:rPr>
          <w:noProof/>
        </w:rPr>
        <w:t>proofing.</w:t>
      </w:r>
    </w:p>
    <w:p w14:paraId="12D31776" w14:textId="158DCF29" w:rsidR="00093AB1" w:rsidRPr="00DE3A6F" w:rsidRDefault="6454ABAF" w:rsidP="00093AB1">
      <w:pPr>
        <w:rPr>
          <w:noProof/>
        </w:rPr>
      </w:pPr>
      <w:r w:rsidRPr="002F0C16">
        <w:rPr>
          <w:noProof/>
        </w:rPr>
        <w:t>This PIF</w:t>
      </w:r>
      <w:r w:rsidR="51F878C6" w:rsidRPr="002F0C16">
        <w:rPr>
          <w:noProof/>
        </w:rPr>
        <w:t xml:space="preserve"> report</w:t>
      </w:r>
      <w:r w:rsidR="770FB2E0" w:rsidRPr="002F0C16">
        <w:rPr>
          <w:noProof/>
        </w:rPr>
        <w:t xml:space="preserve"> </w:t>
      </w:r>
      <w:r w:rsidR="005C0E9A" w:rsidRPr="002F0C16">
        <w:rPr>
          <w:noProof/>
        </w:rPr>
        <w:t xml:space="preserve">includes </w:t>
      </w:r>
      <w:r w:rsidR="51F878C6" w:rsidRPr="002F0C16">
        <w:rPr>
          <w:noProof/>
        </w:rPr>
        <w:t xml:space="preserve">metrics on </w:t>
      </w:r>
      <w:r w:rsidR="00431360" w:rsidRPr="002F0C16">
        <w:rPr>
          <w:noProof/>
        </w:rPr>
        <w:t xml:space="preserve">recovery and sanctions </w:t>
      </w:r>
      <w:r w:rsidR="51F878C6" w:rsidRPr="002F0C16">
        <w:rPr>
          <w:noProof/>
        </w:rPr>
        <w:t xml:space="preserve">based on </w:t>
      </w:r>
      <w:r w:rsidR="00967E8D" w:rsidRPr="002F0C16">
        <w:rPr>
          <w:noProof/>
        </w:rPr>
        <w:t xml:space="preserve">an </w:t>
      </w:r>
      <w:r w:rsidR="51F878C6" w:rsidRPr="002F0C16">
        <w:rPr>
          <w:noProof/>
        </w:rPr>
        <w:t xml:space="preserve">analysis of IMS </w:t>
      </w:r>
      <w:r w:rsidR="3F063E0D" w:rsidRPr="002F0C16">
        <w:rPr>
          <w:noProof/>
        </w:rPr>
        <w:t xml:space="preserve">and OWNRES </w:t>
      </w:r>
      <w:r w:rsidR="51F878C6" w:rsidRPr="002F0C16">
        <w:rPr>
          <w:noProof/>
        </w:rPr>
        <w:t xml:space="preserve">data, </w:t>
      </w:r>
      <w:r w:rsidR="46F01C92" w:rsidRPr="002F0C16">
        <w:rPr>
          <w:noProof/>
        </w:rPr>
        <w:t xml:space="preserve">the Commission’s </w:t>
      </w:r>
      <w:r w:rsidR="00967E8D" w:rsidRPr="002F0C16">
        <w:rPr>
          <w:noProof/>
        </w:rPr>
        <w:t xml:space="preserve">annual management and performance report </w:t>
      </w:r>
      <w:r w:rsidR="43BF5F38" w:rsidRPr="002F0C16">
        <w:rPr>
          <w:noProof/>
        </w:rPr>
        <w:t>(AMPR)</w:t>
      </w:r>
      <w:r w:rsidR="51F878C6" w:rsidRPr="002F0C16">
        <w:rPr>
          <w:noProof/>
        </w:rPr>
        <w:t xml:space="preserve">, </w:t>
      </w:r>
      <w:r w:rsidR="00674786" w:rsidRPr="002F0C16">
        <w:rPr>
          <w:noProof/>
        </w:rPr>
        <w:t xml:space="preserve">and </w:t>
      </w:r>
      <w:r w:rsidR="51F878C6" w:rsidRPr="002F0C16">
        <w:rPr>
          <w:noProof/>
        </w:rPr>
        <w:t xml:space="preserve">OLAF and </w:t>
      </w:r>
      <w:r w:rsidR="00FC4283">
        <w:rPr>
          <w:noProof/>
        </w:rPr>
        <w:t xml:space="preserve">the </w:t>
      </w:r>
      <w:r w:rsidR="51F878C6" w:rsidRPr="002F0C16">
        <w:rPr>
          <w:noProof/>
        </w:rPr>
        <w:t>EPPO reports.</w:t>
      </w:r>
    </w:p>
    <w:p w14:paraId="4737CDFA" w14:textId="77777777" w:rsidR="00093AB1" w:rsidRPr="00DE3A6F" w:rsidRDefault="51F878C6" w:rsidP="00F43E85">
      <w:pPr>
        <w:pStyle w:val="Heading3"/>
        <w:rPr>
          <w:noProof/>
        </w:rPr>
      </w:pPr>
      <w:bookmarkStart w:id="20" w:name="_Toc234447045"/>
      <w:r w:rsidRPr="00DE3A6F">
        <w:rPr>
          <w:noProof/>
        </w:rPr>
        <w:t>Reporting and monitoring</w:t>
      </w:r>
      <w:bookmarkEnd w:id="20"/>
    </w:p>
    <w:p w14:paraId="42E5CDEE" w14:textId="4C1FADD4" w:rsidR="00093AB1" w:rsidRPr="00DE3A6F" w:rsidRDefault="1B866D46" w:rsidP="00093AB1">
      <w:pPr>
        <w:rPr>
          <w:noProof/>
        </w:rPr>
      </w:pPr>
      <w:r w:rsidRPr="002F0C16">
        <w:rPr>
          <w:b/>
          <w:bCs/>
          <w:noProof/>
        </w:rPr>
        <w:t>Risk analysis</w:t>
      </w:r>
      <w:r w:rsidRPr="002F0C16">
        <w:rPr>
          <w:noProof/>
        </w:rPr>
        <w:t xml:space="preserve"> </w:t>
      </w:r>
      <w:r w:rsidR="00983648" w:rsidRPr="002F0C16">
        <w:rPr>
          <w:noProof/>
        </w:rPr>
        <w:t xml:space="preserve">underpins </w:t>
      </w:r>
      <w:r w:rsidR="00BA0C25" w:rsidRPr="002F0C16">
        <w:rPr>
          <w:noProof/>
        </w:rPr>
        <w:t xml:space="preserve">effective </w:t>
      </w:r>
      <w:r w:rsidR="1C0CF5BB" w:rsidRPr="002F0C16">
        <w:rPr>
          <w:noProof/>
        </w:rPr>
        <w:t>policy response</w:t>
      </w:r>
      <w:r w:rsidR="00BA0C25" w:rsidRPr="002F0C16">
        <w:rPr>
          <w:noProof/>
        </w:rPr>
        <w:t>s</w:t>
      </w:r>
      <w:r w:rsidR="1C0CF5BB" w:rsidRPr="002F0C16">
        <w:rPr>
          <w:noProof/>
        </w:rPr>
        <w:t xml:space="preserve"> </w:t>
      </w:r>
      <w:r w:rsidR="00BA0C25" w:rsidRPr="002F0C16">
        <w:rPr>
          <w:noProof/>
        </w:rPr>
        <w:t xml:space="preserve">at every </w:t>
      </w:r>
      <w:r w:rsidR="1C0CF5BB" w:rsidRPr="002F0C16">
        <w:rPr>
          <w:noProof/>
        </w:rPr>
        <w:t>stage of the anti-fraud cycle</w:t>
      </w:r>
      <w:r w:rsidR="61E516CB" w:rsidRPr="002F0C16">
        <w:rPr>
          <w:noProof/>
        </w:rPr>
        <w:t>.</w:t>
      </w:r>
      <w:r w:rsidR="1C0CF5BB" w:rsidRPr="002F0C16">
        <w:rPr>
          <w:noProof/>
        </w:rPr>
        <w:t xml:space="preserve"> </w:t>
      </w:r>
      <w:r w:rsidR="753F3761" w:rsidRPr="002F0C16">
        <w:rPr>
          <w:b/>
          <w:bCs/>
          <w:noProof/>
        </w:rPr>
        <w:t>R</w:t>
      </w:r>
      <w:r w:rsidR="1C0CF5BB" w:rsidRPr="002F0C16">
        <w:rPr>
          <w:b/>
          <w:bCs/>
          <w:noProof/>
        </w:rPr>
        <w:t>eliable</w:t>
      </w:r>
      <w:r w:rsidR="00BE55A5" w:rsidRPr="002F0C16">
        <w:rPr>
          <w:b/>
          <w:bCs/>
          <w:noProof/>
        </w:rPr>
        <w:t>,</w:t>
      </w:r>
      <w:r w:rsidR="1C0CF5BB" w:rsidRPr="002F0C16">
        <w:rPr>
          <w:b/>
          <w:bCs/>
          <w:noProof/>
        </w:rPr>
        <w:t xml:space="preserve"> comparable data</w:t>
      </w:r>
      <w:r w:rsidR="1C0CF5BB" w:rsidRPr="002F0C16">
        <w:rPr>
          <w:noProof/>
        </w:rPr>
        <w:t xml:space="preserve"> </w:t>
      </w:r>
      <w:r w:rsidR="5C92DB1A" w:rsidRPr="002F0C16">
        <w:rPr>
          <w:noProof/>
        </w:rPr>
        <w:t xml:space="preserve">are </w:t>
      </w:r>
      <w:r w:rsidR="00BE55A5" w:rsidRPr="002F0C16">
        <w:rPr>
          <w:noProof/>
        </w:rPr>
        <w:t xml:space="preserve">essential </w:t>
      </w:r>
      <w:r w:rsidR="00352842" w:rsidRPr="002F0C16">
        <w:rPr>
          <w:noProof/>
        </w:rPr>
        <w:t xml:space="preserve">to identify necessary </w:t>
      </w:r>
      <w:r w:rsidR="00674786" w:rsidRPr="002F0C16">
        <w:rPr>
          <w:noProof/>
        </w:rPr>
        <w:t xml:space="preserve">measures </w:t>
      </w:r>
      <w:r w:rsidR="00352842" w:rsidRPr="002F0C16">
        <w:rPr>
          <w:noProof/>
        </w:rPr>
        <w:t>and evaluate their success</w:t>
      </w:r>
      <w:r w:rsidR="1C0CF5BB" w:rsidRPr="002F0C16">
        <w:rPr>
          <w:noProof/>
        </w:rPr>
        <w:t xml:space="preserve">. </w:t>
      </w:r>
      <w:r w:rsidR="000A3F8D" w:rsidRPr="002F0C16">
        <w:rPr>
          <w:noProof/>
        </w:rPr>
        <w:t>Data a</w:t>
      </w:r>
      <w:r w:rsidR="1C0CF5BB" w:rsidRPr="002F0C16">
        <w:rPr>
          <w:noProof/>
        </w:rPr>
        <w:t>vailability depends on reporting</w:t>
      </w:r>
      <w:r w:rsidR="000A3F8D" w:rsidRPr="002F0C16">
        <w:rPr>
          <w:noProof/>
        </w:rPr>
        <w:t>, h</w:t>
      </w:r>
      <w:r w:rsidR="069CEDB1" w:rsidRPr="002F0C16">
        <w:rPr>
          <w:noProof/>
        </w:rPr>
        <w:t>ence</w:t>
      </w:r>
      <w:r w:rsidR="1C0CF5BB" w:rsidRPr="002F0C16">
        <w:rPr>
          <w:noProof/>
        </w:rPr>
        <w:t xml:space="preserve"> </w:t>
      </w:r>
      <w:r w:rsidR="3055F390" w:rsidRPr="002F0C16">
        <w:rPr>
          <w:noProof/>
        </w:rPr>
        <w:t>the Commission</w:t>
      </w:r>
      <w:r w:rsidR="00744B90" w:rsidRPr="002F0C16">
        <w:rPr>
          <w:noProof/>
        </w:rPr>
        <w:t xml:space="preserve">’s emphasis on Member States’ compliance with </w:t>
      </w:r>
      <w:r w:rsidR="000B61E2" w:rsidRPr="002F0C16">
        <w:rPr>
          <w:noProof/>
        </w:rPr>
        <w:t xml:space="preserve">the </w:t>
      </w:r>
      <w:r w:rsidR="3055F390" w:rsidRPr="002F0C16">
        <w:rPr>
          <w:noProof/>
        </w:rPr>
        <w:t>irregularit</w:t>
      </w:r>
      <w:r w:rsidR="00B104F5" w:rsidRPr="002F0C16">
        <w:rPr>
          <w:noProof/>
        </w:rPr>
        <w:t>y</w:t>
      </w:r>
      <w:r w:rsidR="3055F390" w:rsidRPr="002F0C16">
        <w:rPr>
          <w:noProof/>
        </w:rPr>
        <w:t xml:space="preserve"> and fraud</w:t>
      </w:r>
      <w:r w:rsidR="00B104F5" w:rsidRPr="002F0C16">
        <w:rPr>
          <w:noProof/>
        </w:rPr>
        <w:t xml:space="preserve"> reporting obligation</w:t>
      </w:r>
      <w:r w:rsidR="3055F390" w:rsidRPr="002F0C16">
        <w:rPr>
          <w:noProof/>
        </w:rPr>
        <w:t>.</w:t>
      </w:r>
    </w:p>
    <w:p w14:paraId="497B3681" w14:textId="236D7B8D" w:rsidR="00E93574" w:rsidRPr="00DE3A6F" w:rsidRDefault="00E93574" w:rsidP="00A01F05">
      <w:pPr>
        <w:pStyle w:val="Heading2"/>
        <w:rPr>
          <w:noProof/>
        </w:rPr>
      </w:pPr>
      <w:bookmarkStart w:id="21" w:name="_Data_sources_1"/>
      <w:bookmarkStart w:id="22" w:name="_Toc234447046"/>
      <w:bookmarkEnd w:id="21"/>
      <w:r w:rsidRPr="00DE3A6F">
        <w:rPr>
          <w:noProof/>
        </w:rPr>
        <w:t>Data sources</w:t>
      </w:r>
      <w:bookmarkEnd w:id="12"/>
      <w:bookmarkEnd w:id="22"/>
    </w:p>
    <w:p w14:paraId="58B1FA53" w14:textId="5F969E9D" w:rsidR="00586067" w:rsidRPr="00DE3A6F" w:rsidRDefault="6AB8676D" w:rsidP="000C1CC0">
      <w:pPr>
        <w:rPr>
          <w:noProof/>
        </w:rPr>
      </w:pPr>
      <w:r w:rsidRPr="00DE3A6F">
        <w:rPr>
          <w:noProof/>
        </w:rPr>
        <w:t>T</w:t>
      </w:r>
      <w:r w:rsidR="3BA4AA71" w:rsidRPr="00DE3A6F">
        <w:rPr>
          <w:noProof/>
        </w:rPr>
        <w:t xml:space="preserve">his report </w:t>
      </w:r>
      <w:r w:rsidR="004D4A4F" w:rsidRPr="00DE3A6F">
        <w:rPr>
          <w:noProof/>
        </w:rPr>
        <w:t xml:space="preserve">is based </w:t>
      </w:r>
      <w:r w:rsidR="3BA4AA71" w:rsidRPr="00DE3A6F">
        <w:rPr>
          <w:noProof/>
        </w:rPr>
        <w:t xml:space="preserve">on information provided by the Member States </w:t>
      </w:r>
      <w:r w:rsidR="00085B53" w:rsidRPr="00DE3A6F">
        <w:rPr>
          <w:noProof/>
        </w:rPr>
        <w:t xml:space="preserve">via </w:t>
      </w:r>
      <w:r w:rsidR="3BA4AA71" w:rsidRPr="00DE3A6F">
        <w:rPr>
          <w:noProof/>
        </w:rPr>
        <w:t>dedicated questionnaires</w:t>
      </w:r>
      <w:r w:rsidRPr="00DE3A6F">
        <w:rPr>
          <w:noProof/>
        </w:rPr>
        <w:t> (</w:t>
      </w:r>
      <w:r w:rsidR="003E1E43" w:rsidRPr="00DE3A6F">
        <w:rPr>
          <w:rStyle w:val="FootnoteReference"/>
          <w:noProof/>
        </w:rPr>
        <w:footnoteReference w:id="10"/>
      </w:r>
      <w:r w:rsidRPr="00DE3A6F">
        <w:rPr>
          <w:noProof/>
        </w:rPr>
        <w:t>)</w:t>
      </w:r>
      <w:r w:rsidR="3BA4AA71" w:rsidRPr="00DE3A6F">
        <w:rPr>
          <w:noProof/>
        </w:rPr>
        <w:t xml:space="preserve">. </w:t>
      </w:r>
      <w:hyperlink w:anchor="_Revenue_–_traditional" w:history="1">
        <w:r w:rsidR="3BA4AA71" w:rsidRPr="00DE3A6F">
          <w:rPr>
            <w:rStyle w:val="Hyperlink"/>
            <w:noProof/>
          </w:rPr>
          <w:t xml:space="preserve">Section </w:t>
        </w:r>
        <w:r w:rsidR="1CF90612" w:rsidRPr="00DE3A6F">
          <w:rPr>
            <w:rStyle w:val="Hyperlink"/>
            <w:noProof/>
          </w:rPr>
          <w:t>3</w:t>
        </w:r>
      </w:hyperlink>
      <w:r w:rsidR="3BA4AA71" w:rsidRPr="00DE3A6F">
        <w:rPr>
          <w:noProof/>
        </w:rPr>
        <w:t xml:space="preserve"> </w:t>
      </w:r>
      <w:r w:rsidR="009C0A23" w:rsidRPr="00DE3A6F">
        <w:rPr>
          <w:noProof/>
        </w:rPr>
        <w:t>draws</w:t>
      </w:r>
      <w:r w:rsidR="3BA4AA71" w:rsidRPr="00DE3A6F">
        <w:rPr>
          <w:noProof/>
        </w:rPr>
        <w:t xml:space="preserve"> on </w:t>
      </w:r>
    </w:p>
    <w:p w14:paraId="064AB44A" w14:textId="6592F622" w:rsidR="001E5A42" w:rsidRPr="00DE3A6F" w:rsidRDefault="3BA4AA71" w:rsidP="00586067">
      <w:pPr>
        <w:pStyle w:val="ListParagraph"/>
        <w:numPr>
          <w:ilvl w:val="0"/>
          <w:numId w:val="51"/>
        </w:numPr>
        <w:rPr>
          <w:rFonts w:ascii="Times New Roman" w:hAnsi="Times New Roman"/>
          <w:noProof/>
        </w:rPr>
      </w:pPr>
      <w:r w:rsidRPr="00DE3A6F">
        <w:rPr>
          <w:rFonts w:ascii="Times New Roman" w:hAnsi="Times New Roman"/>
          <w:noProof/>
        </w:rPr>
        <w:t>irregularities detected and reported by the Member States (</w:t>
      </w:r>
      <w:r w:rsidR="00DE46ED" w:rsidRPr="00DE3A6F">
        <w:rPr>
          <w:rStyle w:val="FootnoteReference"/>
          <w:rFonts w:ascii="Times New Roman" w:hAnsi="Times New Roman"/>
          <w:noProof/>
        </w:rPr>
        <w:footnoteReference w:id="11"/>
      </w:r>
      <w:r w:rsidRPr="00DE3A6F">
        <w:rPr>
          <w:rFonts w:ascii="Times New Roman" w:hAnsi="Times New Roman"/>
          <w:noProof/>
        </w:rPr>
        <w:t>)</w:t>
      </w:r>
      <w:r w:rsidR="00A12C95" w:rsidRPr="00DE3A6F">
        <w:rPr>
          <w:rFonts w:ascii="Times New Roman" w:hAnsi="Times New Roman"/>
          <w:noProof/>
        </w:rPr>
        <w:t>;</w:t>
      </w:r>
    </w:p>
    <w:p w14:paraId="52076998" w14:textId="51F965FE" w:rsidR="00965BE8" w:rsidRPr="002F0C16" w:rsidRDefault="001E5A42" w:rsidP="28D37C99">
      <w:pPr>
        <w:pStyle w:val="ListParagraph"/>
        <w:numPr>
          <w:ilvl w:val="0"/>
          <w:numId w:val="51"/>
        </w:numPr>
        <w:rPr>
          <w:rFonts w:ascii="Times New Roman" w:hAnsi="Times New Roman"/>
          <w:noProof/>
        </w:rPr>
      </w:pPr>
      <w:r w:rsidRPr="002F0C16">
        <w:rPr>
          <w:rFonts w:ascii="Times New Roman" w:hAnsi="Times New Roman"/>
          <w:noProof/>
        </w:rPr>
        <w:t xml:space="preserve">irregularities detected and reported </w:t>
      </w:r>
      <w:r w:rsidR="3BA4AA71" w:rsidRPr="002F0C16">
        <w:rPr>
          <w:rFonts w:ascii="Times New Roman" w:hAnsi="Times New Roman"/>
          <w:noProof/>
        </w:rPr>
        <w:t>by pre-accession assistance </w:t>
      </w:r>
      <w:r w:rsidR="00E82722" w:rsidRPr="002F0C16">
        <w:rPr>
          <w:rFonts w:ascii="Times New Roman" w:hAnsi="Times New Roman"/>
          <w:noProof/>
        </w:rPr>
        <w:t>beneficiary countries </w:t>
      </w:r>
      <w:r w:rsidR="3BA4AA71" w:rsidRPr="002F0C16">
        <w:rPr>
          <w:rFonts w:ascii="Times New Roman" w:hAnsi="Times New Roman"/>
          <w:noProof/>
        </w:rPr>
        <w:t>(</w:t>
      </w:r>
      <w:r w:rsidR="00DE46ED" w:rsidRPr="002F0C16">
        <w:rPr>
          <w:rStyle w:val="FootnoteReference"/>
          <w:rFonts w:ascii="Times New Roman" w:hAnsi="Times New Roman"/>
          <w:noProof/>
        </w:rPr>
        <w:footnoteReference w:id="12"/>
      </w:r>
      <w:r w:rsidR="3BA4AA71" w:rsidRPr="002F0C16">
        <w:rPr>
          <w:rFonts w:ascii="Times New Roman" w:hAnsi="Times New Roman"/>
          <w:noProof/>
        </w:rPr>
        <w:t>)</w:t>
      </w:r>
      <w:r w:rsidR="00965BE8" w:rsidRPr="002F0C16">
        <w:rPr>
          <w:rFonts w:ascii="Times New Roman" w:hAnsi="Times New Roman"/>
          <w:noProof/>
        </w:rPr>
        <w:t>;</w:t>
      </w:r>
    </w:p>
    <w:p w14:paraId="16E6DEC3" w14:textId="5921C268" w:rsidR="000C1CC0" w:rsidRPr="00DE3A6F" w:rsidRDefault="506B5F27" w:rsidP="008C51BF">
      <w:pPr>
        <w:pStyle w:val="ListParagraph"/>
        <w:numPr>
          <w:ilvl w:val="0"/>
          <w:numId w:val="51"/>
        </w:numPr>
        <w:spacing w:after="120"/>
        <w:ind w:left="714" w:hanging="357"/>
        <w:rPr>
          <w:noProof/>
        </w:rPr>
      </w:pPr>
      <w:r w:rsidRPr="002F0C16">
        <w:rPr>
          <w:rFonts w:ascii="Times New Roman" w:hAnsi="Times New Roman"/>
          <w:noProof/>
        </w:rPr>
        <w:t>recovery orders extracted from the Commission accounting system.</w:t>
      </w:r>
    </w:p>
    <w:p w14:paraId="68FA4ED1" w14:textId="49E95D3A" w:rsidR="00FC4E80" w:rsidRPr="00DE3A6F" w:rsidRDefault="00FC4E80" w:rsidP="008A48B1">
      <w:pPr>
        <w:rPr>
          <w:noProof/>
        </w:rPr>
      </w:pPr>
      <w:r w:rsidRPr="002F0C16">
        <w:rPr>
          <w:noProof/>
        </w:rPr>
        <w:t xml:space="preserve">Sectoral regulations on traditional own resources, shared management funds and pre-accession instruments </w:t>
      </w:r>
      <w:r w:rsidR="001F32B3" w:rsidRPr="002F0C16">
        <w:rPr>
          <w:noProof/>
        </w:rPr>
        <w:t xml:space="preserve">set out </w:t>
      </w:r>
      <w:r w:rsidRPr="002F0C16">
        <w:rPr>
          <w:noProof/>
        </w:rPr>
        <w:t xml:space="preserve">the conditions under which Member States and pre-accession assistance </w:t>
      </w:r>
      <w:r w:rsidR="001F32B3" w:rsidRPr="002F0C16">
        <w:rPr>
          <w:noProof/>
        </w:rPr>
        <w:t xml:space="preserve">beneficiary countries </w:t>
      </w:r>
      <w:r w:rsidRPr="002F0C16">
        <w:rPr>
          <w:noProof/>
        </w:rPr>
        <w:t xml:space="preserve">must report </w:t>
      </w:r>
      <w:r w:rsidR="001F32B3" w:rsidRPr="002F0C16">
        <w:rPr>
          <w:noProof/>
        </w:rPr>
        <w:t xml:space="preserve">detected </w:t>
      </w:r>
      <w:r w:rsidRPr="002F0C16">
        <w:rPr>
          <w:noProof/>
        </w:rPr>
        <w:t xml:space="preserve">irregularities. </w:t>
      </w:r>
      <w:r w:rsidR="006D360B" w:rsidRPr="002F0C16">
        <w:rPr>
          <w:noProof/>
        </w:rPr>
        <w:t>R</w:t>
      </w:r>
      <w:r w:rsidRPr="002F0C16">
        <w:rPr>
          <w:noProof/>
        </w:rPr>
        <w:t>eporting is subject to certain limitations (</w:t>
      </w:r>
      <w:r w:rsidRPr="002F0C16">
        <w:rPr>
          <w:rStyle w:val="FootnoteReference"/>
          <w:noProof/>
        </w:rPr>
        <w:footnoteReference w:id="13"/>
      </w:r>
      <w:r w:rsidRPr="002F0C16">
        <w:rPr>
          <w:noProof/>
        </w:rPr>
        <w:t>).</w:t>
      </w:r>
    </w:p>
    <w:p w14:paraId="65AE9339" w14:textId="5F64A09A" w:rsidR="00FC4E80" w:rsidRPr="00DE3A6F" w:rsidRDefault="4BFD21FC" w:rsidP="008A48B1">
      <w:pPr>
        <w:rPr>
          <w:noProof/>
        </w:rPr>
      </w:pPr>
      <w:r w:rsidRPr="002F0C16">
        <w:rPr>
          <w:noProof/>
        </w:rPr>
        <w:lastRenderedPageBreak/>
        <w:t>Th</w:t>
      </w:r>
      <w:r w:rsidR="00564C17" w:rsidRPr="002F0C16">
        <w:rPr>
          <w:noProof/>
        </w:rPr>
        <w:t>is</w:t>
      </w:r>
      <w:r w:rsidRPr="002F0C16">
        <w:rPr>
          <w:noProof/>
        </w:rPr>
        <w:t xml:space="preserve"> report categorises </w:t>
      </w:r>
      <w:r w:rsidR="005F464A" w:rsidRPr="002F0C16">
        <w:rPr>
          <w:noProof/>
        </w:rPr>
        <w:t xml:space="preserve">the </w:t>
      </w:r>
      <w:r w:rsidR="30BAF053" w:rsidRPr="002F0C16">
        <w:rPr>
          <w:noProof/>
        </w:rPr>
        <w:t>cases reported by the Member States and beneficiary countries</w:t>
      </w:r>
      <w:r w:rsidR="5197A7A7" w:rsidRPr="002F0C16">
        <w:rPr>
          <w:noProof/>
        </w:rPr>
        <w:t xml:space="preserve"> into two br</w:t>
      </w:r>
      <w:r w:rsidR="7ED8952B" w:rsidRPr="002F0C16">
        <w:rPr>
          <w:noProof/>
        </w:rPr>
        <w:t>oad types</w:t>
      </w:r>
      <w:r w:rsidR="30BAF053" w:rsidRPr="002F0C16">
        <w:rPr>
          <w:noProof/>
        </w:rPr>
        <w:t xml:space="preserve">: </w:t>
      </w:r>
      <w:r w:rsidR="30BAF053" w:rsidRPr="002F0C16">
        <w:rPr>
          <w:b/>
          <w:bCs/>
          <w:noProof/>
        </w:rPr>
        <w:t>fraudulent irregularities</w:t>
      </w:r>
      <w:r w:rsidR="30BAF053" w:rsidRPr="002F0C16">
        <w:rPr>
          <w:noProof/>
        </w:rPr>
        <w:t> (</w:t>
      </w:r>
      <w:r w:rsidR="00FC4E80" w:rsidRPr="002F0C16">
        <w:rPr>
          <w:rStyle w:val="FootnoteReference"/>
          <w:noProof/>
        </w:rPr>
        <w:footnoteReference w:id="14"/>
      </w:r>
      <w:r w:rsidR="30BAF053" w:rsidRPr="002F0C16">
        <w:rPr>
          <w:noProof/>
        </w:rPr>
        <w:t xml:space="preserve">) and </w:t>
      </w:r>
      <w:r w:rsidR="30BAF053" w:rsidRPr="002F0C16">
        <w:rPr>
          <w:b/>
          <w:bCs/>
          <w:noProof/>
        </w:rPr>
        <w:t>non-fraudulent irregularities</w:t>
      </w:r>
      <w:r w:rsidR="30BAF053" w:rsidRPr="002F0C16">
        <w:rPr>
          <w:noProof/>
        </w:rPr>
        <w:t> (</w:t>
      </w:r>
      <w:r w:rsidR="00FC4E80" w:rsidRPr="002F0C16">
        <w:rPr>
          <w:rStyle w:val="FootnoteReference"/>
          <w:noProof/>
        </w:rPr>
        <w:footnoteReference w:id="15"/>
      </w:r>
      <w:r w:rsidR="30BAF053" w:rsidRPr="002F0C16">
        <w:rPr>
          <w:noProof/>
        </w:rPr>
        <w:t>).</w:t>
      </w:r>
    </w:p>
    <w:p w14:paraId="7552CFBD" w14:textId="5E5DBCAC" w:rsidR="00FC4E80" w:rsidRPr="00DE3A6F" w:rsidRDefault="00463E0B" w:rsidP="008A48B1">
      <w:pPr>
        <w:rPr>
          <w:noProof/>
        </w:rPr>
      </w:pPr>
      <w:r w:rsidRPr="00DE3A6F">
        <w:rPr>
          <w:noProof/>
        </w:rPr>
        <w:t>The PIF</w:t>
      </w:r>
      <w:r w:rsidR="00FC4E80" w:rsidRPr="00DE3A6F">
        <w:rPr>
          <w:noProof/>
        </w:rPr>
        <w:t xml:space="preserve"> report refer</w:t>
      </w:r>
      <w:r w:rsidR="00C63905" w:rsidRPr="00DE3A6F">
        <w:rPr>
          <w:noProof/>
        </w:rPr>
        <w:t xml:space="preserve">s </w:t>
      </w:r>
      <w:r w:rsidR="00FC4E80" w:rsidRPr="00DE3A6F">
        <w:rPr>
          <w:noProof/>
        </w:rPr>
        <w:t>to the results of investigations by OLAF and</w:t>
      </w:r>
      <w:r w:rsidR="00771D26" w:rsidRPr="00DE3A6F">
        <w:rPr>
          <w:noProof/>
        </w:rPr>
        <w:t xml:space="preserve"> </w:t>
      </w:r>
      <w:r w:rsidR="005F19E2" w:rsidRPr="00DE3A6F">
        <w:rPr>
          <w:noProof/>
        </w:rPr>
        <w:t xml:space="preserve">the </w:t>
      </w:r>
      <w:r w:rsidR="00FC4E80" w:rsidRPr="00DE3A6F">
        <w:rPr>
          <w:noProof/>
        </w:rPr>
        <w:t xml:space="preserve">EPPO. Data </w:t>
      </w:r>
      <w:r w:rsidR="005F19E2" w:rsidRPr="00DE3A6F">
        <w:rPr>
          <w:noProof/>
        </w:rPr>
        <w:t xml:space="preserve">are sourced </w:t>
      </w:r>
      <w:r w:rsidR="00FC4E80" w:rsidRPr="00DE3A6F">
        <w:rPr>
          <w:noProof/>
        </w:rPr>
        <w:t>from the respective annual reports (</w:t>
      </w:r>
      <w:r w:rsidR="00FC4E80" w:rsidRPr="00DE3A6F">
        <w:rPr>
          <w:rStyle w:val="FootnoteReference"/>
          <w:noProof/>
        </w:rPr>
        <w:footnoteReference w:id="16"/>
      </w:r>
      <w:r w:rsidR="00FC4E80" w:rsidRPr="00DE3A6F">
        <w:rPr>
          <w:noProof/>
        </w:rPr>
        <w:t>) or obtained directly from these bodies</w:t>
      </w:r>
      <w:r w:rsidR="002D6F4B" w:rsidRPr="00DE3A6F">
        <w:rPr>
          <w:noProof/>
        </w:rPr>
        <w:t> (</w:t>
      </w:r>
      <w:r w:rsidR="002D6F4B" w:rsidRPr="00DE3A6F">
        <w:rPr>
          <w:rStyle w:val="FootnoteReference"/>
          <w:noProof/>
        </w:rPr>
        <w:footnoteReference w:id="17"/>
      </w:r>
      <w:r w:rsidR="002D6F4B" w:rsidRPr="00DE3A6F">
        <w:rPr>
          <w:noProof/>
        </w:rPr>
        <w:t>)</w:t>
      </w:r>
      <w:r w:rsidR="00FC4E80" w:rsidRPr="00DE3A6F">
        <w:rPr>
          <w:noProof/>
        </w:rPr>
        <w:t>.</w:t>
      </w:r>
    </w:p>
    <w:p w14:paraId="69FEA484" w14:textId="04F8844B" w:rsidR="00FC4E80" w:rsidRPr="00DE3A6F" w:rsidRDefault="00FC4E80" w:rsidP="000C1CC0">
      <w:pPr>
        <w:rPr>
          <w:noProof/>
        </w:rPr>
      </w:pPr>
      <w:r w:rsidRPr="00DE3A6F">
        <w:rPr>
          <w:noProof/>
        </w:rPr>
        <w:t>These data sources have some significant underlying differences in nature, scope, budgetary areas covered and timelines (</w:t>
      </w:r>
      <w:r w:rsidRPr="00DE3A6F">
        <w:rPr>
          <w:rStyle w:val="FootnoteReference"/>
          <w:noProof/>
        </w:rPr>
        <w:footnoteReference w:id="18"/>
      </w:r>
      <w:r w:rsidRPr="00DE3A6F">
        <w:rPr>
          <w:noProof/>
        </w:rPr>
        <w:t>).</w:t>
      </w:r>
    </w:p>
    <w:p w14:paraId="36F117DF" w14:textId="5FCF03ED" w:rsidR="00C741A2" w:rsidRPr="00DE3A6F" w:rsidRDefault="009C730D" w:rsidP="000C1CC0">
      <w:pPr>
        <w:rPr>
          <w:noProof/>
        </w:rPr>
      </w:pPr>
      <w:r w:rsidRPr="00DE3A6F">
        <w:rPr>
          <w:b/>
          <w:bCs/>
          <w:i/>
          <w:iCs/>
          <w:noProof/>
        </w:rPr>
        <w:t>Figure 2</w:t>
      </w:r>
      <w:r w:rsidR="00D2179E" w:rsidRPr="00DE3A6F">
        <w:rPr>
          <w:noProof/>
        </w:rPr>
        <w:t xml:space="preserve"> </w:t>
      </w:r>
      <w:r w:rsidR="00790E6A" w:rsidRPr="00DE3A6F">
        <w:rPr>
          <w:noProof/>
        </w:rPr>
        <w:t xml:space="preserve">below </w:t>
      </w:r>
      <w:r w:rsidR="005027BB" w:rsidRPr="00DE3A6F">
        <w:rPr>
          <w:noProof/>
        </w:rPr>
        <w:t>illu</w:t>
      </w:r>
      <w:r w:rsidR="0093055E" w:rsidRPr="00DE3A6F">
        <w:rPr>
          <w:noProof/>
        </w:rPr>
        <w:t>strate</w:t>
      </w:r>
      <w:r w:rsidR="005027BB" w:rsidRPr="00DE3A6F">
        <w:rPr>
          <w:noProof/>
        </w:rPr>
        <w:t xml:space="preserve">s </w:t>
      </w:r>
      <w:r w:rsidR="00790E6A" w:rsidRPr="00DE3A6F">
        <w:rPr>
          <w:noProof/>
        </w:rPr>
        <w:t xml:space="preserve">how each data source </w:t>
      </w:r>
      <w:r w:rsidR="003515D8" w:rsidRPr="00CA1602">
        <w:rPr>
          <w:noProof/>
        </w:rPr>
        <w:t xml:space="preserve">provides </w:t>
      </w:r>
      <w:r w:rsidR="00790E6A" w:rsidRPr="00DE3A6F">
        <w:rPr>
          <w:noProof/>
        </w:rPr>
        <w:t xml:space="preserve">information </w:t>
      </w:r>
      <w:r w:rsidR="003515D8" w:rsidRPr="00CA1602">
        <w:rPr>
          <w:noProof/>
        </w:rPr>
        <w:t xml:space="preserve">for </w:t>
      </w:r>
      <w:r w:rsidR="00790E6A" w:rsidRPr="00DE3A6F">
        <w:rPr>
          <w:noProof/>
        </w:rPr>
        <w:t>each specific stage of the anti-fraud cycle.</w:t>
      </w:r>
    </w:p>
    <w:p w14:paraId="51F429E0" w14:textId="23D68CC4" w:rsidR="00D2179E" w:rsidRPr="00DE3A6F" w:rsidRDefault="009C730D" w:rsidP="009C730D">
      <w:pPr>
        <w:pStyle w:val="Caption"/>
        <w:rPr>
          <w:b w:val="0"/>
          <w:bCs/>
          <w:i w:val="0"/>
          <w:iCs/>
          <w:noProof/>
        </w:rPr>
      </w:pPr>
      <w:r w:rsidRPr="00DE3A6F">
        <w:rPr>
          <w:noProof/>
        </w:rPr>
        <w:t xml:space="preserve">Figure </w:t>
      </w:r>
      <w:r w:rsidR="00C634A0" w:rsidRPr="00DE3A6F">
        <w:rPr>
          <w:noProof/>
        </w:rPr>
        <w:fldChar w:fldCharType="begin"/>
      </w:r>
      <w:r w:rsidR="00C634A0" w:rsidRPr="00DE3A6F">
        <w:rPr>
          <w:noProof/>
        </w:rPr>
        <w:instrText xml:space="preserve"> SEQ Figure \* ARABIC </w:instrText>
      </w:r>
      <w:r w:rsidR="00C634A0" w:rsidRPr="00DE3A6F">
        <w:rPr>
          <w:noProof/>
        </w:rPr>
        <w:fldChar w:fldCharType="separate"/>
      </w:r>
      <w:r w:rsidR="00A13C63">
        <w:rPr>
          <w:noProof/>
        </w:rPr>
        <w:t>2</w:t>
      </w:r>
      <w:r w:rsidR="00C634A0" w:rsidRPr="00DE3A6F">
        <w:rPr>
          <w:noProof/>
        </w:rPr>
        <w:fldChar w:fldCharType="end"/>
      </w:r>
      <w:r w:rsidR="002D5A2D" w:rsidRPr="00DE3A6F">
        <w:rPr>
          <w:bCs/>
          <w:iCs/>
          <w:noProof/>
        </w:rPr>
        <w:t xml:space="preserve">: </w:t>
      </w:r>
      <w:r w:rsidR="00E7034B" w:rsidRPr="00DE3A6F">
        <w:rPr>
          <w:bCs/>
          <w:iCs/>
          <w:noProof/>
        </w:rPr>
        <w:t xml:space="preserve">How the </w:t>
      </w:r>
      <w:r w:rsidR="003515D8" w:rsidRPr="00CA1602">
        <w:rPr>
          <w:bCs/>
          <w:iCs/>
          <w:noProof/>
        </w:rPr>
        <w:t xml:space="preserve">various </w:t>
      </w:r>
      <w:r w:rsidR="00E7034B" w:rsidRPr="00DE3A6F">
        <w:rPr>
          <w:bCs/>
          <w:iCs/>
          <w:noProof/>
        </w:rPr>
        <w:t xml:space="preserve">data sources feed into the </w:t>
      </w:r>
      <w:r w:rsidR="00FF5DB1" w:rsidRPr="00DE3A6F">
        <w:rPr>
          <w:bCs/>
          <w:iCs/>
          <w:noProof/>
        </w:rPr>
        <w:t>anti-fraud cycle</w:t>
      </w:r>
      <w:r w:rsidR="00C55534" w:rsidRPr="00DE3A6F">
        <w:rPr>
          <w:bCs/>
          <w:iCs/>
          <w:noProof/>
        </w:rPr>
        <w:t xml:space="preserve"> </w:t>
      </w:r>
      <w:r w:rsidR="00FD6E4E" w:rsidRPr="00DE3A6F">
        <w:rPr>
          <w:bCs/>
          <w:iCs/>
          <w:noProof/>
        </w:rPr>
        <w:t>analysis</w:t>
      </w:r>
    </w:p>
    <w:tbl>
      <w:tblPr>
        <w:tblW w:w="8692" w:type="dxa"/>
        <w:tblLook w:val="04A0" w:firstRow="1" w:lastRow="0" w:firstColumn="1" w:lastColumn="0" w:noHBand="0" w:noVBand="1"/>
      </w:tblPr>
      <w:tblGrid>
        <w:gridCol w:w="1833"/>
        <w:gridCol w:w="832"/>
        <w:gridCol w:w="923"/>
        <w:gridCol w:w="778"/>
        <w:gridCol w:w="920"/>
        <w:gridCol w:w="781"/>
        <w:gridCol w:w="920"/>
        <w:gridCol w:w="781"/>
        <w:gridCol w:w="924"/>
      </w:tblGrid>
      <w:tr w:rsidR="0072111A" w:rsidRPr="00DD57D6" w14:paraId="3B4C2E80" w14:textId="77777777" w:rsidTr="00DD57D6">
        <w:trPr>
          <w:trHeight w:val="315"/>
        </w:trPr>
        <w:tc>
          <w:tcPr>
            <w:tcW w:w="1833" w:type="dxa"/>
            <w:tcBorders>
              <w:top w:val="single" w:sz="8" w:space="0" w:color="000000"/>
              <w:left w:val="single" w:sz="8" w:space="0" w:color="000000"/>
              <w:bottom w:val="nil"/>
              <w:right w:val="single" w:sz="8" w:space="0" w:color="000000"/>
            </w:tcBorders>
            <w:shd w:val="clear" w:color="000000" w:fill="FFFFFF"/>
            <w:vAlign w:val="center"/>
            <w:hideMark/>
          </w:tcPr>
          <w:p w14:paraId="36818272" w14:textId="77777777" w:rsidR="00711CD4" w:rsidRPr="00DD57D6" w:rsidRDefault="00711CD4" w:rsidP="00711CD4">
            <w:pPr>
              <w:spacing w:after="0" w:line="240" w:lineRule="auto"/>
              <w:jc w:val="right"/>
              <w:rPr>
                <w:rFonts w:ascii="Aptos Narrow" w:hAnsi="Aptos Narrow"/>
                <w:b/>
                <w:bCs/>
                <w:noProof/>
                <w:color w:val="000000"/>
                <w:sz w:val="20"/>
                <w:lang w:val="en-IE" w:eastAsia="en-IE"/>
              </w:rPr>
            </w:pPr>
            <w:r w:rsidRPr="00DD57D6">
              <w:rPr>
                <w:rFonts w:ascii="Aptos Narrow" w:hAnsi="Aptos Narrow"/>
                <w:b/>
                <w:bCs/>
                <w:noProof/>
                <w:color w:val="000000"/>
                <w:sz w:val="20"/>
                <w:lang w:val="en-IE" w:eastAsia="en-IE"/>
              </w:rPr>
              <w:t>Stage of AF cycle</w:t>
            </w:r>
          </w:p>
        </w:tc>
        <w:tc>
          <w:tcPr>
            <w:tcW w:w="1755" w:type="dxa"/>
            <w:gridSpan w:val="2"/>
            <w:vMerge w:val="restart"/>
            <w:tcBorders>
              <w:top w:val="single" w:sz="8" w:space="0" w:color="000000"/>
              <w:left w:val="single" w:sz="8" w:space="0" w:color="000000"/>
              <w:bottom w:val="single" w:sz="8" w:space="0" w:color="000000"/>
              <w:right w:val="single" w:sz="8" w:space="0" w:color="000000"/>
            </w:tcBorders>
            <w:shd w:val="clear" w:color="000000" w:fill="12501A"/>
            <w:vAlign w:val="center"/>
            <w:hideMark/>
          </w:tcPr>
          <w:p w14:paraId="21760D62"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Prevention</w:t>
            </w:r>
          </w:p>
        </w:tc>
        <w:tc>
          <w:tcPr>
            <w:tcW w:w="1698" w:type="dxa"/>
            <w:gridSpan w:val="2"/>
            <w:vMerge w:val="restart"/>
            <w:tcBorders>
              <w:top w:val="single" w:sz="8" w:space="0" w:color="000000"/>
              <w:left w:val="single" w:sz="8" w:space="0" w:color="000000"/>
              <w:bottom w:val="single" w:sz="8" w:space="0" w:color="000000"/>
              <w:right w:val="single" w:sz="8" w:space="0" w:color="000000"/>
            </w:tcBorders>
            <w:shd w:val="clear" w:color="000000" w:fill="215C98"/>
            <w:vAlign w:val="center"/>
            <w:hideMark/>
          </w:tcPr>
          <w:p w14:paraId="48EC2465"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Detection</w:t>
            </w:r>
          </w:p>
        </w:tc>
        <w:tc>
          <w:tcPr>
            <w:tcW w:w="1701" w:type="dxa"/>
            <w:gridSpan w:val="2"/>
            <w:vMerge w:val="restart"/>
            <w:tcBorders>
              <w:top w:val="single" w:sz="8" w:space="0" w:color="000000"/>
              <w:left w:val="single" w:sz="8" w:space="0" w:color="000000"/>
              <w:bottom w:val="single" w:sz="8" w:space="0" w:color="000000"/>
              <w:right w:val="single" w:sz="8" w:space="0" w:color="000000"/>
            </w:tcBorders>
            <w:shd w:val="clear" w:color="000000" w:fill="BE5014"/>
            <w:vAlign w:val="center"/>
            <w:hideMark/>
          </w:tcPr>
          <w:p w14:paraId="263D0E96"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Investigation and prosecution</w:t>
            </w:r>
          </w:p>
        </w:tc>
        <w:tc>
          <w:tcPr>
            <w:tcW w:w="1705" w:type="dxa"/>
            <w:gridSpan w:val="2"/>
            <w:vMerge w:val="restart"/>
            <w:tcBorders>
              <w:top w:val="single" w:sz="8" w:space="0" w:color="000000"/>
              <w:left w:val="single" w:sz="8" w:space="0" w:color="000000"/>
              <w:bottom w:val="single" w:sz="8" w:space="0" w:color="000000"/>
              <w:right w:val="single" w:sz="8" w:space="0" w:color="000000"/>
            </w:tcBorders>
            <w:shd w:val="clear" w:color="000000" w:fill="782170"/>
            <w:vAlign w:val="center"/>
            <w:hideMark/>
          </w:tcPr>
          <w:p w14:paraId="0F654672"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Recovery and sanctioning</w:t>
            </w:r>
          </w:p>
        </w:tc>
      </w:tr>
      <w:tr w:rsidR="0072111A" w:rsidRPr="00DD57D6" w14:paraId="4189E37D" w14:textId="77777777" w:rsidTr="00DD57D6">
        <w:trPr>
          <w:trHeight w:val="330"/>
        </w:trPr>
        <w:tc>
          <w:tcPr>
            <w:tcW w:w="1833" w:type="dxa"/>
            <w:tcBorders>
              <w:top w:val="nil"/>
              <w:left w:val="single" w:sz="8" w:space="0" w:color="000000"/>
              <w:bottom w:val="single" w:sz="8" w:space="0" w:color="000000"/>
              <w:right w:val="single" w:sz="8" w:space="0" w:color="000000"/>
            </w:tcBorders>
            <w:shd w:val="clear" w:color="000000" w:fill="FFFFFF"/>
            <w:vAlign w:val="center"/>
            <w:hideMark/>
          </w:tcPr>
          <w:p w14:paraId="74A0A8FB" w14:textId="77777777" w:rsidR="00711CD4" w:rsidRPr="00DD57D6" w:rsidRDefault="00711CD4" w:rsidP="00711CD4">
            <w:pPr>
              <w:spacing w:after="0" w:line="240" w:lineRule="auto"/>
              <w:rPr>
                <w:rFonts w:ascii="Aptos Narrow" w:hAnsi="Aptos Narrow"/>
                <w:b/>
                <w:bCs/>
                <w:noProof/>
                <w:color w:val="000000"/>
                <w:sz w:val="20"/>
                <w:lang w:val="en-IE" w:eastAsia="en-IE"/>
              </w:rPr>
            </w:pPr>
            <w:r w:rsidRPr="00DD57D6">
              <w:rPr>
                <w:rFonts w:ascii="Aptos Narrow" w:hAnsi="Aptos Narrow"/>
                <w:b/>
                <w:bCs/>
                <w:noProof/>
                <w:color w:val="000000"/>
                <w:sz w:val="20"/>
                <w:lang w:val="en-IE" w:eastAsia="en-IE"/>
              </w:rPr>
              <w:t>Data source</w:t>
            </w:r>
          </w:p>
        </w:tc>
        <w:tc>
          <w:tcPr>
            <w:tcW w:w="1755" w:type="dxa"/>
            <w:gridSpan w:val="2"/>
            <w:vMerge/>
            <w:tcBorders>
              <w:top w:val="nil"/>
              <w:left w:val="single" w:sz="8" w:space="0" w:color="000000"/>
              <w:bottom w:val="single" w:sz="8" w:space="0" w:color="000000"/>
              <w:right w:val="single" w:sz="8" w:space="0" w:color="000000"/>
            </w:tcBorders>
            <w:vAlign w:val="center"/>
            <w:hideMark/>
          </w:tcPr>
          <w:p w14:paraId="527FA622" w14:textId="77777777" w:rsidR="00711CD4" w:rsidRPr="00DD57D6" w:rsidRDefault="00711CD4" w:rsidP="00711CD4">
            <w:pPr>
              <w:spacing w:after="0" w:line="240" w:lineRule="auto"/>
              <w:jc w:val="left"/>
              <w:rPr>
                <w:rFonts w:ascii="Aptos Narrow" w:hAnsi="Aptos Narrow"/>
                <w:b/>
                <w:bCs/>
                <w:noProof/>
                <w:color w:val="FFFFFF"/>
                <w:sz w:val="20"/>
                <w:lang w:val="en-IE" w:eastAsia="en-IE"/>
              </w:rPr>
            </w:pPr>
          </w:p>
        </w:tc>
        <w:tc>
          <w:tcPr>
            <w:tcW w:w="1698" w:type="dxa"/>
            <w:gridSpan w:val="2"/>
            <w:vMerge/>
            <w:tcBorders>
              <w:top w:val="nil"/>
              <w:left w:val="single" w:sz="8" w:space="0" w:color="000000"/>
              <w:bottom w:val="single" w:sz="8" w:space="0" w:color="000000"/>
              <w:right w:val="single" w:sz="8" w:space="0" w:color="000000"/>
            </w:tcBorders>
            <w:vAlign w:val="center"/>
            <w:hideMark/>
          </w:tcPr>
          <w:p w14:paraId="0615576C" w14:textId="77777777" w:rsidR="00711CD4" w:rsidRPr="00DD57D6" w:rsidRDefault="00711CD4" w:rsidP="00711CD4">
            <w:pPr>
              <w:spacing w:after="0" w:line="240" w:lineRule="auto"/>
              <w:jc w:val="left"/>
              <w:rPr>
                <w:rFonts w:ascii="Aptos Narrow" w:hAnsi="Aptos Narrow"/>
                <w:b/>
                <w:bCs/>
                <w:noProof/>
                <w:color w:val="FFFFFF"/>
                <w:sz w:val="20"/>
                <w:lang w:val="en-IE" w:eastAsia="en-IE"/>
              </w:rPr>
            </w:pPr>
          </w:p>
        </w:tc>
        <w:tc>
          <w:tcPr>
            <w:tcW w:w="1701" w:type="dxa"/>
            <w:gridSpan w:val="2"/>
            <w:vMerge/>
            <w:tcBorders>
              <w:top w:val="nil"/>
              <w:left w:val="single" w:sz="8" w:space="0" w:color="000000"/>
              <w:bottom w:val="single" w:sz="8" w:space="0" w:color="000000"/>
              <w:right w:val="single" w:sz="8" w:space="0" w:color="000000"/>
            </w:tcBorders>
            <w:vAlign w:val="center"/>
            <w:hideMark/>
          </w:tcPr>
          <w:p w14:paraId="7BC78161" w14:textId="77777777" w:rsidR="00711CD4" w:rsidRPr="00DD57D6" w:rsidRDefault="00711CD4" w:rsidP="00711CD4">
            <w:pPr>
              <w:spacing w:after="0" w:line="240" w:lineRule="auto"/>
              <w:jc w:val="left"/>
              <w:rPr>
                <w:rFonts w:ascii="Aptos Narrow" w:hAnsi="Aptos Narrow"/>
                <w:b/>
                <w:bCs/>
                <w:noProof/>
                <w:color w:val="FFFFFF"/>
                <w:sz w:val="20"/>
                <w:lang w:val="en-IE" w:eastAsia="en-IE"/>
              </w:rPr>
            </w:pPr>
          </w:p>
        </w:tc>
        <w:tc>
          <w:tcPr>
            <w:tcW w:w="1705" w:type="dxa"/>
            <w:gridSpan w:val="2"/>
            <w:vMerge/>
            <w:tcBorders>
              <w:top w:val="nil"/>
              <w:left w:val="single" w:sz="8" w:space="0" w:color="000000"/>
              <w:bottom w:val="single" w:sz="8" w:space="0" w:color="000000"/>
              <w:right w:val="single" w:sz="8" w:space="0" w:color="000000"/>
            </w:tcBorders>
            <w:vAlign w:val="center"/>
            <w:hideMark/>
          </w:tcPr>
          <w:p w14:paraId="2FBB5A74" w14:textId="77777777" w:rsidR="00711CD4" w:rsidRPr="00DD57D6" w:rsidRDefault="00711CD4" w:rsidP="00711CD4">
            <w:pPr>
              <w:spacing w:after="0" w:line="240" w:lineRule="auto"/>
              <w:jc w:val="left"/>
              <w:rPr>
                <w:rFonts w:ascii="Aptos Narrow" w:hAnsi="Aptos Narrow"/>
                <w:b/>
                <w:bCs/>
                <w:noProof/>
                <w:color w:val="FFFFFF"/>
                <w:sz w:val="20"/>
                <w:lang w:val="en-IE" w:eastAsia="en-IE"/>
              </w:rPr>
            </w:pPr>
          </w:p>
        </w:tc>
      </w:tr>
      <w:tr w:rsidR="0072111A" w:rsidRPr="00DD57D6" w14:paraId="2BBB27B9" w14:textId="77777777" w:rsidTr="00DD57D6">
        <w:trPr>
          <w:trHeight w:val="615"/>
        </w:trPr>
        <w:tc>
          <w:tcPr>
            <w:tcW w:w="1833" w:type="dxa"/>
            <w:tcBorders>
              <w:top w:val="nil"/>
              <w:left w:val="single" w:sz="8" w:space="0" w:color="000000"/>
              <w:bottom w:val="single" w:sz="8" w:space="0" w:color="000000"/>
              <w:right w:val="single" w:sz="8" w:space="0" w:color="000000"/>
            </w:tcBorders>
            <w:vAlign w:val="center"/>
            <w:hideMark/>
          </w:tcPr>
          <w:p w14:paraId="61E919F6" w14:textId="77777777" w:rsidR="00711CD4" w:rsidRPr="00DD57D6" w:rsidRDefault="00711CD4" w:rsidP="00711CD4">
            <w:pPr>
              <w:spacing w:after="0" w:line="240" w:lineRule="auto"/>
              <w:jc w:val="right"/>
              <w:rPr>
                <w:rFonts w:ascii="Aptos Narrow" w:hAnsi="Aptos Narrow"/>
                <w:b/>
                <w:bCs/>
                <w:noProof/>
                <w:color w:val="000000"/>
                <w:sz w:val="20"/>
                <w:lang w:val="en-IE" w:eastAsia="en-IE"/>
              </w:rPr>
            </w:pPr>
            <w:r w:rsidRPr="00DD57D6">
              <w:rPr>
                <w:rFonts w:ascii="Aptos Narrow" w:hAnsi="Aptos Narrow"/>
                <w:b/>
                <w:bCs/>
                <w:noProof/>
                <w:color w:val="000000"/>
                <w:sz w:val="20"/>
                <w:lang w:val="en-IE" w:eastAsia="en-IE"/>
              </w:rPr>
              <w:t>Scope</w:t>
            </w:r>
          </w:p>
        </w:tc>
        <w:tc>
          <w:tcPr>
            <w:tcW w:w="832" w:type="dxa"/>
            <w:tcBorders>
              <w:top w:val="nil"/>
              <w:left w:val="nil"/>
              <w:bottom w:val="single" w:sz="8" w:space="0" w:color="000000"/>
              <w:right w:val="single" w:sz="8" w:space="0" w:color="000000"/>
            </w:tcBorders>
            <w:shd w:val="clear" w:color="000000" w:fill="47D359"/>
            <w:vAlign w:val="center"/>
            <w:hideMark/>
          </w:tcPr>
          <w:p w14:paraId="4695CD41"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Policy</w:t>
            </w:r>
          </w:p>
        </w:tc>
        <w:tc>
          <w:tcPr>
            <w:tcW w:w="923" w:type="dxa"/>
            <w:tcBorders>
              <w:top w:val="nil"/>
              <w:left w:val="nil"/>
              <w:bottom w:val="single" w:sz="8" w:space="0" w:color="000000"/>
              <w:right w:val="single" w:sz="8" w:space="0" w:color="000000"/>
            </w:tcBorders>
            <w:shd w:val="clear" w:color="000000" w:fill="47D359"/>
            <w:vAlign w:val="center"/>
            <w:hideMark/>
          </w:tcPr>
          <w:p w14:paraId="7BF01D1D"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Data on results</w:t>
            </w:r>
          </w:p>
        </w:tc>
        <w:tc>
          <w:tcPr>
            <w:tcW w:w="778" w:type="dxa"/>
            <w:tcBorders>
              <w:top w:val="nil"/>
              <w:left w:val="nil"/>
              <w:bottom w:val="single" w:sz="8" w:space="0" w:color="000000"/>
              <w:right w:val="single" w:sz="8" w:space="0" w:color="000000"/>
            </w:tcBorders>
            <w:shd w:val="clear" w:color="000000" w:fill="4D93D9"/>
            <w:vAlign w:val="center"/>
            <w:hideMark/>
          </w:tcPr>
          <w:p w14:paraId="4599CDF5"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Policy</w:t>
            </w:r>
          </w:p>
        </w:tc>
        <w:tc>
          <w:tcPr>
            <w:tcW w:w="920" w:type="dxa"/>
            <w:tcBorders>
              <w:top w:val="nil"/>
              <w:left w:val="nil"/>
              <w:bottom w:val="single" w:sz="8" w:space="0" w:color="000000"/>
              <w:right w:val="single" w:sz="8" w:space="0" w:color="000000"/>
            </w:tcBorders>
            <w:shd w:val="clear" w:color="000000" w:fill="4D93D9"/>
            <w:vAlign w:val="center"/>
            <w:hideMark/>
          </w:tcPr>
          <w:p w14:paraId="387F038D" w14:textId="77777777" w:rsidR="00711CD4" w:rsidRPr="00DD57D6" w:rsidRDefault="00711CD4" w:rsidP="00711CD4">
            <w:pPr>
              <w:spacing w:after="0" w:line="240" w:lineRule="auto"/>
              <w:jc w:val="center"/>
              <w:rPr>
                <w:rFonts w:ascii="Aptos Narrow" w:hAnsi="Aptos Narrow"/>
                <w:b/>
                <w:bCs/>
                <w:noProof/>
                <w:color w:val="FFFFFF"/>
                <w:sz w:val="20"/>
                <w:lang w:val="en-IE" w:eastAsia="en-IE"/>
              </w:rPr>
            </w:pPr>
            <w:r w:rsidRPr="00DD57D6">
              <w:rPr>
                <w:rFonts w:ascii="Aptos Narrow" w:hAnsi="Aptos Narrow"/>
                <w:b/>
                <w:bCs/>
                <w:noProof/>
                <w:color w:val="FFFFFF"/>
                <w:sz w:val="20"/>
                <w:lang w:val="en-IE" w:eastAsia="en-IE"/>
              </w:rPr>
              <w:t>Data on results</w:t>
            </w:r>
          </w:p>
        </w:tc>
        <w:tc>
          <w:tcPr>
            <w:tcW w:w="781" w:type="dxa"/>
            <w:tcBorders>
              <w:top w:val="nil"/>
              <w:left w:val="nil"/>
              <w:bottom w:val="single" w:sz="8" w:space="0" w:color="000000"/>
              <w:right w:val="single" w:sz="8" w:space="0" w:color="000000"/>
            </w:tcBorders>
            <w:shd w:val="clear" w:color="000000" w:fill="F1A983"/>
            <w:vAlign w:val="center"/>
            <w:hideMark/>
          </w:tcPr>
          <w:p w14:paraId="7BB80000" w14:textId="77777777" w:rsidR="00711CD4" w:rsidRPr="00DD57D6" w:rsidRDefault="00711CD4" w:rsidP="00711CD4">
            <w:pPr>
              <w:spacing w:after="0" w:line="240" w:lineRule="auto"/>
              <w:jc w:val="center"/>
              <w:rPr>
                <w:rFonts w:ascii="Aptos Narrow" w:hAnsi="Aptos Narrow"/>
                <w:b/>
                <w:bCs/>
                <w:noProof/>
                <w:color w:val="000000"/>
                <w:sz w:val="20"/>
                <w:lang w:val="en-IE" w:eastAsia="en-IE"/>
              </w:rPr>
            </w:pPr>
            <w:r w:rsidRPr="00DD57D6">
              <w:rPr>
                <w:rFonts w:ascii="Aptos Narrow" w:hAnsi="Aptos Narrow"/>
                <w:b/>
                <w:bCs/>
                <w:noProof/>
                <w:color w:val="000000"/>
                <w:sz w:val="20"/>
                <w:lang w:val="en-IE" w:eastAsia="en-IE"/>
              </w:rPr>
              <w:t>Policy</w:t>
            </w:r>
          </w:p>
        </w:tc>
        <w:tc>
          <w:tcPr>
            <w:tcW w:w="920" w:type="dxa"/>
            <w:tcBorders>
              <w:top w:val="nil"/>
              <w:left w:val="nil"/>
              <w:bottom w:val="single" w:sz="8" w:space="0" w:color="000000"/>
              <w:right w:val="single" w:sz="8" w:space="0" w:color="000000"/>
            </w:tcBorders>
            <w:shd w:val="clear" w:color="000000" w:fill="F1A983"/>
            <w:vAlign w:val="center"/>
            <w:hideMark/>
          </w:tcPr>
          <w:p w14:paraId="5CE500A7" w14:textId="77777777" w:rsidR="00711CD4" w:rsidRPr="00DD57D6" w:rsidRDefault="00711CD4" w:rsidP="00711CD4">
            <w:pPr>
              <w:spacing w:after="0" w:line="240" w:lineRule="auto"/>
              <w:jc w:val="center"/>
              <w:rPr>
                <w:rFonts w:ascii="Aptos Narrow" w:hAnsi="Aptos Narrow"/>
                <w:b/>
                <w:bCs/>
                <w:noProof/>
                <w:color w:val="000000"/>
                <w:sz w:val="20"/>
                <w:lang w:val="en-IE" w:eastAsia="en-IE"/>
              </w:rPr>
            </w:pPr>
            <w:r w:rsidRPr="00DD57D6">
              <w:rPr>
                <w:rFonts w:ascii="Aptos Narrow" w:hAnsi="Aptos Narrow"/>
                <w:b/>
                <w:bCs/>
                <w:noProof/>
                <w:color w:val="000000"/>
                <w:sz w:val="20"/>
                <w:lang w:val="en-IE" w:eastAsia="en-IE"/>
              </w:rPr>
              <w:t>Data on results</w:t>
            </w:r>
          </w:p>
        </w:tc>
        <w:tc>
          <w:tcPr>
            <w:tcW w:w="781" w:type="dxa"/>
            <w:tcBorders>
              <w:top w:val="nil"/>
              <w:left w:val="nil"/>
              <w:bottom w:val="single" w:sz="8" w:space="0" w:color="000000"/>
              <w:right w:val="single" w:sz="8" w:space="0" w:color="000000"/>
            </w:tcBorders>
            <w:shd w:val="clear" w:color="000000" w:fill="D86DCD"/>
            <w:vAlign w:val="center"/>
            <w:hideMark/>
          </w:tcPr>
          <w:p w14:paraId="5856DBDC" w14:textId="77777777" w:rsidR="00711CD4" w:rsidRPr="00DD57D6" w:rsidRDefault="00711CD4" w:rsidP="00711CD4">
            <w:pPr>
              <w:spacing w:after="0" w:line="240" w:lineRule="auto"/>
              <w:jc w:val="center"/>
              <w:rPr>
                <w:rFonts w:ascii="Aptos Narrow" w:hAnsi="Aptos Narrow"/>
                <w:b/>
                <w:bCs/>
                <w:noProof/>
                <w:color w:val="000000"/>
                <w:sz w:val="20"/>
                <w:lang w:val="en-IE" w:eastAsia="en-IE"/>
              </w:rPr>
            </w:pPr>
            <w:r w:rsidRPr="00DD57D6">
              <w:rPr>
                <w:rFonts w:ascii="Aptos Narrow" w:hAnsi="Aptos Narrow"/>
                <w:b/>
                <w:bCs/>
                <w:noProof/>
                <w:color w:val="000000"/>
                <w:sz w:val="20"/>
                <w:lang w:val="en-IE" w:eastAsia="en-IE"/>
              </w:rPr>
              <w:t>Policy</w:t>
            </w:r>
          </w:p>
        </w:tc>
        <w:tc>
          <w:tcPr>
            <w:tcW w:w="924" w:type="dxa"/>
            <w:tcBorders>
              <w:top w:val="nil"/>
              <w:left w:val="nil"/>
              <w:bottom w:val="single" w:sz="8" w:space="0" w:color="000000"/>
              <w:right w:val="single" w:sz="8" w:space="0" w:color="000000"/>
            </w:tcBorders>
            <w:shd w:val="clear" w:color="000000" w:fill="D86DCD"/>
            <w:vAlign w:val="center"/>
            <w:hideMark/>
          </w:tcPr>
          <w:p w14:paraId="173D74EB" w14:textId="77777777" w:rsidR="00711CD4" w:rsidRPr="00DD57D6" w:rsidRDefault="00711CD4" w:rsidP="00711CD4">
            <w:pPr>
              <w:spacing w:after="0" w:line="240" w:lineRule="auto"/>
              <w:jc w:val="center"/>
              <w:rPr>
                <w:rFonts w:ascii="Aptos Narrow" w:hAnsi="Aptos Narrow"/>
                <w:b/>
                <w:bCs/>
                <w:noProof/>
                <w:color w:val="000000"/>
                <w:sz w:val="20"/>
                <w:lang w:val="en-IE" w:eastAsia="en-IE"/>
              </w:rPr>
            </w:pPr>
            <w:r w:rsidRPr="00DD57D6">
              <w:rPr>
                <w:rFonts w:ascii="Aptos Narrow" w:hAnsi="Aptos Narrow"/>
                <w:b/>
                <w:bCs/>
                <w:noProof/>
                <w:color w:val="000000"/>
                <w:sz w:val="20"/>
                <w:lang w:val="en-IE" w:eastAsia="en-IE"/>
              </w:rPr>
              <w:t>Data on results</w:t>
            </w:r>
          </w:p>
        </w:tc>
      </w:tr>
      <w:tr w:rsidR="0072111A" w:rsidRPr="00DD57D6" w14:paraId="21E3CAE2" w14:textId="77777777" w:rsidTr="00DD57D6">
        <w:trPr>
          <w:trHeight w:val="1215"/>
        </w:trPr>
        <w:tc>
          <w:tcPr>
            <w:tcW w:w="1833" w:type="dxa"/>
            <w:tcBorders>
              <w:top w:val="nil"/>
              <w:left w:val="single" w:sz="8" w:space="0" w:color="000000"/>
              <w:bottom w:val="single" w:sz="8" w:space="0" w:color="000000"/>
              <w:right w:val="single" w:sz="8" w:space="0" w:color="000000"/>
            </w:tcBorders>
            <w:vAlign w:val="center"/>
            <w:hideMark/>
          </w:tcPr>
          <w:p w14:paraId="45EFC191" w14:textId="77777777" w:rsidR="00711CD4" w:rsidRPr="00DD57D6" w:rsidRDefault="00711CD4" w:rsidP="00711CD4">
            <w:pPr>
              <w:spacing w:after="0" w:line="240" w:lineRule="auto"/>
              <w:rPr>
                <w:rFonts w:ascii="Aptos Narrow" w:hAnsi="Aptos Narrow"/>
                <w:noProof/>
                <w:color w:val="000000"/>
                <w:sz w:val="20"/>
                <w:lang w:val="en-IE" w:eastAsia="en-IE"/>
              </w:rPr>
            </w:pPr>
            <w:r w:rsidRPr="00DD57D6">
              <w:rPr>
                <w:rFonts w:ascii="Aptos Narrow" w:hAnsi="Aptos Narrow"/>
                <w:noProof/>
                <w:color w:val="000000"/>
                <w:sz w:val="20"/>
                <w:lang w:val="en-IE" w:eastAsia="en-IE"/>
              </w:rPr>
              <w:t>Questionnaires on measures adopted by MS and follow-up given to PIF reports recommendations</w:t>
            </w:r>
          </w:p>
        </w:tc>
        <w:tc>
          <w:tcPr>
            <w:tcW w:w="832" w:type="dxa"/>
            <w:tcBorders>
              <w:top w:val="nil"/>
              <w:left w:val="nil"/>
              <w:bottom w:val="single" w:sz="8" w:space="0" w:color="000000"/>
              <w:right w:val="single" w:sz="8" w:space="0" w:color="000000"/>
            </w:tcBorders>
            <w:shd w:val="clear" w:color="000000" w:fill="DAF2D0"/>
            <w:vAlign w:val="center"/>
            <w:hideMark/>
          </w:tcPr>
          <w:p w14:paraId="19E1BDF5" w14:textId="77D61AA6"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6BC94B9C" wp14:editId="205EDD92">
                  <wp:extent cx="209550" cy="209550"/>
                  <wp:effectExtent l="0" t="0" r="0" b="0"/>
                  <wp:docPr id="181029166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923" w:type="dxa"/>
            <w:tcBorders>
              <w:top w:val="nil"/>
              <w:left w:val="nil"/>
              <w:bottom w:val="single" w:sz="8" w:space="0" w:color="000000"/>
              <w:right w:val="single" w:sz="8" w:space="0" w:color="000000"/>
            </w:tcBorders>
            <w:vAlign w:val="center"/>
            <w:hideMark/>
          </w:tcPr>
          <w:p w14:paraId="04411129"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778" w:type="dxa"/>
            <w:tcBorders>
              <w:top w:val="nil"/>
              <w:left w:val="nil"/>
              <w:bottom w:val="single" w:sz="8" w:space="0" w:color="000000"/>
              <w:right w:val="single" w:sz="8" w:space="0" w:color="000000"/>
            </w:tcBorders>
            <w:shd w:val="clear" w:color="000000" w:fill="DAE9F8"/>
            <w:vAlign w:val="center"/>
            <w:hideMark/>
          </w:tcPr>
          <w:p w14:paraId="4F3C0B5D" w14:textId="7FF0A769"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4E5369E5" wp14:editId="71124EAE">
                  <wp:extent cx="209550" cy="209550"/>
                  <wp:effectExtent l="0" t="0" r="0" b="0"/>
                  <wp:docPr id="179804618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920" w:type="dxa"/>
            <w:tcBorders>
              <w:top w:val="nil"/>
              <w:left w:val="nil"/>
              <w:bottom w:val="single" w:sz="8" w:space="0" w:color="000000"/>
              <w:right w:val="single" w:sz="8" w:space="0" w:color="000000"/>
            </w:tcBorders>
            <w:vAlign w:val="center"/>
            <w:hideMark/>
          </w:tcPr>
          <w:p w14:paraId="4D8CD4D6"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781" w:type="dxa"/>
            <w:tcBorders>
              <w:top w:val="nil"/>
              <w:left w:val="nil"/>
              <w:bottom w:val="single" w:sz="8" w:space="0" w:color="000000"/>
              <w:right w:val="single" w:sz="8" w:space="0" w:color="000000"/>
            </w:tcBorders>
            <w:shd w:val="clear" w:color="000000" w:fill="FBE2D5"/>
            <w:vAlign w:val="center"/>
            <w:hideMark/>
          </w:tcPr>
          <w:p w14:paraId="2ECDFEB8" w14:textId="37D2BE7A"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2AE22F6E" wp14:editId="42425206">
                  <wp:extent cx="209550" cy="209550"/>
                  <wp:effectExtent l="0" t="0" r="0" b="0"/>
                  <wp:docPr id="33159807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920" w:type="dxa"/>
            <w:tcBorders>
              <w:top w:val="nil"/>
              <w:left w:val="nil"/>
              <w:bottom w:val="single" w:sz="8" w:space="0" w:color="000000"/>
              <w:right w:val="single" w:sz="8" w:space="0" w:color="000000"/>
            </w:tcBorders>
            <w:vAlign w:val="center"/>
            <w:hideMark/>
          </w:tcPr>
          <w:p w14:paraId="2FB19EAE"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781" w:type="dxa"/>
            <w:tcBorders>
              <w:top w:val="nil"/>
              <w:left w:val="nil"/>
              <w:bottom w:val="single" w:sz="8" w:space="0" w:color="000000"/>
              <w:right w:val="single" w:sz="8" w:space="0" w:color="000000"/>
            </w:tcBorders>
            <w:shd w:val="clear" w:color="000000" w:fill="F2CEEF"/>
            <w:vAlign w:val="center"/>
            <w:hideMark/>
          </w:tcPr>
          <w:p w14:paraId="4C2137C7" w14:textId="01BDF14E"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6EDEF42E" wp14:editId="7A4A876A">
                  <wp:extent cx="209550" cy="209550"/>
                  <wp:effectExtent l="0" t="0" r="0" b="0"/>
                  <wp:docPr id="162872480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924" w:type="dxa"/>
            <w:tcBorders>
              <w:top w:val="nil"/>
              <w:left w:val="nil"/>
              <w:bottom w:val="single" w:sz="8" w:space="0" w:color="000000"/>
              <w:right w:val="single" w:sz="8" w:space="0" w:color="000000"/>
            </w:tcBorders>
            <w:vAlign w:val="center"/>
            <w:hideMark/>
          </w:tcPr>
          <w:p w14:paraId="31659A78"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r>
      <w:tr w:rsidR="0072111A" w:rsidRPr="00DD57D6" w14:paraId="478072A5" w14:textId="77777777" w:rsidTr="00DD57D6">
        <w:trPr>
          <w:trHeight w:val="315"/>
        </w:trPr>
        <w:tc>
          <w:tcPr>
            <w:tcW w:w="1833" w:type="dxa"/>
            <w:tcBorders>
              <w:top w:val="nil"/>
              <w:left w:val="single" w:sz="8" w:space="0" w:color="000000"/>
              <w:bottom w:val="single" w:sz="8" w:space="0" w:color="000000"/>
              <w:right w:val="single" w:sz="8" w:space="0" w:color="000000"/>
            </w:tcBorders>
            <w:vAlign w:val="center"/>
            <w:hideMark/>
          </w:tcPr>
          <w:p w14:paraId="3AEAF90C" w14:textId="77777777" w:rsidR="00711CD4" w:rsidRPr="00DD57D6" w:rsidRDefault="00711CD4" w:rsidP="00711CD4">
            <w:pPr>
              <w:spacing w:after="0" w:line="240" w:lineRule="auto"/>
              <w:rPr>
                <w:rFonts w:ascii="Aptos Narrow" w:hAnsi="Aptos Narrow"/>
                <w:noProof/>
                <w:color w:val="000000"/>
                <w:sz w:val="20"/>
                <w:lang w:val="en-IE" w:eastAsia="en-IE"/>
              </w:rPr>
            </w:pPr>
            <w:r w:rsidRPr="00DD57D6">
              <w:rPr>
                <w:rFonts w:ascii="Aptos Narrow" w:hAnsi="Aptos Narrow"/>
                <w:noProof/>
                <w:color w:val="000000"/>
                <w:sz w:val="20"/>
                <w:lang w:val="en-IE" w:eastAsia="en-IE"/>
              </w:rPr>
              <w:t xml:space="preserve"> IMS</w:t>
            </w:r>
          </w:p>
        </w:tc>
        <w:tc>
          <w:tcPr>
            <w:tcW w:w="832" w:type="dxa"/>
            <w:tcBorders>
              <w:top w:val="nil"/>
              <w:left w:val="nil"/>
              <w:bottom w:val="single" w:sz="8" w:space="0" w:color="000000"/>
              <w:right w:val="single" w:sz="8" w:space="0" w:color="000000"/>
            </w:tcBorders>
            <w:vAlign w:val="center"/>
            <w:hideMark/>
          </w:tcPr>
          <w:p w14:paraId="63611CFF"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3" w:type="dxa"/>
            <w:tcBorders>
              <w:top w:val="nil"/>
              <w:left w:val="nil"/>
              <w:bottom w:val="single" w:sz="8" w:space="0" w:color="000000"/>
              <w:right w:val="single" w:sz="8" w:space="0" w:color="000000"/>
            </w:tcBorders>
            <w:shd w:val="clear" w:color="000000" w:fill="DAF2D0"/>
            <w:vAlign w:val="center"/>
            <w:hideMark/>
          </w:tcPr>
          <w:p w14:paraId="1FA24219" w14:textId="08EF8DE9"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6923E222" wp14:editId="20A71EED">
                  <wp:extent cx="209550" cy="209550"/>
                  <wp:effectExtent l="0" t="0" r="0" b="0"/>
                  <wp:docPr id="199053554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78" w:type="dxa"/>
            <w:tcBorders>
              <w:top w:val="nil"/>
              <w:left w:val="nil"/>
              <w:bottom w:val="single" w:sz="8" w:space="0" w:color="000000"/>
              <w:right w:val="single" w:sz="8" w:space="0" w:color="000000"/>
            </w:tcBorders>
            <w:vAlign w:val="center"/>
            <w:hideMark/>
          </w:tcPr>
          <w:p w14:paraId="2ECE7C4B"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DAE9F8"/>
            <w:vAlign w:val="center"/>
            <w:hideMark/>
          </w:tcPr>
          <w:p w14:paraId="42832076" w14:textId="307B0392"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7A44D6F8" wp14:editId="3DF7ED9E">
                  <wp:extent cx="209550" cy="209550"/>
                  <wp:effectExtent l="0" t="0" r="0" b="0"/>
                  <wp:docPr id="141243982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3B813931"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FBE2D5"/>
            <w:vAlign w:val="center"/>
            <w:hideMark/>
          </w:tcPr>
          <w:p w14:paraId="677BDCF9" w14:textId="4758498F"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210ACB5E" wp14:editId="36289583">
                  <wp:extent cx="209550" cy="209550"/>
                  <wp:effectExtent l="0" t="0" r="0" b="0"/>
                  <wp:docPr id="138792409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15D923F0"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4" w:type="dxa"/>
            <w:tcBorders>
              <w:top w:val="nil"/>
              <w:left w:val="nil"/>
              <w:bottom w:val="single" w:sz="8" w:space="0" w:color="000000"/>
              <w:right w:val="single" w:sz="8" w:space="0" w:color="000000"/>
            </w:tcBorders>
            <w:shd w:val="clear" w:color="000000" w:fill="F2CEEF"/>
            <w:vAlign w:val="center"/>
            <w:hideMark/>
          </w:tcPr>
          <w:p w14:paraId="46445BBE" w14:textId="6F640714"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6B708D63" wp14:editId="57ED0A5F">
                  <wp:extent cx="209550" cy="209550"/>
                  <wp:effectExtent l="0" t="0" r="0" b="0"/>
                  <wp:docPr id="187162034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r>
      <w:tr w:rsidR="0072111A" w:rsidRPr="00DD57D6" w14:paraId="38BC59C4" w14:textId="77777777" w:rsidTr="00DD57D6">
        <w:trPr>
          <w:trHeight w:val="315"/>
        </w:trPr>
        <w:tc>
          <w:tcPr>
            <w:tcW w:w="1833" w:type="dxa"/>
            <w:tcBorders>
              <w:top w:val="nil"/>
              <w:left w:val="single" w:sz="8" w:space="0" w:color="000000"/>
              <w:bottom w:val="single" w:sz="8" w:space="0" w:color="000000"/>
              <w:right w:val="single" w:sz="8" w:space="0" w:color="000000"/>
            </w:tcBorders>
            <w:vAlign w:val="center"/>
            <w:hideMark/>
          </w:tcPr>
          <w:p w14:paraId="25BB0FFD" w14:textId="77777777" w:rsidR="00711CD4" w:rsidRPr="00DD57D6" w:rsidRDefault="00711CD4" w:rsidP="00711CD4">
            <w:pPr>
              <w:spacing w:after="0" w:line="240" w:lineRule="auto"/>
              <w:rPr>
                <w:rFonts w:ascii="Aptos Narrow" w:hAnsi="Aptos Narrow"/>
                <w:noProof/>
                <w:color w:val="000000"/>
                <w:sz w:val="20"/>
                <w:lang w:val="en-IE" w:eastAsia="en-IE"/>
              </w:rPr>
            </w:pPr>
            <w:r w:rsidRPr="00DD57D6">
              <w:rPr>
                <w:rFonts w:ascii="Aptos Narrow" w:hAnsi="Aptos Narrow"/>
                <w:noProof/>
                <w:color w:val="000000"/>
                <w:sz w:val="20"/>
                <w:lang w:val="en-IE" w:eastAsia="en-IE"/>
              </w:rPr>
              <w:t>OWNRES</w:t>
            </w:r>
          </w:p>
        </w:tc>
        <w:tc>
          <w:tcPr>
            <w:tcW w:w="832" w:type="dxa"/>
            <w:tcBorders>
              <w:top w:val="nil"/>
              <w:left w:val="nil"/>
              <w:bottom w:val="single" w:sz="8" w:space="0" w:color="000000"/>
              <w:right w:val="single" w:sz="8" w:space="0" w:color="000000"/>
            </w:tcBorders>
            <w:vAlign w:val="center"/>
            <w:hideMark/>
          </w:tcPr>
          <w:p w14:paraId="146133E8"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3" w:type="dxa"/>
            <w:tcBorders>
              <w:top w:val="nil"/>
              <w:left w:val="nil"/>
              <w:bottom w:val="single" w:sz="8" w:space="0" w:color="000000"/>
              <w:right w:val="single" w:sz="8" w:space="0" w:color="000000"/>
            </w:tcBorders>
            <w:vAlign w:val="center"/>
            <w:hideMark/>
          </w:tcPr>
          <w:p w14:paraId="7010FA55"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778" w:type="dxa"/>
            <w:tcBorders>
              <w:top w:val="nil"/>
              <w:left w:val="nil"/>
              <w:bottom w:val="single" w:sz="8" w:space="0" w:color="000000"/>
              <w:right w:val="single" w:sz="8" w:space="0" w:color="000000"/>
            </w:tcBorders>
            <w:vAlign w:val="center"/>
            <w:hideMark/>
          </w:tcPr>
          <w:p w14:paraId="566091C7"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DAE9F8"/>
            <w:vAlign w:val="center"/>
            <w:hideMark/>
          </w:tcPr>
          <w:p w14:paraId="51C565B8" w14:textId="64BCDB83"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3C3E28C6" wp14:editId="37AF1B42">
                  <wp:extent cx="209550" cy="209550"/>
                  <wp:effectExtent l="0" t="0" r="0" b="0"/>
                  <wp:docPr id="67997534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1CDC294D"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FBE2D5"/>
            <w:vAlign w:val="center"/>
            <w:hideMark/>
          </w:tcPr>
          <w:p w14:paraId="45292033" w14:textId="1EF145DA"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29119117" wp14:editId="21F7F17B">
                  <wp:extent cx="209550" cy="209550"/>
                  <wp:effectExtent l="0" t="0" r="0" b="0"/>
                  <wp:docPr id="148695656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55C52B54"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4" w:type="dxa"/>
            <w:tcBorders>
              <w:top w:val="nil"/>
              <w:left w:val="nil"/>
              <w:bottom w:val="single" w:sz="8" w:space="0" w:color="000000"/>
              <w:right w:val="single" w:sz="8" w:space="0" w:color="000000"/>
            </w:tcBorders>
            <w:shd w:val="clear" w:color="000000" w:fill="F2CEEF"/>
            <w:vAlign w:val="center"/>
            <w:hideMark/>
          </w:tcPr>
          <w:p w14:paraId="081C1773" w14:textId="3D1BA581"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68A926BE" wp14:editId="3C4041E8">
                  <wp:extent cx="209550" cy="209550"/>
                  <wp:effectExtent l="0" t="0" r="0" b="0"/>
                  <wp:docPr id="159350589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r>
      <w:tr w:rsidR="0072111A" w:rsidRPr="00DD57D6" w14:paraId="2D42F095" w14:textId="77777777" w:rsidTr="00DD57D6">
        <w:trPr>
          <w:trHeight w:val="315"/>
        </w:trPr>
        <w:tc>
          <w:tcPr>
            <w:tcW w:w="1833" w:type="dxa"/>
            <w:tcBorders>
              <w:top w:val="nil"/>
              <w:left w:val="single" w:sz="8" w:space="0" w:color="000000"/>
              <w:bottom w:val="single" w:sz="8" w:space="0" w:color="000000"/>
              <w:right w:val="single" w:sz="8" w:space="0" w:color="000000"/>
            </w:tcBorders>
            <w:vAlign w:val="center"/>
            <w:hideMark/>
          </w:tcPr>
          <w:p w14:paraId="2CCC7684" w14:textId="77777777" w:rsidR="00711CD4" w:rsidRPr="00DD57D6" w:rsidRDefault="00711CD4" w:rsidP="00711CD4">
            <w:pPr>
              <w:spacing w:after="0" w:line="240" w:lineRule="auto"/>
              <w:rPr>
                <w:rFonts w:ascii="Aptos Narrow" w:hAnsi="Aptos Narrow"/>
                <w:noProof/>
                <w:color w:val="000000"/>
                <w:sz w:val="20"/>
                <w:lang w:val="en-IE" w:eastAsia="en-IE"/>
              </w:rPr>
            </w:pPr>
            <w:r w:rsidRPr="00DD57D6">
              <w:rPr>
                <w:rFonts w:ascii="Aptos Narrow" w:hAnsi="Aptos Narrow"/>
                <w:noProof/>
                <w:color w:val="000000"/>
                <w:sz w:val="20"/>
                <w:lang w:val="en-IE" w:eastAsia="en-IE"/>
              </w:rPr>
              <w:t>EPPO annual reports</w:t>
            </w:r>
          </w:p>
        </w:tc>
        <w:tc>
          <w:tcPr>
            <w:tcW w:w="832" w:type="dxa"/>
            <w:tcBorders>
              <w:top w:val="nil"/>
              <w:left w:val="nil"/>
              <w:bottom w:val="single" w:sz="8" w:space="0" w:color="000000"/>
              <w:right w:val="single" w:sz="8" w:space="0" w:color="000000"/>
            </w:tcBorders>
            <w:vAlign w:val="center"/>
            <w:hideMark/>
          </w:tcPr>
          <w:p w14:paraId="3AEB7647"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3" w:type="dxa"/>
            <w:tcBorders>
              <w:top w:val="nil"/>
              <w:left w:val="nil"/>
              <w:bottom w:val="single" w:sz="8" w:space="0" w:color="000000"/>
              <w:right w:val="single" w:sz="8" w:space="0" w:color="000000"/>
            </w:tcBorders>
            <w:vAlign w:val="center"/>
            <w:hideMark/>
          </w:tcPr>
          <w:p w14:paraId="762550D7"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778" w:type="dxa"/>
            <w:tcBorders>
              <w:top w:val="nil"/>
              <w:left w:val="nil"/>
              <w:bottom w:val="single" w:sz="8" w:space="0" w:color="000000"/>
              <w:right w:val="single" w:sz="8" w:space="0" w:color="000000"/>
            </w:tcBorders>
            <w:vAlign w:val="center"/>
            <w:hideMark/>
          </w:tcPr>
          <w:p w14:paraId="109B3A26"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DAE9F8"/>
            <w:vAlign w:val="center"/>
            <w:hideMark/>
          </w:tcPr>
          <w:p w14:paraId="2E1288F7" w14:textId="4DD05123"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4BC589E6" wp14:editId="744822C1">
                  <wp:extent cx="209550" cy="209550"/>
                  <wp:effectExtent l="0" t="0" r="0" b="0"/>
                  <wp:docPr id="154653053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181D384F"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FBE2D5"/>
            <w:vAlign w:val="center"/>
            <w:hideMark/>
          </w:tcPr>
          <w:p w14:paraId="3405FA9A" w14:textId="7574CB3A"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1CA57538" wp14:editId="128EB6A5">
                  <wp:extent cx="209550" cy="209550"/>
                  <wp:effectExtent l="0" t="0" r="0" b="0"/>
                  <wp:docPr id="25046071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646BBFDB"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4" w:type="dxa"/>
            <w:tcBorders>
              <w:top w:val="nil"/>
              <w:left w:val="nil"/>
              <w:bottom w:val="single" w:sz="8" w:space="0" w:color="000000"/>
              <w:right w:val="single" w:sz="8" w:space="0" w:color="000000"/>
            </w:tcBorders>
            <w:vAlign w:val="center"/>
            <w:hideMark/>
          </w:tcPr>
          <w:p w14:paraId="14AC3391"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r>
      <w:tr w:rsidR="0072111A" w:rsidRPr="00DD57D6" w14:paraId="14B9A776" w14:textId="77777777" w:rsidTr="0072111A">
        <w:trPr>
          <w:trHeight w:val="803"/>
        </w:trPr>
        <w:tc>
          <w:tcPr>
            <w:tcW w:w="1833" w:type="dxa"/>
            <w:tcBorders>
              <w:top w:val="nil"/>
              <w:left w:val="single" w:sz="8" w:space="0" w:color="000000"/>
              <w:bottom w:val="single" w:sz="8" w:space="0" w:color="000000"/>
              <w:right w:val="single" w:sz="8" w:space="0" w:color="000000"/>
            </w:tcBorders>
            <w:vAlign w:val="center"/>
            <w:hideMark/>
          </w:tcPr>
          <w:p w14:paraId="7C1452BA" w14:textId="77777777" w:rsidR="00711CD4" w:rsidRPr="00DD57D6" w:rsidRDefault="00711CD4" w:rsidP="00711CD4">
            <w:pPr>
              <w:spacing w:after="0" w:line="240" w:lineRule="auto"/>
              <w:rPr>
                <w:rFonts w:ascii="Aptos Narrow" w:hAnsi="Aptos Narrow"/>
                <w:noProof/>
                <w:color w:val="000000"/>
                <w:sz w:val="20"/>
                <w:lang w:val="en-IE" w:eastAsia="en-IE"/>
              </w:rPr>
            </w:pPr>
            <w:r w:rsidRPr="00DD57D6">
              <w:rPr>
                <w:rFonts w:ascii="Aptos Narrow" w:hAnsi="Aptos Narrow"/>
                <w:noProof/>
                <w:color w:val="000000"/>
                <w:sz w:val="20"/>
                <w:lang w:val="en-IE" w:eastAsia="en-IE"/>
              </w:rPr>
              <w:t>Data notified by the EPPO to the Commission</w:t>
            </w:r>
          </w:p>
        </w:tc>
        <w:tc>
          <w:tcPr>
            <w:tcW w:w="832" w:type="dxa"/>
            <w:tcBorders>
              <w:top w:val="nil"/>
              <w:left w:val="nil"/>
              <w:bottom w:val="single" w:sz="8" w:space="0" w:color="000000"/>
              <w:right w:val="single" w:sz="8" w:space="0" w:color="000000"/>
            </w:tcBorders>
            <w:vAlign w:val="center"/>
            <w:hideMark/>
          </w:tcPr>
          <w:p w14:paraId="32B6982A"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3" w:type="dxa"/>
            <w:tcBorders>
              <w:top w:val="nil"/>
              <w:left w:val="nil"/>
              <w:bottom w:val="single" w:sz="8" w:space="0" w:color="000000"/>
              <w:right w:val="single" w:sz="8" w:space="0" w:color="000000"/>
            </w:tcBorders>
            <w:vAlign w:val="center"/>
            <w:hideMark/>
          </w:tcPr>
          <w:p w14:paraId="21F860FF"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778" w:type="dxa"/>
            <w:tcBorders>
              <w:top w:val="nil"/>
              <w:left w:val="nil"/>
              <w:bottom w:val="single" w:sz="8" w:space="0" w:color="000000"/>
              <w:right w:val="single" w:sz="8" w:space="0" w:color="000000"/>
            </w:tcBorders>
            <w:vAlign w:val="center"/>
            <w:hideMark/>
          </w:tcPr>
          <w:p w14:paraId="50ADD307"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DAE9F8"/>
            <w:vAlign w:val="center"/>
            <w:hideMark/>
          </w:tcPr>
          <w:p w14:paraId="37859CD1" w14:textId="76B8DF46"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2D5A7CAA" wp14:editId="036D3F88">
                  <wp:extent cx="209550" cy="209550"/>
                  <wp:effectExtent l="0" t="0" r="0" b="0"/>
                  <wp:docPr id="36456379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1BDDDFA3"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FBE2D5"/>
            <w:vAlign w:val="center"/>
            <w:hideMark/>
          </w:tcPr>
          <w:p w14:paraId="29D91E4C" w14:textId="7A6B3BDF"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7EE4D4D1" wp14:editId="2BC54B0A">
                  <wp:extent cx="209550" cy="209550"/>
                  <wp:effectExtent l="0" t="0" r="0" b="0"/>
                  <wp:docPr id="30981992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096C184A"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4" w:type="dxa"/>
            <w:tcBorders>
              <w:top w:val="nil"/>
              <w:left w:val="nil"/>
              <w:bottom w:val="single" w:sz="8" w:space="0" w:color="000000"/>
              <w:right w:val="single" w:sz="8" w:space="0" w:color="000000"/>
            </w:tcBorders>
            <w:shd w:val="clear" w:color="000000" w:fill="F2CEEF"/>
            <w:vAlign w:val="center"/>
            <w:hideMark/>
          </w:tcPr>
          <w:p w14:paraId="12EC77B9" w14:textId="78CC5C86"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53067A36" wp14:editId="3A8B5B6F">
                  <wp:extent cx="209550" cy="209550"/>
                  <wp:effectExtent l="0" t="0" r="0" b="0"/>
                  <wp:docPr id="86816344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r>
      <w:tr w:rsidR="0072111A" w:rsidRPr="00DD57D6" w14:paraId="50DAC400" w14:textId="77777777" w:rsidTr="00DD57D6">
        <w:trPr>
          <w:trHeight w:val="315"/>
        </w:trPr>
        <w:tc>
          <w:tcPr>
            <w:tcW w:w="1833" w:type="dxa"/>
            <w:tcBorders>
              <w:top w:val="nil"/>
              <w:left w:val="single" w:sz="8" w:space="0" w:color="000000"/>
              <w:bottom w:val="single" w:sz="8" w:space="0" w:color="000000"/>
              <w:right w:val="single" w:sz="8" w:space="0" w:color="000000"/>
            </w:tcBorders>
            <w:vAlign w:val="center"/>
            <w:hideMark/>
          </w:tcPr>
          <w:p w14:paraId="315A16A3" w14:textId="77777777" w:rsidR="00711CD4" w:rsidRPr="00DD57D6" w:rsidRDefault="00711CD4" w:rsidP="00711CD4">
            <w:pPr>
              <w:spacing w:after="0" w:line="240" w:lineRule="auto"/>
              <w:rPr>
                <w:rFonts w:ascii="Aptos Narrow" w:hAnsi="Aptos Narrow"/>
                <w:noProof/>
                <w:color w:val="000000"/>
                <w:sz w:val="20"/>
                <w:lang w:val="en-IE" w:eastAsia="en-IE"/>
              </w:rPr>
            </w:pPr>
            <w:r w:rsidRPr="00DD57D6">
              <w:rPr>
                <w:rFonts w:ascii="Aptos Narrow" w:hAnsi="Aptos Narrow"/>
                <w:noProof/>
                <w:color w:val="000000"/>
                <w:sz w:val="20"/>
                <w:lang w:val="en-IE" w:eastAsia="en-IE"/>
              </w:rPr>
              <w:t>OLAF annual reports</w:t>
            </w:r>
          </w:p>
        </w:tc>
        <w:tc>
          <w:tcPr>
            <w:tcW w:w="832" w:type="dxa"/>
            <w:tcBorders>
              <w:top w:val="nil"/>
              <w:left w:val="nil"/>
              <w:bottom w:val="single" w:sz="8" w:space="0" w:color="000000"/>
              <w:right w:val="single" w:sz="8" w:space="0" w:color="000000"/>
            </w:tcBorders>
            <w:vAlign w:val="center"/>
            <w:hideMark/>
          </w:tcPr>
          <w:p w14:paraId="68232A9A"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3" w:type="dxa"/>
            <w:tcBorders>
              <w:top w:val="nil"/>
              <w:left w:val="nil"/>
              <w:bottom w:val="single" w:sz="8" w:space="0" w:color="000000"/>
              <w:right w:val="single" w:sz="8" w:space="0" w:color="000000"/>
            </w:tcBorders>
            <w:shd w:val="clear" w:color="000000" w:fill="DAF2D0"/>
            <w:vAlign w:val="center"/>
            <w:hideMark/>
          </w:tcPr>
          <w:p w14:paraId="28264969" w14:textId="16D0859A"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58A220E3" wp14:editId="5ED48A4A">
                  <wp:extent cx="209550" cy="209550"/>
                  <wp:effectExtent l="0" t="0" r="0" b="0"/>
                  <wp:docPr id="59040019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78" w:type="dxa"/>
            <w:tcBorders>
              <w:top w:val="nil"/>
              <w:left w:val="nil"/>
              <w:bottom w:val="single" w:sz="8" w:space="0" w:color="000000"/>
              <w:right w:val="single" w:sz="8" w:space="0" w:color="000000"/>
            </w:tcBorders>
            <w:vAlign w:val="center"/>
            <w:hideMark/>
          </w:tcPr>
          <w:p w14:paraId="5FDB1776"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DAE9F8"/>
            <w:vAlign w:val="center"/>
            <w:hideMark/>
          </w:tcPr>
          <w:p w14:paraId="731FED4B" w14:textId="36E40D8E"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65E8CB70" wp14:editId="2ED17323">
                  <wp:extent cx="209550" cy="209550"/>
                  <wp:effectExtent l="0" t="0" r="0" b="0"/>
                  <wp:docPr id="144810691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2ADF57E0"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FBE2D5"/>
            <w:vAlign w:val="center"/>
            <w:hideMark/>
          </w:tcPr>
          <w:p w14:paraId="553AE924" w14:textId="7049A9AC"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54FF25D7" wp14:editId="5B5B9AC5">
                  <wp:extent cx="209550" cy="209550"/>
                  <wp:effectExtent l="0" t="0" r="0" b="0"/>
                  <wp:docPr id="1982189964"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500EEFD5"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4" w:type="dxa"/>
            <w:tcBorders>
              <w:top w:val="nil"/>
              <w:left w:val="nil"/>
              <w:bottom w:val="single" w:sz="8" w:space="0" w:color="000000"/>
              <w:right w:val="single" w:sz="8" w:space="0" w:color="000000"/>
            </w:tcBorders>
            <w:shd w:val="clear" w:color="000000" w:fill="F2CEEF"/>
            <w:vAlign w:val="center"/>
            <w:hideMark/>
          </w:tcPr>
          <w:p w14:paraId="68138B7A" w14:textId="1EEC69A9"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6E9E4831" wp14:editId="49446ACC">
                  <wp:extent cx="209550" cy="209550"/>
                  <wp:effectExtent l="0" t="0" r="0" b="0"/>
                  <wp:docPr id="135628771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r>
      <w:tr w:rsidR="0072111A" w:rsidRPr="00DD57D6" w14:paraId="67D1DB2A" w14:textId="77777777" w:rsidTr="00DD57D6">
        <w:trPr>
          <w:trHeight w:val="915"/>
        </w:trPr>
        <w:tc>
          <w:tcPr>
            <w:tcW w:w="1833" w:type="dxa"/>
            <w:tcBorders>
              <w:top w:val="nil"/>
              <w:left w:val="single" w:sz="8" w:space="0" w:color="000000"/>
              <w:bottom w:val="single" w:sz="8" w:space="0" w:color="000000"/>
              <w:right w:val="single" w:sz="8" w:space="0" w:color="000000"/>
            </w:tcBorders>
            <w:vAlign w:val="center"/>
            <w:hideMark/>
          </w:tcPr>
          <w:p w14:paraId="739E176D" w14:textId="77777777" w:rsidR="00711CD4" w:rsidRPr="00DD57D6" w:rsidRDefault="00711CD4" w:rsidP="00711CD4">
            <w:pPr>
              <w:spacing w:after="0" w:line="240" w:lineRule="auto"/>
              <w:rPr>
                <w:rFonts w:ascii="Aptos Narrow" w:hAnsi="Aptos Narrow"/>
                <w:noProof/>
                <w:color w:val="000000"/>
                <w:sz w:val="20"/>
                <w:lang w:val="en-IE" w:eastAsia="en-IE"/>
              </w:rPr>
            </w:pPr>
            <w:r w:rsidRPr="00DD57D6">
              <w:rPr>
                <w:rFonts w:ascii="Aptos Narrow" w:hAnsi="Aptos Narrow"/>
                <w:noProof/>
                <w:color w:val="000000"/>
                <w:sz w:val="20"/>
                <w:lang w:val="en-IE" w:eastAsia="en-IE"/>
              </w:rPr>
              <w:t>Commission data (SUMMA and other sources)</w:t>
            </w:r>
          </w:p>
        </w:tc>
        <w:tc>
          <w:tcPr>
            <w:tcW w:w="832" w:type="dxa"/>
            <w:tcBorders>
              <w:top w:val="nil"/>
              <w:left w:val="nil"/>
              <w:bottom w:val="single" w:sz="8" w:space="0" w:color="000000"/>
              <w:right w:val="single" w:sz="8" w:space="0" w:color="000000"/>
            </w:tcBorders>
            <w:vAlign w:val="center"/>
            <w:hideMark/>
          </w:tcPr>
          <w:p w14:paraId="12F5B23A"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3" w:type="dxa"/>
            <w:tcBorders>
              <w:top w:val="nil"/>
              <w:left w:val="nil"/>
              <w:bottom w:val="single" w:sz="8" w:space="0" w:color="000000"/>
              <w:right w:val="single" w:sz="8" w:space="0" w:color="000000"/>
            </w:tcBorders>
            <w:shd w:val="clear" w:color="000000" w:fill="DAF2D0"/>
            <w:vAlign w:val="center"/>
            <w:hideMark/>
          </w:tcPr>
          <w:p w14:paraId="76C317D6" w14:textId="67892925"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13FC5320" wp14:editId="520DAE91">
                  <wp:extent cx="209550" cy="209550"/>
                  <wp:effectExtent l="0" t="0" r="0" b="0"/>
                  <wp:docPr id="19738356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78" w:type="dxa"/>
            <w:tcBorders>
              <w:top w:val="nil"/>
              <w:left w:val="nil"/>
              <w:bottom w:val="single" w:sz="8" w:space="0" w:color="000000"/>
              <w:right w:val="single" w:sz="8" w:space="0" w:color="000000"/>
            </w:tcBorders>
            <w:vAlign w:val="center"/>
            <w:hideMark/>
          </w:tcPr>
          <w:p w14:paraId="3576527F"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shd w:val="clear" w:color="000000" w:fill="DAE9F8"/>
            <w:vAlign w:val="center"/>
            <w:hideMark/>
          </w:tcPr>
          <w:p w14:paraId="17479F64" w14:textId="6655C915"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041005D2" wp14:editId="75BBFEEF">
                  <wp:extent cx="209550" cy="209550"/>
                  <wp:effectExtent l="0" t="0" r="0" b="0"/>
                  <wp:docPr id="70000856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c>
          <w:tcPr>
            <w:tcW w:w="781" w:type="dxa"/>
            <w:tcBorders>
              <w:top w:val="nil"/>
              <w:left w:val="nil"/>
              <w:bottom w:val="single" w:sz="8" w:space="0" w:color="000000"/>
              <w:right w:val="single" w:sz="8" w:space="0" w:color="000000"/>
            </w:tcBorders>
            <w:vAlign w:val="center"/>
            <w:hideMark/>
          </w:tcPr>
          <w:p w14:paraId="31BA7D38"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0" w:type="dxa"/>
            <w:tcBorders>
              <w:top w:val="nil"/>
              <w:left w:val="nil"/>
              <w:bottom w:val="single" w:sz="8" w:space="0" w:color="000000"/>
              <w:right w:val="single" w:sz="8" w:space="0" w:color="000000"/>
            </w:tcBorders>
            <w:vAlign w:val="center"/>
            <w:hideMark/>
          </w:tcPr>
          <w:p w14:paraId="5A62A888"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781" w:type="dxa"/>
            <w:tcBorders>
              <w:top w:val="nil"/>
              <w:left w:val="nil"/>
              <w:bottom w:val="single" w:sz="8" w:space="0" w:color="000000"/>
              <w:right w:val="single" w:sz="8" w:space="0" w:color="000000"/>
            </w:tcBorders>
            <w:vAlign w:val="center"/>
            <w:hideMark/>
          </w:tcPr>
          <w:p w14:paraId="15E8456C" w14:textId="77777777" w:rsidR="00711CD4" w:rsidRPr="00DD57D6" w:rsidRDefault="00711CD4" w:rsidP="00711CD4">
            <w:pPr>
              <w:spacing w:after="0" w:line="240" w:lineRule="auto"/>
              <w:jc w:val="center"/>
              <w:rPr>
                <w:rFonts w:ascii="Aptos Narrow" w:hAnsi="Aptos Narrow"/>
                <w:noProof/>
                <w:color w:val="000000"/>
                <w:sz w:val="20"/>
                <w:lang w:val="en-IE" w:eastAsia="en-IE"/>
              </w:rPr>
            </w:pPr>
            <w:r w:rsidRPr="00DD57D6">
              <w:rPr>
                <w:rFonts w:ascii="Aptos Narrow" w:hAnsi="Aptos Narrow"/>
                <w:noProof/>
                <w:color w:val="000000"/>
                <w:sz w:val="20"/>
                <w:lang w:val="en-IE" w:eastAsia="en-IE"/>
              </w:rPr>
              <w:t> </w:t>
            </w:r>
          </w:p>
        </w:tc>
        <w:tc>
          <w:tcPr>
            <w:tcW w:w="924" w:type="dxa"/>
            <w:tcBorders>
              <w:top w:val="nil"/>
              <w:left w:val="nil"/>
              <w:bottom w:val="single" w:sz="8" w:space="0" w:color="000000"/>
              <w:right w:val="single" w:sz="8" w:space="0" w:color="000000"/>
            </w:tcBorders>
            <w:shd w:val="clear" w:color="000000" w:fill="F2CEEF"/>
            <w:vAlign w:val="center"/>
            <w:hideMark/>
          </w:tcPr>
          <w:p w14:paraId="0ABBF5D0" w14:textId="7C4550E7" w:rsidR="00711CD4" w:rsidRPr="00DD57D6" w:rsidRDefault="0072111A" w:rsidP="00711CD4">
            <w:pPr>
              <w:spacing w:after="0" w:line="240" w:lineRule="auto"/>
              <w:jc w:val="center"/>
              <w:rPr>
                <w:rFonts w:ascii="Aptos Narrow" w:hAnsi="Aptos Narrow"/>
                <w:noProof/>
                <w:color w:val="000000"/>
                <w:sz w:val="20"/>
                <w:lang w:val="en-IE" w:eastAsia="en-IE"/>
              </w:rPr>
            </w:pPr>
            <w:r>
              <w:rPr>
                <w:rFonts w:ascii="Aptos Narrow" w:hAnsi="Aptos Narrow"/>
                <w:noProof/>
                <w:color w:val="000000"/>
                <w:sz w:val="20"/>
              </w:rPr>
              <w:drawing>
                <wp:inline distT="0" distB="0" distL="0" distR="0" wp14:anchorId="0A3DB59E" wp14:editId="7C6D2013">
                  <wp:extent cx="209550" cy="209550"/>
                  <wp:effectExtent l="0" t="0" r="0" b="0"/>
                  <wp:docPr id="102551041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91662" name="Graphic 1810291662" descr="Checkmark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09550" cy="209550"/>
                          </a:xfrm>
                          <a:prstGeom prst="rect">
                            <a:avLst/>
                          </a:prstGeom>
                        </pic:spPr>
                      </pic:pic>
                    </a:graphicData>
                  </a:graphic>
                </wp:inline>
              </w:drawing>
            </w:r>
          </w:p>
        </w:tc>
      </w:tr>
    </w:tbl>
    <w:p w14:paraId="619E5E68" w14:textId="71A2E3DC" w:rsidR="00093AB1" w:rsidRPr="00DE3A6F" w:rsidRDefault="1C0CF5BB" w:rsidP="13F9CCF2">
      <w:pPr>
        <w:rPr>
          <w:noProof/>
        </w:rPr>
      </w:pPr>
      <w:r w:rsidRPr="00DE3A6F">
        <w:rPr>
          <w:noProof/>
        </w:rPr>
        <w:lastRenderedPageBreak/>
        <w:t xml:space="preserve">This year’s report </w:t>
      </w:r>
      <w:r w:rsidR="00C84C78" w:rsidRPr="00DE3A6F">
        <w:rPr>
          <w:noProof/>
        </w:rPr>
        <w:t xml:space="preserve">broadens </w:t>
      </w:r>
      <w:r w:rsidRPr="00DE3A6F">
        <w:rPr>
          <w:noProof/>
        </w:rPr>
        <w:t>the scope</w:t>
      </w:r>
      <w:r w:rsidR="0030763E" w:rsidRPr="00DE3A6F">
        <w:rPr>
          <w:noProof/>
        </w:rPr>
        <w:t xml:space="preserve"> of data</w:t>
      </w:r>
      <w:r w:rsidRPr="00DE3A6F">
        <w:rPr>
          <w:noProof/>
        </w:rPr>
        <w:t xml:space="preserve"> </w:t>
      </w:r>
      <w:r w:rsidR="0036148D" w:rsidRPr="00DE3A6F">
        <w:rPr>
          <w:noProof/>
        </w:rPr>
        <w:t>by introducing</w:t>
      </w:r>
      <w:r w:rsidR="00C84C78" w:rsidRPr="00DE3A6F">
        <w:rPr>
          <w:noProof/>
        </w:rPr>
        <w:t xml:space="preserve"> </w:t>
      </w:r>
      <w:r w:rsidRPr="00DE3A6F">
        <w:rPr>
          <w:noProof/>
        </w:rPr>
        <w:t>new or more granular indicators</w:t>
      </w:r>
      <w:r w:rsidR="00076EF0" w:rsidRPr="00DE3A6F">
        <w:rPr>
          <w:noProof/>
        </w:rPr>
        <w:t xml:space="preserve">. These </w:t>
      </w:r>
      <w:r w:rsidR="003515D8" w:rsidRPr="00CA1602">
        <w:rPr>
          <w:noProof/>
        </w:rPr>
        <w:t xml:space="preserve">indicators </w:t>
      </w:r>
      <w:r w:rsidRPr="00DE3A6F">
        <w:rPr>
          <w:noProof/>
        </w:rPr>
        <w:t xml:space="preserve">aim to </w:t>
      </w:r>
      <w:r w:rsidR="405E5C30" w:rsidRPr="00DE3A6F">
        <w:rPr>
          <w:noProof/>
        </w:rPr>
        <w:t xml:space="preserve">measure </w:t>
      </w:r>
      <w:r w:rsidR="0585B33E" w:rsidRPr="00DE3A6F">
        <w:rPr>
          <w:noProof/>
        </w:rPr>
        <w:t xml:space="preserve">the </w:t>
      </w:r>
      <w:r w:rsidR="00076EF0" w:rsidRPr="00DE3A6F">
        <w:rPr>
          <w:noProof/>
        </w:rPr>
        <w:t xml:space="preserve">performance of </w:t>
      </w:r>
      <w:r w:rsidR="004D26B6" w:rsidRPr="00DE3A6F">
        <w:rPr>
          <w:noProof/>
        </w:rPr>
        <w:t xml:space="preserve">the EU anti-fraud architecture </w:t>
      </w:r>
      <w:r w:rsidR="00A8579E" w:rsidRPr="00DE3A6F">
        <w:rPr>
          <w:noProof/>
        </w:rPr>
        <w:t xml:space="preserve">across </w:t>
      </w:r>
      <w:r w:rsidR="5878452C" w:rsidRPr="00DE3A6F">
        <w:rPr>
          <w:noProof/>
        </w:rPr>
        <w:t>all stages of the anti-fraud cycle.</w:t>
      </w:r>
      <w:r w:rsidRPr="00DE3A6F">
        <w:rPr>
          <w:noProof/>
        </w:rPr>
        <w:t xml:space="preserve"> </w:t>
      </w:r>
      <w:r w:rsidR="009C730D" w:rsidRPr="00DE3A6F">
        <w:rPr>
          <w:b/>
          <w:bCs/>
          <w:i/>
          <w:iCs/>
          <w:noProof/>
        </w:rPr>
        <w:t xml:space="preserve">Figure 3 </w:t>
      </w:r>
      <w:r w:rsidR="00FF5DB1" w:rsidRPr="00DE3A6F">
        <w:rPr>
          <w:noProof/>
        </w:rPr>
        <w:t>lists an</w:t>
      </w:r>
      <w:r w:rsidR="00AB4E0F" w:rsidRPr="00DE3A6F">
        <w:rPr>
          <w:noProof/>
        </w:rPr>
        <w:t xml:space="preserve">d </w:t>
      </w:r>
      <w:r w:rsidR="0073742E" w:rsidRPr="00DE3A6F">
        <w:rPr>
          <w:noProof/>
        </w:rPr>
        <w:t xml:space="preserve">defines </w:t>
      </w:r>
      <w:r w:rsidR="00AB4E0F" w:rsidRPr="00DE3A6F">
        <w:rPr>
          <w:noProof/>
        </w:rPr>
        <w:t xml:space="preserve">the </w:t>
      </w:r>
      <w:r w:rsidRPr="00DE3A6F">
        <w:rPr>
          <w:noProof/>
        </w:rPr>
        <w:t xml:space="preserve">indicators </w:t>
      </w:r>
      <w:r w:rsidR="00AB4E0F" w:rsidRPr="00DE3A6F">
        <w:rPr>
          <w:noProof/>
        </w:rPr>
        <w:t>used for each stage</w:t>
      </w:r>
      <w:r w:rsidR="00A31173" w:rsidRPr="00DE3A6F">
        <w:rPr>
          <w:noProof/>
        </w:rPr>
        <w:t>,</w:t>
      </w:r>
      <w:r w:rsidR="00AB4E0F" w:rsidRPr="00DE3A6F">
        <w:rPr>
          <w:noProof/>
        </w:rPr>
        <w:t xml:space="preserve"> </w:t>
      </w:r>
      <w:r w:rsidR="00A31173" w:rsidRPr="00DE3A6F">
        <w:rPr>
          <w:noProof/>
        </w:rPr>
        <w:t xml:space="preserve">along with the underlying </w:t>
      </w:r>
      <w:r w:rsidR="00963F4A" w:rsidRPr="00DE3A6F">
        <w:rPr>
          <w:noProof/>
        </w:rPr>
        <w:t>da</w:t>
      </w:r>
      <w:r w:rsidR="000D2911" w:rsidRPr="00DE3A6F">
        <w:rPr>
          <w:noProof/>
        </w:rPr>
        <w:t>ta source</w:t>
      </w:r>
      <w:r w:rsidR="00A31173" w:rsidRPr="00DE3A6F">
        <w:rPr>
          <w:noProof/>
        </w:rPr>
        <w:t>s</w:t>
      </w:r>
      <w:r w:rsidR="000D2911" w:rsidRPr="00DE3A6F">
        <w:rPr>
          <w:noProof/>
        </w:rPr>
        <w:t>.</w:t>
      </w:r>
    </w:p>
    <w:p w14:paraId="77F1B6E7" w14:textId="65815771" w:rsidR="00F60113" w:rsidRPr="00DE3A6F" w:rsidRDefault="55F90E3E" w:rsidP="00F60113">
      <w:pPr>
        <w:pStyle w:val="Caption"/>
        <w:keepNext/>
        <w:rPr>
          <w:noProof/>
        </w:rPr>
      </w:pPr>
      <w:r w:rsidRPr="00DE3A6F">
        <w:rPr>
          <w:noProof/>
        </w:rPr>
        <w:t xml:space="preserve">Figure </w:t>
      </w:r>
      <w:r w:rsidR="00F60113" w:rsidRPr="00DE3A6F">
        <w:rPr>
          <w:noProof/>
        </w:rPr>
        <w:fldChar w:fldCharType="begin"/>
      </w:r>
      <w:r w:rsidR="00F60113" w:rsidRPr="00DE3A6F">
        <w:rPr>
          <w:noProof/>
        </w:rPr>
        <w:instrText xml:space="preserve"> SEQ Figure \* ARABIC </w:instrText>
      </w:r>
      <w:r w:rsidR="00F60113" w:rsidRPr="00DE3A6F">
        <w:rPr>
          <w:noProof/>
        </w:rPr>
        <w:fldChar w:fldCharType="separate"/>
      </w:r>
      <w:r w:rsidR="00A13C63">
        <w:rPr>
          <w:noProof/>
        </w:rPr>
        <w:t>3</w:t>
      </w:r>
      <w:r w:rsidR="00F60113" w:rsidRPr="00DE3A6F">
        <w:rPr>
          <w:noProof/>
        </w:rPr>
        <w:fldChar w:fldCharType="end"/>
      </w:r>
      <w:r w:rsidRPr="00DE3A6F">
        <w:rPr>
          <w:noProof/>
        </w:rPr>
        <w:t xml:space="preserve">: </w:t>
      </w:r>
      <w:r w:rsidR="00BA7CB9" w:rsidRPr="00DE3A6F">
        <w:rPr>
          <w:noProof/>
        </w:rPr>
        <w:t>Indicators used in this report by stage of the anti-fraud cycle</w:t>
      </w:r>
    </w:p>
    <w:tbl>
      <w:tblPr>
        <w:tblW w:w="8647" w:type="dxa"/>
        <w:tblLook w:val="04A0" w:firstRow="1" w:lastRow="0" w:firstColumn="1" w:lastColumn="0" w:noHBand="0" w:noVBand="1"/>
      </w:tblPr>
      <w:tblGrid>
        <w:gridCol w:w="411"/>
        <w:gridCol w:w="47"/>
        <w:gridCol w:w="693"/>
        <w:gridCol w:w="47"/>
        <w:gridCol w:w="1637"/>
        <w:gridCol w:w="2552"/>
        <w:gridCol w:w="2126"/>
        <w:gridCol w:w="1134"/>
      </w:tblGrid>
      <w:tr w:rsidR="00FA510D" w:rsidRPr="006B513C" w14:paraId="05B7203C" w14:textId="77777777" w:rsidTr="006B513C">
        <w:trPr>
          <w:trHeight w:val="315"/>
        </w:trPr>
        <w:tc>
          <w:tcPr>
            <w:tcW w:w="458" w:type="dxa"/>
            <w:gridSpan w:val="2"/>
            <w:tcBorders>
              <w:top w:val="nil"/>
              <w:left w:val="nil"/>
              <w:bottom w:val="nil"/>
              <w:right w:val="nil"/>
            </w:tcBorders>
            <w:shd w:val="clear" w:color="000000" w:fill="747474"/>
            <w:noWrap/>
            <w:vAlign w:val="bottom"/>
            <w:hideMark/>
          </w:tcPr>
          <w:p w14:paraId="18A6A808" w14:textId="77777777" w:rsidR="00953B1E" w:rsidRPr="006B513C" w:rsidRDefault="00953B1E" w:rsidP="00953B1E">
            <w:pPr>
              <w:spacing w:after="0" w:line="240" w:lineRule="auto"/>
              <w:jc w:val="left"/>
              <w:rPr>
                <w:rFonts w:ascii="Arial Narrow" w:hAnsi="Arial Narrow" w:cs="Arial"/>
                <w:b/>
                <w:bCs/>
                <w:noProof/>
                <w:color w:val="FFFFFF"/>
                <w:sz w:val="16"/>
                <w:szCs w:val="16"/>
                <w:lang w:val="en-IE" w:eastAsia="en-IE"/>
              </w:rPr>
            </w:pPr>
            <w:r w:rsidRPr="006B513C">
              <w:rPr>
                <w:rFonts w:ascii="Arial Narrow" w:hAnsi="Arial Narrow" w:cs="Arial"/>
                <w:b/>
                <w:bCs/>
                <w:noProof/>
                <w:color w:val="FFFFFF"/>
                <w:sz w:val="16"/>
                <w:szCs w:val="16"/>
                <w:lang w:val="en-IE" w:eastAsia="en-IE"/>
              </w:rPr>
              <w:t> </w:t>
            </w:r>
          </w:p>
        </w:tc>
        <w:tc>
          <w:tcPr>
            <w:tcW w:w="740" w:type="dxa"/>
            <w:gridSpan w:val="2"/>
            <w:tcBorders>
              <w:top w:val="nil"/>
              <w:left w:val="nil"/>
              <w:bottom w:val="nil"/>
              <w:right w:val="nil"/>
            </w:tcBorders>
            <w:shd w:val="clear" w:color="000000" w:fill="747474"/>
            <w:noWrap/>
            <w:vAlign w:val="bottom"/>
            <w:hideMark/>
          </w:tcPr>
          <w:p w14:paraId="4C88F9FF" w14:textId="77777777" w:rsidR="00953B1E" w:rsidRPr="006B513C" w:rsidRDefault="00953B1E" w:rsidP="00953B1E">
            <w:pPr>
              <w:spacing w:after="0" w:line="240" w:lineRule="auto"/>
              <w:jc w:val="left"/>
              <w:rPr>
                <w:rFonts w:ascii="Arial Narrow" w:hAnsi="Arial Narrow" w:cs="Arial"/>
                <w:b/>
                <w:bCs/>
                <w:noProof/>
                <w:color w:val="FFFFFF"/>
                <w:sz w:val="16"/>
                <w:szCs w:val="16"/>
                <w:lang w:val="en-IE" w:eastAsia="en-IE"/>
              </w:rPr>
            </w:pPr>
            <w:r w:rsidRPr="006B513C">
              <w:rPr>
                <w:rFonts w:ascii="Arial Narrow" w:hAnsi="Arial Narrow" w:cs="Arial"/>
                <w:b/>
                <w:bCs/>
                <w:noProof/>
                <w:color w:val="FFFFFF"/>
                <w:sz w:val="16"/>
                <w:szCs w:val="16"/>
                <w:lang w:val="en-IE" w:eastAsia="en-IE"/>
              </w:rPr>
              <w:t> </w:t>
            </w:r>
          </w:p>
        </w:tc>
        <w:tc>
          <w:tcPr>
            <w:tcW w:w="1637" w:type="dxa"/>
            <w:tcBorders>
              <w:top w:val="nil"/>
              <w:left w:val="nil"/>
              <w:bottom w:val="nil"/>
              <w:right w:val="nil"/>
            </w:tcBorders>
            <w:shd w:val="clear" w:color="000000" w:fill="747474"/>
            <w:noWrap/>
            <w:vAlign w:val="bottom"/>
            <w:hideMark/>
          </w:tcPr>
          <w:p w14:paraId="3DEB833A" w14:textId="77777777" w:rsidR="00953B1E" w:rsidRPr="006B513C" w:rsidRDefault="00953B1E" w:rsidP="00953B1E">
            <w:pPr>
              <w:spacing w:after="0" w:line="240" w:lineRule="auto"/>
              <w:jc w:val="left"/>
              <w:rPr>
                <w:rFonts w:ascii="Arial Narrow" w:hAnsi="Arial Narrow" w:cs="Arial"/>
                <w:b/>
                <w:bCs/>
                <w:noProof/>
                <w:color w:val="FFFFFF"/>
                <w:sz w:val="16"/>
                <w:szCs w:val="16"/>
                <w:lang w:val="en-IE" w:eastAsia="en-IE"/>
              </w:rPr>
            </w:pPr>
            <w:r w:rsidRPr="006B513C">
              <w:rPr>
                <w:rFonts w:ascii="Arial Narrow" w:hAnsi="Arial Narrow" w:cs="Arial"/>
                <w:b/>
                <w:bCs/>
                <w:noProof/>
                <w:color w:val="FFFFFF"/>
                <w:sz w:val="16"/>
                <w:szCs w:val="16"/>
                <w:lang w:val="en-IE" w:eastAsia="en-IE"/>
              </w:rPr>
              <w:t>Name of the indicator</w:t>
            </w:r>
          </w:p>
        </w:tc>
        <w:tc>
          <w:tcPr>
            <w:tcW w:w="2552" w:type="dxa"/>
            <w:tcBorders>
              <w:top w:val="nil"/>
              <w:left w:val="nil"/>
              <w:bottom w:val="nil"/>
              <w:right w:val="nil"/>
            </w:tcBorders>
            <w:shd w:val="clear" w:color="000000" w:fill="747474"/>
            <w:noWrap/>
            <w:vAlign w:val="bottom"/>
            <w:hideMark/>
          </w:tcPr>
          <w:p w14:paraId="0F162EE0" w14:textId="77777777" w:rsidR="00953B1E" w:rsidRPr="006B513C" w:rsidRDefault="00953B1E" w:rsidP="00953B1E">
            <w:pPr>
              <w:spacing w:after="0" w:line="240" w:lineRule="auto"/>
              <w:jc w:val="left"/>
              <w:rPr>
                <w:rFonts w:ascii="Arial Narrow" w:hAnsi="Arial Narrow" w:cs="Arial"/>
                <w:b/>
                <w:bCs/>
                <w:noProof/>
                <w:color w:val="FFFFFF"/>
                <w:sz w:val="16"/>
                <w:szCs w:val="16"/>
                <w:lang w:val="en-IE" w:eastAsia="en-IE"/>
              </w:rPr>
            </w:pPr>
            <w:r w:rsidRPr="006B513C">
              <w:rPr>
                <w:rFonts w:ascii="Arial Narrow" w:hAnsi="Arial Narrow" w:cs="Arial"/>
                <w:b/>
                <w:bCs/>
                <w:noProof/>
                <w:color w:val="FFFFFF"/>
                <w:sz w:val="16"/>
                <w:szCs w:val="16"/>
                <w:lang w:val="en-IE" w:eastAsia="en-IE"/>
              </w:rPr>
              <w:t>Description of the indicator</w:t>
            </w:r>
          </w:p>
        </w:tc>
        <w:tc>
          <w:tcPr>
            <w:tcW w:w="2126" w:type="dxa"/>
            <w:tcBorders>
              <w:top w:val="nil"/>
              <w:left w:val="nil"/>
              <w:bottom w:val="nil"/>
              <w:right w:val="nil"/>
            </w:tcBorders>
            <w:shd w:val="clear" w:color="000000" w:fill="747474"/>
            <w:noWrap/>
            <w:vAlign w:val="bottom"/>
            <w:hideMark/>
          </w:tcPr>
          <w:p w14:paraId="611102F1" w14:textId="77777777" w:rsidR="00953B1E" w:rsidRPr="006B513C" w:rsidRDefault="00953B1E" w:rsidP="00953B1E">
            <w:pPr>
              <w:spacing w:after="0" w:line="240" w:lineRule="auto"/>
              <w:jc w:val="left"/>
              <w:rPr>
                <w:rFonts w:ascii="Arial Narrow" w:hAnsi="Arial Narrow" w:cs="Arial"/>
                <w:b/>
                <w:bCs/>
                <w:noProof/>
                <w:color w:val="FFFFFF"/>
                <w:sz w:val="16"/>
                <w:szCs w:val="16"/>
                <w:lang w:val="en-IE" w:eastAsia="en-IE"/>
              </w:rPr>
            </w:pPr>
            <w:r w:rsidRPr="006B513C">
              <w:rPr>
                <w:rFonts w:ascii="Arial Narrow" w:hAnsi="Arial Narrow" w:cs="Arial"/>
                <w:b/>
                <w:bCs/>
                <w:noProof/>
                <w:color w:val="FFFFFF"/>
                <w:sz w:val="16"/>
                <w:szCs w:val="16"/>
                <w:lang w:val="en-IE" w:eastAsia="en-IE"/>
              </w:rPr>
              <w:t>Type of indicator</w:t>
            </w:r>
          </w:p>
        </w:tc>
        <w:tc>
          <w:tcPr>
            <w:tcW w:w="1134" w:type="dxa"/>
            <w:tcBorders>
              <w:top w:val="nil"/>
              <w:left w:val="nil"/>
              <w:bottom w:val="nil"/>
              <w:right w:val="nil"/>
            </w:tcBorders>
            <w:shd w:val="clear" w:color="000000" w:fill="747474"/>
            <w:noWrap/>
            <w:vAlign w:val="bottom"/>
            <w:hideMark/>
          </w:tcPr>
          <w:p w14:paraId="64AAC0E6" w14:textId="77777777" w:rsidR="00953B1E" w:rsidRPr="006B513C" w:rsidRDefault="00953B1E" w:rsidP="00953B1E">
            <w:pPr>
              <w:spacing w:after="0" w:line="240" w:lineRule="auto"/>
              <w:jc w:val="left"/>
              <w:rPr>
                <w:rFonts w:ascii="Arial Narrow" w:hAnsi="Arial Narrow" w:cs="Arial"/>
                <w:b/>
                <w:bCs/>
                <w:noProof/>
                <w:color w:val="FFFFFF"/>
                <w:sz w:val="16"/>
                <w:szCs w:val="16"/>
                <w:lang w:val="en-IE" w:eastAsia="en-IE"/>
              </w:rPr>
            </w:pPr>
            <w:r w:rsidRPr="006B513C">
              <w:rPr>
                <w:rFonts w:ascii="Arial Narrow" w:hAnsi="Arial Narrow" w:cs="Arial"/>
                <w:b/>
                <w:bCs/>
                <w:noProof/>
                <w:color w:val="FFFFFF"/>
                <w:sz w:val="16"/>
                <w:szCs w:val="16"/>
                <w:lang w:val="en-IE" w:eastAsia="en-IE"/>
              </w:rPr>
              <w:t>Data source</w:t>
            </w:r>
          </w:p>
        </w:tc>
      </w:tr>
      <w:tr w:rsidR="00FA510D" w:rsidRPr="006B513C" w14:paraId="3DF28477" w14:textId="77777777" w:rsidTr="006B513C">
        <w:trPr>
          <w:trHeight w:val="901"/>
        </w:trPr>
        <w:tc>
          <w:tcPr>
            <w:tcW w:w="458" w:type="dxa"/>
            <w:gridSpan w:val="2"/>
            <w:vMerge w:val="restart"/>
            <w:tcBorders>
              <w:top w:val="nil"/>
              <w:left w:val="nil"/>
              <w:bottom w:val="nil"/>
              <w:right w:val="nil"/>
            </w:tcBorders>
            <w:shd w:val="clear" w:color="000000" w:fill="12501A"/>
            <w:noWrap/>
            <w:textDirection w:val="btLr"/>
            <w:vAlign w:val="center"/>
            <w:hideMark/>
          </w:tcPr>
          <w:p w14:paraId="5D5C47C1" w14:textId="77777777" w:rsidR="00953B1E" w:rsidRPr="006B513C" w:rsidRDefault="00953B1E" w:rsidP="00953B1E">
            <w:pPr>
              <w:spacing w:after="0" w:line="240" w:lineRule="auto"/>
              <w:jc w:val="center"/>
              <w:rPr>
                <w:rFonts w:ascii="Arial Narrow" w:hAnsi="Arial Narrow" w:cs="Arial"/>
                <w:b/>
                <w:bCs/>
                <w:noProof/>
                <w:color w:val="FFFFFF"/>
                <w:sz w:val="16"/>
                <w:szCs w:val="16"/>
                <w:lang w:val="en-IE" w:eastAsia="en-IE"/>
              </w:rPr>
            </w:pPr>
            <w:r w:rsidRPr="006B513C">
              <w:rPr>
                <w:rFonts w:ascii="Arial Narrow" w:hAnsi="Arial Narrow" w:cs="Arial"/>
                <w:b/>
                <w:bCs/>
                <w:noProof/>
                <w:color w:val="FFFFFF"/>
                <w:sz w:val="16"/>
                <w:szCs w:val="16"/>
                <w:lang w:val="en-IE" w:eastAsia="en-IE"/>
              </w:rPr>
              <w:t>Prevention</w:t>
            </w:r>
          </w:p>
        </w:tc>
        <w:tc>
          <w:tcPr>
            <w:tcW w:w="740" w:type="dxa"/>
            <w:gridSpan w:val="2"/>
            <w:tcBorders>
              <w:top w:val="nil"/>
              <w:left w:val="nil"/>
              <w:bottom w:val="nil"/>
              <w:right w:val="nil"/>
            </w:tcBorders>
            <w:shd w:val="clear" w:color="000000" w:fill="8ED973"/>
            <w:noWrap/>
            <w:vAlign w:val="center"/>
            <w:hideMark/>
          </w:tcPr>
          <w:p w14:paraId="3839AC87" w14:textId="77777777" w:rsidR="00953B1E" w:rsidRPr="006B513C" w:rsidRDefault="00953B1E" w:rsidP="00953B1E">
            <w:pPr>
              <w:spacing w:after="0" w:line="240" w:lineRule="auto"/>
              <w:jc w:val="center"/>
              <w:rPr>
                <w:rFonts w:ascii="Arial Narrow" w:hAnsi="Arial Narrow" w:cs="Arial"/>
                <w:b/>
                <w:bCs/>
                <w:noProof/>
                <w:color w:val="000000"/>
                <w:sz w:val="16"/>
                <w:szCs w:val="16"/>
                <w:lang w:val="en-IE" w:eastAsia="en-IE"/>
              </w:rPr>
            </w:pPr>
            <w:r w:rsidRPr="006B513C">
              <w:rPr>
                <w:rFonts w:ascii="Arial Narrow" w:hAnsi="Arial Narrow" w:cs="Arial"/>
                <w:b/>
                <w:bCs/>
                <w:noProof/>
                <w:color w:val="000000"/>
                <w:sz w:val="16"/>
                <w:szCs w:val="16"/>
                <w:lang w:val="en-IE" w:eastAsia="en-IE"/>
              </w:rPr>
              <w:t>[A.1]</w:t>
            </w:r>
          </w:p>
        </w:tc>
        <w:tc>
          <w:tcPr>
            <w:tcW w:w="1637" w:type="dxa"/>
            <w:tcBorders>
              <w:top w:val="nil"/>
              <w:left w:val="nil"/>
              <w:bottom w:val="nil"/>
              <w:right w:val="nil"/>
            </w:tcBorders>
            <w:shd w:val="clear" w:color="000000" w:fill="8ED973"/>
            <w:vAlign w:val="center"/>
            <w:hideMark/>
          </w:tcPr>
          <w:p w14:paraId="179C82B9" w14:textId="77777777" w:rsidR="00953B1E" w:rsidRPr="006B513C" w:rsidRDefault="00953B1E" w:rsidP="00953B1E">
            <w:pPr>
              <w:spacing w:after="0" w:line="240" w:lineRule="auto"/>
              <w:jc w:val="left"/>
              <w:rPr>
                <w:rFonts w:ascii="Arial Narrow" w:hAnsi="Arial Narrow" w:cs="Arial"/>
                <w:b/>
                <w:bCs/>
                <w:noProof/>
                <w:color w:val="000000"/>
                <w:sz w:val="16"/>
                <w:szCs w:val="16"/>
                <w:lang w:val="en-IE" w:eastAsia="en-IE"/>
              </w:rPr>
            </w:pPr>
            <w:r w:rsidRPr="006B513C">
              <w:rPr>
                <w:rFonts w:ascii="Arial Narrow" w:hAnsi="Arial Narrow" w:cs="Arial"/>
                <w:b/>
                <w:bCs/>
                <w:noProof/>
                <w:color w:val="000000"/>
                <w:sz w:val="16"/>
                <w:szCs w:val="16"/>
                <w:lang w:val="en-IE" w:eastAsia="en-IE"/>
              </w:rPr>
              <w:t>Number of cases with irregular amounts prevented from being spent</w:t>
            </w:r>
          </w:p>
        </w:tc>
        <w:tc>
          <w:tcPr>
            <w:tcW w:w="2552" w:type="dxa"/>
            <w:tcBorders>
              <w:top w:val="nil"/>
              <w:left w:val="nil"/>
              <w:bottom w:val="nil"/>
              <w:right w:val="nil"/>
            </w:tcBorders>
            <w:shd w:val="clear" w:color="000000" w:fill="8ED973"/>
            <w:vAlign w:val="center"/>
            <w:hideMark/>
          </w:tcPr>
          <w:p w14:paraId="6A4FB837" w14:textId="1C836090" w:rsidR="00953B1E" w:rsidRPr="006B513C" w:rsidRDefault="00953B1E" w:rsidP="00953B1E">
            <w:pPr>
              <w:spacing w:after="0" w:line="240" w:lineRule="auto"/>
              <w:jc w:val="left"/>
              <w:rPr>
                <w:rFonts w:ascii="Arial Narrow" w:hAnsi="Arial Narrow" w:cs="Arial"/>
                <w:noProof/>
                <w:color w:val="000000"/>
                <w:sz w:val="16"/>
                <w:szCs w:val="16"/>
                <w:lang w:val="en-IE" w:eastAsia="en-IE"/>
              </w:rPr>
            </w:pPr>
            <w:r w:rsidRPr="006B513C">
              <w:rPr>
                <w:rFonts w:ascii="Arial Narrow" w:hAnsi="Arial Narrow" w:cs="Arial"/>
                <w:noProof/>
                <w:color w:val="000000"/>
                <w:sz w:val="16"/>
                <w:szCs w:val="16"/>
                <w:lang w:val="en-IE" w:eastAsia="en-IE"/>
              </w:rPr>
              <w:t xml:space="preserve">In a reference period, the total number of cases for which a part or the entirety of the irregular amounts </w:t>
            </w:r>
            <w:r w:rsidR="00F90BFE" w:rsidRPr="006B513C">
              <w:rPr>
                <w:rFonts w:ascii="Arial Narrow" w:hAnsi="Arial Narrow" w:cs="Arial"/>
                <w:noProof/>
                <w:color w:val="000000"/>
                <w:sz w:val="16"/>
                <w:szCs w:val="16"/>
                <w:lang w:val="en-IE" w:eastAsia="en-IE"/>
              </w:rPr>
              <w:t>has</w:t>
            </w:r>
            <w:r w:rsidRPr="006B513C">
              <w:rPr>
                <w:rFonts w:ascii="Arial Narrow" w:hAnsi="Arial Narrow" w:cs="Arial"/>
                <w:noProof/>
                <w:color w:val="000000"/>
                <w:sz w:val="16"/>
                <w:szCs w:val="16"/>
                <w:lang w:val="en-IE" w:eastAsia="en-IE"/>
              </w:rPr>
              <w:t xml:space="preserve"> not been paid (partial or full prevention)</w:t>
            </w:r>
          </w:p>
        </w:tc>
        <w:tc>
          <w:tcPr>
            <w:tcW w:w="2126" w:type="dxa"/>
            <w:tcBorders>
              <w:top w:val="nil"/>
              <w:left w:val="nil"/>
              <w:bottom w:val="nil"/>
              <w:right w:val="nil"/>
            </w:tcBorders>
            <w:shd w:val="clear" w:color="000000" w:fill="8ED973"/>
            <w:vAlign w:val="center"/>
            <w:hideMark/>
          </w:tcPr>
          <w:p w14:paraId="0F5AFAFD" w14:textId="77777777" w:rsidR="00953B1E" w:rsidRPr="006B513C" w:rsidRDefault="00953B1E" w:rsidP="00953B1E">
            <w:pPr>
              <w:spacing w:after="0" w:line="240" w:lineRule="auto"/>
              <w:jc w:val="left"/>
              <w:rPr>
                <w:rFonts w:ascii="Arial Narrow" w:hAnsi="Arial Narrow" w:cs="Arial"/>
                <w:noProof/>
                <w:color w:val="000000"/>
                <w:sz w:val="16"/>
                <w:szCs w:val="16"/>
                <w:lang w:val="en-IE" w:eastAsia="en-IE"/>
              </w:rPr>
            </w:pPr>
            <w:r w:rsidRPr="006B513C">
              <w:rPr>
                <w:rFonts w:ascii="Arial Narrow" w:hAnsi="Arial Narrow" w:cs="Arial"/>
                <w:noProof/>
                <w:color w:val="000000"/>
                <w:sz w:val="16"/>
                <w:szCs w:val="16"/>
                <w:lang w:val="en-IE" w:eastAsia="en-IE"/>
              </w:rPr>
              <w:t>Multiannual (reference period indicated)</w:t>
            </w:r>
            <w:r w:rsidRPr="006B513C">
              <w:rPr>
                <w:rFonts w:ascii="Arial Narrow" w:hAnsi="Arial Narrow" w:cs="Arial"/>
                <w:noProof/>
                <w:color w:val="000000"/>
                <w:sz w:val="16"/>
                <w:szCs w:val="16"/>
                <w:lang w:val="en-IE" w:eastAsia="en-IE"/>
              </w:rPr>
              <w:br/>
              <w:t>Sectoral</w:t>
            </w:r>
            <w:r w:rsidRPr="006B513C">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8ED973"/>
            <w:noWrap/>
            <w:vAlign w:val="center"/>
            <w:hideMark/>
          </w:tcPr>
          <w:p w14:paraId="305B69B1" w14:textId="77777777" w:rsidR="00953B1E" w:rsidRPr="006B513C" w:rsidRDefault="00953B1E" w:rsidP="00953B1E">
            <w:pPr>
              <w:spacing w:after="0" w:line="240" w:lineRule="auto"/>
              <w:jc w:val="left"/>
              <w:rPr>
                <w:rFonts w:ascii="Arial Narrow" w:hAnsi="Arial Narrow" w:cs="Arial"/>
                <w:noProof/>
                <w:color w:val="000000"/>
                <w:sz w:val="16"/>
                <w:szCs w:val="16"/>
                <w:lang w:val="en-IE" w:eastAsia="en-IE"/>
              </w:rPr>
            </w:pPr>
            <w:r w:rsidRPr="006B513C">
              <w:rPr>
                <w:rFonts w:ascii="Arial Narrow" w:hAnsi="Arial Narrow" w:cs="Arial"/>
                <w:noProof/>
                <w:color w:val="000000"/>
                <w:sz w:val="16"/>
                <w:szCs w:val="16"/>
                <w:lang w:val="en-IE" w:eastAsia="en-IE"/>
              </w:rPr>
              <w:t>IMS</w:t>
            </w:r>
          </w:p>
        </w:tc>
      </w:tr>
      <w:tr w:rsidR="00FA510D" w:rsidRPr="006B513C" w14:paraId="785E210C" w14:textId="77777777" w:rsidTr="006B513C">
        <w:trPr>
          <w:trHeight w:val="857"/>
        </w:trPr>
        <w:tc>
          <w:tcPr>
            <w:tcW w:w="458" w:type="dxa"/>
            <w:gridSpan w:val="2"/>
            <w:vMerge/>
            <w:tcBorders>
              <w:top w:val="nil"/>
              <w:left w:val="nil"/>
              <w:bottom w:val="nil"/>
              <w:right w:val="nil"/>
            </w:tcBorders>
            <w:vAlign w:val="center"/>
            <w:hideMark/>
          </w:tcPr>
          <w:p w14:paraId="1BD0A8EB" w14:textId="77777777" w:rsidR="00953B1E" w:rsidRPr="00DE241B" w:rsidRDefault="00953B1E" w:rsidP="00953B1E">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DAF2D0"/>
            <w:noWrap/>
            <w:vAlign w:val="center"/>
            <w:hideMark/>
          </w:tcPr>
          <w:p w14:paraId="2EECF120" w14:textId="77777777" w:rsidR="00953B1E" w:rsidRPr="00DE241B" w:rsidRDefault="00953B1E" w:rsidP="00953B1E">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[A.2]</w:t>
            </w:r>
          </w:p>
        </w:tc>
        <w:tc>
          <w:tcPr>
            <w:tcW w:w="1637" w:type="dxa"/>
            <w:tcBorders>
              <w:top w:val="nil"/>
              <w:left w:val="nil"/>
              <w:bottom w:val="nil"/>
              <w:right w:val="nil"/>
            </w:tcBorders>
            <w:shd w:val="clear" w:color="000000" w:fill="DAF2D0"/>
            <w:vAlign w:val="center"/>
            <w:hideMark/>
          </w:tcPr>
          <w:p w14:paraId="52EB237A" w14:textId="77777777" w:rsidR="00953B1E" w:rsidRPr="00DE241B" w:rsidRDefault="00953B1E" w:rsidP="00953B1E">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Percentage of cases with prevention on total number of cases</w:t>
            </w:r>
          </w:p>
        </w:tc>
        <w:tc>
          <w:tcPr>
            <w:tcW w:w="2552" w:type="dxa"/>
            <w:tcBorders>
              <w:top w:val="nil"/>
              <w:left w:val="nil"/>
              <w:bottom w:val="nil"/>
              <w:right w:val="nil"/>
            </w:tcBorders>
            <w:shd w:val="clear" w:color="000000" w:fill="DAF2D0"/>
            <w:vAlign w:val="center"/>
            <w:hideMark/>
          </w:tcPr>
          <w:p w14:paraId="21BCEAC5"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indicator [A.1] by the total number of cases reported [B.1] in the same reference period</w:t>
            </w:r>
          </w:p>
        </w:tc>
        <w:tc>
          <w:tcPr>
            <w:tcW w:w="2126" w:type="dxa"/>
            <w:tcBorders>
              <w:top w:val="nil"/>
              <w:left w:val="nil"/>
              <w:bottom w:val="nil"/>
              <w:right w:val="nil"/>
            </w:tcBorders>
            <w:shd w:val="clear" w:color="000000" w:fill="DAF2D0"/>
            <w:vAlign w:val="center"/>
            <w:hideMark/>
          </w:tcPr>
          <w:p w14:paraId="67874D2C"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DAF2D0"/>
            <w:vAlign w:val="center"/>
            <w:hideMark/>
          </w:tcPr>
          <w:p w14:paraId="4CA8875F"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p>
        </w:tc>
      </w:tr>
      <w:tr w:rsidR="00FA510D" w:rsidRPr="006B513C" w14:paraId="418181E9" w14:textId="77777777" w:rsidTr="006B513C">
        <w:trPr>
          <w:trHeight w:val="841"/>
        </w:trPr>
        <w:tc>
          <w:tcPr>
            <w:tcW w:w="458" w:type="dxa"/>
            <w:gridSpan w:val="2"/>
            <w:vMerge/>
            <w:tcBorders>
              <w:top w:val="nil"/>
              <w:left w:val="nil"/>
              <w:bottom w:val="nil"/>
              <w:right w:val="nil"/>
            </w:tcBorders>
            <w:vAlign w:val="center"/>
            <w:hideMark/>
          </w:tcPr>
          <w:p w14:paraId="4E26CBE2" w14:textId="77777777" w:rsidR="00953B1E" w:rsidRPr="00DE241B" w:rsidRDefault="00953B1E" w:rsidP="00953B1E">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8ED973"/>
            <w:noWrap/>
            <w:vAlign w:val="center"/>
            <w:hideMark/>
          </w:tcPr>
          <w:p w14:paraId="41688720" w14:textId="77777777" w:rsidR="00953B1E" w:rsidRPr="00DE241B" w:rsidRDefault="00953B1E" w:rsidP="00953B1E">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[A.3]</w:t>
            </w:r>
          </w:p>
        </w:tc>
        <w:tc>
          <w:tcPr>
            <w:tcW w:w="1637" w:type="dxa"/>
            <w:tcBorders>
              <w:top w:val="nil"/>
              <w:left w:val="nil"/>
              <w:bottom w:val="nil"/>
              <w:right w:val="nil"/>
            </w:tcBorders>
            <w:shd w:val="clear" w:color="000000" w:fill="8ED973"/>
            <w:vAlign w:val="center"/>
            <w:hideMark/>
          </w:tcPr>
          <w:p w14:paraId="6214B149" w14:textId="77777777" w:rsidR="00953B1E" w:rsidRPr="00DE241B" w:rsidRDefault="00953B1E" w:rsidP="00953B1E">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Financial amounts prevented from being spent</w:t>
            </w:r>
          </w:p>
        </w:tc>
        <w:tc>
          <w:tcPr>
            <w:tcW w:w="2552" w:type="dxa"/>
            <w:tcBorders>
              <w:top w:val="nil"/>
              <w:left w:val="nil"/>
              <w:bottom w:val="nil"/>
              <w:right w:val="nil"/>
            </w:tcBorders>
            <w:shd w:val="clear" w:color="000000" w:fill="8ED973"/>
            <w:vAlign w:val="center"/>
            <w:hideMark/>
          </w:tcPr>
          <w:p w14:paraId="4EE2357B" w14:textId="055349B9" w:rsidR="00953B1E" w:rsidRPr="006B513C" w:rsidRDefault="00953B1E" w:rsidP="00953B1E">
            <w:pPr>
              <w:spacing w:after="0" w:line="240" w:lineRule="auto"/>
              <w:jc w:val="left"/>
              <w:rPr>
                <w:rFonts w:ascii="Arial Narrow" w:hAnsi="Arial Narrow" w:cs="Arial"/>
                <w:noProof/>
                <w:color w:val="000000"/>
                <w:sz w:val="16"/>
                <w:szCs w:val="16"/>
                <w:lang w:val="en-IE" w:eastAsia="en-IE"/>
              </w:rPr>
            </w:pPr>
            <w:r w:rsidRPr="006B513C">
              <w:rPr>
                <w:rFonts w:ascii="Arial Narrow" w:hAnsi="Arial Narrow" w:cs="Arial"/>
                <w:noProof/>
                <w:color w:val="000000"/>
                <w:sz w:val="16"/>
                <w:szCs w:val="16"/>
                <w:lang w:val="en-IE" w:eastAsia="en-IE"/>
              </w:rPr>
              <w:t xml:space="preserve">In a reference period, the total </w:t>
            </w:r>
            <w:r w:rsidR="006B513C" w:rsidRPr="006B513C">
              <w:rPr>
                <w:rFonts w:ascii="Arial Narrow" w:hAnsi="Arial Narrow" w:cs="Arial"/>
                <w:noProof/>
                <w:color w:val="000000"/>
                <w:sz w:val="16"/>
                <w:szCs w:val="16"/>
                <w:lang w:val="en-IE" w:eastAsia="en-IE"/>
              </w:rPr>
              <w:t>irregular financial amounts</w:t>
            </w:r>
            <w:r w:rsidRPr="006B513C">
              <w:rPr>
                <w:rFonts w:ascii="Arial Narrow" w:hAnsi="Arial Narrow" w:cs="Arial"/>
                <w:noProof/>
                <w:color w:val="000000"/>
                <w:sz w:val="16"/>
                <w:szCs w:val="16"/>
                <w:lang w:val="en-IE" w:eastAsia="en-IE"/>
              </w:rPr>
              <w:t xml:space="preserve"> which have not been paid</w:t>
            </w:r>
          </w:p>
        </w:tc>
        <w:tc>
          <w:tcPr>
            <w:tcW w:w="2126" w:type="dxa"/>
            <w:tcBorders>
              <w:top w:val="nil"/>
              <w:left w:val="nil"/>
              <w:bottom w:val="nil"/>
              <w:right w:val="nil"/>
            </w:tcBorders>
            <w:shd w:val="clear" w:color="000000" w:fill="8ED973"/>
            <w:vAlign w:val="center"/>
            <w:hideMark/>
          </w:tcPr>
          <w:p w14:paraId="572A821B" w14:textId="77777777" w:rsidR="00953B1E" w:rsidRPr="006B513C" w:rsidRDefault="00953B1E" w:rsidP="00953B1E">
            <w:pPr>
              <w:spacing w:after="0" w:line="240" w:lineRule="auto"/>
              <w:jc w:val="left"/>
              <w:rPr>
                <w:rFonts w:ascii="Arial Narrow" w:hAnsi="Arial Narrow" w:cs="Arial"/>
                <w:noProof/>
                <w:color w:val="000000"/>
                <w:sz w:val="16"/>
                <w:szCs w:val="16"/>
                <w:lang w:val="en-IE" w:eastAsia="en-IE"/>
              </w:rPr>
            </w:pPr>
            <w:r w:rsidRPr="006B513C">
              <w:rPr>
                <w:rFonts w:ascii="Arial Narrow" w:hAnsi="Arial Narrow" w:cs="Arial"/>
                <w:noProof/>
                <w:color w:val="000000"/>
                <w:sz w:val="16"/>
                <w:szCs w:val="16"/>
                <w:lang w:val="en-IE" w:eastAsia="en-IE"/>
              </w:rPr>
              <w:t>Multiannual (reference period indicated)</w:t>
            </w:r>
            <w:r w:rsidRPr="006B513C">
              <w:rPr>
                <w:rFonts w:ascii="Arial Narrow" w:hAnsi="Arial Narrow" w:cs="Arial"/>
                <w:noProof/>
                <w:color w:val="000000"/>
                <w:sz w:val="16"/>
                <w:szCs w:val="16"/>
                <w:lang w:val="en-IE" w:eastAsia="en-IE"/>
              </w:rPr>
              <w:br/>
              <w:t>Sectoral</w:t>
            </w:r>
            <w:r w:rsidRPr="006B513C">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8ED973"/>
            <w:vAlign w:val="center"/>
            <w:hideMark/>
          </w:tcPr>
          <w:p w14:paraId="14CE1828" w14:textId="77777777" w:rsidR="00953B1E" w:rsidRPr="006B513C" w:rsidRDefault="00953B1E" w:rsidP="00953B1E">
            <w:pPr>
              <w:spacing w:after="0" w:line="240" w:lineRule="auto"/>
              <w:jc w:val="left"/>
              <w:rPr>
                <w:rFonts w:ascii="Arial Narrow" w:hAnsi="Arial Narrow" w:cs="Arial"/>
                <w:noProof/>
                <w:color w:val="000000"/>
                <w:sz w:val="16"/>
                <w:szCs w:val="16"/>
                <w:lang w:val="en-IE" w:eastAsia="en-IE"/>
              </w:rPr>
            </w:pPr>
            <w:r w:rsidRPr="006B513C">
              <w:rPr>
                <w:rFonts w:ascii="Arial Narrow" w:hAnsi="Arial Narrow" w:cs="Arial"/>
                <w:noProof/>
                <w:color w:val="000000"/>
                <w:sz w:val="16"/>
                <w:szCs w:val="16"/>
                <w:lang w:val="en-IE" w:eastAsia="en-IE"/>
              </w:rPr>
              <w:t>IMS</w:t>
            </w:r>
          </w:p>
        </w:tc>
      </w:tr>
      <w:tr w:rsidR="00AD1F7D" w:rsidRPr="006B513C" w14:paraId="04CCF80B" w14:textId="77777777" w:rsidTr="006B513C">
        <w:trPr>
          <w:trHeight w:val="852"/>
        </w:trPr>
        <w:tc>
          <w:tcPr>
            <w:tcW w:w="458" w:type="dxa"/>
            <w:gridSpan w:val="2"/>
            <w:vMerge/>
            <w:tcBorders>
              <w:top w:val="nil"/>
              <w:left w:val="nil"/>
              <w:bottom w:val="nil"/>
              <w:right w:val="nil"/>
            </w:tcBorders>
            <w:vAlign w:val="center"/>
            <w:hideMark/>
          </w:tcPr>
          <w:p w14:paraId="20619725" w14:textId="77777777" w:rsidR="00953B1E" w:rsidRPr="00DE241B" w:rsidRDefault="00953B1E" w:rsidP="00953B1E">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DAF2D0"/>
            <w:noWrap/>
            <w:vAlign w:val="center"/>
            <w:hideMark/>
          </w:tcPr>
          <w:p w14:paraId="5AF03590" w14:textId="77777777" w:rsidR="00953B1E" w:rsidRPr="00DE241B" w:rsidRDefault="00953B1E" w:rsidP="00953B1E">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[A.4]</w:t>
            </w:r>
          </w:p>
        </w:tc>
        <w:tc>
          <w:tcPr>
            <w:tcW w:w="1637" w:type="dxa"/>
            <w:tcBorders>
              <w:top w:val="nil"/>
              <w:left w:val="nil"/>
              <w:bottom w:val="nil"/>
              <w:right w:val="nil"/>
            </w:tcBorders>
            <w:shd w:val="clear" w:color="000000" w:fill="DAF2D0"/>
            <w:vAlign w:val="center"/>
            <w:hideMark/>
          </w:tcPr>
          <w:p w14:paraId="4C43CE52" w14:textId="77777777" w:rsidR="00953B1E" w:rsidRPr="00DE241B" w:rsidRDefault="00953B1E" w:rsidP="00953B1E">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Prevention rate</w:t>
            </w:r>
          </w:p>
        </w:tc>
        <w:tc>
          <w:tcPr>
            <w:tcW w:w="2552" w:type="dxa"/>
            <w:tcBorders>
              <w:top w:val="nil"/>
              <w:left w:val="nil"/>
              <w:bottom w:val="nil"/>
              <w:right w:val="nil"/>
            </w:tcBorders>
            <w:shd w:val="clear" w:color="000000" w:fill="DAF2D0"/>
            <w:vAlign w:val="center"/>
            <w:hideMark/>
          </w:tcPr>
          <w:p w14:paraId="604F070A"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indicator [A.3] on total irregular financial amounts [B.2] in the same reference period</w:t>
            </w:r>
          </w:p>
        </w:tc>
        <w:tc>
          <w:tcPr>
            <w:tcW w:w="2126" w:type="dxa"/>
            <w:tcBorders>
              <w:top w:val="nil"/>
              <w:left w:val="nil"/>
              <w:bottom w:val="nil"/>
              <w:right w:val="nil"/>
            </w:tcBorders>
            <w:shd w:val="clear" w:color="000000" w:fill="DAF2D0"/>
            <w:vAlign w:val="center"/>
            <w:hideMark/>
          </w:tcPr>
          <w:p w14:paraId="52CDF003"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DAF2D0"/>
            <w:vAlign w:val="center"/>
            <w:hideMark/>
          </w:tcPr>
          <w:p w14:paraId="417D73B7"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r w:rsidRPr="00DE241B">
              <w:rPr>
                <w:rFonts w:ascii="Arial Narrow" w:hAnsi="Arial Narrow" w:cs="Arial"/>
                <w:noProof/>
                <w:color w:val="000000"/>
                <w:sz w:val="16"/>
                <w:szCs w:val="16"/>
                <w:lang w:val="en-IE" w:eastAsia="en-IE"/>
              </w:rPr>
              <w:br/>
              <w:t>OLAF / Commission</w:t>
            </w:r>
          </w:p>
        </w:tc>
      </w:tr>
      <w:tr w:rsidR="00AD1F7D" w:rsidRPr="006B513C" w14:paraId="0B7ABD0D" w14:textId="77777777" w:rsidTr="006B513C">
        <w:trPr>
          <w:trHeight w:val="567"/>
        </w:trPr>
        <w:tc>
          <w:tcPr>
            <w:tcW w:w="458" w:type="dxa"/>
            <w:gridSpan w:val="2"/>
            <w:vMerge/>
            <w:tcBorders>
              <w:top w:val="nil"/>
              <w:left w:val="nil"/>
              <w:bottom w:val="nil"/>
              <w:right w:val="nil"/>
            </w:tcBorders>
            <w:vAlign w:val="center"/>
            <w:hideMark/>
          </w:tcPr>
          <w:p w14:paraId="46547930" w14:textId="77777777" w:rsidR="00953B1E" w:rsidRPr="00DE241B" w:rsidRDefault="00953B1E" w:rsidP="00953B1E">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8ED973"/>
            <w:noWrap/>
            <w:vAlign w:val="center"/>
            <w:hideMark/>
          </w:tcPr>
          <w:p w14:paraId="31BA134F" w14:textId="77777777" w:rsidR="00953B1E" w:rsidRPr="00DE241B" w:rsidRDefault="00953B1E" w:rsidP="00953B1E">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[A.5]</w:t>
            </w:r>
          </w:p>
        </w:tc>
        <w:tc>
          <w:tcPr>
            <w:tcW w:w="1637" w:type="dxa"/>
            <w:tcBorders>
              <w:top w:val="nil"/>
              <w:left w:val="nil"/>
              <w:bottom w:val="nil"/>
              <w:right w:val="nil"/>
            </w:tcBorders>
            <w:shd w:val="clear" w:color="000000" w:fill="8ED973"/>
            <w:vAlign w:val="center"/>
            <w:hideMark/>
          </w:tcPr>
          <w:p w14:paraId="4A83949E" w14:textId="77777777" w:rsidR="00953B1E" w:rsidRPr="00DE241B" w:rsidRDefault="00953B1E" w:rsidP="00953B1E">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Amount recommended for prevention</w:t>
            </w:r>
          </w:p>
        </w:tc>
        <w:tc>
          <w:tcPr>
            <w:tcW w:w="2552" w:type="dxa"/>
            <w:tcBorders>
              <w:top w:val="nil"/>
              <w:left w:val="nil"/>
              <w:bottom w:val="nil"/>
              <w:right w:val="nil"/>
            </w:tcBorders>
            <w:shd w:val="clear" w:color="000000" w:fill="8ED973"/>
            <w:vAlign w:val="center"/>
            <w:hideMark/>
          </w:tcPr>
          <w:p w14:paraId="34E93FD9"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Total amount recommended for prevention as result of OLAF investigations</w:t>
            </w:r>
          </w:p>
        </w:tc>
        <w:tc>
          <w:tcPr>
            <w:tcW w:w="2126" w:type="dxa"/>
            <w:tcBorders>
              <w:top w:val="nil"/>
              <w:left w:val="nil"/>
              <w:bottom w:val="nil"/>
              <w:right w:val="nil"/>
            </w:tcBorders>
            <w:shd w:val="clear" w:color="000000" w:fill="8ED973"/>
            <w:vAlign w:val="center"/>
            <w:hideMark/>
          </w:tcPr>
          <w:p w14:paraId="7343487D"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p>
        </w:tc>
        <w:tc>
          <w:tcPr>
            <w:tcW w:w="1134" w:type="dxa"/>
            <w:tcBorders>
              <w:top w:val="nil"/>
              <w:left w:val="nil"/>
              <w:bottom w:val="nil"/>
              <w:right w:val="nil"/>
            </w:tcBorders>
            <w:shd w:val="clear" w:color="000000" w:fill="8ED973"/>
            <w:vAlign w:val="center"/>
            <w:hideMark/>
          </w:tcPr>
          <w:p w14:paraId="7740C962"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 / Commission</w:t>
            </w:r>
          </w:p>
        </w:tc>
      </w:tr>
      <w:tr w:rsidR="00AD1F7D" w:rsidRPr="006B513C" w14:paraId="262A75EF" w14:textId="77777777" w:rsidTr="006B513C">
        <w:trPr>
          <w:trHeight w:val="561"/>
        </w:trPr>
        <w:tc>
          <w:tcPr>
            <w:tcW w:w="458" w:type="dxa"/>
            <w:gridSpan w:val="2"/>
            <w:vMerge/>
            <w:tcBorders>
              <w:top w:val="nil"/>
              <w:left w:val="nil"/>
              <w:bottom w:val="nil"/>
              <w:right w:val="nil"/>
            </w:tcBorders>
            <w:vAlign w:val="center"/>
            <w:hideMark/>
          </w:tcPr>
          <w:p w14:paraId="7EB3465A" w14:textId="77777777" w:rsidR="00953B1E" w:rsidRPr="00DE241B" w:rsidRDefault="00953B1E" w:rsidP="00953B1E">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DAF2D0"/>
            <w:noWrap/>
            <w:vAlign w:val="center"/>
            <w:hideMark/>
          </w:tcPr>
          <w:p w14:paraId="3E9EF876" w14:textId="77777777" w:rsidR="00953B1E" w:rsidRPr="00DE241B" w:rsidRDefault="00953B1E" w:rsidP="00953B1E">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[A.6]</w:t>
            </w:r>
          </w:p>
        </w:tc>
        <w:tc>
          <w:tcPr>
            <w:tcW w:w="1637" w:type="dxa"/>
            <w:tcBorders>
              <w:top w:val="nil"/>
              <w:left w:val="nil"/>
              <w:bottom w:val="nil"/>
              <w:right w:val="nil"/>
            </w:tcBorders>
            <w:shd w:val="clear" w:color="000000" w:fill="DAF2D0"/>
            <w:vAlign w:val="center"/>
            <w:hideMark/>
          </w:tcPr>
          <w:p w14:paraId="73AE93D1" w14:textId="77777777" w:rsidR="00953B1E" w:rsidRPr="00DE241B" w:rsidRDefault="00953B1E" w:rsidP="00953B1E">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 xml:space="preserve">Amount prevented </w:t>
            </w:r>
          </w:p>
        </w:tc>
        <w:tc>
          <w:tcPr>
            <w:tcW w:w="2552" w:type="dxa"/>
            <w:tcBorders>
              <w:top w:val="nil"/>
              <w:left w:val="nil"/>
              <w:bottom w:val="nil"/>
              <w:right w:val="nil"/>
            </w:tcBorders>
            <w:shd w:val="clear" w:color="000000" w:fill="DAF2D0"/>
            <w:noWrap/>
            <w:vAlign w:val="center"/>
            <w:hideMark/>
          </w:tcPr>
          <w:p w14:paraId="0B69A7AC"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Same as [A.3] but related to OLAF recommendations [A.5]</w:t>
            </w:r>
          </w:p>
        </w:tc>
        <w:tc>
          <w:tcPr>
            <w:tcW w:w="2126" w:type="dxa"/>
            <w:tcBorders>
              <w:top w:val="nil"/>
              <w:left w:val="nil"/>
              <w:bottom w:val="nil"/>
              <w:right w:val="nil"/>
            </w:tcBorders>
            <w:shd w:val="clear" w:color="000000" w:fill="DAF2D0"/>
            <w:vAlign w:val="center"/>
            <w:hideMark/>
          </w:tcPr>
          <w:p w14:paraId="6F5236F1"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p>
        </w:tc>
        <w:tc>
          <w:tcPr>
            <w:tcW w:w="1134" w:type="dxa"/>
            <w:tcBorders>
              <w:top w:val="nil"/>
              <w:left w:val="nil"/>
              <w:bottom w:val="nil"/>
              <w:right w:val="nil"/>
            </w:tcBorders>
            <w:shd w:val="clear" w:color="000000" w:fill="DAF2D0"/>
            <w:vAlign w:val="center"/>
            <w:hideMark/>
          </w:tcPr>
          <w:p w14:paraId="4012A400"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 / Commission</w:t>
            </w:r>
          </w:p>
        </w:tc>
      </w:tr>
      <w:tr w:rsidR="00FA510D" w:rsidRPr="006B513C" w14:paraId="18733C7B" w14:textId="77777777" w:rsidTr="006B513C">
        <w:trPr>
          <w:trHeight w:val="855"/>
        </w:trPr>
        <w:tc>
          <w:tcPr>
            <w:tcW w:w="458" w:type="dxa"/>
            <w:gridSpan w:val="2"/>
            <w:vMerge/>
            <w:tcBorders>
              <w:top w:val="nil"/>
              <w:left w:val="nil"/>
              <w:bottom w:val="nil"/>
              <w:right w:val="nil"/>
            </w:tcBorders>
            <w:vAlign w:val="center"/>
            <w:hideMark/>
          </w:tcPr>
          <w:p w14:paraId="45FB14CF" w14:textId="77777777" w:rsidR="00953B1E" w:rsidRPr="00DE241B" w:rsidRDefault="00953B1E" w:rsidP="00953B1E">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8ED973"/>
            <w:noWrap/>
            <w:vAlign w:val="center"/>
            <w:hideMark/>
          </w:tcPr>
          <w:p w14:paraId="4C5A31E0" w14:textId="77777777" w:rsidR="00953B1E" w:rsidRPr="00DE241B" w:rsidRDefault="00953B1E" w:rsidP="00953B1E">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[A.7]</w:t>
            </w:r>
          </w:p>
        </w:tc>
        <w:tc>
          <w:tcPr>
            <w:tcW w:w="1637" w:type="dxa"/>
            <w:tcBorders>
              <w:top w:val="nil"/>
              <w:left w:val="nil"/>
              <w:bottom w:val="nil"/>
              <w:right w:val="nil"/>
            </w:tcBorders>
            <w:shd w:val="clear" w:color="000000" w:fill="8ED973"/>
            <w:vAlign w:val="center"/>
            <w:hideMark/>
          </w:tcPr>
          <w:p w14:paraId="3B382EB3" w14:textId="77777777" w:rsidR="00953B1E" w:rsidRPr="00DE241B" w:rsidRDefault="00953B1E" w:rsidP="00953B1E">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Establishment rate for prevention</w:t>
            </w:r>
          </w:p>
        </w:tc>
        <w:tc>
          <w:tcPr>
            <w:tcW w:w="2552" w:type="dxa"/>
            <w:tcBorders>
              <w:top w:val="nil"/>
              <w:left w:val="nil"/>
              <w:bottom w:val="nil"/>
              <w:right w:val="nil"/>
            </w:tcBorders>
            <w:shd w:val="clear" w:color="000000" w:fill="8ED973"/>
            <w:noWrap/>
            <w:vAlign w:val="center"/>
            <w:hideMark/>
          </w:tcPr>
          <w:p w14:paraId="75645813"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indicator [A.5] on indicator [A.6]</w:t>
            </w:r>
          </w:p>
        </w:tc>
        <w:tc>
          <w:tcPr>
            <w:tcW w:w="2126" w:type="dxa"/>
            <w:tcBorders>
              <w:top w:val="nil"/>
              <w:left w:val="nil"/>
              <w:bottom w:val="nil"/>
              <w:right w:val="nil"/>
            </w:tcBorders>
            <w:shd w:val="clear" w:color="000000" w:fill="8ED973"/>
            <w:vAlign w:val="center"/>
            <w:hideMark/>
          </w:tcPr>
          <w:p w14:paraId="2593C2F2"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p>
        </w:tc>
        <w:tc>
          <w:tcPr>
            <w:tcW w:w="1134" w:type="dxa"/>
            <w:tcBorders>
              <w:top w:val="nil"/>
              <w:left w:val="nil"/>
              <w:bottom w:val="nil"/>
              <w:right w:val="nil"/>
            </w:tcBorders>
            <w:shd w:val="clear" w:color="000000" w:fill="8ED973"/>
            <w:vAlign w:val="center"/>
            <w:hideMark/>
          </w:tcPr>
          <w:p w14:paraId="30AA8313" w14:textId="77777777" w:rsidR="00953B1E" w:rsidRPr="00DE241B" w:rsidRDefault="00953B1E" w:rsidP="00953B1E">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 / Commission</w:t>
            </w:r>
          </w:p>
        </w:tc>
      </w:tr>
      <w:tr w:rsidR="00EB63FC" w:rsidRPr="00EB63FC" w14:paraId="1EA91A67" w14:textId="77777777" w:rsidTr="002D49E3">
        <w:trPr>
          <w:trHeight w:val="315"/>
        </w:trPr>
        <w:tc>
          <w:tcPr>
            <w:tcW w:w="411" w:type="dxa"/>
            <w:tcBorders>
              <w:top w:val="nil"/>
              <w:left w:val="nil"/>
              <w:bottom w:val="nil"/>
              <w:right w:val="nil"/>
            </w:tcBorders>
            <w:shd w:val="clear" w:color="000000" w:fill="747474"/>
            <w:noWrap/>
            <w:vAlign w:val="bottom"/>
            <w:hideMark/>
          </w:tcPr>
          <w:p w14:paraId="2BF39926" w14:textId="77777777" w:rsidR="00EB63FC" w:rsidRPr="002D49E3" w:rsidRDefault="00EB63FC" w:rsidP="00EB63FC">
            <w:pPr>
              <w:spacing w:after="0" w:line="240" w:lineRule="auto"/>
              <w:jc w:val="left"/>
              <w:rPr>
                <w:rFonts w:ascii="Arial Narrow" w:hAnsi="Arial Narrow" w:cs="Arial"/>
                <w:b/>
                <w:bCs/>
                <w:noProof/>
                <w:color w:val="FFFFFF"/>
                <w:sz w:val="16"/>
                <w:szCs w:val="16"/>
                <w:lang w:val="en-IE" w:eastAsia="en-IE"/>
              </w:rPr>
            </w:pPr>
            <w:r w:rsidRPr="002D49E3">
              <w:rPr>
                <w:rFonts w:ascii="Arial Narrow" w:hAnsi="Arial Narrow" w:cs="Arial"/>
                <w:b/>
                <w:bCs/>
                <w:noProof/>
                <w:color w:val="FFFFFF"/>
                <w:sz w:val="16"/>
                <w:szCs w:val="16"/>
                <w:lang w:val="en-IE" w:eastAsia="en-IE"/>
              </w:rPr>
              <w:t> </w:t>
            </w:r>
          </w:p>
        </w:tc>
        <w:tc>
          <w:tcPr>
            <w:tcW w:w="740" w:type="dxa"/>
            <w:gridSpan w:val="2"/>
            <w:tcBorders>
              <w:top w:val="nil"/>
              <w:left w:val="nil"/>
              <w:bottom w:val="nil"/>
              <w:right w:val="nil"/>
            </w:tcBorders>
            <w:shd w:val="clear" w:color="000000" w:fill="747474"/>
            <w:noWrap/>
            <w:vAlign w:val="bottom"/>
            <w:hideMark/>
          </w:tcPr>
          <w:p w14:paraId="3B470E83" w14:textId="77777777" w:rsidR="00EB63FC" w:rsidRPr="002D49E3" w:rsidRDefault="00EB63FC" w:rsidP="00EB63FC">
            <w:pPr>
              <w:spacing w:after="0" w:line="240" w:lineRule="auto"/>
              <w:jc w:val="left"/>
              <w:rPr>
                <w:rFonts w:ascii="Arial Narrow" w:hAnsi="Arial Narrow" w:cs="Arial"/>
                <w:b/>
                <w:bCs/>
                <w:noProof/>
                <w:color w:val="FFFFFF"/>
                <w:sz w:val="16"/>
                <w:szCs w:val="16"/>
                <w:lang w:val="en-IE" w:eastAsia="en-IE"/>
              </w:rPr>
            </w:pPr>
            <w:r w:rsidRPr="002D49E3">
              <w:rPr>
                <w:rFonts w:ascii="Arial Narrow" w:hAnsi="Arial Narrow" w:cs="Arial"/>
                <w:b/>
                <w:bCs/>
                <w:noProof/>
                <w:color w:val="FFFFFF"/>
                <w:sz w:val="16"/>
                <w:szCs w:val="16"/>
                <w:lang w:val="en-IE" w:eastAsia="en-IE"/>
              </w:rPr>
              <w:t> </w:t>
            </w:r>
          </w:p>
        </w:tc>
        <w:tc>
          <w:tcPr>
            <w:tcW w:w="1684" w:type="dxa"/>
            <w:gridSpan w:val="2"/>
            <w:tcBorders>
              <w:top w:val="nil"/>
              <w:left w:val="nil"/>
              <w:bottom w:val="nil"/>
              <w:right w:val="nil"/>
            </w:tcBorders>
            <w:shd w:val="clear" w:color="000000" w:fill="747474"/>
            <w:noWrap/>
            <w:vAlign w:val="bottom"/>
            <w:hideMark/>
          </w:tcPr>
          <w:p w14:paraId="30048AE9" w14:textId="77777777" w:rsidR="00EB63FC" w:rsidRPr="002D49E3" w:rsidRDefault="00EB63FC" w:rsidP="00EB63FC">
            <w:pPr>
              <w:spacing w:after="0" w:line="240" w:lineRule="auto"/>
              <w:jc w:val="left"/>
              <w:rPr>
                <w:rFonts w:ascii="Arial Narrow" w:hAnsi="Arial Narrow" w:cs="Arial"/>
                <w:b/>
                <w:bCs/>
                <w:noProof/>
                <w:color w:val="FFFFFF"/>
                <w:sz w:val="16"/>
                <w:szCs w:val="16"/>
                <w:lang w:val="en-IE" w:eastAsia="en-IE"/>
              </w:rPr>
            </w:pPr>
            <w:r w:rsidRPr="002D49E3">
              <w:rPr>
                <w:rFonts w:ascii="Arial Narrow" w:hAnsi="Arial Narrow" w:cs="Arial"/>
                <w:b/>
                <w:bCs/>
                <w:noProof/>
                <w:color w:val="FFFFFF"/>
                <w:sz w:val="16"/>
                <w:szCs w:val="16"/>
                <w:lang w:val="en-IE" w:eastAsia="en-IE"/>
              </w:rPr>
              <w:t>Name of the indicator</w:t>
            </w:r>
          </w:p>
        </w:tc>
        <w:tc>
          <w:tcPr>
            <w:tcW w:w="2552" w:type="dxa"/>
            <w:tcBorders>
              <w:top w:val="nil"/>
              <w:left w:val="nil"/>
              <w:bottom w:val="nil"/>
              <w:right w:val="nil"/>
            </w:tcBorders>
            <w:shd w:val="clear" w:color="000000" w:fill="747474"/>
            <w:noWrap/>
            <w:vAlign w:val="bottom"/>
            <w:hideMark/>
          </w:tcPr>
          <w:p w14:paraId="3951E5E3" w14:textId="77777777" w:rsidR="00EB63FC" w:rsidRPr="002D49E3" w:rsidRDefault="00EB63FC" w:rsidP="00EB63FC">
            <w:pPr>
              <w:spacing w:after="0" w:line="240" w:lineRule="auto"/>
              <w:jc w:val="left"/>
              <w:rPr>
                <w:rFonts w:ascii="Arial Narrow" w:hAnsi="Arial Narrow" w:cs="Arial"/>
                <w:b/>
                <w:bCs/>
                <w:noProof/>
                <w:color w:val="FFFFFF"/>
                <w:sz w:val="16"/>
                <w:szCs w:val="16"/>
                <w:lang w:val="en-IE" w:eastAsia="en-IE"/>
              </w:rPr>
            </w:pPr>
            <w:r w:rsidRPr="002D49E3">
              <w:rPr>
                <w:rFonts w:ascii="Arial Narrow" w:hAnsi="Arial Narrow" w:cs="Arial"/>
                <w:b/>
                <w:bCs/>
                <w:noProof/>
                <w:color w:val="FFFFFF"/>
                <w:sz w:val="16"/>
                <w:szCs w:val="16"/>
                <w:lang w:val="en-IE" w:eastAsia="en-IE"/>
              </w:rPr>
              <w:t>Description of the indicator</w:t>
            </w:r>
          </w:p>
        </w:tc>
        <w:tc>
          <w:tcPr>
            <w:tcW w:w="2126" w:type="dxa"/>
            <w:tcBorders>
              <w:top w:val="nil"/>
              <w:left w:val="nil"/>
              <w:bottom w:val="nil"/>
              <w:right w:val="nil"/>
            </w:tcBorders>
            <w:shd w:val="clear" w:color="000000" w:fill="747474"/>
            <w:noWrap/>
            <w:vAlign w:val="bottom"/>
            <w:hideMark/>
          </w:tcPr>
          <w:p w14:paraId="15ECF5C2" w14:textId="77777777" w:rsidR="00EB63FC" w:rsidRPr="002D49E3" w:rsidRDefault="00EB63FC" w:rsidP="00EB63FC">
            <w:pPr>
              <w:spacing w:after="0" w:line="240" w:lineRule="auto"/>
              <w:jc w:val="left"/>
              <w:rPr>
                <w:rFonts w:ascii="Arial Narrow" w:hAnsi="Arial Narrow" w:cs="Arial"/>
                <w:b/>
                <w:bCs/>
                <w:noProof/>
                <w:color w:val="FFFFFF"/>
                <w:sz w:val="16"/>
                <w:szCs w:val="16"/>
                <w:lang w:val="en-IE" w:eastAsia="en-IE"/>
              </w:rPr>
            </w:pPr>
            <w:r w:rsidRPr="002D49E3">
              <w:rPr>
                <w:rFonts w:ascii="Arial Narrow" w:hAnsi="Arial Narrow" w:cs="Arial"/>
                <w:b/>
                <w:bCs/>
                <w:noProof/>
                <w:color w:val="FFFFFF"/>
                <w:sz w:val="16"/>
                <w:szCs w:val="16"/>
                <w:lang w:val="en-IE" w:eastAsia="en-IE"/>
              </w:rPr>
              <w:t>Type of indicator</w:t>
            </w:r>
          </w:p>
        </w:tc>
        <w:tc>
          <w:tcPr>
            <w:tcW w:w="1134" w:type="dxa"/>
            <w:tcBorders>
              <w:top w:val="nil"/>
              <w:left w:val="nil"/>
              <w:bottom w:val="nil"/>
              <w:right w:val="nil"/>
            </w:tcBorders>
            <w:shd w:val="clear" w:color="000000" w:fill="747474"/>
            <w:noWrap/>
            <w:vAlign w:val="bottom"/>
            <w:hideMark/>
          </w:tcPr>
          <w:p w14:paraId="3E9CC11C" w14:textId="77777777" w:rsidR="00EB63FC" w:rsidRPr="002D49E3" w:rsidRDefault="00EB63FC" w:rsidP="00EB63FC">
            <w:pPr>
              <w:spacing w:after="0" w:line="240" w:lineRule="auto"/>
              <w:jc w:val="left"/>
              <w:rPr>
                <w:rFonts w:ascii="Arial Narrow" w:hAnsi="Arial Narrow" w:cs="Arial"/>
                <w:b/>
                <w:bCs/>
                <w:noProof/>
                <w:color w:val="FFFFFF"/>
                <w:sz w:val="16"/>
                <w:szCs w:val="16"/>
                <w:lang w:val="en-IE" w:eastAsia="en-IE"/>
              </w:rPr>
            </w:pPr>
            <w:r w:rsidRPr="002D49E3">
              <w:rPr>
                <w:rFonts w:ascii="Arial Narrow" w:hAnsi="Arial Narrow" w:cs="Arial"/>
                <w:b/>
                <w:bCs/>
                <w:noProof/>
                <w:color w:val="FFFFFF"/>
                <w:sz w:val="16"/>
                <w:szCs w:val="16"/>
                <w:lang w:val="en-IE" w:eastAsia="en-IE"/>
              </w:rPr>
              <w:t>Data source</w:t>
            </w:r>
          </w:p>
        </w:tc>
      </w:tr>
      <w:tr w:rsidR="00EB63FC" w:rsidRPr="00EB63FC" w14:paraId="64540FEC" w14:textId="77777777" w:rsidTr="002D49E3">
        <w:trPr>
          <w:trHeight w:val="855"/>
        </w:trPr>
        <w:tc>
          <w:tcPr>
            <w:tcW w:w="411" w:type="dxa"/>
            <w:vMerge w:val="restart"/>
            <w:tcBorders>
              <w:top w:val="nil"/>
              <w:left w:val="nil"/>
              <w:bottom w:val="nil"/>
              <w:right w:val="nil"/>
            </w:tcBorders>
            <w:shd w:val="clear" w:color="000000" w:fill="215C98"/>
            <w:noWrap/>
            <w:textDirection w:val="btLr"/>
            <w:vAlign w:val="center"/>
            <w:hideMark/>
          </w:tcPr>
          <w:p w14:paraId="5866A2FB" w14:textId="77777777" w:rsidR="00EB63FC" w:rsidRPr="002D49E3" w:rsidRDefault="00EB63FC" w:rsidP="00EB63FC">
            <w:pPr>
              <w:spacing w:after="0" w:line="240" w:lineRule="auto"/>
              <w:jc w:val="center"/>
              <w:rPr>
                <w:rFonts w:ascii="Arial Narrow" w:hAnsi="Arial Narrow" w:cs="Arial"/>
                <w:b/>
                <w:bCs/>
                <w:noProof/>
                <w:color w:val="FFFFFF"/>
                <w:sz w:val="16"/>
                <w:szCs w:val="16"/>
                <w:lang w:val="en-IE" w:eastAsia="en-IE"/>
              </w:rPr>
            </w:pPr>
            <w:r w:rsidRPr="002D49E3">
              <w:rPr>
                <w:rFonts w:ascii="Arial Narrow" w:hAnsi="Arial Narrow" w:cs="Arial"/>
                <w:b/>
                <w:bCs/>
                <w:noProof/>
                <w:color w:val="FFFFFF"/>
                <w:sz w:val="16"/>
                <w:szCs w:val="16"/>
                <w:lang w:val="en-IE" w:eastAsia="en-IE"/>
              </w:rPr>
              <w:t>Detection</w:t>
            </w:r>
          </w:p>
        </w:tc>
        <w:tc>
          <w:tcPr>
            <w:tcW w:w="740" w:type="dxa"/>
            <w:gridSpan w:val="2"/>
            <w:tcBorders>
              <w:top w:val="nil"/>
              <w:left w:val="nil"/>
              <w:bottom w:val="nil"/>
              <w:right w:val="nil"/>
            </w:tcBorders>
            <w:shd w:val="clear" w:color="000000" w:fill="A6C9EC"/>
            <w:noWrap/>
            <w:vAlign w:val="center"/>
            <w:hideMark/>
          </w:tcPr>
          <w:p w14:paraId="74874E8C" w14:textId="77777777" w:rsidR="00EB63FC" w:rsidRPr="002D49E3" w:rsidRDefault="00EB63FC" w:rsidP="00EB63FC">
            <w:pPr>
              <w:spacing w:after="0" w:line="240" w:lineRule="auto"/>
              <w:jc w:val="center"/>
              <w:rPr>
                <w:rFonts w:ascii="Arial Narrow" w:hAnsi="Arial Narrow" w:cs="Arial"/>
                <w:b/>
                <w:bCs/>
                <w:noProof/>
                <w:color w:val="000000"/>
                <w:sz w:val="16"/>
                <w:szCs w:val="16"/>
                <w:lang w:val="en-IE" w:eastAsia="en-IE"/>
              </w:rPr>
            </w:pPr>
            <w:r w:rsidRPr="002D49E3">
              <w:rPr>
                <w:rFonts w:ascii="Arial Narrow" w:hAnsi="Arial Narrow" w:cs="Arial"/>
                <w:b/>
                <w:bCs/>
                <w:noProof/>
                <w:color w:val="000000"/>
                <w:sz w:val="16"/>
                <w:szCs w:val="16"/>
                <w:lang w:val="en-IE" w:eastAsia="en-IE"/>
              </w:rPr>
              <w:t>[B.1]</w:t>
            </w:r>
          </w:p>
        </w:tc>
        <w:tc>
          <w:tcPr>
            <w:tcW w:w="1684" w:type="dxa"/>
            <w:gridSpan w:val="2"/>
            <w:tcBorders>
              <w:top w:val="nil"/>
              <w:left w:val="nil"/>
              <w:bottom w:val="nil"/>
              <w:right w:val="nil"/>
            </w:tcBorders>
            <w:shd w:val="clear" w:color="000000" w:fill="A6C9EC"/>
            <w:vAlign w:val="center"/>
            <w:hideMark/>
          </w:tcPr>
          <w:p w14:paraId="05DD4920" w14:textId="77777777" w:rsidR="00EB63FC" w:rsidRPr="002D49E3" w:rsidRDefault="00EB63FC" w:rsidP="00EB63FC">
            <w:pPr>
              <w:spacing w:after="0" w:line="240" w:lineRule="auto"/>
              <w:jc w:val="left"/>
              <w:rPr>
                <w:rFonts w:ascii="Arial Narrow" w:hAnsi="Arial Narrow" w:cs="Arial"/>
                <w:b/>
                <w:bCs/>
                <w:noProof/>
                <w:color w:val="000000"/>
                <w:sz w:val="16"/>
                <w:szCs w:val="16"/>
                <w:lang w:val="en-IE" w:eastAsia="en-IE"/>
              </w:rPr>
            </w:pPr>
            <w:r w:rsidRPr="002D49E3">
              <w:rPr>
                <w:rFonts w:ascii="Arial Narrow" w:hAnsi="Arial Narrow" w:cs="Arial"/>
                <w:b/>
                <w:bCs/>
                <w:noProof/>
                <w:color w:val="000000"/>
                <w:sz w:val="16"/>
                <w:szCs w:val="16"/>
                <w:lang w:val="en-IE" w:eastAsia="en-IE"/>
              </w:rPr>
              <w:t>Number of cases of irregularities</w:t>
            </w:r>
          </w:p>
        </w:tc>
        <w:tc>
          <w:tcPr>
            <w:tcW w:w="2552" w:type="dxa"/>
            <w:tcBorders>
              <w:top w:val="nil"/>
              <w:left w:val="nil"/>
              <w:bottom w:val="nil"/>
              <w:right w:val="nil"/>
            </w:tcBorders>
            <w:shd w:val="clear" w:color="000000" w:fill="A6C9EC"/>
            <w:vAlign w:val="center"/>
            <w:hideMark/>
          </w:tcPr>
          <w:p w14:paraId="154AF245" w14:textId="4F54A4D7" w:rsidR="00EB63FC" w:rsidRPr="002D49E3" w:rsidRDefault="00EB63FC" w:rsidP="00EB63FC">
            <w:pPr>
              <w:spacing w:after="0" w:line="240" w:lineRule="auto"/>
              <w:jc w:val="left"/>
              <w:rPr>
                <w:rFonts w:ascii="Arial Narrow" w:hAnsi="Arial Narrow" w:cs="Arial"/>
                <w:noProof/>
                <w:color w:val="000000"/>
                <w:sz w:val="16"/>
                <w:szCs w:val="16"/>
                <w:lang w:val="en-IE" w:eastAsia="en-IE"/>
              </w:rPr>
            </w:pPr>
            <w:r w:rsidRPr="002D49E3">
              <w:rPr>
                <w:rFonts w:ascii="Arial Narrow" w:hAnsi="Arial Narrow" w:cs="Arial"/>
                <w:noProof/>
                <w:color w:val="000000"/>
                <w:sz w:val="16"/>
                <w:szCs w:val="16"/>
                <w:lang w:val="en-IE" w:eastAsia="en-IE"/>
              </w:rPr>
              <w:t xml:space="preserve">In a reference period, the number of cases of detected irregularities reported by national authorities </w:t>
            </w:r>
          </w:p>
        </w:tc>
        <w:tc>
          <w:tcPr>
            <w:tcW w:w="2126" w:type="dxa"/>
            <w:tcBorders>
              <w:top w:val="nil"/>
              <w:left w:val="nil"/>
              <w:bottom w:val="nil"/>
              <w:right w:val="nil"/>
            </w:tcBorders>
            <w:shd w:val="clear" w:color="000000" w:fill="A6C9EC"/>
            <w:vAlign w:val="center"/>
            <w:hideMark/>
          </w:tcPr>
          <w:p w14:paraId="773D09E5" w14:textId="77777777" w:rsidR="00EB63FC" w:rsidRPr="002D49E3" w:rsidRDefault="00EB63FC" w:rsidP="00EB63FC">
            <w:pPr>
              <w:spacing w:after="0" w:line="240" w:lineRule="auto"/>
              <w:jc w:val="left"/>
              <w:rPr>
                <w:rFonts w:ascii="Arial Narrow" w:hAnsi="Arial Narrow" w:cs="Arial"/>
                <w:noProof/>
                <w:color w:val="000000"/>
                <w:sz w:val="16"/>
                <w:szCs w:val="16"/>
                <w:lang w:val="en-IE" w:eastAsia="en-IE"/>
              </w:rPr>
            </w:pPr>
            <w:r w:rsidRPr="002D49E3">
              <w:rPr>
                <w:rFonts w:ascii="Arial Narrow" w:hAnsi="Arial Narrow" w:cs="Arial"/>
                <w:noProof/>
                <w:color w:val="000000"/>
                <w:sz w:val="16"/>
                <w:szCs w:val="16"/>
                <w:lang w:val="en-IE" w:eastAsia="en-IE"/>
              </w:rPr>
              <w:t>Annual/Multiannual (specified)</w:t>
            </w:r>
            <w:r w:rsidRPr="002D49E3">
              <w:rPr>
                <w:rFonts w:ascii="Arial Narrow" w:hAnsi="Arial Narrow" w:cs="Arial"/>
                <w:noProof/>
                <w:color w:val="000000"/>
                <w:sz w:val="16"/>
                <w:szCs w:val="16"/>
                <w:lang w:val="en-IE" w:eastAsia="en-IE"/>
              </w:rPr>
              <w:br/>
              <w:t>Sectoral</w:t>
            </w:r>
            <w:r w:rsidRPr="002D49E3">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A6C9EC"/>
            <w:vAlign w:val="center"/>
            <w:hideMark/>
          </w:tcPr>
          <w:p w14:paraId="7BB1854F" w14:textId="77777777" w:rsidR="00EB63FC" w:rsidRPr="002D49E3" w:rsidRDefault="00EB63FC" w:rsidP="00EB63FC">
            <w:pPr>
              <w:spacing w:after="0" w:line="240" w:lineRule="auto"/>
              <w:jc w:val="left"/>
              <w:rPr>
                <w:rFonts w:ascii="Arial Narrow" w:hAnsi="Arial Narrow" w:cs="Arial"/>
                <w:noProof/>
                <w:color w:val="000000"/>
                <w:sz w:val="16"/>
                <w:szCs w:val="16"/>
                <w:lang w:val="en-IE" w:eastAsia="en-IE"/>
              </w:rPr>
            </w:pPr>
            <w:r w:rsidRPr="002D49E3">
              <w:rPr>
                <w:rFonts w:ascii="Arial Narrow" w:hAnsi="Arial Narrow" w:cs="Arial"/>
                <w:noProof/>
                <w:color w:val="000000"/>
                <w:sz w:val="16"/>
                <w:szCs w:val="16"/>
                <w:lang w:val="en-IE" w:eastAsia="en-IE"/>
              </w:rPr>
              <w:t>OWNRES</w:t>
            </w:r>
            <w:r w:rsidRPr="002D49E3">
              <w:rPr>
                <w:rFonts w:ascii="Arial Narrow" w:hAnsi="Arial Narrow" w:cs="Arial"/>
                <w:noProof/>
                <w:color w:val="000000"/>
                <w:sz w:val="16"/>
                <w:szCs w:val="16"/>
                <w:lang w:val="en-IE" w:eastAsia="en-IE"/>
              </w:rPr>
              <w:br/>
              <w:t>IMS</w:t>
            </w:r>
          </w:p>
        </w:tc>
      </w:tr>
      <w:tr w:rsidR="00EB63FC" w:rsidRPr="00EB63FC" w14:paraId="2724551E" w14:textId="77777777" w:rsidTr="002D49E3">
        <w:trPr>
          <w:trHeight w:val="855"/>
        </w:trPr>
        <w:tc>
          <w:tcPr>
            <w:tcW w:w="411" w:type="dxa"/>
            <w:vMerge/>
            <w:tcBorders>
              <w:top w:val="nil"/>
              <w:left w:val="nil"/>
              <w:bottom w:val="nil"/>
              <w:right w:val="nil"/>
            </w:tcBorders>
            <w:vAlign w:val="center"/>
            <w:hideMark/>
          </w:tcPr>
          <w:p w14:paraId="07F3C40E"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DAE9F8"/>
            <w:noWrap/>
            <w:vAlign w:val="center"/>
            <w:hideMark/>
          </w:tcPr>
          <w:p w14:paraId="2DB4EF1B"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[B.2]</w:t>
            </w:r>
          </w:p>
        </w:tc>
        <w:tc>
          <w:tcPr>
            <w:tcW w:w="1684" w:type="dxa"/>
            <w:gridSpan w:val="2"/>
            <w:tcBorders>
              <w:top w:val="nil"/>
              <w:left w:val="nil"/>
              <w:bottom w:val="nil"/>
              <w:right w:val="nil"/>
            </w:tcBorders>
            <w:shd w:val="clear" w:color="000000" w:fill="DAE9F8"/>
            <w:vAlign w:val="center"/>
            <w:hideMark/>
          </w:tcPr>
          <w:p w14:paraId="1145A41F"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Irregular financial amounts</w:t>
            </w:r>
          </w:p>
        </w:tc>
        <w:tc>
          <w:tcPr>
            <w:tcW w:w="2552" w:type="dxa"/>
            <w:tcBorders>
              <w:top w:val="nil"/>
              <w:left w:val="nil"/>
              <w:bottom w:val="nil"/>
              <w:right w:val="nil"/>
            </w:tcBorders>
            <w:shd w:val="clear" w:color="000000" w:fill="DAE9F8"/>
            <w:vAlign w:val="center"/>
            <w:hideMark/>
          </w:tcPr>
          <w:p w14:paraId="37B5ED6A"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In a reference period, the irregular financial amounts related to the cases reported [B.1]</w:t>
            </w:r>
          </w:p>
        </w:tc>
        <w:tc>
          <w:tcPr>
            <w:tcW w:w="2126" w:type="dxa"/>
            <w:tcBorders>
              <w:top w:val="nil"/>
              <w:left w:val="nil"/>
              <w:bottom w:val="nil"/>
              <w:right w:val="nil"/>
            </w:tcBorders>
            <w:shd w:val="clear" w:color="000000" w:fill="DAE9F8"/>
            <w:vAlign w:val="center"/>
            <w:hideMark/>
          </w:tcPr>
          <w:p w14:paraId="5961BF2B"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Annual/Multiannual (specified)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DAE9F8"/>
            <w:vAlign w:val="center"/>
            <w:hideMark/>
          </w:tcPr>
          <w:p w14:paraId="15EFAF4A"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OWNRES</w:t>
            </w:r>
            <w:r w:rsidRPr="00DE241B">
              <w:rPr>
                <w:rFonts w:ascii="Arial Narrow" w:hAnsi="Arial Narrow" w:cs="Arial"/>
                <w:noProof/>
                <w:color w:val="000000"/>
                <w:sz w:val="16"/>
                <w:szCs w:val="16"/>
                <w:lang w:val="en-IE" w:eastAsia="en-IE"/>
              </w:rPr>
              <w:br/>
              <w:t>IMS</w:t>
            </w:r>
          </w:p>
        </w:tc>
      </w:tr>
      <w:tr w:rsidR="00EB63FC" w:rsidRPr="00EB63FC" w14:paraId="78978CD1" w14:textId="77777777" w:rsidTr="002D49E3">
        <w:trPr>
          <w:trHeight w:val="855"/>
        </w:trPr>
        <w:tc>
          <w:tcPr>
            <w:tcW w:w="411" w:type="dxa"/>
            <w:vMerge/>
            <w:tcBorders>
              <w:top w:val="nil"/>
              <w:left w:val="nil"/>
              <w:bottom w:val="nil"/>
              <w:right w:val="nil"/>
            </w:tcBorders>
            <w:vAlign w:val="center"/>
            <w:hideMark/>
          </w:tcPr>
          <w:p w14:paraId="37E23252"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A6C9EC"/>
            <w:noWrap/>
            <w:vAlign w:val="center"/>
            <w:hideMark/>
          </w:tcPr>
          <w:p w14:paraId="7BB14622"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[B.3]</w:t>
            </w:r>
          </w:p>
        </w:tc>
        <w:tc>
          <w:tcPr>
            <w:tcW w:w="1684" w:type="dxa"/>
            <w:gridSpan w:val="2"/>
            <w:tcBorders>
              <w:top w:val="nil"/>
              <w:left w:val="nil"/>
              <w:bottom w:val="nil"/>
              <w:right w:val="nil"/>
            </w:tcBorders>
            <w:shd w:val="clear" w:color="000000" w:fill="A6C9EC"/>
            <w:vAlign w:val="center"/>
            <w:hideMark/>
          </w:tcPr>
          <w:p w14:paraId="5ADC7817"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TDR</w:t>
            </w:r>
          </w:p>
        </w:tc>
        <w:tc>
          <w:tcPr>
            <w:tcW w:w="2552" w:type="dxa"/>
            <w:tcBorders>
              <w:top w:val="nil"/>
              <w:left w:val="nil"/>
              <w:bottom w:val="nil"/>
              <w:right w:val="nil"/>
            </w:tcBorders>
            <w:shd w:val="clear" w:color="000000" w:fill="A6C9EC"/>
            <w:vAlign w:val="center"/>
            <w:hideMark/>
          </w:tcPr>
          <w:p w14:paraId="56F8005E"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b/>
                <w:bCs/>
                <w:noProof/>
                <w:color w:val="000000"/>
                <w:sz w:val="16"/>
                <w:szCs w:val="16"/>
                <w:lang w:val="en-IE" w:eastAsia="en-IE"/>
              </w:rPr>
              <w:t>Total detection rate</w:t>
            </w:r>
            <w:r w:rsidRPr="00DE241B">
              <w:rPr>
                <w:rFonts w:ascii="Arial Narrow" w:hAnsi="Arial Narrow" w:cs="Arial"/>
                <w:noProof/>
                <w:color w:val="000000"/>
                <w:sz w:val="16"/>
                <w:szCs w:val="16"/>
                <w:lang w:val="en-IE" w:eastAsia="en-IE"/>
              </w:rPr>
              <w:t>, calculated dividing indicator [B.2] on total commitment appropriations/payments (specified)</w:t>
            </w:r>
          </w:p>
        </w:tc>
        <w:tc>
          <w:tcPr>
            <w:tcW w:w="2126" w:type="dxa"/>
            <w:tcBorders>
              <w:top w:val="nil"/>
              <w:left w:val="nil"/>
              <w:bottom w:val="nil"/>
              <w:right w:val="nil"/>
            </w:tcBorders>
            <w:shd w:val="clear" w:color="000000" w:fill="A6C9EC"/>
            <w:vAlign w:val="center"/>
            <w:hideMark/>
          </w:tcPr>
          <w:p w14:paraId="0332F337"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Annual/Multiannual (specified)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Total</w:t>
            </w:r>
          </w:p>
        </w:tc>
        <w:tc>
          <w:tcPr>
            <w:tcW w:w="1134" w:type="dxa"/>
            <w:tcBorders>
              <w:top w:val="nil"/>
              <w:left w:val="nil"/>
              <w:bottom w:val="nil"/>
              <w:right w:val="nil"/>
            </w:tcBorders>
            <w:shd w:val="clear" w:color="000000" w:fill="A6C9EC"/>
            <w:vAlign w:val="center"/>
            <w:hideMark/>
          </w:tcPr>
          <w:p w14:paraId="54A92905"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OWNRES</w:t>
            </w:r>
            <w:r w:rsidRPr="00DE241B">
              <w:rPr>
                <w:rFonts w:ascii="Arial Narrow" w:hAnsi="Arial Narrow" w:cs="Arial"/>
                <w:noProof/>
                <w:color w:val="000000"/>
                <w:sz w:val="16"/>
                <w:szCs w:val="16"/>
                <w:lang w:val="en-IE" w:eastAsia="en-IE"/>
              </w:rPr>
              <w:br/>
              <w:t>IMS</w:t>
            </w:r>
          </w:p>
        </w:tc>
      </w:tr>
      <w:tr w:rsidR="00EB63FC" w:rsidRPr="00EB63FC" w14:paraId="3DFB72C7" w14:textId="77777777" w:rsidTr="002D49E3">
        <w:trPr>
          <w:trHeight w:val="870"/>
        </w:trPr>
        <w:tc>
          <w:tcPr>
            <w:tcW w:w="411" w:type="dxa"/>
            <w:vMerge/>
            <w:tcBorders>
              <w:top w:val="nil"/>
              <w:left w:val="nil"/>
              <w:bottom w:val="nil"/>
              <w:right w:val="nil"/>
            </w:tcBorders>
            <w:vAlign w:val="center"/>
            <w:hideMark/>
          </w:tcPr>
          <w:p w14:paraId="69022343"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DAE9F8"/>
            <w:noWrap/>
            <w:vAlign w:val="center"/>
            <w:hideMark/>
          </w:tcPr>
          <w:p w14:paraId="120FAC91"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[B.4]</w:t>
            </w:r>
          </w:p>
        </w:tc>
        <w:tc>
          <w:tcPr>
            <w:tcW w:w="1684" w:type="dxa"/>
            <w:gridSpan w:val="2"/>
            <w:tcBorders>
              <w:top w:val="nil"/>
              <w:left w:val="nil"/>
              <w:bottom w:val="nil"/>
              <w:right w:val="nil"/>
            </w:tcBorders>
            <w:shd w:val="clear" w:color="000000" w:fill="DAE9F8"/>
            <w:vAlign w:val="center"/>
            <w:hideMark/>
          </w:tcPr>
          <w:p w14:paraId="7E5BE760"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FDR</w:t>
            </w:r>
          </w:p>
        </w:tc>
        <w:tc>
          <w:tcPr>
            <w:tcW w:w="2552" w:type="dxa"/>
            <w:tcBorders>
              <w:top w:val="nil"/>
              <w:left w:val="nil"/>
              <w:bottom w:val="nil"/>
              <w:right w:val="nil"/>
            </w:tcBorders>
            <w:shd w:val="clear" w:color="000000" w:fill="DAE9F8"/>
            <w:vAlign w:val="center"/>
            <w:hideMark/>
          </w:tcPr>
          <w:p w14:paraId="26C850A0"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b/>
                <w:bCs/>
                <w:noProof/>
                <w:color w:val="000000"/>
                <w:sz w:val="16"/>
                <w:szCs w:val="16"/>
                <w:lang w:val="en-IE" w:eastAsia="en-IE"/>
              </w:rPr>
              <w:t>Fraud detection rate</w:t>
            </w:r>
            <w:r w:rsidRPr="00DE241B">
              <w:rPr>
                <w:rFonts w:ascii="Arial Narrow" w:hAnsi="Arial Narrow" w:cs="Arial"/>
                <w:noProof/>
                <w:color w:val="000000"/>
                <w:sz w:val="16"/>
                <w:szCs w:val="16"/>
                <w:lang w:val="en-IE" w:eastAsia="en-IE"/>
              </w:rPr>
              <w:t>, calculated dividing indicator [B.2] (referred exclusively to fraudulent irregularities) on total commitment appropriations/payments (specified)</w:t>
            </w:r>
          </w:p>
        </w:tc>
        <w:tc>
          <w:tcPr>
            <w:tcW w:w="2126" w:type="dxa"/>
            <w:tcBorders>
              <w:top w:val="nil"/>
              <w:left w:val="nil"/>
              <w:bottom w:val="nil"/>
              <w:right w:val="nil"/>
            </w:tcBorders>
            <w:shd w:val="clear" w:color="000000" w:fill="DAE9F8"/>
            <w:vAlign w:val="center"/>
            <w:hideMark/>
          </w:tcPr>
          <w:p w14:paraId="6DC9E29D"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Annual/Multiannual (specified)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DAE9F8"/>
            <w:vAlign w:val="center"/>
            <w:hideMark/>
          </w:tcPr>
          <w:p w14:paraId="75078EBA"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OWNRES</w:t>
            </w:r>
            <w:r w:rsidRPr="00DE241B">
              <w:rPr>
                <w:rFonts w:ascii="Arial Narrow" w:hAnsi="Arial Narrow" w:cs="Arial"/>
                <w:noProof/>
                <w:color w:val="000000"/>
                <w:sz w:val="16"/>
                <w:szCs w:val="16"/>
                <w:lang w:val="en-IE" w:eastAsia="en-IE"/>
              </w:rPr>
              <w:br/>
              <w:t>IMS</w:t>
            </w:r>
          </w:p>
        </w:tc>
      </w:tr>
      <w:tr w:rsidR="00EB63FC" w:rsidRPr="00EB63FC" w14:paraId="6FCC5A9D" w14:textId="77777777" w:rsidTr="002D49E3">
        <w:trPr>
          <w:trHeight w:val="870"/>
        </w:trPr>
        <w:tc>
          <w:tcPr>
            <w:tcW w:w="411" w:type="dxa"/>
            <w:vMerge/>
            <w:tcBorders>
              <w:top w:val="nil"/>
              <w:left w:val="nil"/>
              <w:bottom w:val="nil"/>
              <w:right w:val="nil"/>
            </w:tcBorders>
            <w:vAlign w:val="center"/>
            <w:hideMark/>
          </w:tcPr>
          <w:p w14:paraId="726F03D9"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A6C9EC"/>
            <w:noWrap/>
            <w:vAlign w:val="center"/>
            <w:hideMark/>
          </w:tcPr>
          <w:p w14:paraId="27F38795"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[B.5]</w:t>
            </w:r>
          </w:p>
        </w:tc>
        <w:tc>
          <w:tcPr>
            <w:tcW w:w="1684" w:type="dxa"/>
            <w:gridSpan w:val="2"/>
            <w:tcBorders>
              <w:top w:val="nil"/>
              <w:left w:val="nil"/>
              <w:bottom w:val="nil"/>
              <w:right w:val="nil"/>
            </w:tcBorders>
            <w:shd w:val="clear" w:color="000000" w:fill="A6C9EC"/>
            <w:vAlign w:val="center"/>
            <w:hideMark/>
          </w:tcPr>
          <w:p w14:paraId="44A51A66"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IDR</w:t>
            </w:r>
          </w:p>
        </w:tc>
        <w:tc>
          <w:tcPr>
            <w:tcW w:w="2552" w:type="dxa"/>
            <w:tcBorders>
              <w:top w:val="nil"/>
              <w:left w:val="nil"/>
              <w:bottom w:val="nil"/>
              <w:right w:val="nil"/>
            </w:tcBorders>
            <w:shd w:val="clear" w:color="000000" w:fill="A6C9EC"/>
            <w:vAlign w:val="center"/>
            <w:hideMark/>
          </w:tcPr>
          <w:p w14:paraId="0CF28889"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b/>
                <w:bCs/>
                <w:noProof/>
                <w:color w:val="000000"/>
                <w:sz w:val="16"/>
                <w:szCs w:val="16"/>
                <w:lang w:val="en-IE" w:eastAsia="en-IE"/>
              </w:rPr>
              <w:t>Irregularity detection rate</w:t>
            </w:r>
            <w:r w:rsidRPr="00DE241B">
              <w:rPr>
                <w:rFonts w:ascii="Arial Narrow" w:hAnsi="Arial Narrow" w:cs="Arial"/>
                <w:noProof/>
                <w:color w:val="000000"/>
                <w:sz w:val="16"/>
                <w:szCs w:val="16"/>
                <w:lang w:val="en-IE" w:eastAsia="en-IE"/>
              </w:rPr>
              <w:t>, calculated dividing indicator [B.2] (referred exclusively to non-fraudulent irregularities) on total commitment appropriations/payments (specified)</w:t>
            </w:r>
          </w:p>
        </w:tc>
        <w:tc>
          <w:tcPr>
            <w:tcW w:w="2126" w:type="dxa"/>
            <w:tcBorders>
              <w:top w:val="nil"/>
              <w:left w:val="nil"/>
              <w:bottom w:val="nil"/>
              <w:right w:val="nil"/>
            </w:tcBorders>
            <w:shd w:val="clear" w:color="000000" w:fill="A6C9EC"/>
            <w:vAlign w:val="center"/>
            <w:hideMark/>
          </w:tcPr>
          <w:p w14:paraId="4F6C9C34"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Annual/Multiannual (specified)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Non-fraudulent</w:t>
            </w:r>
          </w:p>
        </w:tc>
        <w:tc>
          <w:tcPr>
            <w:tcW w:w="1134" w:type="dxa"/>
            <w:tcBorders>
              <w:top w:val="nil"/>
              <w:left w:val="nil"/>
              <w:bottom w:val="nil"/>
              <w:right w:val="nil"/>
            </w:tcBorders>
            <w:shd w:val="clear" w:color="000000" w:fill="A6C9EC"/>
            <w:vAlign w:val="center"/>
            <w:hideMark/>
          </w:tcPr>
          <w:p w14:paraId="14B145B8"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OWNRES</w:t>
            </w:r>
            <w:r w:rsidRPr="00DE241B">
              <w:rPr>
                <w:rFonts w:ascii="Arial Narrow" w:hAnsi="Arial Narrow" w:cs="Arial"/>
                <w:noProof/>
                <w:color w:val="000000"/>
                <w:sz w:val="16"/>
                <w:szCs w:val="16"/>
                <w:lang w:val="en-IE" w:eastAsia="en-IE"/>
              </w:rPr>
              <w:br/>
              <w:t>IMS</w:t>
            </w:r>
          </w:p>
        </w:tc>
      </w:tr>
      <w:tr w:rsidR="00EB63FC" w:rsidRPr="00EB63FC" w14:paraId="5723E390" w14:textId="77777777" w:rsidTr="002D49E3">
        <w:trPr>
          <w:trHeight w:val="870"/>
        </w:trPr>
        <w:tc>
          <w:tcPr>
            <w:tcW w:w="411" w:type="dxa"/>
            <w:vMerge/>
            <w:tcBorders>
              <w:top w:val="nil"/>
              <w:left w:val="nil"/>
              <w:bottom w:val="nil"/>
              <w:right w:val="nil"/>
            </w:tcBorders>
            <w:vAlign w:val="center"/>
            <w:hideMark/>
          </w:tcPr>
          <w:p w14:paraId="0DBD30C6"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DAE9F8"/>
            <w:noWrap/>
            <w:vAlign w:val="center"/>
            <w:hideMark/>
          </w:tcPr>
          <w:p w14:paraId="2E04D999"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[B.6]</w:t>
            </w:r>
          </w:p>
        </w:tc>
        <w:tc>
          <w:tcPr>
            <w:tcW w:w="1684" w:type="dxa"/>
            <w:gridSpan w:val="2"/>
            <w:tcBorders>
              <w:top w:val="nil"/>
              <w:left w:val="nil"/>
              <w:bottom w:val="nil"/>
              <w:right w:val="nil"/>
            </w:tcBorders>
            <w:shd w:val="clear" w:color="000000" w:fill="DAE9F8"/>
            <w:vAlign w:val="center"/>
            <w:hideMark/>
          </w:tcPr>
          <w:p w14:paraId="0B1C88DE"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FFL</w:t>
            </w:r>
          </w:p>
        </w:tc>
        <w:tc>
          <w:tcPr>
            <w:tcW w:w="2552" w:type="dxa"/>
            <w:tcBorders>
              <w:top w:val="nil"/>
              <w:left w:val="nil"/>
              <w:bottom w:val="nil"/>
              <w:right w:val="nil"/>
            </w:tcBorders>
            <w:shd w:val="clear" w:color="000000" w:fill="DAE9F8"/>
            <w:vAlign w:val="center"/>
            <w:hideMark/>
          </w:tcPr>
          <w:p w14:paraId="60BB6EA9"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b/>
                <w:bCs/>
                <w:noProof/>
                <w:color w:val="000000"/>
                <w:sz w:val="16"/>
                <w:szCs w:val="16"/>
                <w:lang w:val="en-IE" w:eastAsia="en-IE"/>
              </w:rPr>
              <w:t>Fraud frequency level</w:t>
            </w:r>
            <w:r w:rsidRPr="00DE241B">
              <w:rPr>
                <w:rFonts w:ascii="Arial Narrow" w:hAnsi="Arial Narrow" w:cs="Arial"/>
                <w:noProof/>
                <w:color w:val="000000"/>
                <w:sz w:val="16"/>
                <w:szCs w:val="16"/>
                <w:lang w:val="en-IE" w:eastAsia="en-IE"/>
              </w:rPr>
              <w:t>, calculated dividing the number of fraudulent irregularities on the total number of reported irregularities [B.1]</w:t>
            </w:r>
          </w:p>
        </w:tc>
        <w:tc>
          <w:tcPr>
            <w:tcW w:w="2126" w:type="dxa"/>
            <w:tcBorders>
              <w:top w:val="nil"/>
              <w:left w:val="nil"/>
              <w:bottom w:val="nil"/>
              <w:right w:val="nil"/>
            </w:tcBorders>
            <w:shd w:val="clear" w:color="000000" w:fill="DAE9F8"/>
            <w:vAlign w:val="center"/>
            <w:hideMark/>
          </w:tcPr>
          <w:p w14:paraId="11912436"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Annual/Multiannual (specified)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DAE9F8"/>
            <w:vAlign w:val="center"/>
            <w:hideMark/>
          </w:tcPr>
          <w:p w14:paraId="0826E4CB"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OWNRES</w:t>
            </w:r>
            <w:r w:rsidRPr="00DE241B">
              <w:rPr>
                <w:rFonts w:ascii="Arial Narrow" w:hAnsi="Arial Narrow" w:cs="Arial"/>
                <w:noProof/>
                <w:color w:val="000000"/>
                <w:sz w:val="16"/>
                <w:szCs w:val="16"/>
                <w:lang w:val="en-IE" w:eastAsia="en-IE"/>
              </w:rPr>
              <w:br/>
              <w:t>IMS</w:t>
            </w:r>
          </w:p>
        </w:tc>
      </w:tr>
      <w:tr w:rsidR="00EB63FC" w:rsidRPr="00EB63FC" w14:paraId="0DA58B28" w14:textId="77777777" w:rsidTr="002D49E3">
        <w:trPr>
          <w:trHeight w:val="870"/>
        </w:trPr>
        <w:tc>
          <w:tcPr>
            <w:tcW w:w="411" w:type="dxa"/>
            <w:vMerge/>
            <w:tcBorders>
              <w:top w:val="nil"/>
              <w:left w:val="nil"/>
              <w:bottom w:val="nil"/>
              <w:right w:val="nil"/>
            </w:tcBorders>
            <w:vAlign w:val="center"/>
            <w:hideMark/>
          </w:tcPr>
          <w:p w14:paraId="16DDDE69"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A6C9EC"/>
            <w:noWrap/>
            <w:vAlign w:val="center"/>
            <w:hideMark/>
          </w:tcPr>
          <w:p w14:paraId="58AA267A"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[B.7]</w:t>
            </w:r>
          </w:p>
        </w:tc>
        <w:tc>
          <w:tcPr>
            <w:tcW w:w="1684" w:type="dxa"/>
            <w:gridSpan w:val="2"/>
            <w:tcBorders>
              <w:top w:val="nil"/>
              <w:left w:val="nil"/>
              <w:bottom w:val="nil"/>
              <w:right w:val="nil"/>
            </w:tcBorders>
            <w:shd w:val="clear" w:color="000000" w:fill="A6C9EC"/>
            <w:vAlign w:val="center"/>
            <w:hideMark/>
          </w:tcPr>
          <w:p w14:paraId="12930957"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FAL</w:t>
            </w:r>
          </w:p>
        </w:tc>
        <w:tc>
          <w:tcPr>
            <w:tcW w:w="2552" w:type="dxa"/>
            <w:tcBorders>
              <w:top w:val="nil"/>
              <w:left w:val="nil"/>
              <w:bottom w:val="nil"/>
              <w:right w:val="nil"/>
            </w:tcBorders>
            <w:shd w:val="clear" w:color="000000" w:fill="A6C9EC"/>
            <w:vAlign w:val="center"/>
            <w:hideMark/>
          </w:tcPr>
          <w:p w14:paraId="2DD9FB1D"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b/>
                <w:bCs/>
                <w:noProof/>
                <w:color w:val="000000"/>
                <w:sz w:val="16"/>
                <w:szCs w:val="16"/>
                <w:lang w:val="en-IE" w:eastAsia="en-IE"/>
              </w:rPr>
              <w:t>Fraud amount level</w:t>
            </w:r>
            <w:r w:rsidRPr="00DE241B">
              <w:rPr>
                <w:rFonts w:ascii="Arial Narrow" w:hAnsi="Arial Narrow" w:cs="Arial"/>
                <w:noProof/>
                <w:color w:val="000000"/>
                <w:sz w:val="16"/>
                <w:szCs w:val="16"/>
                <w:lang w:val="en-IE" w:eastAsia="en-IE"/>
              </w:rPr>
              <w:t>, calculated dividing the financial amounts linked to fraudulent irregularities on the total irregular financial amounts [B.2]</w:t>
            </w:r>
          </w:p>
        </w:tc>
        <w:tc>
          <w:tcPr>
            <w:tcW w:w="2126" w:type="dxa"/>
            <w:tcBorders>
              <w:top w:val="nil"/>
              <w:left w:val="nil"/>
              <w:bottom w:val="nil"/>
              <w:right w:val="nil"/>
            </w:tcBorders>
            <w:shd w:val="clear" w:color="000000" w:fill="A6C9EC"/>
            <w:vAlign w:val="center"/>
            <w:hideMark/>
          </w:tcPr>
          <w:p w14:paraId="1E835D55"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Annual/Multiannual (specified)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A6C9EC"/>
            <w:vAlign w:val="center"/>
            <w:hideMark/>
          </w:tcPr>
          <w:p w14:paraId="30A03888"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OWNRES</w:t>
            </w:r>
            <w:r w:rsidRPr="00DE241B">
              <w:rPr>
                <w:rFonts w:ascii="Arial Narrow" w:hAnsi="Arial Narrow" w:cs="Arial"/>
                <w:noProof/>
                <w:color w:val="000000"/>
                <w:sz w:val="16"/>
                <w:szCs w:val="16"/>
                <w:lang w:val="en-IE" w:eastAsia="en-IE"/>
              </w:rPr>
              <w:br/>
              <w:t>IMS</w:t>
            </w:r>
          </w:p>
        </w:tc>
      </w:tr>
      <w:tr w:rsidR="00EB63FC" w:rsidRPr="00EB63FC" w14:paraId="1CD8BEE2" w14:textId="77777777" w:rsidTr="002D49E3">
        <w:trPr>
          <w:trHeight w:val="600"/>
        </w:trPr>
        <w:tc>
          <w:tcPr>
            <w:tcW w:w="411" w:type="dxa"/>
            <w:vMerge/>
            <w:tcBorders>
              <w:top w:val="nil"/>
              <w:left w:val="nil"/>
              <w:bottom w:val="nil"/>
              <w:right w:val="nil"/>
            </w:tcBorders>
            <w:vAlign w:val="center"/>
            <w:hideMark/>
          </w:tcPr>
          <w:p w14:paraId="22D83787"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DAE9F8"/>
            <w:noWrap/>
            <w:vAlign w:val="center"/>
            <w:hideMark/>
          </w:tcPr>
          <w:p w14:paraId="5BD70025"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[B.8]</w:t>
            </w:r>
          </w:p>
        </w:tc>
        <w:tc>
          <w:tcPr>
            <w:tcW w:w="1684" w:type="dxa"/>
            <w:gridSpan w:val="2"/>
            <w:tcBorders>
              <w:top w:val="nil"/>
              <w:left w:val="nil"/>
              <w:bottom w:val="nil"/>
              <w:right w:val="nil"/>
            </w:tcBorders>
            <w:shd w:val="clear" w:color="000000" w:fill="DAE9F8"/>
            <w:vAlign w:val="center"/>
            <w:hideMark/>
          </w:tcPr>
          <w:p w14:paraId="622D7DEE"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investigations opened</w:t>
            </w:r>
          </w:p>
        </w:tc>
        <w:tc>
          <w:tcPr>
            <w:tcW w:w="2552" w:type="dxa"/>
            <w:tcBorders>
              <w:top w:val="nil"/>
              <w:left w:val="nil"/>
              <w:bottom w:val="nil"/>
              <w:right w:val="nil"/>
            </w:tcBorders>
            <w:shd w:val="clear" w:color="000000" w:fill="DAE9F8"/>
            <w:vAlign w:val="center"/>
            <w:hideMark/>
          </w:tcPr>
          <w:p w14:paraId="06450249"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investigations opened in the reporting year by budgetary sector</w:t>
            </w:r>
          </w:p>
        </w:tc>
        <w:tc>
          <w:tcPr>
            <w:tcW w:w="2126" w:type="dxa"/>
            <w:tcBorders>
              <w:top w:val="nil"/>
              <w:left w:val="nil"/>
              <w:bottom w:val="nil"/>
              <w:right w:val="nil"/>
            </w:tcBorders>
            <w:shd w:val="clear" w:color="000000" w:fill="DAE9F8"/>
            <w:vAlign w:val="center"/>
            <w:hideMark/>
          </w:tcPr>
          <w:p w14:paraId="2075506F"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r w:rsidRPr="00DE241B">
              <w:rPr>
                <w:rFonts w:ascii="Arial Narrow" w:hAnsi="Arial Narrow" w:cs="Arial"/>
                <w:noProof/>
                <w:color w:val="000000"/>
                <w:sz w:val="16"/>
                <w:szCs w:val="16"/>
                <w:lang w:val="en-IE" w:eastAsia="en-IE"/>
              </w:rPr>
              <w:br/>
              <w:t>Sectoral</w:t>
            </w:r>
          </w:p>
        </w:tc>
        <w:tc>
          <w:tcPr>
            <w:tcW w:w="1134" w:type="dxa"/>
            <w:tcBorders>
              <w:top w:val="nil"/>
              <w:left w:val="nil"/>
              <w:bottom w:val="nil"/>
              <w:right w:val="nil"/>
            </w:tcBorders>
            <w:shd w:val="clear" w:color="000000" w:fill="DAE9F8"/>
            <w:vAlign w:val="center"/>
            <w:hideMark/>
          </w:tcPr>
          <w:p w14:paraId="4F9B88B7"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w:t>
            </w:r>
            <w:r w:rsidRPr="00DE241B">
              <w:rPr>
                <w:rFonts w:ascii="Arial Narrow" w:hAnsi="Arial Narrow" w:cs="Arial"/>
                <w:noProof/>
                <w:color w:val="000000"/>
                <w:sz w:val="16"/>
                <w:szCs w:val="16"/>
                <w:lang w:val="en-IE" w:eastAsia="en-IE"/>
              </w:rPr>
              <w:br/>
              <w:t>EPPO</w:t>
            </w:r>
          </w:p>
        </w:tc>
      </w:tr>
      <w:tr w:rsidR="00EB63FC" w:rsidRPr="00EB63FC" w14:paraId="2D0A104A" w14:textId="77777777" w:rsidTr="002D49E3">
        <w:trPr>
          <w:trHeight w:val="900"/>
        </w:trPr>
        <w:tc>
          <w:tcPr>
            <w:tcW w:w="411" w:type="dxa"/>
            <w:vMerge/>
            <w:tcBorders>
              <w:top w:val="nil"/>
              <w:left w:val="nil"/>
              <w:bottom w:val="nil"/>
              <w:right w:val="nil"/>
            </w:tcBorders>
            <w:vAlign w:val="center"/>
            <w:hideMark/>
          </w:tcPr>
          <w:p w14:paraId="421F94E1" w14:textId="77777777" w:rsidR="00EB63FC" w:rsidRPr="00DE241B" w:rsidRDefault="00EB63FC" w:rsidP="00EB63FC">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A6C9EC"/>
            <w:noWrap/>
            <w:vAlign w:val="center"/>
            <w:hideMark/>
          </w:tcPr>
          <w:p w14:paraId="509F5F18" w14:textId="77777777" w:rsidR="00EB63FC" w:rsidRPr="00DE241B" w:rsidRDefault="00EB63FC" w:rsidP="00EB63FC">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[B.9]</w:t>
            </w:r>
          </w:p>
        </w:tc>
        <w:tc>
          <w:tcPr>
            <w:tcW w:w="1684" w:type="dxa"/>
            <w:gridSpan w:val="2"/>
            <w:tcBorders>
              <w:top w:val="nil"/>
              <w:left w:val="nil"/>
              <w:bottom w:val="nil"/>
              <w:right w:val="nil"/>
            </w:tcBorders>
            <w:shd w:val="clear" w:color="000000" w:fill="A6C9EC"/>
            <w:vAlign w:val="center"/>
            <w:hideMark/>
          </w:tcPr>
          <w:p w14:paraId="0D0FF004" w14:textId="77777777" w:rsidR="00EB63FC" w:rsidRPr="00DE241B" w:rsidRDefault="00EB63FC" w:rsidP="00EB63FC">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Source of information leading to opening investigations</w:t>
            </w:r>
          </w:p>
        </w:tc>
        <w:tc>
          <w:tcPr>
            <w:tcW w:w="2552" w:type="dxa"/>
            <w:tcBorders>
              <w:top w:val="nil"/>
              <w:left w:val="nil"/>
              <w:bottom w:val="nil"/>
              <w:right w:val="nil"/>
            </w:tcBorders>
            <w:shd w:val="clear" w:color="000000" w:fill="A6C9EC"/>
            <w:vAlign w:val="center"/>
            <w:hideMark/>
          </w:tcPr>
          <w:p w14:paraId="37778A31"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investigations opened in the reporting year by type of source of information</w:t>
            </w:r>
          </w:p>
        </w:tc>
        <w:tc>
          <w:tcPr>
            <w:tcW w:w="2126" w:type="dxa"/>
            <w:tcBorders>
              <w:top w:val="nil"/>
              <w:left w:val="nil"/>
              <w:bottom w:val="nil"/>
              <w:right w:val="nil"/>
            </w:tcBorders>
            <w:shd w:val="clear" w:color="000000" w:fill="A6C9EC"/>
            <w:vAlign w:val="center"/>
            <w:hideMark/>
          </w:tcPr>
          <w:p w14:paraId="7FFD513D"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p>
        </w:tc>
        <w:tc>
          <w:tcPr>
            <w:tcW w:w="1134" w:type="dxa"/>
            <w:tcBorders>
              <w:top w:val="nil"/>
              <w:left w:val="nil"/>
              <w:bottom w:val="nil"/>
              <w:right w:val="nil"/>
            </w:tcBorders>
            <w:shd w:val="clear" w:color="000000" w:fill="A6C9EC"/>
            <w:vAlign w:val="center"/>
            <w:hideMark/>
          </w:tcPr>
          <w:p w14:paraId="34229064" w14:textId="77777777" w:rsidR="00EB63FC" w:rsidRPr="00DE241B" w:rsidRDefault="00EB63FC" w:rsidP="00EB63FC">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w:t>
            </w:r>
            <w:r w:rsidRPr="00DE241B">
              <w:rPr>
                <w:rFonts w:ascii="Arial Narrow" w:hAnsi="Arial Narrow" w:cs="Arial"/>
                <w:noProof/>
                <w:color w:val="000000"/>
                <w:sz w:val="16"/>
                <w:szCs w:val="16"/>
                <w:lang w:val="en-IE" w:eastAsia="en-IE"/>
              </w:rPr>
              <w:br/>
              <w:t>EPPO</w:t>
            </w:r>
          </w:p>
        </w:tc>
      </w:tr>
      <w:tr w:rsidR="00321A8F" w:rsidRPr="00321A8F" w14:paraId="7A990D55" w14:textId="77777777" w:rsidTr="00321A8F">
        <w:trPr>
          <w:trHeight w:val="315"/>
        </w:trPr>
        <w:tc>
          <w:tcPr>
            <w:tcW w:w="411" w:type="dxa"/>
            <w:tcBorders>
              <w:top w:val="nil"/>
              <w:left w:val="nil"/>
              <w:bottom w:val="nil"/>
              <w:right w:val="nil"/>
            </w:tcBorders>
            <w:shd w:val="clear" w:color="000000" w:fill="747474"/>
            <w:noWrap/>
            <w:vAlign w:val="bottom"/>
            <w:hideMark/>
          </w:tcPr>
          <w:p w14:paraId="4D0E7533" w14:textId="77777777" w:rsidR="00321A8F" w:rsidRPr="00321A8F" w:rsidRDefault="00321A8F" w:rsidP="00321A8F">
            <w:pPr>
              <w:spacing w:after="0" w:line="240" w:lineRule="auto"/>
              <w:jc w:val="left"/>
              <w:rPr>
                <w:rFonts w:ascii="Arial Narrow" w:hAnsi="Arial Narrow" w:cs="Arial"/>
                <w:b/>
                <w:bCs/>
                <w:noProof/>
                <w:color w:val="FFFFFF"/>
                <w:sz w:val="16"/>
                <w:szCs w:val="16"/>
                <w:lang w:val="en-IE" w:eastAsia="en-IE"/>
              </w:rPr>
            </w:pPr>
            <w:r w:rsidRPr="00321A8F">
              <w:rPr>
                <w:rFonts w:ascii="Arial Narrow" w:hAnsi="Arial Narrow" w:cs="Arial"/>
                <w:b/>
                <w:bCs/>
                <w:noProof/>
                <w:color w:val="FFFFFF"/>
                <w:sz w:val="16"/>
                <w:szCs w:val="16"/>
                <w:lang w:val="en-IE" w:eastAsia="en-IE"/>
              </w:rPr>
              <w:t> </w:t>
            </w:r>
          </w:p>
        </w:tc>
        <w:tc>
          <w:tcPr>
            <w:tcW w:w="740" w:type="dxa"/>
            <w:gridSpan w:val="2"/>
            <w:tcBorders>
              <w:top w:val="nil"/>
              <w:left w:val="nil"/>
              <w:bottom w:val="nil"/>
              <w:right w:val="nil"/>
            </w:tcBorders>
            <w:shd w:val="clear" w:color="000000" w:fill="747474"/>
            <w:noWrap/>
            <w:vAlign w:val="bottom"/>
            <w:hideMark/>
          </w:tcPr>
          <w:p w14:paraId="3EB2F181" w14:textId="77777777" w:rsidR="00321A8F" w:rsidRPr="00321A8F" w:rsidRDefault="00321A8F" w:rsidP="00321A8F">
            <w:pPr>
              <w:spacing w:after="0" w:line="240" w:lineRule="auto"/>
              <w:jc w:val="left"/>
              <w:rPr>
                <w:rFonts w:ascii="Arial Narrow" w:hAnsi="Arial Narrow" w:cs="Arial"/>
                <w:b/>
                <w:bCs/>
                <w:noProof/>
                <w:color w:val="FFFFFF"/>
                <w:sz w:val="16"/>
                <w:szCs w:val="16"/>
                <w:lang w:val="en-IE" w:eastAsia="en-IE"/>
              </w:rPr>
            </w:pPr>
            <w:r w:rsidRPr="00321A8F">
              <w:rPr>
                <w:rFonts w:ascii="Arial Narrow" w:hAnsi="Arial Narrow" w:cs="Arial"/>
                <w:b/>
                <w:bCs/>
                <w:noProof/>
                <w:color w:val="FFFFFF"/>
                <w:sz w:val="16"/>
                <w:szCs w:val="16"/>
                <w:lang w:val="en-IE" w:eastAsia="en-IE"/>
              </w:rPr>
              <w:t> </w:t>
            </w:r>
          </w:p>
        </w:tc>
        <w:tc>
          <w:tcPr>
            <w:tcW w:w="1684" w:type="dxa"/>
            <w:gridSpan w:val="2"/>
            <w:tcBorders>
              <w:top w:val="nil"/>
              <w:left w:val="nil"/>
              <w:bottom w:val="nil"/>
              <w:right w:val="nil"/>
            </w:tcBorders>
            <w:shd w:val="clear" w:color="000000" w:fill="747474"/>
            <w:noWrap/>
            <w:vAlign w:val="bottom"/>
            <w:hideMark/>
          </w:tcPr>
          <w:p w14:paraId="71E7C2BE" w14:textId="77777777" w:rsidR="00321A8F" w:rsidRPr="00321A8F" w:rsidRDefault="00321A8F" w:rsidP="00321A8F">
            <w:pPr>
              <w:spacing w:after="0" w:line="240" w:lineRule="auto"/>
              <w:jc w:val="left"/>
              <w:rPr>
                <w:rFonts w:ascii="Arial Narrow" w:hAnsi="Arial Narrow" w:cs="Arial"/>
                <w:b/>
                <w:bCs/>
                <w:noProof/>
                <w:color w:val="FFFFFF"/>
                <w:sz w:val="16"/>
                <w:szCs w:val="16"/>
                <w:lang w:val="en-IE" w:eastAsia="en-IE"/>
              </w:rPr>
            </w:pPr>
            <w:r w:rsidRPr="00321A8F">
              <w:rPr>
                <w:rFonts w:ascii="Arial Narrow" w:hAnsi="Arial Narrow" w:cs="Arial"/>
                <w:b/>
                <w:bCs/>
                <w:noProof/>
                <w:color w:val="FFFFFF"/>
                <w:sz w:val="16"/>
                <w:szCs w:val="16"/>
                <w:lang w:val="en-IE" w:eastAsia="en-IE"/>
              </w:rPr>
              <w:t>Name of the indicator</w:t>
            </w:r>
          </w:p>
        </w:tc>
        <w:tc>
          <w:tcPr>
            <w:tcW w:w="2552" w:type="dxa"/>
            <w:tcBorders>
              <w:top w:val="nil"/>
              <w:left w:val="nil"/>
              <w:bottom w:val="nil"/>
              <w:right w:val="nil"/>
            </w:tcBorders>
            <w:shd w:val="clear" w:color="000000" w:fill="747474"/>
            <w:noWrap/>
            <w:vAlign w:val="bottom"/>
            <w:hideMark/>
          </w:tcPr>
          <w:p w14:paraId="6326EDE7" w14:textId="77777777" w:rsidR="00321A8F" w:rsidRPr="00321A8F" w:rsidRDefault="00321A8F" w:rsidP="00321A8F">
            <w:pPr>
              <w:spacing w:after="0" w:line="240" w:lineRule="auto"/>
              <w:jc w:val="left"/>
              <w:rPr>
                <w:rFonts w:ascii="Arial Narrow" w:hAnsi="Arial Narrow" w:cs="Arial"/>
                <w:b/>
                <w:bCs/>
                <w:noProof/>
                <w:color w:val="FFFFFF"/>
                <w:sz w:val="16"/>
                <w:szCs w:val="16"/>
                <w:lang w:val="en-IE" w:eastAsia="en-IE"/>
              </w:rPr>
            </w:pPr>
            <w:r w:rsidRPr="00321A8F">
              <w:rPr>
                <w:rFonts w:ascii="Arial Narrow" w:hAnsi="Arial Narrow" w:cs="Arial"/>
                <w:b/>
                <w:bCs/>
                <w:noProof/>
                <w:color w:val="FFFFFF"/>
                <w:sz w:val="16"/>
                <w:szCs w:val="16"/>
                <w:lang w:val="en-IE" w:eastAsia="en-IE"/>
              </w:rPr>
              <w:t>Description of the indicator</w:t>
            </w:r>
          </w:p>
        </w:tc>
        <w:tc>
          <w:tcPr>
            <w:tcW w:w="2126" w:type="dxa"/>
            <w:tcBorders>
              <w:top w:val="nil"/>
              <w:left w:val="nil"/>
              <w:bottom w:val="nil"/>
              <w:right w:val="nil"/>
            </w:tcBorders>
            <w:shd w:val="clear" w:color="000000" w:fill="747474"/>
            <w:noWrap/>
            <w:vAlign w:val="bottom"/>
            <w:hideMark/>
          </w:tcPr>
          <w:p w14:paraId="6781B2EC" w14:textId="77777777" w:rsidR="00321A8F" w:rsidRPr="00321A8F" w:rsidRDefault="00321A8F" w:rsidP="00321A8F">
            <w:pPr>
              <w:spacing w:after="0" w:line="240" w:lineRule="auto"/>
              <w:jc w:val="left"/>
              <w:rPr>
                <w:rFonts w:ascii="Arial Narrow" w:hAnsi="Arial Narrow" w:cs="Arial"/>
                <w:b/>
                <w:bCs/>
                <w:noProof/>
                <w:color w:val="FFFFFF"/>
                <w:sz w:val="16"/>
                <w:szCs w:val="16"/>
                <w:lang w:val="en-IE" w:eastAsia="en-IE"/>
              </w:rPr>
            </w:pPr>
            <w:r w:rsidRPr="00321A8F">
              <w:rPr>
                <w:rFonts w:ascii="Arial Narrow" w:hAnsi="Arial Narrow" w:cs="Arial"/>
                <w:b/>
                <w:bCs/>
                <w:noProof/>
                <w:color w:val="FFFFFF"/>
                <w:sz w:val="16"/>
                <w:szCs w:val="16"/>
                <w:lang w:val="en-IE" w:eastAsia="en-IE"/>
              </w:rPr>
              <w:t>Type of indicator</w:t>
            </w:r>
          </w:p>
        </w:tc>
        <w:tc>
          <w:tcPr>
            <w:tcW w:w="1134" w:type="dxa"/>
            <w:tcBorders>
              <w:top w:val="nil"/>
              <w:left w:val="nil"/>
              <w:bottom w:val="nil"/>
              <w:right w:val="nil"/>
            </w:tcBorders>
            <w:shd w:val="clear" w:color="000000" w:fill="747474"/>
            <w:noWrap/>
            <w:vAlign w:val="bottom"/>
            <w:hideMark/>
          </w:tcPr>
          <w:p w14:paraId="75B9F92C" w14:textId="77777777" w:rsidR="00321A8F" w:rsidRPr="00321A8F" w:rsidRDefault="00321A8F" w:rsidP="00321A8F">
            <w:pPr>
              <w:spacing w:after="0" w:line="240" w:lineRule="auto"/>
              <w:jc w:val="left"/>
              <w:rPr>
                <w:rFonts w:ascii="Arial Narrow" w:hAnsi="Arial Narrow" w:cs="Arial"/>
                <w:b/>
                <w:bCs/>
                <w:noProof/>
                <w:color w:val="FFFFFF"/>
                <w:sz w:val="16"/>
                <w:szCs w:val="16"/>
                <w:lang w:val="en-IE" w:eastAsia="en-IE"/>
              </w:rPr>
            </w:pPr>
            <w:r w:rsidRPr="00321A8F">
              <w:rPr>
                <w:rFonts w:ascii="Arial Narrow" w:hAnsi="Arial Narrow" w:cs="Arial"/>
                <w:b/>
                <w:bCs/>
                <w:noProof/>
                <w:color w:val="FFFFFF"/>
                <w:sz w:val="16"/>
                <w:szCs w:val="16"/>
                <w:lang w:val="en-IE" w:eastAsia="en-IE"/>
              </w:rPr>
              <w:t>Data source</w:t>
            </w:r>
          </w:p>
        </w:tc>
      </w:tr>
      <w:tr w:rsidR="00321A8F" w:rsidRPr="00321A8F" w14:paraId="452A6F40" w14:textId="77777777" w:rsidTr="00321A8F">
        <w:trPr>
          <w:trHeight w:val="1140"/>
        </w:trPr>
        <w:tc>
          <w:tcPr>
            <w:tcW w:w="411" w:type="dxa"/>
            <w:vMerge w:val="restart"/>
            <w:tcBorders>
              <w:top w:val="nil"/>
              <w:left w:val="nil"/>
              <w:bottom w:val="nil"/>
              <w:right w:val="nil"/>
            </w:tcBorders>
            <w:shd w:val="clear" w:color="000000" w:fill="BE5014"/>
            <w:noWrap/>
            <w:textDirection w:val="btLr"/>
            <w:vAlign w:val="center"/>
            <w:hideMark/>
          </w:tcPr>
          <w:p w14:paraId="5CA17BED" w14:textId="77777777" w:rsidR="00321A8F" w:rsidRPr="00321A8F" w:rsidRDefault="00321A8F" w:rsidP="00321A8F">
            <w:pPr>
              <w:spacing w:after="0" w:line="240" w:lineRule="auto"/>
              <w:jc w:val="center"/>
              <w:rPr>
                <w:rFonts w:ascii="Arial Narrow" w:hAnsi="Arial Narrow" w:cs="Arial"/>
                <w:b/>
                <w:bCs/>
                <w:noProof/>
                <w:color w:val="FFFFFF"/>
                <w:sz w:val="16"/>
                <w:szCs w:val="16"/>
                <w:lang w:val="en-IE" w:eastAsia="en-IE"/>
              </w:rPr>
            </w:pPr>
            <w:r w:rsidRPr="00321A8F">
              <w:rPr>
                <w:rFonts w:ascii="Arial Narrow" w:hAnsi="Arial Narrow" w:cs="Arial"/>
                <w:b/>
                <w:bCs/>
                <w:noProof/>
                <w:color w:val="FFFFFF"/>
                <w:sz w:val="16"/>
                <w:szCs w:val="16"/>
                <w:lang w:val="en-IE" w:eastAsia="en-IE"/>
              </w:rPr>
              <w:t>Investigation and prosecution</w:t>
            </w:r>
          </w:p>
        </w:tc>
        <w:tc>
          <w:tcPr>
            <w:tcW w:w="740" w:type="dxa"/>
            <w:gridSpan w:val="2"/>
            <w:tcBorders>
              <w:top w:val="nil"/>
              <w:left w:val="nil"/>
              <w:bottom w:val="nil"/>
              <w:right w:val="nil"/>
            </w:tcBorders>
            <w:shd w:val="clear" w:color="000000" w:fill="F7C7AC"/>
            <w:noWrap/>
            <w:vAlign w:val="center"/>
            <w:hideMark/>
          </w:tcPr>
          <w:p w14:paraId="3A1C0B4A" w14:textId="77777777" w:rsidR="00321A8F" w:rsidRPr="00321A8F" w:rsidRDefault="00321A8F" w:rsidP="00321A8F">
            <w:pPr>
              <w:spacing w:after="0" w:line="240" w:lineRule="auto"/>
              <w:jc w:val="center"/>
              <w:rPr>
                <w:rFonts w:ascii="Arial Narrow" w:hAnsi="Arial Narrow" w:cs="Arial"/>
                <w:b/>
                <w:bCs/>
                <w:noProof/>
                <w:color w:val="000000"/>
                <w:sz w:val="16"/>
                <w:szCs w:val="16"/>
                <w:lang w:val="en-IE" w:eastAsia="en-IE"/>
              </w:rPr>
            </w:pPr>
            <w:r w:rsidRPr="00321A8F">
              <w:rPr>
                <w:rFonts w:ascii="Arial Narrow" w:hAnsi="Arial Narrow" w:cs="Arial"/>
                <w:b/>
                <w:bCs/>
                <w:noProof/>
                <w:color w:val="000000"/>
                <w:sz w:val="16"/>
                <w:szCs w:val="16"/>
                <w:lang w:val="en-IE" w:eastAsia="en-IE"/>
              </w:rPr>
              <w:t>[C.1]</w:t>
            </w:r>
          </w:p>
        </w:tc>
        <w:tc>
          <w:tcPr>
            <w:tcW w:w="1684" w:type="dxa"/>
            <w:gridSpan w:val="2"/>
            <w:tcBorders>
              <w:top w:val="nil"/>
              <w:left w:val="nil"/>
              <w:bottom w:val="nil"/>
              <w:right w:val="nil"/>
            </w:tcBorders>
            <w:shd w:val="clear" w:color="000000" w:fill="F7C7AC"/>
            <w:vAlign w:val="center"/>
            <w:hideMark/>
          </w:tcPr>
          <w:p w14:paraId="60E9E7B4" w14:textId="77777777" w:rsidR="00321A8F" w:rsidRPr="00321A8F" w:rsidRDefault="00321A8F" w:rsidP="00321A8F">
            <w:pPr>
              <w:spacing w:after="0" w:line="240" w:lineRule="auto"/>
              <w:jc w:val="left"/>
              <w:rPr>
                <w:rFonts w:ascii="Arial Narrow" w:hAnsi="Arial Narrow" w:cs="Arial"/>
                <w:b/>
                <w:bCs/>
                <w:noProof/>
                <w:color w:val="000000"/>
                <w:sz w:val="16"/>
                <w:szCs w:val="16"/>
                <w:lang w:val="en-IE" w:eastAsia="en-IE"/>
              </w:rPr>
            </w:pPr>
            <w:r w:rsidRPr="00321A8F">
              <w:rPr>
                <w:rFonts w:ascii="Arial Narrow" w:hAnsi="Arial Narrow" w:cs="Arial"/>
                <w:b/>
                <w:bCs/>
                <w:noProof/>
                <w:color w:val="000000"/>
                <w:sz w:val="16"/>
                <w:szCs w:val="16"/>
                <w:lang w:val="en-IE" w:eastAsia="en-IE"/>
              </w:rPr>
              <w:t>Number of ongoing investigations/open cases</w:t>
            </w:r>
          </w:p>
        </w:tc>
        <w:tc>
          <w:tcPr>
            <w:tcW w:w="2552" w:type="dxa"/>
            <w:tcBorders>
              <w:top w:val="nil"/>
              <w:left w:val="nil"/>
              <w:bottom w:val="nil"/>
              <w:right w:val="nil"/>
            </w:tcBorders>
            <w:shd w:val="clear" w:color="000000" w:fill="F7C7AC"/>
            <w:vAlign w:val="center"/>
            <w:hideMark/>
          </w:tcPr>
          <w:p w14:paraId="086ACBB8" w14:textId="6E77E227" w:rsidR="00321A8F" w:rsidRPr="00321A8F" w:rsidRDefault="00321A8F" w:rsidP="00321A8F">
            <w:pPr>
              <w:spacing w:after="0" w:line="240" w:lineRule="auto"/>
              <w:jc w:val="left"/>
              <w:rPr>
                <w:rFonts w:ascii="Arial Narrow" w:hAnsi="Arial Narrow" w:cs="Arial"/>
                <w:noProof/>
                <w:color w:val="000000"/>
                <w:sz w:val="16"/>
                <w:szCs w:val="16"/>
                <w:lang w:val="en-IE" w:eastAsia="en-IE"/>
              </w:rPr>
            </w:pPr>
            <w:r w:rsidRPr="00321A8F">
              <w:rPr>
                <w:rFonts w:ascii="Arial Narrow" w:hAnsi="Arial Narrow" w:cs="Arial"/>
                <w:noProof/>
                <w:color w:val="000000"/>
                <w:sz w:val="16"/>
                <w:szCs w:val="16"/>
                <w:lang w:val="en-IE" w:eastAsia="en-IE"/>
              </w:rPr>
              <w:t>In the reference period, the number of investigations ongoing (for the EPPO and OLAF) and cases of suspected fraud (IRQ3 classification in IMS) reported by national authorities still open</w:t>
            </w:r>
          </w:p>
        </w:tc>
        <w:tc>
          <w:tcPr>
            <w:tcW w:w="2126" w:type="dxa"/>
            <w:tcBorders>
              <w:top w:val="nil"/>
              <w:left w:val="nil"/>
              <w:bottom w:val="nil"/>
              <w:right w:val="nil"/>
            </w:tcBorders>
            <w:shd w:val="clear" w:color="000000" w:fill="F7C7AC"/>
            <w:vAlign w:val="center"/>
            <w:hideMark/>
          </w:tcPr>
          <w:p w14:paraId="041617D5" w14:textId="21E72E8D" w:rsidR="00321A8F" w:rsidRPr="00321A8F" w:rsidRDefault="00321A8F" w:rsidP="00321A8F">
            <w:pPr>
              <w:spacing w:after="0" w:line="240" w:lineRule="auto"/>
              <w:jc w:val="left"/>
              <w:rPr>
                <w:rFonts w:ascii="Arial Narrow" w:hAnsi="Arial Narrow" w:cs="Arial"/>
                <w:noProof/>
                <w:color w:val="000000"/>
                <w:sz w:val="16"/>
                <w:szCs w:val="16"/>
                <w:lang w:val="en-IE" w:eastAsia="en-IE"/>
              </w:rPr>
            </w:pPr>
            <w:r w:rsidRPr="00321A8F">
              <w:rPr>
                <w:rFonts w:ascii="Arial Narrow" w:hAnsi="Arial Narrow" w:cs="Arial"/>
                <w:noProof/>
                <w:color w:val="000000"/>
                <w:sz w:val="16"/>
                <w:szCs w:val="16"/>
                <w:lang w:val="en-IE" w:eastAsia="en-IE"/>
              </w:rPr>
              <w:t>Multiannual (reference period indicated)</w:t>
            </w:r>
            <w:r w:rsidRPr="00321A8F">
              <w:rPr>
                <w:rFonts w:ascii="Arial Narrow" w:hAnsi="Arial Narrow" w:cs="Arial"/>
                <w:noProof/>
                <w:color w:val="000000"/>
                <w:sz w:val="16"/>
                <w:szCs w:val="16"/>
                <w:lang w:val="en-IE" w:eastAsia="en-IE"/>
              </w:rPr>
              <w:br/>
              <w:t>Sectoral</w:t>
            </w:r>
            <w:r w:rsidRPr="00321A8F">
              <w:rPr>
                <w:rFonts w:ascii="Arial Narrow" w:hAnsi="Arial Narrow" w:cs="Arial"/>
                <w:noProof/>
                <w:color w:val="000000"/>
                <w:sz w:val="16"/>
                <w:szCs w:val="16"/>
                <w:lang w:val="en-IE" w:eastAsia="en-IE"/>
              </w:rPr>
              <w:br/>
            </w:r>
            <w:r w:rsidR="0023279F" w:rsidRPr="00321A8F">
              <w:rPr>
                <w:rFonts w:ascii="Arial Narrow" w:hAnsi="Arial Narrow" w:cs="Arial"/>
                <w:noProof/>
                <w:color w:val="000000"/>
                <w:sz w:val="16"/>
                <w:szCs w:val="16"/>
                <w:lang w:val="en-IE" w:eastAsia="en-IE"/>
              </w:rPr>
              <w:t>Fraudulent</w:t>
            </w:r>
          </w:p>
        </w:tc>
        <w:tc>
          <w:tcPr>
            <w:tcW w:w="1134" w:type="dxa"/>
            <w:tcBorders>
              <w:top w:val="nil"/>
              <w:left w:val="nil"/>
              <w:bottom w:val="nil"/>
              <w:right w:val="nil"/>
            </w:tcBorders>
            <w:shd w:val="clear" w:color="000000" w:fill="F7C7AC"/>
            <w:vAlign w:val="center"/>
            <w:hideMark/>
          </w:tcPr>
          <w:p w14:paraId="5E9CEC84" w14:textId="77777777" w:rsidR="00321A8F" w:rsidRPr="00321A8F" w:rsidRDefault="00321A8F" w:rsidP="00321A8F">
            <w:pPr>
              <w:spacing w:after="0" w:line="240" w:lineRule="auto"/>
              <w:jc w:val="left"/>
              <w:rPr>
                <w:rFonts w:ascii="Arial Narrow" w:hAnsi="Arial Narrow" w:cs="Arial"/>
                <w:noProof/>
                <w:color w:val="000000"/>
                <w:sz w:val="16"/>
                <w:szCs w:val="16"/>
                <w:lang w:val="en-IE" w:eastAsia="en-IE"/>
              </w:rPr>
            </w:pPr>
            <w:r w:rsidRPr="00321A8F">
              <w:rPr>
                <w:rFonts w:ascii="Arial Narrow" w:hAnsi="Arial Narrow" w:cs="Arial"/>
                <w:noProof/>
                <w:color w:val="000000"/>
                <w:sz w:val="16"/>
                <w:szCs w:val="16"/>
                <w:lang w:val="en-IE" w:eastAsia="en-IE"/>
              </w:rPr>
              <w:t>IMS</w:t>
            </w:r>
            <w:r w:rsidRPr="00321A8F">
              <w:rPr>
                <w:rFonts w:ascii="Arial Narrow" w:hAnsi="Arial Narrow" w:cs="Arial"/>
                <w:noProof/>
                <w:color w:val="000000"/>
                <w:sz w:val="16"/>
                <w:szCs w:val="16"/>
                <w:lang w:val="en-IE" w:eastAsia="en-IE"/>
              </w:rPr>
              <w:br/>
              <w:t>OLAF</w:t>
            </w:r>
            <w:r w:rsidRPr="00321A8F">
              <w:rPr>
                <w:rFonts w:ascii="Arial Narrow" w:hAnsi="Arial Narrow" w:cs="Arial"/>
                <w:noProof/>
                <w:color w:val="000000"/>
                <w:sz w:val="16"/>
                <w:szCs w:val="16"/>
                <w:lang w:val="en-IE" w:eastAsia="en-IE"/>
              </w:rPr>
              <w:br/>
              <w:t>EPPO</w:t>
            </w:r>
          </w:p>
        </w:tc>
      </w:tr>
      <w:tr w:rsidR="00321A8F" w:rsidRPr="00321A8F" w14:paraId="531FE724" w14:textId="77777777" w:rsidTr="00321A8F">
        <w:trPr>
          <w:trHeight w:val="1140"/>
        </w:trPr>
        <w:tc>
          <w:tcPr>
            <w:tcW w:w="411" w:type="dxa"/>
            <w:vMerge/>
            <w:tcBorders>
              <w:top w:val="nil"/>
              <w:left w:val="nil"/>
              <w:bottom w:val="nil"/>
              <w:right w:val="nil"/>
            </w:tcBorders>
            <w:vAlign w:val="center"/>
            <w:hideMark/>
          </w:tcPr>
          <w:p w14:paraId="07FAC84A"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BE2D5"/>
            <w:noWrap/>
            <w:vAlign w:val="center"/>
            <w:hideMark/>
          </w:tcPr>
          <w:p w14:paraId="3AE270C9"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[C.2]</w:t>
            </w:r>
          </w:p>
        </w:tc>
        <w:tc>
          <w:tcPr>
            <w:tcW w:w="1684" w:type="dxa"/>
            <w:gridSpan w:val="2"/>
            <w:tcBorders>
              <w:top w:val="nil"/>
              <w:left w:val="nil"/>
              <w:bottom w:val="nil"/>
              <w:right w:val="nil"/>
            </w:tcBorders>
            <w:shd w:val="clear" w:color="000000" w:fill="FBE2D5"/>
            <w:vAlign w:val="center"/>
            <w:hideMark/>
          </w:tcPr>
          <w:p w14:paraId="1C0DA7D0"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Percentage of fraudulent cases finalised</w:t>
            </w:r>
          </w:p>
        </w:tc>
        <w:tc>
          <w:tcPr>
            <w:tcW w:w="2552" w:type="dxa"/>
            <w:tcBorders>
              <w:top w:val="nil"/>
              <w:left w:val="nil"/>
              <w:bottom w:val="nil"/>
              <w:right w:val="nil"/>
            </w:tcBorders>
            <w:shd w:val="clear" w:color="000000" w:fill="FBE2D5"/>
            <w:vAlign w:val="center"/>
            <w:hideMark/>
          </w:tcPr>
          <w:p w14:paraId="52EB9367" w14:textId="29AEA62E"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 xml:space="preserve">Calculated dividing the number of fraudulent cases completed (meaning dismissed or with established fraud) on the total number of cases that have been classified (dismissals) or are still classified as fraud (suspected or </w:t>
            </w:r>
            <w:r w:rsidR="002215C2" w:rsidRPr="00DE241B">
              <w:rPr>
                <w:rFonts w:ascii="Arial Narrow" w:hAnsi="Arial Narrow" w:cs="Arial"/>
                <w:noProof/>
                <w:color w:val="000000"/>
                <w:sz w:val="16"/>
                <w:szCs w:val="16"/>
                <w:lang w:val="en-IE" w:eastAsia="en-IE"/>
              </w:rPr>
              <w:t>established</w:t>
            </w:r>
            <w:r w:rsidRPr="00DE241B">
              <w:rPr>
                <w:rFonts w:ascii="Arial Narrow" w:hAnsi="Arial Narrow" w:cs="Arial"/>
                <w:noProof/>
                <w:color w:val="000000"/>
                <w:sz w:val="16"/>
                <w:szCs w:val="16"/>
                <w:lang w:val="en-IE" w:eastAsia="en-IE"/>
              </w:rPr>
              <w:t xml:space="preserve"> fraud)</w:t>
            </w:r>
          </w:p>
        </w:tc>
        <w:tc>
          <w:tcPr>
            <w:tcW w:w="2126" w:type="dxa"/>
            <w:tcBorders>
              <w:top w:val="nil"/>
              <w:left w:val="nil"/>
              <w:bottom w:val="nil"/>
              <w:right w:val="nil"/>
            </w:tcBorders>
            <w:shd w:val="clear" w:color="000000" w:fill="FBE2D5"/>
            <w:vAlign w:val="center"/>
            <w:hideMark/>
          </w:tcPr>
          <w:p w14:paraId="3282C324" w14:textId="1170CD7A"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r>
            <w:r w:rsidR="002215C2" w:rsidRPr="00DE241B">
              <w:rPr>
                <w:rFonts w:ascii="Arial Narrow" w:hAnsi="Arial Narrow" w:cs="Arial"/>
                <w:noProof/>
                <w:color w:val="000000"/>
                <w:sz w:val="16"/>
                <w:szCs w:val="16"/>
                <w:lang w:val="en-IE" w:eastAsia="en-IE"/>
              </w:rPr>
              <w:t>Fraudulent</w:t>
            </w:r>
          </w:p>
        </w:tc>
        <w:tc>
          <w:tcPr>
            <w:tcW w:w="1134" w:type="dxa"/>
            <w:tcBorders>
              <w:top w:val="nil"/>
              <w:left w:val="nil"/>
              <w:bottom w:val="nil"/>
              <w:right w:val="nil"/>
            </w:tcBorders>
            <w:shd w:val="clear" w:color="000000" w:fill="FBE2D5"/>
            <w:noWrap/>
            <w:vAlign w:val="center"/>
            <w:hideMark/>
          </w:tcPr>
          <w:p w14:paraId="5D85050F"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p>
        </w:tc>
      </w:tr>
      <w:tr w:rsidR="00321A8F" w:rsidRPr="00321A8F" w14:paraId="218F4699" w14:textId="77777777" w:rsidTr="00321A8F">
        <w:trPr>
          <w:trHeight w:val="1140"/>
        </w:trPr>
        <w:tc>
          <w:tcPr>
            <w:tcW w:w="411" w:type="dxa"/>
            <w:vMerge/>
            <w:tcBorders>
              <w:top w:val="nil"/>
              <w:left w:val="nil"/>
              <w:bottom w:val="nil"/>
              <w:right w:val="nil"/>
            </w:tcBorders>
            <w:vAlign w:val="center"/>
            <w:hideMark/>
          </w:tcPr>
          <w:p w14:paraId="09F32FFD"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7C7AC"/>
            <w:noWrap/>
            <w:vAlign w:val="center"/>
            <w:hideMark/>
          </w:tcPr>
          <w:p w14:paraId="5184C391"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[C.3]</w:t>
            </w:r>
          </w:p>
        </w:tc>
        <w:tc>
          <w:tcPr>
            <w:tcW w:w="1684" w:type="dxa"/>
            <w:gridSpan w:val="2"/>
            <w:tcBorders>
              <w:top w:val="nil"/>
              <w:left w:val="nil"/>
              <w:bottom w:val="nil"/>
              <w:right w:val="nil"/>
            </w:tcBorders>
            <w:shd w:val="clear" w:color="000000" w:fill="F7C7AC"/>
            <w:vAlign w:val="center"/>
            <w:hideMark/>
          </w:tcPr>
          <w:p w14:paraId="6D4F7687"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Percentage of closed fraudulent cases dismissed</w:t>
            </w:r>
          </w:p>
        </w:tc>
        <w:tc>
          <w:tcPr>
            <w:tcW w:w="2552" w:type="dxa"/>
            <w:tcBorders>
              <w:top w:val="nil"/>
              <w:left w:val="nil"/>
              <w:bottom w:val="nil"/>
              <w:right w:val="nil"/>
            </w:tcBorders>
            <w:shd w:val="clear" w:color="000000" w:fill="F7C7AC"/>
            <w:vAlign w:val="center"/>
            <w:hideMark/>
          </w:tcPr>
          <w:p w14:paraId="1C83059E"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the number of fraudulent cases dismissed on the total number of fraudulent cases completed (meaning dismissed or with established fraud)</w:t>
            </w:r>
          </w:p>
        </w:tc>
        <w:tc>
          <w:tcPr>
            <w:tcW w:w="2126" w:type="dxa"/>
            <w:tcBorders>
              <w:top w:val="nil"/>
              <w:left w:val="nil"/>
              <w:bottom w:val="nil"/>
              <w:right w:val="nil"/>
            </w:tcBorders>
            <w:shd w:val="clear" w:color="000000" w:fill="F7C7AC"/>
            <w:vAlign w:val="center"/>
            <w:hideMark/>
          </w:tcPr>
          <w:p w14:paraId="697B3984" w14:textId="30F16088"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r>
            <w:r w:rsidR="002215C2" w:rsidRPr="00DE241B">
              <w:rPr>
                <w:rFonts w:ascii="Arial Narrow" w:hAnsi="Arial Narrow" w:cs="Arial"/>
                <w:noProof/>
                <w:color w:val="000000"/>
                <w:sz w:val="16"/>
                <w:szCs w:val="16"/>
                <w:lang w:val="en-IE" w:eastAsia="en-IE"/>
              </w:rPr>
              <w:t>Fraudulent</w:t>
            </w:r>
          </w:p>
        </w:tc>
        <w:tc>
          <w:tcPr>
            <w:tcW w:w="1134" w:type="dxa"/>
            <w:tcBorders>
              <w:top w:val="nil"/>
              <w:left w:val="nil"/>
              <w:bottom w:val="nil"/>
              <w:right w:val="nil"/>
            </w:tcBorders>
            <w:shd w:val="clear" w:color="000000" w:fill="F7C7AC"/>
            <w:noWrap/>
            <w:vAlign w:val="center"/>
            <w:hideMark/>
          </w:tcPr>
          <w:p w14:paraId="375A62DB"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p>
        </w:tc>
      </w:tr>
      <w:tr w:rsidR="00321A8F" w:rsidRPr="00321A8F" w14:paraId="0B16278C" w14:textId="77777777" w:rsidTr="00321A8F">
        <w:trPr>
          <w:trHeight w:val="1140"/>
        </w:trPr>
        <w:tc>
          <w:tcPr>
            <w:tcW w:w="411" w:type="dxa"/>
            <w:vMerge/>
            <w:tcBorders>
              <w:top w:val="nil"/>
              <w:left w:val="nil"/>
              <w:bottom w:val="nil"/>
              <w:right w:val="nil"/>
            </w:tcBorders>
            <w:vAlign w:val="center"/>
            <w:hideMark/>
          </w:tcPr>
          <w:p w14:paraId="109429A9"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BE2D5"/>
            <w:noWrap/>
            <w:vAlign w:val="center"/>
            <w:hideMark/>
          </w:tcPr>
          <w:p w14:paraId="1F0EF636"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[C.4]</w:t>
            </w:r>
          </w:p>
        </w:tc>
        <w:tc>
          <w:tcPr>
            <w:tcW w:w="1684" w:type="dxa"/>
            <w:gridSpan w:val="2"/>
            <w:tcBorders>
              <w:top w:val="nil"/>
              <w:left w:val="nil"/>
              <w:bottom w:val="nil"/>
              <w:right w:val="nil"/>
            </w:tcBorders>
            <w:shd w:val="clear" w:color="000000" w:fill="FBE2D5"/>
            <w:vAlign w:val="center"/>
            <w:hideMark/>
          </w:tcPr>
          <w:p w14:paraId="1C0849D7"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Percentage of closed fraudulent cases concluded with conviction</w:t>
            </w:r>
          </w:p>
        </w:tc>
        <w:tc>
          <w:tcPr>
            <w:tcW w:w="2552" w:type="dxa"/>
            <w:tcBorders>
              <w:top w:val="nil"/>
              <w:left w:val="nil"/>
              <w:bottom w:val="nil"/>
              <w:right w:val="nil"/>
            </w:tcBorders>
            <w:shd w:val="clear" w:color="000000" w:fill="FBE2D5"/>
            <w:vAlign w:val="center"/>
            <w:hideMark/>
          </w:tcPr>
          <w:p w14:paraId="050576E1"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the number of fraudulent cases with established fraud on the total number of fraudulent cases completed (meaning dismissed or with established fraud)</w:t>
            </w:r>
          </w:p>
        </w:tc>
        <w:tc>
          <w:tcPr>
            <w:tcW w:w="2126" w:type="dxa"/>
            <w:tcBorders>
              <w:top w:val="nil"/>
              <w:left w:val="nil"/>
              <w:bottom w:val="nil"/>
              <w:right w:val="nil"/>
            </w:tcBorders>
            <w:shd w:val="clear" w:color="000000" w:fill="FBE2D5"/>
            <w:vAlign w:val="center"/>
            <w:hideMark/>
          </w:tcPr>
          <w:p w14:paraId="3DAE4AF0" w14:textId="4857F9E5"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r>
            <w:r w:rsidR="006A3CD1" w:rsidRPr="00DE241B">
              <w:rPr>
                <w:rFonts w:ascii="Arial Narrow" w:hAnsi="Arial Narrow" w:cs="Arial"/>
                <w:noProof/>
                <w:color w:val="000000"/>
                <w:sz w:val="16"/>
                <w:szCs w:val="16"/>
                <w:lang w:val="en-IE" w:eastAsia="en-IE"/>
              </w:rPr>
              <w:t>Fraudulent</w:t>
            </w:r>
          </w:p>
        </w:tc>
        <w:tc>
          <w:tcPr>
            <w:tcW w:w="1134" w:type="dxa"/>
            <w:tcBorders>
              <w:top w:val="nil"/>
              <w:left w:val="nil"/>
              <w:bottom w:val="nil"/>
              <w:right w:val="nil"/>
            </w:tcBorders>
            <w:shd w:val="clear" w:color="000000" w:fill="FBE2D5"/>
            <w:noWrap/>
            <w:vAlign w:val="center"/>
            <w:hideMark/>
          </w:tcPr>
          <w:p w14:paraId="627DB1AD"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p>
        </w:tc>
      </w:tr>
      <w:tr w:rsidR="00321A8F" w:rsidRPr="00321A8F" w14:paraId="5B4ECA34" w14:textId="77777777" w:rsidTr="00321A8F">
        <w:trPr>
          <w:trHeight w:val="570"/>
        </w:trPr>
        <w:tc>
          <w:tcPr>
            <w:tcW w:w="411" w:type="dxa"/>
            <w:vMerge/>
            <w:tcBorders>
              <w:top w:val="nil"/>
              <w:left w:val="nil"/>
              <w:bottom w:val="nil"/>
              <w:right w:val="nil"/>
            </w:tcBorders>
            <w:vAlign w:val="center"/>
            <w:hideMark/>
          </w:tcPr>
          <w:p w14:paraId="6BF7D656"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7C7AC"/>
            <w:noWrap/>
            <w:vAlign w:val="center"/>
            <w:hideMark/>
          </w:tcPr>
          <w:p w14:paraId="1DE68F17"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[C.5]</w:t>
            </w:r>
          </w:p>
        </w:tc>
        <w:tc>
          <w:tcPr>
            <w:tcW w:w="1684" w:type="dxa"/>
            <w:gridSpan w:val="2"/>
            <w:tcBorders>
              <w:top w:val="nil"/>
              <w:left w:val="nil"/>
              <w:bottom w:val="nil"/>
              <w:right w:val="nil"/>
            </w:tcBorders>
            <w:shd w:val="clear" w:color="000000" w:fill="F7C7AC"/>
            <w:vAlign w:val="center"/>
            <w:hideMark/>
          </w:tcPr>
          <w:p w14:paraId="310C23EC"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indictments</w:t>
            </w:r>
          </w:p>
        </w:tc>
        <w:tc>
          <w:tcPr>
            <w:tcW w:w="2552" w:type="dxa"/>
            <w:tcBorders>
              <w:top w:val="nil"/>
              <w:left w:val="nil"/>
              <w:bottom w:val="nil"/>
              <w:right w:val="nil"/>
            </w:tcBorders>
            <w:shd w:val="clear" w:color="000000" w:fill="F7C7AC"/>
            <w:vAlign w:val="center"/>
            <w:hideMark/>
          </w:tcPr>
          <w:p w14:paraId="39CAE1E9" w14:textId="25DC16BC"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 xml:space="preserve">Number of </w:t>
            </w:r>
            <w:r w:rsidR="002215C2" w:rsidRPr="00DE241B">
              <w:rPr>
                <w:rFonts w:ascii="Arial Narrow" w:hAnsi="Arial Narrow" w:cs="Arial"/>
                <w:noProof/>
                <w:color w:val="000000"/>
                <w:sz w:val="16"/>
                <w:szCs w:val="16"/>
                <w:lang w:val="en-IE" w:eastAsia="en-IE"/>
              </w:rPr>
              <w:t>indictments</w:t>
            </w:r>
            <w:r w:rsidRPr="00DE241B">
              <w:rPr>
                <w:rFonts w:ascii="Arial Narrow" w:hAnsi="Arial Narrow" w:cs="Arial"/>
                <w:noProof/>
                <w:color w:val="000000"/>
                <w:sz w:val="16"/>
                <w:szCs w:val="16"/>
                <w:lang w:val="en-IE" w:eastAsia="en-IE"/>
              </w:rPr>
              <w:t xml:space="preserve"> in the reporting year</w:t>
            </w:r>
          </w:p>
        </w:tc>
        <w:tc>
          <w:tcPr>
            <w:tcW w:w="2126" w:type="dxa"/>
            <w:tcBorders>
              <w:top w:val="nil"/>
              <w:left w:val="nil"/>
              <w:bottom w:val="nil"/>
              <w:right w:val="nil"/>
            </w:tcBorders>
            <w:shd w:val="clear" w:color="000000" w:fill="F7C7AC"/>
            <w:vAlign w:val="center"/>
            <w:hideMark/>
          </w:tcPr>
          <w:p w14:paraId="374984EE"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F7C7AC"/>
            <w:noWrap/>
            <w:vAlign w:val="center"/>
            <w:hideMark/>
          </w:tcPr>
          <w:p w14:paraId="1A7D7DC6"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EPPO</w:t>
            </w:r>
          </w:p>
        </w:tc>
      </w:tr>
      <w:tr w:rsidR="00321A8F" w:rsidRPr="00321A8F" w14:paraId="135AA356" w14:textId="77777777" w:rsidTr="00321A8F">
        <w:trPr>
          <w:trHeight w:val="570"/>
        </w:trPr>
        <w:tc>
          <w:tcPr>
            <w:tcW w:w="411" w:type="dxa"/>
            <w:vMerge/>
            <w:tcBorders>
              <w:top w:val="nil"/>
              <w:left w:val="nil"/>
              <w:bottom w:val="nil"/>
              <w:right w:val="nil"/>
            </w:tcBorders>
            <w:vAlign w:val="center"/>
            <w:hideMark/>
          </w:tcPr>
          <w:p w14:paraId="78B00C59"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BE2D5"/>
            <w:noWrap/>
            <w:vAlign w:val="center"/>
            <w:hideMark/>
          </w:tcPr>
          <w:p w14:paraId="14D69BE9"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[C.6]</w:t>
            </w:r>
          </w:p>
        </w:tc>
        <w:tc>
          <w:tcPr>
            <w:tcW w:w="1684" w:type="dxa"/>
            <w:gridSpan w:val="2"/>
            <w:tcBorders>
              <w:top w:val="nil"/>
              <w:left w:val="nil"/>
              <w:bottom w:val="nil"/>
              <w:right w:val="nil"/>
            </w:tcBorders>
            <w:shd w:val="clear" w:color="000000" w:fill="FBE2D5"/>
            <w:vAlign w:val="center"/>
            <w:hideMark/>
          </w:tcPr>
          <w:p w14:paraId="0827EA94"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Dismissals</w:t>
            </w:r>
          </w:p>
        </w:tc>
        <w:tc>
          <w:tcPr>
            <w:tcW w:w="2552" w:type="dxa"/>
            <w:tcBorders>
              <w:top w:val="nil"/>
              <w:left w:val="nil"/>
              <w:bottom w:val="nil"/>
              <w:right w:val="nil"/>
            </w:tcBorders>
            <w:shd w:val="clear" w:color="000000" w:fill="FBE2D5"/>
            <w:vAlign w:val="center"/>
            <w:hideMark/>
          </w:tcPr>
          <w:p w14:paraId="7E5ED454"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dismissals in the reporting year</w:t>
            </w:r>
          </w:p>
        </w:tc>
        <w:tc>
          <w:tcPr>
            <w:tcW w:w="2126" w:type="dxa"/>
            <w:tcBorders>
              <w:top w:val="nil"/>
              <w:left w:val="nil"/>
              <w:bottom w:val="nil"/>
              <w:right w:val="nil"/>
            </w:tcBorders>
            <w:shd w:val="clear" w:color="000000" w:fill="FBE2D5"/>
            <w:vAlign w:val="center"/>
            <w:hideMark/>
          </w:tcPr>
          <w:p w14:paraId="17048CEF"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FBE2D5"/>
            <w:noWrap/>
            <w:vAlign w:val="center"/>
            <w:hideMark/>
          </w:tcPr>
          <w:p w14:paraId="249F6E63"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EPPO</w:t>
            </w:r>
          </w:p>
        </w:tc>
      </w:tr>
      <w:tr w:rsidR="00321A8F" w:rsidRPr="00321A8F" w14:paraId="131AA8CF" w14:textId="77777777" w:rsidTr="00321A8F">
        <w:trPr>
          <w:trHeight w:val="600"/>
        </w:trPr>
        <w:tc>
          <w:tcPr>
            <w:tcW w:w="411" w:type="dxa"/>
            <w:vMerge/>
            <w:tcBorders>
              <w:top w:val="nil"/>
              <w:left w:val="nil"/>
              <w:bottom w:val="nil"/>
              <w:right w:val="nil"/>
            </w:tcBorders>
            <w:vAlign w:val="center"/>
            <w:hideMark/>
          </w:tcPr>
          <w:p w14:paraId="1738C5C7"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7C7AC"/>
            <w:noWrap/>
            <w:vAlign w:val="center"/>
            <w:hideMark/>
          </w:tcPr>
          <w:p w14:paraId="78082B39"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[C.7]</w:t>
            </w:r>
          </w:p>
        </w:tc>
        <w:tc>
          <w:tcPr>
            <w:tcW w:w="1684" w:type="dxa"/>
            <w:gridSpan w:val="2"/>
            <w:tcBorders>
              <w:top w:val="nil"/>
              <w:left w:val="nil"/>
              <w:bottom w:val="nil"/>
              <w:right w:val="nil"/>
            </w:tcBorders>
            <w:shd w:val="clear" w:color="000000" w:fill="F7C7AC"/>
            <w:vAlign w:val="center"/>
            <w:hideMark/>
          </w:tcPr>
          <w:p w14:paraId="6C6F11EE"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Simplified prosecution procedures</w:t>
            </w:r>
          </w:p>
        </w:tc>
        <w:tc>
          <w:tcPr>
            <w:tcW w:w="2552" w:type="dxa"/>
            <w:tcBorders>
              <w:top w:val="nil"/>
              <w:left w:val="nil"/>
              <w:bottom w:val="nil"/>
              <w:right w:val="nil"/>
            </w:tcBorders>
            <w:shd w:val="clear" w:color="000000" w:fill="F7C7AC"/>
            <w:vAlign w:val="center"/>
            <w:hideMark/>
          </w:tcPr>
          <w:p w14:paraId="7C0FCAC6" w14:textId="2BCC73B9"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 xml:space="preserve">Number of simplified prosecution </w:t>
            </w:r>
            <w:r w:rsidR="002215C2" w:rsidRPr="00DE241B">
              <w:rPr>
                <w:rFonts w:ascii="Arial Narrow" w:hAnsi="Arial Narrow" w:cs="Arial"/>
                <w:noProof/>
                <w:color w:val="000000"/>
                <w:sz w:val="16"/>
                <w:szCs w:val="16"/>
                <w:lang w:val="en-IE" w:eastAsia="en-IE"/>
              </w:rPr>
              <w:t>procedures</w:t>
            </w:r>
            <w:r w:rsidRPr="00DE241B">
              <w:rPr>
                <w:rFonts w:ascii="Arial Narrow" w:hAnsi="Arial Narrow" w:cs="Arial"/>
                <w:noProof/>
                <w:color w:val="000000"/>
                <w:sz w:val="16"/>
                <w:szCs w:val="16"/>
                <w:lang w:val="en-IE" w:eastAsia="en-IE"/>
              </w:rPr>
              <w:t xml:space="preserve"> in the reporting year</w:t>
            </w:r>
          </w:p>
        </w:tc>
        <w:tc>
          <w:tcPr>
            <w:tcW w:w="2126" w:type="dxa"/>
            <w:tcBorders>
              <w:top w:val="nil"/>
              <w:left w:val="nil"/>
              <w:bottom w:val="nil"/>
              <w:right w:val="nil"/>
            </w:tcBorders>
            <w:shd w:val="clear" w:color="000000" w:fill="F7C7AC"/>
            <w:vAlign w:val="center"/>
            <w:hideMark/>
          </w:tcPr>
          <w:p w14:paraId="04E2FCC1"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F7C7AC"/>
            <w:noWrap/>
            <w:vAlign w:val="center"/>
            <w:hideMark/>
          </w:tcPr>
          <w:p w14:paraId="13071E1B"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EPPO</w:t>
            </w:r>
          </w:p>
        </w:tc>
      </w:tr>
      <w:tr w:rsidR="00321A8F" w:rsidRPr="00321A8F" w14:paraId="40B69236" w14:textId="77777777" w:rsidTr="00321A8F">
        <w:trPr>
          <w:trHeight w:val="600"/>
        </w:trPr>
        <w:tc>
          <w:tcPr>
            <w:tcW w:w="411" w:type="dxa"/>
            <w:vMerge/>
            <w:tcBorders>
              <w:top w:val="nil"/>
              <w:left w:val="nil"/>
              <w:bottom w:val="nil"/>
              <w:right w:val="nil"/>
            </w:tcBorders>
            <w:vAlign w:val="center"/>
            <w:hideMark/>
          </w:tcPr>
          <w:p w14:paraId="00CACD1E"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BE2D5"/>
            <w:noWrap/>
            <w:vAlign w:val="center"/>
            <w:hideMark/>
          </w:tcPr>
          <w:p w14:paraId="7F2BA90C"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[C.8]</w:t>
            </w:r>
          </w:p>
        </w:tc>
        <w:tc>
          <w:tcPr>
            <w:tcW w:w="1684" w:type="dxa"/>
            <w:gridSpan w:val="2"/>
            <w:tcBorders>
              <w:top w:val="nil"/>
              <w:left w:val="nil"/>
              <w:bottom w:val="nil"/>
              <w:right w:val="nil"/>
            </w:tcBorders>
            <w:shd w:val="clear" w:color="000000" w:fill="FBE2D5"/>
            <w:vAlign w:val="center"/>
            <w:hideMark/>
          </w:tcPr>
          <w:p w14:paraId="4901378F"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closed investigations</w:t>
            </w:r>
          </w:p>
        </w:tc>
        <w:tc>
          <w:tcPr>
            <w:tcW w:w="2552" w:type="dxa"/>
            <w:tcBorders>
              <w:top w:val="nil"/>
              <w:left w:val="nil"/>
              <w:bottom w:val="nil"/>
              <w:right w:val="nil"/>
            </w:tcBorders>
            <w:shd w:val="clear" w:color="000000" w:fill="FBE2D5"/>
            <w:vAlign w:val="center"/>
            <w:hideMark/>
          </w:tcPr>
          <w:p w14:paraId="4EBD3440"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closed investigations in the reporting year</w:t>
            </w:r>
          </w:p>
        </w:tc>
        <w:tc>
          <w:tcPr>
            <w:tcW w:w="2126" w:type="dxa"/>
            <w:tcBorders>
              <w:top w:val="nil"/>
              <w:left w:val="nil"/>
              <w:bottom w:val="nil"/>
              <w:right w:val="nil"/>
            </w:tcBorders>
            <w:shd w:val="clear" w:color="000000" w:fill="FBE2D5"/>
            <w:vAlign w:val="center"/>
            <w:hideMark/>
          </w:tcPr>
          <w:p w14:paraId="4B8A6A25"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r w:rsidRPr="00DE241B">
              <w:rPr>
                <w:rFonts w:ascii="Arial Narrow" w:hAnsi="Arial Narrow" w:cs="Arial"/>
                <w:noProof/>
                <w:color w:val="000000"/>
                <w:sz w:val="16"/>
                <w:szCs w:val="16"/>
                <w:lang w:val="en-IE" w:eastAsia="en-IE"/>
              </w:rPr>
              <w:br/>
              <w:t>Total</w:t>
            </w:r>
          </w:p>
        </w:tc>
        <w:tc>
          <w:tcPr>
            <w:tcW w:w="1134" w:type="dxa"/>
            <w:tcBorders>
              <w:top w:val="nil"/>
              <w:left w:val="nil"/>
              <w:bottom w:val="nil"/>
              <w:right w:val="nil"/>
            </w:tcBorders>
            <w:shd w:val="clear" w:color="000000" w:fill="FBE2D5"/>
            <w:noWrap/>
            <w:vAlign w:val="center"/>
            <w:hideMark/>
          </w:tcPr>
          <w:p w14:paraId="1816E0B1"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w:t>
            </w:r>
          </w:p>
        </w:tc>
      </w:tr>
      <w:tr w:rsidR="00321A8F" w:rsidRPr="00321A8F" w14:paraId="27AFFA80" w14:textId="77777777" w:rsidTr="00321A8F">
        <w:trPr>
          <w:trHeight w:val="600"/>
        </w:trPr>
        <w:tc>
          <w:tcPr>
            <w:tcW w:w="411" w:type="dxa"/>
            <w:vMerge/>
            <w:tcBorders>
              <w:top w:val="nil"/>
              <w:left w:val="nil"/>
              <w:bottom w:val="nil"/>
              <w:right w:val="nil"/>
            </w:tcBorders>
            <w:vAlign w:val="center"/>
            <w:hideMark/>
          </w:tcPr>
          <w:p w14:paraId="3713E607"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7C7AC"/>
            <w:noWrap/>
            <w:vAlign w:val="center"/>
            <w:hideMark/>
          </w:tcPr>
          <w:p w14:paraId="116C6E2B"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[C.9]</w:t>
            </w:r>
          </w:p>
        </w:tc>
        <w:tc>
          <w:tcPr>
            <w:tcW w:w="1684" w:type="dxa"/>
            <w:gridSpan w:val="2"/>
            <w:tcBorders>
              <w:top w:val="nil"/>
              <w:left w:val="nil"/>
              <w:bottom w:val="nil"/>
              <w:right w:val="nil"/>
            </w:tcBorders>
            <w:shd w:val="clear" w:color="000000" w:fill="F7C7AC"/>
            <w:vAlign w:val="center"/>
            <w:hideMark/>
          </w:tcPr>
          <w:p w14:paraId="07CB1003"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financial recommendations</w:t>
            </w:r>
          </w:p>
        </w:tc>
        <w:tc>
          <w:tcPr>
            <w:tcW w:w="2552" w:type="dxa"/>
            <w:tcBorders>
              <w:top w:val="nil"/>
              <w:left w:val="nil"/>
              <w:bottom w:val="nil"/>
              <w:right w:val="nil"/>
            </w:tcBorders>
            <w:shd w:val="clear" w:color="000000" w:fill="F7C7AC"/>
            <w:vAlign w:val="center"/>
            <w:hideMark/>
          </w:tcPr>
          <w:p w14:paraId="1431F2E6"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financial recommendations resulting from closed investigations [C.8] in the reporting year</w:t>
            </w:r>
          </w:p>
        </w:tc>
        <w:tc>
          <w:tcPr>
            <w:tcW w:w="2126" w:type="dxa"/>
            <w:tcBorders>
              <w:top w:val="nil"/>
              <w:left w:val="nil"/>
              <w:bottom w:val="nil"/>
              <w:right w:val="nil"/>
            </w:tcBorders>
            <w:shd w:val="clear" w:color="000000" w:fill="F7C7AC"/>
            <w:vAlign w:val="center"/>
            <w:hideMark/>
          </w:tcPr>
          <w:p w14:paraId="5B4010AF"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F7C7AC"/>
            <w:noWrap/>
            <w:vAlign w:val="center"/>
            <w:hideMark/>
          </w:tcPr>
          <w:p w14:paraId="43CCED14"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w:t>
            </w:r>
          </w:p>
        </w:tc>
      </w:tr>
      <w:tr w:rsidR="00321A8F" w:rsidRPr="00321A8F" w14:paraId="1E710603" w14:textId="77777777" w:rsidTr="00321A8F">
        <w:trPr>
          <w:trHeight w:val="600"/>
        </w:trPr>
        <w:tc>
          <w:tcPr>
            <w:tcW w:w="411" w:type="dxa"/>
            <w:vMerge/>
            <w:tcBorders>
              <w:top w:val="nil"/>
              <w:left w:val="nil"/>
              <w:bottom w:val="nil"/>
              <w:right w:val="nil"/>
            </w:tcBorders>
            <w:vAlign w:val="center"/>
            <w:hideMark/>
          </w:tcPr>
          <w:p w14:paraId="2529B8FF" w14:textId="77777777" w:rsidR="00321A8F" w:rsidRPr="00DE241B" w:rsidRDefault="00321A8F" w:rsidP="00321A8F">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BE2D5"/>
            <w:noWrap/>
            <w:vAlign w:val="center"/>
            <w:hideMark/>
          </w:tcPr>
          <w:p w14:paraId="4CAAE6D4" w14:textId="77777777" w:rsidR="00321A8F" w:rsidRPr="00DE241B" w:rsidRDefault="00321A8F" w:rsidP="00321A8F">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[C.10]</w:t>
            </w:r>
          </w:p>
        </w:tc>
        <w:tc>
          <w:tcPr>
            <w:tcW w:w="1684" w:type="dxa"/>
            <w:gridSpan w:val="2"/>
            <w:tcBorders>
              <w:top w:val="nil"/>
              <w:left w:val="nil"/>
              <w:bottom w:val="nil"/>
              <w:right w:val="nil"/>
            </w:tcBorders>
            <w:shd w:val="clear" w:color="000000" w:fill="FBE2D5"/>
            <w:vAlign w:val="center"/>
            <w:hideMark/>
          </w:tcPr>
          <w:p w14:paraId="536624D6" w14:textId="77777777" w:rsidR="00321A8F" w:rsidRPr="00DE241B" w:rsidRDefault="00321A8F" w:rsidP="00321A8F">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judicial recommendations</w:t>
            </w:r>
          </w:p>
        </w:tc>
        <w:tc>
          <w:tcPr>
            <w:tcW w:w="2552" w:type="dxa"/>
            <w:tcBorders>
              <w:top w:val="nil"/>
              <w:left w:val="nil"/>
              <w:bottom w:val="nil"/>
              <w:right w:val="nil"/>
            </w:tcBorders>
            <w:shd w:val="clear" w:color="000000" w:fill="FBE2D5"/>
            <w:vAlign w:val="center"/>
            <w:hideMark/>
          </w:tcPr>
          <w:p w14:paraId="10A00D12"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judicial recommendations resulting from closed investigations [C.8] in the reporting year</w:t>
            </w:r>
          </w:p>
        </w:tc>
        <w:tc>
          <w:tcPr>
            <w:tcW w:w="2126" w:type="dxa"/>
            <w:tcBorders>
              <w:top w:val="nil"/>
              <w:left w:val="nil"/>
              <w:bottom w:val="nil"/>
              <w:right w:val="nil"/>
            </w:tcBorders>
            <w:shd w:val="clear" w:color="000000" w:fill="FBE2D5"/>
            <w:vAlign w:val="center"/>
            <w:hideMark/>
          </w:tcPr>
          <w:p w14:paraId="67223185"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Annual</w:t>
            </w:r>
            <w:r w:rsidRPr="00DE241B">
              <w:rPr>
                <w:rFonts w:ascii="Arial Narrow" w:hAnsi="Arial Narrow" w:cs="Arial"/>
                <w:noProof/>
                <w:color w:val="000000"/>
                <w:sz w:val="16"/>
                <w:szCs w:val="16"/>
                <w:lang w:val="en-IE" w:eastAsia="en-IE"/>
              </w:rPr>
              <w:br/>
              <w:t>Fraudulent</w:t>
            </w:r>
          </w:p>
        </w:tc>
        <w:tc>
          <w:tcPr>
            <w:tcW w:w="1134" w:type="dxa"/>
            <w:tcBorders>
              <w:top w:val="nil"/>
              <w:left w:val="nil"/>
              <w:bottom w:val="nil"/>
              <w:right w:val="nil"/>
            </w:tcBorders>
            <w:shd w:val="clear" w:color="000000" w:fill="FBE2D5"/>
            <w:noWrap/>
            <w:vAlign w:val="center"/>
            <w:hideMark/>
          </w:tcPr>
          <w:p w14:paraId="25D2AE2F" w14:textId="77777777" w:rsidR="00321A8F" w:rsidRPr="00DE241B" w:rsidRDefault="00321A8F" w:rsidP="00321A8F">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w:t>
            </w:r>
          </w:p>
        </w:tc>
      </w:tr>
      <w:tr w:rsidR="00A769B3" w:rsidRPr="00A769B3" w14:paraId="1620E363" w14:textId="77777777" w:rsidTr="001703F7">
        <w:trPr>
          <w:trHeight w:val="315"/>
        </w:trPr>
        <w:tc>
          <w:tcPr>
            <w:tcW w:w="411" w:type="dxa"/>
            <w:tcBorders>
              <w:top w:val="nil"/>
              <w:left w:val="nil"/>
              <w:bottom w:val="nil"/>
              <w:right w:val="nil"/>
            </w:tcBorders>
            <w:shd w:val="clear" w:color="000000" w:fill="747474"/>
            <w:noWrap/>
            <w:vAlign w:val="bottom"/>
            <w:hideMark/>
          </w:tcPr>
          <w:p w14:paraId="3E633CC3" w14:textId="77777777" w:rsidR="00314F19" w:rsidRPr="001703F7" w:rsidRDefault="00314F19" w:rsidP="00314F19">
            <w:pPr>
              <w:spacing w:after="0" w:line="240" w:lineRule="auto"/>
              <w:jc w:val="left"/>
              <w:rPr>
                <w:rFonts w:ascii="Arial Narrow" w:hAnsi="Arial Narrow" w:cs="Arial"/>
                <w:b/>
                <w:bCs/>
                <w:noProof/>
                <w:color w:val="FFFFFF"/>
                <w:sz w:val="16"/>
                <w:szCs w:val="16"/>
                <w:lang w:val="en-IE" w:eastAsia="en-IE"/>
              </w:rPr>
            </w:pPr>
            <w:r w:rsidRPr="001703F7">
              <w:rPr>
                <w:rFonts w:ascii="Arial Narrow" w:hAnsi="Arial Narrow" w:cs="Arial"/>
                <w:b/>
                <w:bCs/>
                <w:noProof/>
                <w:color w:val="FFFFFF"/>
                <w:sz w:val="16"/>
                <w:szCs w:val="16"/>
                <w:lang w:val="en-IE" w:eastAsia="en-IE"/>
              </w:rPr>
              <w:t> </w:t>
            </w:r>
          </w:p>
        </w:tc>
        <w:tc>
          <w:tcPr>
            <w:tcW w:w="740" w:type="dxa"/>
            <w:gridSpan w:val="2"/>
            <w:tcBorders>
              <w:top w:val="nil"/>
              <w:left w:val="nil"/>
              <w:bottom w:val="nil"/>
              <w:right w:val="nil"/>
            </w:tcBorders>
            <w:shd w:val="clear" w:color="000000" w:fill="747474"/>
            <w:noWrap/>
            <w:vAlign w:val="bottom"/>
            <w:hideMark/>
          </w:tcPr>
          <w:p w14:paraId="001EE0DB" w14:textId="77777777" w:rsidR="00314F19" w:rsidRPr="001703F7" w:rsidRDefault="00314F19" w:rsidP="00314F19">
            <w:pPr>
              <w:spacing w:after="0" w:line="240" w:lineRule="auto"/>
              <w:jc w:val="left"/>
              <w:rPr>
                <w:rFonts w:ascii="Arial Narrow" w:hAnsi="Arial Narrow" w:cs="Arial"/>
                <w:b/>
                <w:bCs/>
                <w:noProof/>
                <w:color w:val="FFFFFF"/>
                <w:sz w:val="16"/>
                <w:szCs w:val="16"/>
                <w:lang w:val="en-IE" w:eastAsia="en-IE"/>
              </w:rPr>
            </w:pPr>
            <w:r w:rsidRPr="001703F7">
              <w:rPr>
                <w:rFonts w:ascii="Arial Narrow" w:hAnsi="Arial Narrow" w:cs="Arial"/>
                <w:b/>
                <w:bCs/>
                <w:noProof/>
                <w:color w:val="FFFFFF"/>
                <w:sz w:val="16"/>
                <w:szCs w:val="16"/>
                <w:lang w:val="en-IE" w:eastAsia="en-IE"/>
              </w:rPr>
              <w:t> </w:t>
            </w:r>
          </w:p>
        </w:tc>
        <w:tc>
          <w:tcPr>
            <w:tcW w:w="1684" w:type="dxa"/>
            <w:gridSpan w:val="2"/>
            <w:tcBorders>
              <w:top w:val="nil"/>
              <w:left w:val="nil"/>
              <w:bottom w:val="nil"/>
              <w:right w:val="nil"/>
            </w:tcBorders>
            <w:shd w:val="clear" w:color="000000" w:fill="747474"/>
            <w:noWrap/>
            <w:vAlign w:val="bottom"/>
            <w:hideMark/>
          </w:tcPr>
          <w:p w14:paraId="3BA4E722" w14:textId="77777777" w:rsidR="00314F19" w:rsidRPr="001703F7" w:rsidRDefault="00314F19" w:rsidP="00314F19">
            <w:pPr>
              <w:spacing w:after="0" w:line="240" w:lineRule="auto"/>
              <w:jc w:val="left"/>
              <w:rPr>
                <w:rFonts w:ascii="Arial Narrow" w:hAnsi="Arial Narrow" w:cs="Arial"/>
                <w:b/>
                <w:bCs/>
                <w:noProof/>
                <w:color w:val="FFFFFF"/>
                <w:sz w:val="16"/>
                <w:szCs w:val="16"/>
                <w:lang w:val="en-IE" w:eastAsia="en-IE"/>
              </w:rPr>
            </w:pPr>
            <w:r w:rsidRPr="001703F7">
              <w:rPr>
                <w:rFonts w:ascii="Arial Narrow" w:hAnsi="Arial Narrow" w:cs="Arial"/>
                <w:b/>
                <w:bCs/>
                <w:noProof/>
                <w:color w:val="FFFFFF"/>
                <w:sz w:val="16"/>
                <w:szCs w:val="16"/>
                <w:lang w:val="en-IE" w:eastAsia="en-IE"/>
              </w:rPr>
              <w:t>Name of the indicator</w:t>
            </w:r>
          </w:p>
        </w:tc>
        <w:tc>
          <w:tcPr>
            <w:tcW w:w="2552" w:type="dxa"/>
            <w:tcBorders>
              <w:top w:val="nil"/>
              <w:left w:val="nil"/>
              <w:bottom w:val="nil"/>
              <w:right w:val="nil"/>
            </w:tcBorders>
            <w:shd w:val="clear" w:color="000000" w:fill="747474"/>
            <w:noWrap/>
            <w:vAlign w:val="bottom"/>
            <w:hideMark/>
          </w:tcPr>
          <w:p w14:paraId="4043D852" w14:textId="77777777" w:rsidR="00314F19" w:rsidRPr="001703F7" w:rsidRDefault="00314F19" w:rsidP="00314F19">
            <w:pPr>
              <w:spacing w:after="0" w:line="240" w:lineRule="auto"/>
              <w:jc w:val="left"/>
              <w:rPr>
                <w:rFonts w:ascii="Arial Narrow" w:hAnsi="Arial Narrow" w:cs="Arial"/>
                <w:b/>
                <w:bCs/>
                <w:noProof/>
                <w:color w:val="FFFFFF"/>
                <w:sz w:val="16"/>
                <w:szCs w:val="16"/>
                <w:lang w:val="en-IE" w:eastAsia="en-IE"/>
              </w:rPr>
            </w:pPr>
            <w:r w:rsidRPr="001703F7">
              <w:rPr>
                <w:rFonts w:ascii="Arial Narrow" w:hAnsi="Arial Narrow" w:cs="Arial"/>
                <w:b/>
                <w:bCs/>
                <w:noProof/>
                <w:color w:val="FFFFFF"/>
                <w:sz w:val="16"/>
                <w:szCs w:val="16"/>
                <w:lang w:val="en-IE" w:eastAsia="en-IE"/>
              </w:rPr>
              <w:t>Description of the indicator</w:t>
            </w:r>
          </w:p>
        </w:tc>
        <w:tc>
          <w:tcPr>
            <w:tcW w:w="2126" w:type="dxa"/>
            <w:tcBorders>
              <w:top w:val="nil"/>
              <w:left w:val="nil"/>
              <w:bottom w:val="nil"/>
              <w:right w:val="nil"/>
            </w:tcBorders>
            <w:shd w:val="clear" w:color="000000" w:fill="747474"/>
            <w:noWrap/>
            <w:vAlign w:val="bottom"/>
            <w:hideMark/>
          </w:tcPr>
          <w:p w14:paraId="05CEA945" w14:textId="77777777" w:rsidR="00314F19" w:rsidRPr="001703F7" w:rsidRDefault="00314F19" w:rsidP="00314F19">
            <w:pPr>
              <w:spacing w:after="0" w:line="240" w:lineRule="auto"/>
              <w:jc w:val="left"/>
              <w:rPr>
                <w:rFonts w:ascii="Arial Narrow" w:hAnsi="Arial Narrow" w:cs="Arial"/>
                <w:b/>
                <w:bCs/>
                <w:noProof/>
                <w:color w:val="FFFFFF"/>
                <w:sz w:val="16"/>
                <w:szCs w:val="16"/>
                <w:lang w:val="en-IE" w:eastAsia="en-IE"/>
              </w:rPr>
            </w:pPr>
            <w:r w:rsidRPr="001703F7">
              <w:rPr>
                <w:rFonts w:ascii="Arial Narrow" w:hAnsi="Arial Narrow" w:cs="Arial"/>
                <w:b/>
                <w:bCs/>
                <w:noProof/>
                <w:color w:val="FFFFFF"/>
                <w:sz w:val="16"/>
                <w:szCs w:val="16"/>
                <w:lang w:val="en-IE" w:eastAsia="en-IE"/>
              </w:rPr>
              <w:t>Type of indicator</w:t>
            </w:r>
          </w:p>
        </w:tc>
        <w:tc>
          <w:tcPr>
            <w:tcW w:w="1134" w:type="dxa"/>
            <w:tcBorders>
              <w:top w:val="nil"/>
              <w:left w:val="nil"/>
              <w:bottom w:val="nil"/>
              <w:right w:val="nil"/>
            </w:tcBorders>
            <w:shd w:val="clear" w:color="000000" w:fill="747474"/>
            <w:noWrap/>
            <w:vAlign w:val="bottom"/>
            <w:hideMark/>
          </w:tcPr>
          <w:p w14:paraId="6440699F" w14:textId="77777777" w:rsidR="00314F19" w:rsidRPr="001703F7" w:rsidRDefault="00314F19" w:rsidP="00314F19">
            <w:pPr>
              <w:spacing w:after="0" w:line="240" w:lineRule="auto"/>
              <w:jc w:val="left"/>
              <w:rPr>
                <w:rFonts w:ascii="Arial Narrow" w:hAnsi="Arial Narrow" w:cs="Arial"/>
                <w:b/>
                <w:bCs/>
                <w:noProof/>
                <w:color w:val="FFFFFF"/>
                <w:sz w:val="16"/>
                <w:szCs w:val="16"/>
                <w:lang w:val="en-IE" w:eastAsia="en-IE"/>
              </w:rPr>
            </w:pPr>
            <w:r w:rsidRPr="001703F7">
              <w:rPr>
                <w:rFonts w:ascii="Arial Narrow" w:hAnsi="Arial Narrow" w:cs="Arial"/>
                <w:b/>
                <w:bCs/>
                <w:noProof/>
                <w:color w:val="FFFFFF"/>
                <w:sz w:val="16"/>
                <w:szCs w:val="16"/>
                <w:lang w:val="en-IE" w:eastAsia="en-IE"/>
              </w:rPr>
              <w:t>Data source</w:t>
            </w:r>
          </w:p>
        </w:tc>
      </w:tr>
      <w:tr w:rsidR="00A769B3" w:rsidRPr="00A769B3" w14:paraId="705648D0" w14:textId="77777777" w:rsidTr="001703F7">
        <w:trPr>
          <w:trHeight w:val="852"/>
        </w:trPr>
        <w:tc>
          <w:tcPr>
            <w:tcW w:w="411" w:type="dxa"/>
            <w:vMerge w:val="restart"/>
            <w:tcBorders>
              <w:top w:val="nil"/>
              <w:left w:val="nil"/>
              <w:bottom w:val="nil"/>
              <w:right w:val="nil"/>
            </w:tcBorders>
            <w:shd w:val="clear" w:color="000000" w:fill="782170"/>
            <w:noWrap/>
            <w:textDirection w:val="btLr"/>
            <w:vAlign w:val="center"/>
            <w:hideMark/>
          </w:tcPr>
          <w:p w14:paraId="06C012A7" w14:textId="77777777" w:rsidR="00314F19" w:rsidRPr="001703F7" w:rsidRDefault="00314F19" w:rsidP="00314F19">
            <w:pPr>
              <w:spacing w:after="0" w:line="240" w:lineRule="auto"/>
              <w:jc w:val="center"/>
              <w:rPr>
                <w:rFonts w:ascii="Arial Narrow" w:hAnsi="Arial Narrow" w:cs="Arial"/>
                <w:b/>
                <w:bCs/>
                <w:noProof/>
                <w:color w:val="FFFFFF"/>
                <w:sz w:val="16"/>
                <w:szCs w:val="16"/>
                <w:lang w:val="en-IE" w:eastAsia="en-IE"/>
              </w:rPr>
            </w:pPr>
            <w:r w:rsidRPr="001703F7">
              <w:rPr>
                <w:rFonts w:ascii="Arial Narrow" w:hAnsi="Arial Narrow" w:cs="Arial"/>
                <w:b/>
                <w:bCs/>
                <w:noProof/>
                <w:color w:val="FFFFFF"/>
                <w:sz w:val="16"/>
                <w:szCs w:val="16"/>
                <w:lang w:val="en-IE" w:eastAsia="en-IE"/>
              </w:rPr>
              <w:t>Recovery and sanctioning</w:t>
            </w:r>
          </w:p>
        </w:tc>
        <w:tc>
          <w:tcPr>
            <w:tcW w:w="740" w:type="dxa"/>
            <w:gridSpan w:val="2"/>
            <w:tcBorders>
              <w:top w:val="nil"/>
              <w:left w:val="nil"/>
              <w:bottom w:val="nil"/>
              <w:right w:val="nil"/>
            </w:tcBorders>
            <w:shd w:val="clear" w:color="000000" w:fill="E49EDD"/>
            <w:vAlign w:val="center"/>
            <w:hideMark/>
          </w:tcPr>
          <w:p w14:paraId="1198414D" w14:textId="77777777" w:rsidR="00314F19" w:rsidRPr="001703F7" w:rsidRDefault="00314F19" w:rsidP="00314F19">
            <w:pPr>
              <w:spacing w:after="0" w:line="240" w:lineRule="auto"/>
              <w:jc w:val="center"/>
              <w:rPr>
                <w:rFonts w:ascii="Arial Narrow" w:hAnsi="Arial Narrow" w:cs="Arial"/>
                <w:b/>
                <w:bCs/>
                <w:noProof/>
                <w:color w:val="000000"/>
                <w:sz w:val="16"/>
                <w:szCs w:val="16"/>
                <w:lang w:val="en-IE" w:eastAsia="en-IE"/>
              </w:rPr>
            </w:pPr>
            <w:r w:rsidRPr="001703F7">
              <w:rPr>
                <w:rFonts w:ascii="Arial Narrow" w:hAnsi="Arial Narrow" w:cs="Arial"/>
                <w:b/>
                <w:bCs/>
                <w:noProof/>
                <w:color w:val="000000"/>
                <w:sz w:val="16"/>
                <w:szCs w:val="16"/>
                <w:lang w:val="en-IE" w:eastAsia="en-IE"/>
              </w:rPr>
              <w:t>[D.1]</w:t>
            </w:r>
          </w:p>
        </w:tc>
        <w:tc>
          <w:tcPr>
            <w:tcW w:w="1684" w:type="dxa"/>
            <w:gridSpan w:val="2"/>
            <w:tcBorders>
              <w:top w:val="nil"/>
              <w:left w:val="nil"/>
              <w:bottom w:val="nil"/>
              <w:right w:val="nil"/>
            </w:tcBorders>
            <w:shd w:val="clear" w:color="000000" w:fill="E49EDD"/>
            <w:vAlign w:val="center"/>
            <w:hideMark/>
          </w:tcPr>
          <w:p w14:paraId="190DD608" w14:textId="77777777" w:rsidR="00314F19" w:rsidRPr="001703F7" w:rsidRDefault="00314F19" w:rsidP="00314F19">
            <w:pPr>
              <w:spacing w:after="0" w:line="240" w:lineRule="auto"/>
              <w:jc w:val="left"/>
              <w:rPr>
                <w:rFonts w:ascii="Arial Narrow" w:hAnsi="Arial Narrow" w:cs="Arial"/>
                <w:b/>
                <w:bCs/>
                <w:noProof/>
                <w:color w:val="000000"/>
                <w:sz w:val="16"/>
                <w:szCs w:val="16"/>
                <w:lang w:val="en-IE" w:eastAsia="en-IE"/>
              </w:rPr>
            </w:pPr>
            <w:r w:rsidRPr="001703F7">
              <w:rPr>
                <w:rFonts w:ascii="Arial Narrow" w:hAnsi="Arial Narrow" w:cs="Arial"/>
                <w:b/>
                <w:bCs/>
                <w:noProof/>
                <w:color w:val="000000"/>
                <w:sz w:val="16"/>
                <w:szCs w:val="16"/>
                <w:lang w:val="en-IE" w:eastAsia="en-IE"/>
              </w:rPr>
              <w:t>Number of closed cases with recovery</w:t>
            </w:r>
          </w:p>
        </w:tc>
        <w:tc>
          <w:tcPr>
            <w:tcW w:w="2552" w:type="dxa"/>
            <w:tcBorders>
              <w:top w:val="nil"/>
              <w:left w:val="nil"/>
              <w:bottom w:val="nil"/>
              <w:right w:val="nil"/>
            </w:tcBorders>
            <w:shd w:val="clear" w:color="000000" w:fill="E49EDD"/>
            <w:vAlign w:val="center"/>
            <w:hideMark/>
          </w:tcPr>
          <w:p w14:paraId="42D8A714"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In the reference period, the number of irregularities reported by the Member States, closed with financial recovery information</w:t>
            </w:r>
          </w:p>
        </w:tc>
        <w:tc>
          <w:tcPr>
            <w:tcW w:w="2126" w:type="dxa"/>
            <w:tcBorders>
              <w:top w:val="nil"/>
              <w:left w:val="nil"/>
              <w:bottom w:val="nil"/>
              <w:right w:val="nil"/>
            </w:tcBorders>
            <w:shd w:val="clear" w:color="000000" w:fill="E49EDD"/>
            <w:vAlign w:val="center"/>
            <w:hideMark/>
          </w:tcPr>
          <w:p w14:paraId="0C8E909F"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Multiannual (reference period indicated)</w:t>
            </w:r>
            <w:r w:rsidRPr="001703F7">
              <w:rPr>
                <w:rFonts w:ascii="Arial Narrow" w:hAnsi="Arial Narrow" w:cs="Arial"/>
                <w:noProof/>
                <w:color w:val="000000"/>
                <w:sz w:val="16"/>
                <w:szCs w:val="16"/>
                <w:lang w:val="en-IE" w:eastAsia="en-IE"/>
              </w:rPr>
              <w:br/>
              <w:t>Sectoral</w:t>
            </w:r>
            <w:r w:rsidRPr="001703F7">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E49EDD"/>
            <w:vAlign w:val="center"/>
            <w:hideMark/>
          </w:tcPr>
          <w:p w14:paraId="544EDBE2"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IMS</w:t>
            </w:r>
          </w:p>
        </w:tc>
      </w:tr>
      <w:tr w:rsidR="00A769B3" w:rsidRPr="00A769B3" w14:paraId="5F568428" w14:textId="77777777" w:rsidTr="001703F7">
        <w:trPr>
          <w:trHeight w:val="849"/>
        </w:trPr>
        <w:tc>
          <w:tcPr>
            <w:tcW w:w="411" w:type="dxa"/>
            <w:vMerge/>
            <w:tcBorders>
              <w:top w:val="nil"/>
              <w:left w:val="nil"/>
              <w:bottom w:val="nil"/>
              <w:right w:val="nil"/>
            </w:tcBorders>
            <w:vAlign w:val="center"/>
            <w:hideMark/>
          </w:tcPr>
          <w:p w14:paraId="393439FD"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2CEEF"/>
            <w:vAlign w:val="center"/>
            <w:hideMark/>
          </w:tcPr>
          <w:p w14:paraId="23A18471"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[D.2]</w:t>
            </w:r>
          </w:p>
        </w:tc>
        <w:tc>
          <w:tcPr>
            <w:tcW w:w="1684" w:type="dxa"/>
            <w:gridSpan w:val="2"/>
            <w:tcBorders>
              <w:top w:val="nil"/>
              <w:left w:val="nil"/>
              <w:bottom w:val="nil"/>
              <w:right w:val="nil"/>
            </w:tcBorders>
            <w:shd w:val="clear" w:color="000000" w:fill="F2CEEF"/>
            <w:vAlign w:val="center"/>
            <w:hideMark/>
          </w:tcPr>
          <w:p w14:paraId="06629B40"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Percentage of total number of cases</w:t>
            </w:r>
          </w:p>
        </w:tc>
        <w:tc>
          <w:tcPr>
            <w:tcW w:w="2552" w:type="dxa"/>
            <w:tcBorders>
              <w:top w:val="nil"/>
              <w:left w:val="nil"/>
              <w:bottom w:val="nil"/>
              <w:right w:val="nil"/>
            </w:tcBorders>
            <w:shd w:val="clear" w:color="000000" w:fill="F2CEEF"/>
            <w:vAlign w:val="center"/>
            <w:hideMark/>
          </w:tcPr>
          <w:p w14:paraId="0FEAA292"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indicator [D.1] by the total number of cases reported in the same reference period with amounts to recover</w:t>
            </w:r>
          </w:p>
        </w:tc>
        <w:tc>
          <w:tcPr>
            <w:tcW w:w="2126" w:type="dxa"/>
            <w:tcBorders>
              <w:top w:val="nil"/>
              <w:left w:val="nil"/>
              <w:bottom w:val="nil"/>
              <w:right w:val="nil"/>
            </w:tcBorders>
            <w:shd w:val="clear" w:color="000000" w:fill="F2CEEF"/>
            <w:vAlign w:val="center"/>
            <w:hideMark/>
          </w:tcPr>
          <w:p w14:paraId="376B76FC"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F2CEEF"/>
            <w:vAlign w:val="center"/>
            <w:hideMark/>
          </w:tcPr>
          <w:p w14:paraId="30C06103"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p>
        </w:tc>
      </w:tr>
      <w:tr w:rsidR="00A769B3" w:rsidRPr="00A769B3" w14:paraId="652F3D0D" w14:textId="77777777" w:rsidTr="001703F7">
        <w:trPr>
          <w:trHeight w:val="847"/>
        </w:trPr>
        <w:tc>
          <w:tcPr>
            <w:tcW w:w="411" w:type="dxa"/>
            <w:vMerge/>
            <w:tcBorders>
              <w:top w:val="nil"/>
              <w:left w:val="nil"/>
              <w:bottom w:val="nil"/>
              <w:right w:val="nil"/>
            </w:tcBorders>
            <w:vAlign w:val="center"/>
            <w:hideMark/>
          </w:tcPr>
          <w:p w14:paraId="1518EB18"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E49EDD"/>
            <w:vAlign w:val="center"/>
            <w:hideMark/>
          </w:tcPr>
          <w:p w14:paraId="77FFB528"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[D.3]</w:t>
            </w:r>
          </w:p>
        </w:tc>
        <w:tc>
          <w:tcPr>
            <w:tcW w:w="1684" w:type="dxa"/>
            <w:gridSpan w:val="2"/>
            <w:tcBorders>
              <w:top w:val="nil"/>
              <w:left w:val="nil"/>
              <w:bottom w:val="nil"/>
              <w:right w:val="nil"/>
            </w:tcBorders>
            <w:shd w:val="clear" w:color="000000" w:fill="E49EDD"/>
            <w:vAlign w:val="center"/>
            <w:hideMark/>
          </w:tcPr>
          <w:p w14:paraId="27D5BDA3"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Financial amounts recovered</w:t>
            </w:r>
          </w:p>
        </w:tc>
        <w:tc>
          <w:tcPr>
            <w:tcW w:w="2552" w:type="dxa"/>
            <w:tcBorders>
              <w:top w:val="nil"/>
              <w:left w:val="nil"/>
              <w:bottom w:val="nil"/>
              <w:right w:val="nil"/>
            </w:tcBorders>
            <w:shd w:val="clear" w:color="000000" w:fill="E49EDD"/>
            <w:vAlign w:val="center"/>
            <w:hideMark/>
          </w:tcPr>
          <w:p w14:paraId="4DD8E4AA" w14:textId="2928D776"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 xml:space="preserve">With reference to cases included in [D.1], the total irregular </w:t>
            </w:r>
            <w:r w:rsidR="00184380" w:rsidRPr="00DE241B">
              <w:rPr>
                <w:rFonts w:ascii="Arial Narrow" w:hAnsi="Arial Narrow" w:cs="Arial"/>
                <w:noProof/>
                <w:color w:val="000000"/>
                <w:sz w:val="16"/>
                <w:szCs w:val="16"/>
                <w:lang w:val="en-IE" w:eastAsia="en-IE"/>
              </w:rPr>
              <w:t>financial amounts</w:t>
            </w:r>
            <w:r w:rsidRPr="00DE241B">
              <w:rPr>
                <w:rFonts w:ascii="Arial Narrow" w:hAnsi="Arial Narrow" w:cs="Arial"/>
                <w:noProof/>
                <w:color w:val="000000"/>
                <w:sz w:val="16"/>
                <w:szCs w:val="16"/>
                <w:lang w:val="en-IE" w:eastAsia="en-IE"/>
              </w:rPr>
              <w:t xml:space="preserve"> which have been recovered, or withdrawn or corrected</w:t>
            </w:r>
          </w:p>
        </w:tc>
        <w:tc>
          <w:tcPr>
            <w:tcW w:w="2126" w:type="dxa"/>
            <w:tcBorders>
              <w:top w:val="nil"/>
              <w:left w:val="nil"/>
              <w:bottom w:val="nil"/>
              <w:right w:val="nil"/>
            </w:tcBorders>
            <w:shd w:val="clear" w:color="000000" w:fill="E49EDD"/>
            <w:vAlign w:val="center"/>
            <w:hideMark/>
          </w:tcPr>
          <w:p w14:paraId="14C92E6B"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E49EDD"/>
            <w:vAlign w:val="center"/>
            <w:hideMark/>
          </w:tcPr>
          <w:p w14:paraId="05067E7D"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r w:rsidRPr="00DE241B">
              <w:rPr>
                <w:rFonts w:ascii="Arial Narrow" w:hAnsi="Arial Narrow" w:cs="Arial"/>
                <w:noProof/>
                <w:color w:val="000000"/>
                <w:sz w:val="16"/>
                <w:szCs w:val="16"/>
                <w:lang w:val="en-IE" w:eastAsia="en-IE"/>
              </w:rPr>
              <w:br/>
              <w:t>OLAF</w:t>
            </w:r>
          </w:p>
        </w:tc>
      </w:tr>
      <w:tr w:rsidR="00A769B3" w:rsidRPr="00A769B3" w14:paraId="7D9A81D8" w14:textId="77777777" w:rsidTr="001703F7">
        <w:trPr>
          <w:trHeight w:val="1425"/>
        </w:trPr>
        <w:tc>
          <w:tcPr>
            <w:tcW w:w="411" w:type="dxa"/>
            <w:vMerge/>
            <w:tcBorders>
              <w:top w:val="nil"/>
              <w:left w:val="nil"/>
              <w:bottom w:val="nil"/>
              <w:right w:val="nil"/>
            </w:tcBorders>
            <w:vAlign w:val="center"/>
            <w:hideMark/>
          </w:tcPr>
          <w:p w14:paraId="60460C0A"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2CEEF"/>
            <w:vAlign w:val="center"/>
            <w:hideMark/>
          </w:tcPr>
          <w:p w14:paraId="7A48C02F"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[D.4]</w:t>
            </w:r>
          </w:p>
        </w:tc>
        <w:tc>
          <w:tcPr>
            <w:tcW w:w="1684" w:type="dxa"/>
            <w:gridSpan w:val="2"/>
            <w:tcBorders>
              <w:top w:val="nil"/>
              <w:left w:val="nil"/>
              <w:bottom w:val="nil"/>
              <w:right w:val="nil"/>
            </w:tcBorders>
            <w:shd w:val="clear" w:color="000000" w:fill="F2CEEF"/>
            <w:vAlign w:val="center"/>
            <w:hideMark/>
          </w:tcPr>
          <w:p w14:paraId="5401C222"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Recovery rate</w:t>
            </w:r>
          </w:p>
        </w:tc>
        <w:tc>
          <w:tcPr>
            <w:tcW w:w="2552" w:type="dxa"/>
            <w:tcBorders>
              <w:top w:val="nil"/>
              <w:left w:val="nil"/>
              <w:bottom w:val="nil"/>
              <w:right w:val="nil"/>
            </w:tcBorders>
            <w:shd w:val="clear" w:color="000000" w:fill="F2CEEF"/>
            <w:vAlign w:val="center"/>
            <w:hideMark/>
          </w:tcPr>
          <w:p w14:paraId="62818451"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[D.3] by the total amount to be recovered as reported by national authorities with reference to cases included in [D.1]</w:t>
            </w:r>
            <w:r w:rsidRPr="00DE241B">
              <w:rPr>
                <w:rFonts w:ascii="Arial Narrow" w:hAnsi="Arial Narrow" w:cs="Arial"/>
                <w:noProof/>
                <w:color w:val="000000"/>
                <w:sz w:val="16"/>
                <w:szCs w:val="16"/>
                <w:lang w:val="en-IE" w:eastAsia="en-IE"/>
              </w:rPr>
              <w:br/>
              <w:t xml:space="preserve">Calculated dividing [D.3] by [D.6] in the case of OLAF's financial recommendations </w:t>
            </w:r>
          </w:p>
        </w:tc>
        <w:tc>
          <w:tcPr>
            <w:tcW w:w="2126" w:type="dxa"/>
            <w:tcBorders>
              <w:top w:val="nil"/>
              <w:left w:val="nil"/>
              <w:bottom w:val="nil"/>
              <w:right w:val="nil"/>
            </w:tcBorders>
            <w:shd w:val="clear" w:color="000000" w:fill="F2CEEF"/>
            <w:vAlign w:val="center"/>
            <w:hideMark/>
          </w:tcPr>
          <w:p w14:paraId="1DBDFBD5"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r w:rsidRPr="00DE241B">
              <w:rPr>
                <w:rFonts w:ascii="Arial Narrow" w:hAnsi="Arial Narrow" w:cs="Arial"/>
                <w:noProof/>
                <w:color w:val="000000"/>
                <w:sz w:val="16"/>
                <w:szCs w:val="16"/>
                <w:lang w:val="en-IE" w:eastAsia="en-IE"/>
              </w:rPr>
              <w:br/>
              <w:t>Total/Fraudulent/Non-fraudulent</w:t>
            </w:r>
          </w:p>
        </w:tc>
        <w:tc>
          <w:tcPr>
            <w:tcW w:w="1134" w:type="dxa"/>
            <w:tcBorders>
              <w:top w:val="nil"/>
              <w:left w:val="nil"/>
              <w:bottom w:val="nil"/>
              <w:right w:val="nil"/>
            </w:tcBorders>
            <w:shd w:val="clear" w:color="000000" w:fill="F2CEEF"/>
            <w:vAlign w:val="center"/>
            <w:hideMark/>
          </w:tcPr>
          <w:p w14:paraId="1C72DD24"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IMS</w:t>
            </w:r>
            <w:r w:rsidRPr="00DE241B">
              <w:rPr>
                <w:rFonts w:ascii="Arial Narrow" w:hAnsi="Arial Narrow" w:cs="Arial"/>
                <w:noProof/>
                <w:color w:val="000000"/>
                <w:sz w:val="16"/>
                <w:szCs w:val="16"/>
                <w:lang w:val="en-IE" w:eastAsia="en-IE"/>
              </w:rPr>
              <w:br/>
              <w:t>OLAF</w:t>
            </w:r>
          </w:p>
        </w:tc>
      </w:tr>
      <w:tr w:rsidR="00A769B3" w:rsidRPr="00A769B3" w14:paraId="787F64D1" w14:textId="77777777" w:rsidTr="001703F7">
        <w:trPr>
          <w:trHeight w:val="709"/>
        </w:trPr>
        <w:tc>
          <w:tcPr>
            <w:tcW w:w="411" w:type="dxa"/>
            <w:vMerge/>
            <w:tcBorders>
              <w:top w:val="nil"/>
              <w:left w:val="nil"/>
              <w:bottom w:val="nil"/>
              <w:right w:val="nil"/>
            </w:tcBorders>
            <w:vAlign w:val="center"/>
            <w:hideMark/>
          </w:tcPr>
          <w:p w14:paraId="2B743E85"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E49EDD"/>
            <w:vAlign w:val="center"/>
            <w:hideMark/>
          </w:tcPr>
          <w:p w14:paraId="258F4252"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[D.5]</w:t>
            </w:r>
          </w:p>
        </w:tc>
        <w:tc>
          <w:tcPr>
            <w:tcW w:w="1684" w:type="dxa"/>
            <w:gridSpan w:val="2"/>
            <w:tcBorders>
              <w:top w:val="nil"/>
              <w:left w:val="nil"/>
              <w:bottom w:val="nil"/>
              <w:right w:val="nil"/>
            </w:tcBorders>
            <w:shd w:val="clear" w:color="000000" w:fill="E49EDD"/>
            <w:vAlign w:val="center"/>
            <w:hideMark/>
          </w:tcPr>
          <w:p w14:paraId="03EFFAA4"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Amount recommended for recovery</w:t>
            </w:r>
          </w:p>
        </w:tc>
        <w:tc>
          <w:tcPr>
            <w:tcW w:w="2552" w:type="dxa"/>
            <w:tcBorders>
              <w:top w:val="nil"/>
              <w:left w:val="nil"/>
              <w:bottom w:val="nil"/>
              <w:right w:val="nil"/>
            </w:tcBorders>
            <w:shd w:val="clear" w:color="000000" w:fill="E49EDD"/>
            <w:vAlign w:val="center"/>
            <w:hideMark/>
          </w:tcPr>
          <w:p w14:paraId="286F178F" w14:textId="4E4561B4"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Financial amou</w:t>
            </w:r>
            <w:r w:rsidR="00165D6D">
              <w:rPr>
                <w:rFonts w:ascii="Arial Narrow" w:hAnsi="Arial Narrow" w:cs="Arial"/>
                <w:noProof/>
                <w:color w:val="000000"/>
                <w:sz w:val="16"/>
                <w:szCs w:val="16"/>
                <w:lang w:val="en-IE" w:eastAsia="en-IE"/>
              </w:rPr>
              <w:t>n</w:t>
            </w:r>
            <w:r w:rsidRPr="001703F7">
              <w:rPr>
                <w:rFonts w:ascii="Arial Narrow" w:hAnsi="Arial Narrow" w:cs="Arial"/>
                <w:noProof/>
                <w:color w:val="000000"/>
                <w:sz w:val="16"/>
                <w:szCs w:val="16"/>
                <w:lang w:val="en-IE" w:eastAsia="en-IE"/>
              </w:rPr>
              <w:t>t recommended for recovery, following OLAF investigations</w:t>
            </w:r>
          </w:p>
        </w:tc>
        <w:tc>
          <w:tcPr>
            <w:tcW w:w="2126" w:type="dxa"/>
            <w:tcBorders>
              <w:top w:val="nil"/>
              <w:left w:val="nil"/>
              <w:bottom w:val="nil"/>
              <w:right w:val="nil"/>
            </w:tcBorders>
            <w:shd w:val="clear" w:color="000000" w:fill="E49EDD"/>
            <w:vAlign w:val="center"/>
            <w:hideMark/>
          </w:tcPr>
          <w:p w14:paraId="48E78258"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Multiannual (reference period indicated)</w:t>
            </w:r>
            <w:r w:rsidRPr="001703F7">
              <w:rPr>
                <w:rFonts w:ascii="Arial Narrow" w:hAnsi="Arial Narrow" w:cs="Arial"/>
                <w:noProof/>
                <w:color w:val="000000"/>
                <w:sz w:val="16"/>
                <w:szCs w:val="16"/>
                <w:lang w:val="en-IE" w:eastAsia="en-IE"/>
              </w:rPr>
              <w:br/>
              <w:t>Sectoral</w:t>
            </w:r>
          </w:p>
        </w:tc>
        <w:tc>
          <w:tcPr>
            <w:tcW w:w="1134" w:type="dxa"/>
            <w:tcBorders>
              <w:top w:val="nil"/>
              <w:left w:val="nil"/>
              <w:bottom w:val="nil"/>
              <w:right w:val="nil"/>
            </w:tcBorders>
            <w:shd w:val="clear" w:color="000000" w:fill="E49EDD"/>
            <w:vAlign w:val="center"/>
            <w:hideMark/>
          </w:tcPr>
          <w:p w14:paraId="7480490D"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OLAF / Commission</w:t>
            </w:r>
          </w:p>
        </w:tc>
      </w:tr>
      <w:tr w:rsidR="00A769B3" w:rsidRPr="00A769B3" w14:paraId="6FF69440" w14:textId="77777777" w:rsidTr="001703F7">
        <w:trPr>
          <w:trHeight w:val="870"/>
        </w:trPr>
        <w:tc>
          <w:tcPr>
            <w:tcW w:w="411" w:type="dxa"/>
            <w:vMerge/>
            <w:tcBorders>
              <w:top w:val="nil"/>
              <w:left w:val="nil"/>
              <w:bottom w:val="nil"/>
              <w:right w:val="nil"/>
            </w:tcBorders>
            <w:vAlign w:val="center"/>
            <w:hideMark/>
          </w:tcPr>
          <w:p w14:paraId="4A4B91BF"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2CEEF"/>
            <w:vAlign w:val="center"/>
            <w:hideMark/>
          </w:tcPr>
          <w:p w14:paraId="502334E9"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[D.6]</w:t>
            </w:r>
          </w:p>
        </w:tc>
        <w:tc>
          <w:tcPr>
            <w:tcW w:w="1684" w:type="dxa"/>
            <w:gridSpan w:val="2"/>
            <w:tcBorders>
              <w:top w:val="nil"/>
              <w:left w:val="nil"/>
              <w:bottom w:val="nil"/>
              <w:right w:val="nil"/>
            </w:tcBorders>
            <w:shd w:val="clear" w:color="000000" w:fill="F2CEEF"/>
            <w:vAlign w:val="center"/>
            <w:hideMark/>
          </w:tcPr>
          <w:p w14:paraId="71B1B764"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FAER</w:t>
            </w:r>
          </w:p>
        </w:tc>
        <w:tc>
          <w:tcPr>
            <w:tcW w:w="2552" w:type="dxa"/>
            <w:tcBorders>
              <w:top w:val="nil"/>
              <w:left w:val="nil"/>
              <w:bottom w:val="nil"/>
              <w:right w:val="nil"/>
            </w:tcBorders>
            <w:shd w:val="clear" w:color="000000" w:fill="F2CEEF"/>
            <w:vAlign w:val="center"/>
            <w:hideMark/>
          </w:tcPr>
          <w:p w14:paraId="49D574FC" w14:textId="36419FB9"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Financial amounts established for recovery</w:t>
            </w:r>
            <w:r w:rsidRPr="00DE241B">
              <w:rPr>
                <w:rFonts w:ascii="Arial Narrow" w:hAnsi="Arial Narrow" w:cs="Arial"/>
                <w:noProof/>
                <w:color w:val="000000"/>
                <w:sz w:val="16"/>
                <w:szCs w:val="16"/>
                <w:lang w:val="en-IE" w:eastAsia="en-IE"/>
              </w:rPr>
              <w:t xml:space="preserve">, following Commission action </w:t>
            </w:r>
            <w:r w:rsidR="00062393" w:rsidRPr="00DE241B">
              <w:rPr>
                <w:rFonts w:ascii="Arial Narrow" w:hAnsi="Arial Narrow" w:cs="Arial"/>
                <w:noProof/>
                <w:color w:val="000000"/>
                <w:sz w:val="16"/>
                <w:szCs w:val="16"/>
                <w:lang w:val="en-IE" w:eastAsia="en-IE"/>
              </w:rPr>
              <w:t>based on</w:t>
            </w:r>
            <w:r w:rsidRPr="00DE241B">
              <w:rPr>
                <w:rFonts w:ascii="Arial Narrow" w:hAnsi="Arial Narrow" w:cs="Arial"/>
                <w:noProof/>
                <w:color w:val="000000"/>
                <w:sz w:val="16"/>
                <w:szCs w:val="16"/>
                <w:lang w:val="en-IE" w:eastAsia="en-IE"/>
              </w:rPr>
              <w:t xml:space="preserve"> OLAF financial recommendations</w:t>
            </w:r>
          </w:p>
        </w:tc>
        <w:tc>
          <w:tcPr>
            <w:tcW w:w="2126" w:type="dxa"/>
            <w:tcBorders>
              <w:top w:val="nil"/>
              <w:left w:val="nil"/>
              <w:bottom w:val="nil"/>
              <w:right w:val="nil"/>
            </w:tcBorders>
            <w:shd w:val="clear" w:color="000000" w:fill="F2CEEF"/>
            <w:vAlign w:val="center"/>
            <w:hideMark/>
          </w:tcPr>
          <w:p w14:paraId="1CF5B28D"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 (reference period indicated)</w:t>
            </w:r>
            <w:r w:rsidRPr="00DE241B">
              <w:rPr>
                <w:rFonts w:ascii="Arial Narrow" w:hAnsi="Arial Narrow" w:cs="Arial"/>
                <w:noProof/>
                <w:color w:val="000000"/>
                <w:sz w:val="16"/>
                <w:szCs w:val="16"/>
                <w:lang w:val="en-IE" w:eastAsia="en-IE"/>
              </w:rPr>
              <w:br/>
              <w:t>Sectoral</w:t>
            </w:r>
          </w:p>
        </w:tc>
        <w:tc>
          <w:tcPr>
            <w:tcW w:w="1134" w:type="dxa"/>
            <w:tcBorders>
              <w:top w:val="nil"/>
              <w:left w:val="nil"/>
              <w:bottom w:val="nil"/>
              <w:right w:val="nil"/>
            </w:tcBorders>
            <w:shd w:val="clear" w:color="000000" w:fill="F2CEEF"/>
            <w:vAlign w:val="center"/>
            <w:hideMark/>
          </w:tcPr>
          <w:p w14:paraId="18CF9E3F"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 / Commission</w:t>
            </w:r>
          </w:p>
        </w:tc>
      </w:tr>
      <w:tr w:rsidR="00A769B3" w:rsidRPr="00A769B3" w14:paraId="763DE9B2" w14:textId="77777777" w:rsidTr="001703F7">
        <w:trPr>
          <w:trHeight w:val="830"/>
        </w:trPr>
        <w:tc>
          <w:tcPr>
            <w:tcW w:w="411" w:type="dxa"/>
            <w:vMerge/>
            <w:tcBorders>
              <w:top w:val="nil"/>
              <w:left w:val="nil"/>
              <w:bottom w:val="nil"/>
              <w:right w:val="nil"/>
            </w:tcBorders>
            <w:vAlign w:val="center"/>
            <w:hideMark/>
          </w:tcPr>
          <w:p w14:paraId="61A25262"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E49EDD"/>
            <w:vAlign w:val="center"/>
            <w:hideMark/>
          </w:tcPr>
          <w:p w14:paraId="2B3F729D"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[D.7]</w:t>
            </w:r>
          </w:p>
        </w:tc>
        <w:tc>
          <w:tcPr>
            <w:tcW w:w="1684" w:type="dxa"/>
            <w:gridSpan w:val="2"/>
            <w:tcBorders>
              <w:top w:val="nil"/>
              <w:left w:val="nil"/>
              <w:bottom w:val="nil"/>
              <w:right w:val="nil"/>
            </w:tcBorders>
            <w:shd w:val="clear" w:color="000000" w:fill="E49EDD"/>
            <w:vAlign w:val="center"/>
            <w:hideMark/>
          </w:tcPr>
          <w:p w14:paraId="3C1CB1EC"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cases with sanctions</w:t>
            </w:r>
          </w:p>
        </w:tc>
        <w:tc>
          <w:tcPr>
            <w:tcW w:w="2552" w:type="dxa"/>
            <w:tcBorders>
              <w:top w:val="nil"/>
              <w:left w:val="nil"/>
              <w:bottom w:val="nil"/>
              <w:right w:val="nil"/>
            </w:tcBorders>
            <w:shd w:val="clear" w:color="000000" w:fill="E49EDD"/>
            <w:vAlign w:val="center"/>
            <w:hideMark/>
          </w:tcPr>
          <w:p w14:paraId="33E2901D" w14:textId="7AC4B1B5"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In the reference period, the number of irregularities reported by the Member States, closed with</w:t>
            </w:r>
            <w:r w:rsidR="00165D6D">
              <w:rPr>
                <w:rFonts w:ascii="Arial Narrow" w:hAnsi="Arial Narrow" w:cs="Arial"/>
                <w:noProof/>
                <w:color w:val="000000"/>
                <w:sz w:val="16"/>
                <w:szCs w:val="16"/>
                <w:lang w:val="en-IE" w:eastAsia="en-IE"/>
              </w:rPr>
              <w:t xml:space="preserve"> </w:t>
            </w:r>
            <w:r w:rsidRPr="001703F7">
              <w:rPr>
                <w:rFonts w:ascii="Arial Narrow" w:hAnsi="Arial Narrow" w:cs="Arial"/>
                <w:noProof/>
                <w:color w:val="000000"/>
                <w:sz w:val="16"/>
                <w:szCs w:val="16"/>
                <w:lang w:val="en-IE" w:eastAsia="en-IE"/>
              </w:rPr>
              <w:t>sanctions imposed</w:t>
            </w:r>
          </w:p>
        </w:tc>
        <w:tc>
          <w:tcPr>
            <w:tcW w:w="2126" w:type="dxa"/>
            <w:tcBorders>
              <w:top w:val="nil"/>
              <w:left w:val="nil"/>
              <w:bottom w:val="nil"/>
              <w:right w:val="nil"/>
            </w:tcBorders>
            <w:shd w:val="clear" w:color="000000" w:fill="E49EDD"/>
            <w:vAlign w:val="center"/>
            <w:hideMark/>
          </w:tcPr>
          <w:p w14:paraId="15BF7929"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Multiannual (reference period indicated)</w:t>
            </w:r>
            <w:r w:rsidRPr="001703F7">
              <w:rPr>
                <w:rFonts w:ascii="Arial Narrow" w:hAnsi="Arial Narrow" w:cs="Arial"/>
                <w:noProof/>
                <w:color w:val="000000"/>
                <w:sz w:val="16"/>
                <w:szCs w:val="16"/>
                <w:lang w:val="en-IE" w:eastAsia="en-IE"/>
              </w:rPr>
              <w:br/>
              <w:t>Sectoral</w:t>
            </w:r>
            <w:r w:rsidRPr="001703F7">
              <w:rPr>
                <w:rFonts w:ascii="Arial Narrow" w:hAnsi="Arial Narrow" w:cs="Arial"/>
                <w:noProof/>
                <w:color w:val="000000"/>
                <w:sz w:val="16"/>
                <w:szCs w:val="16"/>
                <w:lang w:val="en-IE" w:eastAsia="en-IE"/>
              </w:rPr>
              <w:br/>
              <w:t>Fraudulent/Non-fraudulent</w:t>
            </w:r>
          </w:p>
        </w:tc>
        <w:tc>
          <w:tcPr>
            <w:tcW w:w="1134" w:type="dxa"/>
            <w:tcBorders>
              <w:top w:val="nil"/>
              <w:left w:val="nil"/>
              <w:bottom w:val="nil"/>
              <w:right w:val="nil"/>
            </w:tcBorders>
            <w:shd w:val="clear" w:color="000000" w:fill="E49EDD"/>
            <w:vAlign w:val="center"/>
            <w:hideMark/>
          </w:tcPr>
          <w:p w14:paraId="6D97DE74"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IMS</w:t>
            </w:r>
          </w:p>
        </w:tc>
      </w:tr>
      <w:tr w:rsidR="00A769B3" w:rsidRPr="00A769B3" w14:paraId="481E824A" w14:textId="77777777" w:rsidTr="001703F7">
        <w:trPr>
          <w:trHeight w:val="855"/>
        </w:trPr>
        <w:tc>
          <w:tcPr>
            <w:tcW w:w="411" w:type="dxa"/>
            <w:vMerge/>
            <w:tcBorders>
              <w:top w:val="nil"/>
              <w:left w:val="nil"/>
              <w:bottom w:val="nil"/>
              <w:right w:val="nil"/>
            </w:tcBorders>
            <w:vAlign w:val="center"/>
            <w:hideMark/>
          </w:tcPr>
          <w:p w14:paraId="403B3EAF"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2CEEF"/>
            <w:vAlign w:val="center"/>
            <w:hideMark/>
          </w:tcPr>
          <w:p w14:paraId="3BE0A481"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[D.8]</w:t>
            </w:r>
          </w:p>
        </w:tc>
        <w:tc>
          <w:tcPr>
            <w:tcW w:w="1684" w:type="dxa"/>
            <w:gridSpan w:val="2"/>
            <w:tcBorders>
              <w:top w:val="nil"/>
              <w:left w:val="nil"/>
              <w:bottom w:val="nil"/>
              <w:right w:val="nil"/>
            </w:tcBorders>
            <w:shd w:val="clear" w:color="000000" w:fill="F2CEEF"/>
            <w:vAlign w:val="center"/>
            <w:hideMark/>
          </w:tcPr>
          <w:p w14:paraId="3413B60A"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Percentage of fraudulent cases with sanctions</w:t>
            </w:r>
          </w:p>
        </w:tc>
        <w:tc>
          <w:tcPr>
            <w:tcW w:w="2552" w:type="dxa"/>
            <w:tcBorders>
              <w:top w:val="nil"/>
              <w:left w:val="nil"/>
              <w:bottom w:val="nil"/>
              <w:right w:val="nil"/>
            </w:tcBorders>
            <w:shd w:val="clear" w:color="000000" w:fill="F2CEEF"/>
            <w:vAlign w:val="center"/>
            <w:hideMark/>
          </w:tcPr>
          <w:p w14:paraId="733B7AEA"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Calculated dividing the number of cases closed with sanctions [D.7] on the total number of cases closed by the Member States</w:t>
            </w:r>
          </w:p>
        </w:tc>
        <w:tc>
          <w:tcPr>
            <w:tcW w:w="2126" w:type="dxa"/>
            <w:tcBorders>
              <w:top w:val="nil"/>
              <w:left w:val="nil"/>
              <w:bottom w:val="nil"/>
              <w:right w:val="nil"/>
            </w:tcBorders>
            <w:shd w:val="clear" w:color="000000" w:fill="F2CEEF"/>
            <w:vAlign w:val="center"/>
            <w:hideMark/>
          </w:tcPr>
          <w:p w14:paraId="4BE768AE"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 </w:t>
            </w:r>
          </w:p>
        </w:tc>
        <w:tc>
          <w:tcPr>
            <w:tcW w:w="1134" w:type="dxa"/>
            <w:tcBorders>
              <w:top w:val="nil"/>
              <w:left w:val="nil"/>
              <w:bottom w:val="nil"/>
              <w:right w:val="nil"/>
            </w:tcBorders>
            <w:shd w:val="clear" w:color="000000" w:fill="F2CEEF"/>
            <w:vAlign w:val="center"/>
            <w:hideMark/>
          </w:tcPr>
          <w:p w14:paraId="07A7B6DA"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 </w:t>
            </w:r>
          </w:p>
        </w:tc>
      </w:tr>
      <w:tr w:rsidR="00A769B3" w:rsidRPr="00A769B3" w14:paraId="0C8124C0" w14:textId="77777777" w:rsidTr="001703F7">
        <w:trPr>
          <w:trHeight w:val="900"/>
        </w:trPr>
        <w:tc>
          <w:tcPr>
            <w:tcW w:w="411" w:type="dxa"/>
            <w:vMerge/>
            <w:tcBorders>
              <w:top w:val="nil"/>
              <w:left w:val="nil"/>
              <w:bottom w:val="nil"/>
              <w:right w:val="nil"/>
            </w:tcBorders>
            <w:vAlign w:val="center"/>
            <w:hideMark/>
          </w:tcPr>
          <w:p w14:paraId="55793A75"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E49EDD"/>
            <w:vAlign w:val="center"/>
            <w:hideMark/>
          </w:tcPr>
          <w:p w14:paraId="26C471B9"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[D.9]</w:t>
            </w:r>
          </w:p>
        </w:tc>
        <w:tc>
          <w:tcPr>
            <w:tcW w:w="1684" w:type="dxa"/>
            <w:gridSpan w:val="2"/>
            <w:tcBorders>
              <w:top w:val="nil"/>
              <w:left w:val="nil"/>
              <w:bottom w:val="nil"/>
              <w:right w:val="nil"/>
            </w:tcBorders>
            <w:shd w:val="clear" w:color="000000" w:fill="E49EDD"/>
            <w:vAlign w:val="center"/>
            <w:hideMark/>
          </w:tcPr>
          <w:p w14:paraId="594B8A2A"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specific administrative recommendations</w:t>
            </w:r>
          </w:p>
        </w:tc>
        <w:tc>
          <w:tcPr>
            <w:tcW w:w="2552" w:type="dxa"/>
            <w:tcBorders>
              <w:top w:val="nil"/>
              <w:left w:val="nil"/>
              <w:bottom w:val="nil"/>
              <w:right w:val="nil"/>
            </w:tcBorders>
            <w:shd w:val="clear" w:color="000000" w:fill="E49EDD"/>
            <w:vAlign w:val="center"/>
            <w:hideMark/>
          </w:tcPr>
          <w:p w14:paraId="420063CB"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specific administrative recommendations aimed at excluding economic operators from access to EU financing</w:t>
            </w:r>
          </w:p>
        </w:tc>
        <w:tc>
          <w:tcPr>
            <w:tcW w:w="2126" w:type="dxa"/>
            <w:tcBorders>
              <w:top w:val="nil"/>
              <w:left w:val="nil"/>
              <w:bottom w:val="nil"/>
              <w:right w:val="nil"/>
            </w:tcBorders>
            <w:shd w:val="clear" w:color="000000" w:fill="E49EDD"/>
            <w:vAlign w:val="center"/>
            <w:hideMark/>
          </w:tcPr>
          <w:p w14:paraId="24014A39"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Multiannual</w:t>
            </w:r>
          </w:p>
        </w:tc>
        <w:tc>
          <w:tcPr>
            <w:tcW w:w="1134" w:type="dxa"/>
            <w:tcBorders>
              <w:top w:val="nil"/>
              <w:left w:val="nil"/>
              <w:bottom w:val="nil"/>
              <w:right w:val="nil"/>
            </w:tcBorders>
            <w:shd w:val="clear" w:color="000000" w:fill="E49EDD"/>
            <w:vAlign w:val="center"/>
            <w:hideMark/>
          </w:tcPr>
          <w:p w14:paraId="608940A0" w14:textId="77777777" w:rsidR="00314F19" w:rsidRPr="00DE241B"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OLAF / Commission</w:t>
            </w:r>
          </w:p>
        </w:tc>
      </w:tr>
      <w:tr w:rsidR="00A769B3" w:rsidRPr="00A769B3" w14:paraId="6DE75871" w14:textId="77777777" w:rsidTr="001703F7">
        <w:trPr>
          <w:trHeight w:val="600"/>
        </w:trPr>
        <w:tc>
          <w:tcPr>
            <w:tcW w:w="411" w:type="dxa"/>
            <w:vMerge/>
            <w:tcBorders>
              <w:top w:val="nil"/>
              <w:left w:val="nil"/>
              <w:bottom w:val="nil"/>
              <w:right w:val="nil"/>
            </w:tcBorders>
            <w:vAlign w:val="center"/>
            <w:hideMark/>
          </w:tcPr>
          <w:p w14:paraId="516B9F6F"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F2CEEF"/>
            <w:vAlign w:val="center"/>
            <w:hideMark/>
          </w:tcPr>
          <w:p w14:paraId="28D03C51"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[D.10]</w:t>
            </w:r>
          </w:p>
        </w:tc>
        <w:tc>
          <w:tcPr>
            <w:tcW w:w="1684" w:type="dxa"/>
            <w:gridSpan w:val="2"/>
            <w:tcBorders>
              <w:top w:val="nil"/>
              <w:left w:val="nil"/>
              <w:bottom w:val="nil"/>
              <w:right w:val="nil"/>
            </w:tcBorders>
            <w:shd w:val="clear" w:color="000000" w:fill="F2CEEF"/>
            <w:vAlign w:val="center"/>
            <w:hideMark/>
          </w:tcPr>
          <w:p w14:paraId="57A6C4D8"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final court decisions</w:t>
            </w:r>
          </w:p>
        </w:tc>
        <w:tc>
          <w:tcPr>
            <w:tcW w:w="2552" w:type="dxa"/>
            <w:tcBorders>
              <w:top w:val="nil"/>
              <w:left w:val="nil"/>
              <w:bottom w:val="nil"/>
              <w:right w:val="nil"/>
            </w:tcBorders>
            <w:shd w:val="clear" w:color="000000" w:fill="F2CEEF"/>
            <w:vAlign w:val="center"/>
            <w:hideMark/>
          </w:tcPr>
          <w:p w14:paraId="33DA6F02" w14:textId="5133FD55"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cases with a non-</w:t>
            </w:r>
            <w:r w:rsidR="00165D6D" w:rsidRPr="00165D6D">
              <w:rPr>
                <w:rFonts w:ascii="Arial Narrow" w:hAnsi="Arial Narrow" w:cs="Arial"/>
                <w:noProof/>
                <w:color w:val="000000"/>
                <w:sz w:val="16"/>
                <w:szCs w:val="16"/>
                <w:lang w:val="en-IE" w:eastAsia="en-IE"/>
              </w:rPr>
              <w:t>appealable</w:t>
            </w:r>
            <w:r w:rsidRPr="001703F7">
              <w:rPr>
                <w:rFonts w:ascii="Arial Narrow" w:hAnsi="Arial Narrow" w:cs="Arial"/>
                <w:noProof/>
                <w:color w:val="000000"/>
                <w:sz w:val="16"/>
                <w:szCs w:val="16"/>
                <w:lang w:val="en-IE" w:eastAsia="en-IE"/>
              </w:rPr>
              <w:t xml:space="preserve"> court decision</w:t>
            </w:r>
          </w:p>
        </w:tc>
        <w:tc>
          <w:tcPr>
            <w:tcW w:w="2126" w:type="dxa"/>
            <w:tcBorders>
              <w:top w:val="nil"/>
              <w:left w:val="nil"/>
              <w:bottom w:val="nil"/>
              <w:right w:val="nil"/>
            </w:tcBorders>
            <w:shd w:val="clear" w:color="000000" w:fill="F2CEEF"/>
            <w:vAlign w:val="center"/>
            <w:hideMark/>
          </w:tcPr>
          <w:p w14:paraId="5DE15FB7"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Annual</w:t>
            </w:r>
          </w:p>
        </w:tc>
        <w:tc>
          <w:tcPr>
            <w:tcW w:w="1134" w:type="dxa"/>
            <w:tcBorders>
              <w:top w:val="nil"/>
              <w:left w:val="nil"/>
              <w:bottom w:val="nil"/>
              <w:right w:val="nil"/>
            </w:tcBorders>
            <w:shd w:val="clear" w:color="000000" w:fill="F2CEEF"/>
            <w:vAlign w:val="center"/>
            <w:hideMark/>
          </w:tcPr>
          <w:p w14:paraId="2A21CDF7"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EPPO</w:t>
            </w:r>
          </w:p>
        </w:tc>
      </w:tr>
      <w:tr w:rsidR="00A769B3" w:rsidRPr="00A769B3" w14:paraId="098F7B72" w14:textId="77777777" w:rsidTr="001703F7">
        <w:trPr>
          <w:trHeight w:val="570"/>
        </w:trPr>
        <w:tc>
          <w:tcPr>
            <w:tcW w:w="411" w:type="dxa"/>
            <w:vMerge/>
            <w:tcBorders>
              <w:top w:val="nil"/>
              <w:left w:val="nil"/>
              <w:bottom w:val="nil"/>
              <w:right w:val="nil"/>
            </w:tcBorders>
            <w:vAlign w:val="center"/>
            <w:hideMark/>
          </w:tcPr>
          <w:p w14:paraId="5F38CD7A" w14:textId="77777777" w:rsidR="00314F19" w:rsidRPr="00DE241B" w:rsidRDefault="00314F19" w:rsidP="00314F19">
            <w:pPr>
              <w:spacing w:after="0" w:line="240" w:lineRule="auto"/>
              <w:jc w:val="left"/>
              <w:rPr>
                <w:rFonts w:ascii="Arial Narrow" w:hAnsi="Arial Narrow" w:cs="Arial"/>
                <w:b/>
                <w:bCs/>
                <w:noProof/>
                <w:color w:val="FFFFFF"/>
                <w:sz w:val="16"/>
                <w:szCs w:val="16"/>
                <w:lang w:val="en-IE" w:eastAsia="en-IE"/>
              </w:rPr>
            </w:pPr>
          </w:p>
        </w:tc>
        <w:tc>
          <w:tcPr>
            <w:tcW w:w="740" w:type="dxa"/>
            <w:gridSpan w:val="2"/>
            <w:tcBorders>
              <w:top w:val="nil"/>
              <w:left w:val="nil"/>
              <w:bottom w:val="nil"/>
              <w:right w:val="nil"/>
            </w:tcBorders>
            <w:shd w:val="clear" w:color="000000" w:fill="E49EDD"/>
            <w:vAlign w:val="center"/>
            <w:hideMark/>
          </w:tcPr>
          <w:p w14:paraId="212FA6DA" w14:textId="77777777" w:rsidR="00314F19" w:rsidRPr="00DE241B" w:rsidRDefault="00314F19" w:rsidP="00314F19">
            <w:pPr>
              <w:spacing w:after="0" w:line="240" w:lineRule="auto"/>
              <w:jc w:val="center"/>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[D.11]</w:t>
            </w:r>
          </w:p>
        </w:tc>
        <w:tc>
          <w:tcPr>
            <w:tcW w:w="1684" w:type="dxa"/>
            <w:gridSpan w:val="2"/>
            <w:tcBorders>
              <w:top w:val="nil"/>
              <w:left w:val="nil"/>
              <w:bottom w:val="nil"/>
              <w:right w:val="nil"/>
            </w:tcBorders>
            <w:shd w:val="clear" w:color="000000" w:fill="E49EDD"/>
            <w:vAlign w:val="center"/>
            <w:hideMark/>
          </w:tcPr>
          <w:p w14:paraId="3C20B164" w14:textId="77777777" w:rsidR="00314F19" w:rsidRPr="00DE241B" w:rsidRDefault="00314F19" w:rsidP="00314F19">
            <w:pPr>
              <w:spacing w:after="0" w:line="240" w:lineRule="auto"/>
              <w:jc w:val="left"/>
              <w:rPr>
                <w:rFonts w:ascii="Arial Narrow" w:hAnsi="Arial Narrow" w:cs="Arial"/>
                <w:b/>
                <w:bCs/>
                <w:noProof/>
                <w:color w:val="000000"/>
                <w:sz w:val="16"/>
                <w:szCs w:val="16"/>
                <w:lang w:val="en-IE" w:eastAsia="en-IE"/>
              </w:rPr>
            </w:pPr>
            <w:r w:rsidRPr="00DE241B">
              <w:rPr>
                <w:rFonts w:ascii="Arial Narrow" w:hAnsi="Arial Narrow" w:cs="Arial"/>
                <w:b/>
                <w:bCs/>
                <w:noProof/>
                <w:color w:val="000000"/>
                <w:sz w:val="16"/>
                <w:szCs w:val="16"/>
                <w:lang w:val="en-IE" w:eastAsia="en-IE"/>
              </w:rPr>
              <w:t>Number of convictions</w:t>
            </w:r>
          </w:p>
        </w:tc>
        <w:tc>
          <w:tcPr>
            <w:tcW w:w="2552" w:type="dxa"/>
            <w:tcBorders>
              <w:top w:val="nil"/>
              <w:left w:val="nil"/>
              <w:bottom w:val="nil"/>
              <w:right w:val="nil"/>
            </w:tcBorders>
            <w:shd w:val="clear" w:color="000000" w:fill="E49EDD"/>
            <w:vAlign w:val="center"/>
            <w:hideMark/>
          </w:tcPr>
          <w:p w14:paraId="4D422C02" w14:textId="528A7514"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DE241B">
              <w:rPr>
                <w:rFonts w:ascii="Arial Narrow" w:hAnsi="Arial Narrow" w:cs="Arial"/>
                <w:noProof/>
                <w:color w:val="000000"/>
                <w:sz w:val="16"/>
                <w:szCs w:val="16"/>
                <w:lang w:val="en-IE" w:eastAsia="en-IE"/>
              </w:rPr>
              <w:t>Number of cases with a non-</w:t>
            </w:r>
            <w:r w:rsidR="00165D6D" w:rsidRPr="00165D6D">
              <w:rPr>
                <w:rFonts w:ascii="Arial Narrow" w:hAnsi="Arial Narrow" w:cs="Arial"/>
                <w:noProof/>
                <w:color w:val="000000"/>
                <w:sz w:val="16"/>
                <w:szCs w:val="16"/>
                <w:lang w:val="en-IE" w:eastAsia="en-IE"/>
              </w:rPr>
              <w:t>appealable</w:t>
            </w:r>
            <w:r w:rsidRPr="001703F7">
              <w:rPr>
                <w:rFonts w:ascii="Arial Narrow" w:hAnsi="Arial Narrow" w:cs="Arial"/>
                <w:noProof/>
                <w:color w:val="000000"/>
                <w:sz w:val="16"/>
                <w:szCs w:val="16"/>
                <w:lang w:val="en-IE" w:eastAsia="en-IE"/>
              </w:rPr>
              <w:t xml:space="preserve"> court decision concluded with conviction</w:t>
            </w:r>
          </w:p>
        </w:tc>
        <w:tc>
          <w:tcPr>
            <w:tcW w:w="2126" w:type="dxa"/>
            <w:tcBorders>
              <w:top w:val="nil"/>
              <w:left w:val="nil"/>
              <w:bottom w:val="nil"/>
              <w:right w:val="nil"/>
            </w:tcBorders>
            <w:shd w:val="clear" w:color="000000" w:fill="E49EDD"/>
            <w:vAlign w:val="center"/>
            <w:hideMark/>
          </w:tcPr>
          <w:p w14:paraId="7E9F2B07"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Annual</w:t>
            </w:r>
          </w:p>
        </w:tc>
        <w:tc>
          <w:tcPr>
            <w:tcW w:w="1134" w:type="dxa"/>
            <w:tcBorders>
              <w:top w:val="nil"/>
              <w:left w:val="nil"/>
              <w:bottom w:val="nil"/>
              <w:right w:val="nil"/>
            </w:tcBorders>
            <w:shd w:val="clear" w:color="000000" w:fill="E49EDD"/>
            <w:vAlign w:val="center"/>
            <w:hideMark/>
          </w:tcPr>
          <w:p w14:paraId="3B42B7BC" w14:textId="77777777" w:rsidR="00314F19" w:rsidRPr="001703F7" w:rsidRDefault="00314F19" w:rsidP="00314F19">
            <w:pPr>
              <w:spacing w:after="0" w:line="240" w:lineRule="auto"/>
              <w:jc w:val="left"/>
              <w:rPr>
                <w:rFonts w:ascii="Arial Narrow" w:hAnsi="Arial Narrow" w:cs="Arial"/>
                <w:noProof/>
                <w:color w:val="000000"/>
                <w:sz w:val="16"/>
                <w:szCs w:val="16"/>
                <w:lang w:val="en-IE" w:eastAsia="en-IE"/>
              </w:rPr>
            </w:pPr>
            <w:r w:rsidRPr="001703F7">
              <w:rPr>
                <w:rFonts w:ascii="Arial Narrow" w:hAnsi="Arial Narrow" w:cs="Arial"/>
                <w:noProof/>
                <w:color w:val="000000"/>
                <w:sz w:val="16"/>
                <w:szCs w:val="16"/>
                <w:lang w:val="en-IE" w:eastAsia="en-IE"/>
              </w:rPr>
              <w:t>EPPO</w:t>
            </w:r>
          </w:p>
        </w:tc>
      </w:tr>
    </w:tbl>
    <w:p w14:paraId="2F21D7F4" w14:textId="49DDC35F" w:rsidR="007835B0" w:rsidRPr="00DE3A6F" w:rsidRDefault="00E466EA" w:rsidP="007835B0">
      <w:pPr>
        <w:pStyle w:val="Heading2"/>
        <w:rPr>
          <w:noProof/>
        </w:rPr>
      </w:pPr>
      <w:bookmarkStart w:id="23" w:name="_Toc234447047"/>
      <w:r w:rsidRPr="00DE3A6F">
        <w:rPr>
          <w:noProof/>
        </w:rPr>
        <w:t xml:space="preserve">Special boxes for </w:t>
      </w:r>
      <w:r w:rsidR="009A625D" w:rsidRPr="00DE3A6F">
        <w:rPr>
          <w:noProof/>
        </w:rPr>
        <w:t xml:space="preserve">key </w:t>
      </w:r>
      <w:r w:rsidRPr="00DE3A6F">
        <w:rPr>
          <w:noProof/>
        </w:rPr>
        <w:t>points</w:t>
      </w:r>
      <w:bookmarkEnd w:id="23"/>
    </w:p>
    <w:p w14:paraId="29B70903" w14:textId="1C16EFDF" w:rsidR="00E466EA" w:rsidRPr="00DE3A6F" w:rsidRDefault="00E466EA" w:rsidP="00E466EA">
      <w:pPr>
        <w:rPr>
          <w:noProof/>
        </w:rPr>
      </w:pPr>
      <w:r w:rsidRPr="00DE3A6F">
        <w:rPr>
          <w:noProof/>
        </w:rPr>
        <w:t>Th</w:t>
      </w:r>
      <w:r w:rsidR="001A522C" w:rsidRPr="00CA1602">
        <w:rPr>
          <w:noProof/>
        </w:rPr>
        <w:t>is</w:t>
      </w:r>
      <w:r w:rsidRPr="00DE3A6F">
        <w:rPr>
          <w:noProof/>
        </w:rPr>
        <w:t xml:space="preserve"> document uses </w:t>
      </w:r>
      <w:r w:rsidRPr="00DE3A6F">
        <w:rPr>
          <w:b/>
          <w:bCs/>
          <w:noProof/>
        </w:rPr>
        <w:t xml:space="preserve">four types of </w:t>
      </w:r>
      <w:r w:rsidR="009A625D" w:rsidRPr="00DE3A6F">
        <w:rPr>
          <w:b/>
          <w:bCs/>
          <w:noProof/>
        </w:rPr>
        <w:t xml:space="preserve">text </w:t>
      </w:r>
      <w:r w:rsidR="00CD0D16" w:rsidRPr="00DE3A6F">
        <w:rPr>
          <w:b/>
          <w:bCs/>
          <w:noProof/>
        </w:rPr>
        <w:t>box</w:t>
      </w:r>
      <w:r w:rsidR="00CD0D16" w:rsidRPr="00DE3A6F">
        <w:rPr>
          <w:noProof/>
        </w:rPr>
        <w:t xml:space="preserve"> to </w:t>
      </w:r>
      <w:r w:rsidR="003B0A43" w:rsidRPr="00DE3A6F">
        <w:rPr>
          <w:noProof/>
        </w:rPr>
        <w:t>highlight</w:t>
      </w:r>
      <w:r w:rsidR="00CD0D16" w:rsidRPr="00DE3A6F">
        <w:rPr>
          <w:noProof/>
        </w:rPr>
        <w:t xml:space="preserve"> specific aspects. They are </w:t>
      </w:r>
      <w:r w:rsidR="003B0A43" w:rsidRPr="00DE3A6F">
        <w:rPr>
          <w:noProof/>
        </w:rPr>
        <w:t>illustrated</w:t>
      </w:r>
      <w:r w:rsidR="00AD3D88" w:rsidRPr="00DE3A6F">
        <w:rPr>
          <w:noProof/>
        </w:rPr>
        <w:t xml:space="preserve"> </w:t>
      </w:r>
      <w:r w:rsidR="00CD0D16" w:rsidRPr="00DE3A6F">
        <w:rPr>
          <w:noProof/>
        </w:rPr>
        <w:t xml:space="preserve">in </w:t>
      </w:r>
      <w:r w:rsidR="00CD0D16" w:rsidRPr="00DE3A6F">
        <w:rPr>
          <w:b/>
          <w:bCs/>
          <w:noProof/>
        </w:rPr>
        <w:t>Figure 4</w:t>
      </w:r>
      <w:r w:rsidR="00CD0D16" w:rsidRPr="00DE3A6F">
        <w:rPr>
          <w:noProof/>
        </w:rPr>
        <w:t>.</w:t>
      </w:r>
    </w:p>
    <w:p w14:paraId="02B26418" w14:textId="36FCFD67" w:rsidR="00CD0D16" w:rsidRPr="00DE3A6F" w:rsidRDefault="00CD0D16" w:rsidP="00C8420B">
      <w:pPr>
        <w:pStyle w:val="Caption"/>
        <w:keepNext/>
        <w:rPr>
          <w:noProof/>
        </w:rPr>
      </w:pPr>
      <w:r w:rsidRPr="00DE3A6F">
        <w:rPr>
          <w:noProof/>
        </w:rPr>
        <w:t xml:space="preserve">Figure </w:t>
      </w:r>
      <w:r w:rsidR="00C634A0" w:rsidRPr="00DE3A6F">
        <w:rPr>
          <w:noProof/>
        </w:rPr>
        <w:fldChar w:fldCharType="begin"/>
      </w:r>
      <w:r w:rsidR="00C634A0" w:rsidRPr="00DE3A6F">
        <w:rPr>
          <w:noProof/>
        </w:rPr>
        <w:instrText xml:space="preserve"> SEQ Figure \* ARABIC </w:instrText>
      </w:r>
      <w:r w:rsidR="00C634A0" w:rsidRPr="00DE3A6F">
        <w:rPr>
          <w:noProof/>
        </w:rPr>
        <w:fldChar w:fldCharType="separate"/>
      </w:r>
      <w:r w:rsidR="00A13C63">
        <w:rPr>
          <w:noProof/>
        </w:rPr>
        <w:t>4</w:t>
      </w:r>
      <w:r w:rsidR="00C634A0" w:rsidRPr="00DE3A6F">
        <w:rPr>
          <w:noProof/>
        </w:rPr>
        <w:fldChar w:fldCharType="end"/>
      </w:r>
      <w:r w:rsidRPr="00DE3A6F">
        <w:rPr>
          <w:noProof/>
        </w:rPr>
        <w:t xml:space="preserve">: </w:t>
      </w:r>
      <w:r w:rsidR="00A422B5" w:rsidRPr="00DE3A6F">
        <w:rPr>
          <w:noProof/>
        </w:rPr>
        <w:t xml:space="preserve">Types of </w:t>
      </w:r>
      <w:r w:rsidR="002E0238" w:rsidRPr="00DE3A6F">
        <w:rPr>
          <w:noProof/>
        </w:rPr>
        <w:t xml:space="preserve">text </w:t>
      </w:r>
      <w:r w:rsidR="00A422B5" w:rsidRPr="00DE3A6F">
        <w:rPr>
          <w:noProof/>
        </w:rPr>
        <w:t xml:space="preserve">box used </w:t>
      </w:r>
      <w:r w:rsidR="002E0238" w:rsidRPr="00DE3A6F">
        <w:rPr>
          <w:noProof/>
        </w:rPr>
        <w:t xml:space="preserve">to highlight key </w:t>
      </w:r>
      <w:r w:rsidR="00A422B5" w:rsidRPr="00DE3A6F">
        <w:rPr>
          <w:noProof/>
        </w:rPr>
        <w:t>aspects</w:t>
      </w:r>
    </w:p>
    <w:p w14:paraId="73A61F9A" w14:textId="2965BBF6" w:rsidR="00A422B5" w:rsidRPr="00DE3A6F" w:rsidRDefault="00A422B5" w:rsidP="00A422B5">
      <w:pPr>
        <w:rPr>
          <w:noProof/>
        </w:rPr>
      </w:pPr>
      <w:r w:rsidRPr="00737CC7">
        <w:rPr>
          <w:noProof/>
        </w:rPr>
        <w:drawing>
          <wp:inline distT="0" distB="0" distL="0" distR="0" wp14:anchorId="3EE8956C" wp14:editId="40FEBDF7">
            <wp:extent cx="5472430" cy="3192145"/>
            <wp:effectExtent l="19050" t="0" r="13970" b="27305"/>
            <wp:docPr id="1542413287" name="Diagram 12" descr="The figure represents a matrix, each quadrant mentioning one of the four types of text box used in the document to highlight some key aspects. The four boxes mentioned are: 1) Methodological note; 2) Focus point; 3) Snapshot; 4) Recommendat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5A2EFD9D" w14:textId="43CF8CF0" w:rsidR="00372010" w:rsidRPr="00DE3A6F" w:rsidRDefault="00372010" w:rsidP="00A422B5">
      <w:pPr>
        <w:rPr>
          <w:noProof/>
        </w:rPr>
      </w:pPr>
      <w:r w:rsidRPr="00737CC7">
        <w:rPr>
          <w:b/>
          <w:bCs/>
          <w:noProof/>
        </w:rPr>
        <w:t>Methodological notes</w:t>
      </w:r>
      <w:r w:rsidRPr="00737CC7">
        <w:rPr>
          <w:noProof/>
        </w:rPr>
        <w:t xml:space="preserve"> explain specific aspects of the dataset underpinning the indicators presented in a given section.</w:t>
      </w:r>
    </w:p>
    <w:p w14:paraId="5EC13347" w14:textId="287492CF" w:rsidR="00372010" w:rsidRPr="00DE3A6F" w:rsidRDefault="00372010" w:rsidP="00A422B5">
      <w:pPr>
        <w:rPr>
          <w:noProof/>
        </w:rPr>
      </w:pPr>
      <w:r w:rsidRPr="00737CC7">
        <w:rPr>
          <w:b/>
          <w:bCs/>
          <w:noProof/>
        </w:rPr>
        <w:t>Focus points</w:t>
      </w:r>
      <w:r w:rsidR="00C8402D" w:rsidRPr="00737CC7">
        <w:rPr>
          <w:b/>
          <w:bCs/>
          <w:noProof/>
        </w:rPr>
        <w:t xml:space="preserve"> </w:t>
      </w:r>
      <w:r w:rsidR="00632F36" w:rsidRPr="00737CC7">
        <w:rPr>
          <w:noProof/>
        </w:rPr>
        <w:t xml:space="preserve">highlight </w:t>
      </w:r>
      <w:r w:rsidR="00807846" w:rsidRPr="00737CC7">
        <w:rPr>
          <w:noProof/>
        </w:rPr>
        <w:t xml:space="preserve">key findings or implications arising </w:t>
      </w:r>
      <w:r w:rsidR="002646C5" w:rsidRPr="00737CC7">
        <w:rPr>
          <w:noProof/>
        </w:rPr>
        <w:t xml:space="preserve">from </w:t>
      </w:r>
      <w:r w:rsidR="00632F36" w:rsidRPr="00737CC7">
        <w:rPr>
          <w:noProof/>
        </w:rPr>
        <w:t xml:space="preserve">the </w:t>
      </w:r>
      <w:r w:rsidR="002646C5" w:rsidRPr="00737CC7">
        <w:rPr>
          <w:noProof/>
        </w:rPr>
        <w:t>preceding analysis</w:t>
      </w:r>
      <w:r w:rsidR="00D85E90" w:rsidRPr="00737CC7">
        <w:rPr>
          <w:noProof/>
        </w:rPr>
        <w:t xml:space="preserve">. They may </w:t>
      </w:r>
      <w:r w:rsidR="00A74839" w:rsidRPr="00737CC7">
        <w:rPr>
          <w:noProof/>
        </w:rPr>
        <w:t xml:space="preserve">also indicate potential future </w:t>
      </w:r>
      <w:r w:rsidR="00D85E90" w:rsidRPr="00737CC7">
        <w:rPr>
          <w:noProof/>
        </w:rPr>
        <w:t>action by the Commission</w:t>
      </w:r>
      <w:r w:rsidR="00211282" w:rsidRPr="00737CC7">
        <w:rPr>
          <w:noProof/>
        </w:rPr>
        <w:t>.</w:t>
      </w:r>
    </w:p>
    <w:p w14:paraId="4EAEC6D4" w14:textId="046CDF45" w:rsidR="002646C5" w:rsidRPr="00DE3A6F" w:rsidRDefault="002646C5" w:rsidP="00A422B5">
      <w:pPr>
        <w:rPr>
          <w:noProof/>
        </w:rPr>
      </w:pPr>
      <w:r w:rsidRPr="00DE3A6F">
        <w:rPr>
          <w:b/>
          <w:bCs/>
          <w:noProof/>
        </w:rPr>
        <w:lastRenderedPageBreak/>
        <w:t>Snapshots</w:t>
      </w:r>
      <w:r w:rsidRPr="00DE3A6F">
        <w:rPr>
          <w:noProof/>
        </w:rPr>
        <w:t xml:space="preserve"> </w:t>
      </w:r>
      <w:r w:rsidR="00937468" w:rsidRPr="00DE3A6F">
        <w:rPr>
          <w:noProof/>
        </w:rPr>
        <w:t xml:space="preserve">provide </w:t>
      </w:r>
      <w:r w:rsidR="00A74839" w:rsidRPr="00DE3A6F">
        <w:rPr>
          <w:noProof/>
        </w:rPr>
        <w:t xml:space="preserve">supplementary </w:t>
      </w:r>
      <w:r w:rsidR="00937468" w:rsidRPr="00DE3A6F">
        <w:rPr>
          <w:noProof/>
        </w:rPr>
        <w:t xml:space="preserve">information </w:t>
      </w:r>
      <w:r w:rsidR="008244CD" w:rsidRPr="00DE3A6F">
        <w:rPr>
          <w:noProof/>
        </w:rPr>
        <w:t xml:space="preserve">on a specific topic </w:t>
      </w:r>
      <w:r w:rsidR="004924B3" w:rsidRPr="00DE3A6F">
        <w:rPr>
          <w:noProof/>
        </w:rPr>
        <w:t xml:space="preserve">linked to </w:t>
      </w:r>
      <w:r w:rsidR="008244CD" w:rsidRPr="00DE3A6F">
        <w:rPr>
          <w:noProof/>
        </w:rPr>
        <w:t xml:space="preserve">the section in which they </w:t>
      </w:r>
      <w:r w:rsidR="00D26BB8" w:rsidRPr="00DE3A6F">
        <w:rPr>
          <w:noProof/>
        </w:rPr>
        <w:t>appear</w:t>
      </w:r>
      <w:r w:rsidR="008244CD" w:rsidRPr="00DE3A6F">
        <w:rPr>
          <w:noProof/>
        </w:rPr>
        <w:t xml:space="preserve">. </w:t>
      </w:r>
    </w:p>
    <w:p w14:paraId="55AA6131" w14:textId="18CCC2AA" w:rsidR="00F1330C" w:rsidRPr="00DE3A6F" w:rsidRDefault="00F1330C" w:rsidP="00A422B5">
      <w:pPr>
        <w:rPr>
          <w:noProof/>
        </w:rPr>
      </w:pPr>
      <w:r w:rsidRPr="00737CC7">
        <w:rPr>
          <w:b/>
          <w:bCs/>
          <w:noProof/>
        </w:rPr>
        <w:t xml:space="preserve">Recommendations </w:t>
      </w:r>
      <w:r w:rsidRPr="00737CC7">
        <w:rPr>
          <w:noProof/>
        </w:rPr>
        <w:t xml:space="preserve">are </w:t>
      </w:r>
      <w:r w:rsidR="00D26BB8" w:rsidRPr="00737CC7">
        <w:rPr>
          <w:noProof/>
        </w:rPr>
        <w:t xml:space="preserve">included </w:t>
      </w:r>
      <w:r w:rsidRPr="00737CC7">
        <w:rPr>
          <w:noProof/>
        </w:rPr>
        <w:t xml:space="preserve">in the final section of the report and </w:t>
      </w:r>
      <w:r w:rsidR="00D85E90" w:rsidRPr="00737CC7">
        <w:rPr>
          <w:noProof/>
        </w:rPr>
        <w:t xml:space="preserve">are addressed to </w:t>
      </w:r>
      <w:r w:rsidR="00D85E90" w:rsidRPr="00737CC7">
        <w:rPr>
          <w:b/>
          <w:bCs/>
          <w:noProof/>
        </w:rPr>
        <w:t>Member States</w:t>
      </w:r>
      <w:r w:rsidR="005843AC" w:rsidRPr="00737CC7">
        <w:rPr>
          <w:noProof/>
        </w:rPr>
        <w:t>,</w:t>
      </w:r>
      <w:r w:rsidR="00D85E90" w:rsidRPr="00737CC7">
        <w:rPr>
          <w:noProof/>
        </w:rPr>
        <w:t xml:space="preserve"> </w:t>
      </w:r>
      <w:r w:rsidR="005843AC" w:rsidRPr="00737CC7">
        <w:rPr>
          <w:noProof/>
        </w:rPr>
        <w:t>based on</w:t>
      </w:r>
      <w:r w:rsidR="00D85E90" w:rsidRPr="00737CC7">
        <w:rPr>
          <w:noProof/>
        </w:rPr>
        <w:t xml:space="preserve"> </w:t>
      </w:r>
      <w:r w:rsidR="00211282" w:rsidRPr="00737CC7">
        <w:rPr>
          <w:noProof/>
        </w:rPr>
        <w:t xml:space="preserve">the </w:t>
      </w:r>
      <w:r w:rsidR="5C5A0300" w:rsidRPr="00737CC7">
        <w:rPr>
          <w:noProof/>
        </w:rPr>
        <w:t>preceding</w:t>
      </w:r>
      <w:r w:rsidR="00211282" w:rsidRPr="00737CC7">
        <w:rPr>
          <w:noProof/>
        </w:rPr>
        <w:t xml:space="preserve"> conclusions.</w:t>
      </w:r>
    </w:p>
    <w:p w14:paraId="47382EC8" w14:textId="59911D67" w:rsidR="0048430C" w:rsidRPr="00DE3A6F" w:rsidRDefault="000D6EFA" w:rsidP="044E42F4">
      <w:pPr>
        <w:rPr>
          <w:noProof/>
        </w:rPr>
      </w:pPr>
      <w:r w:rsidRPr="00DE3A6F">
        <w:rPr>
          <w:noProof/>
        </w:rPr>
        <w:br w:type="page"/>
      </w:r>
    </w:p>
    <w:p w14:paraId="5B9A37DE" w14:textId="42B12A30" w:rsidR="0048430C" w:rsidRPr="00DE3A6F" w:rsidRDefault="73BF7929" w:rsidP="00B147F9">
      <w:pPr>
        <w:pStyle w:val="Heading1"/>
        <w:rPr>
          <w:noProof/>
        </w:rPr>
      </w:pPr>
      <w:bookmarkStart w:id="24" w:name="_The_EU_anti-fraud"/>
      <w:bookmarkStart w:id="25" w:name="_Toc234447048"/>
      <w:bookmarkEnd w:id="24"/>
      <w:r w:rsidRPr="00737CC7">
        <w:rPr>
          <w:noProof/>
        </w:rPr>
        <w:lastRenderedPageBreak/>
        <w:t>Main developments in the protection of the EU’s financial interests in 2025</w:t>
      </w:r>
      <w:bookmarkEnd w:id="25"/>
    </w:p>
    <w:p w14:paraId="32007357" w14:textId="761E443D" w:rsidR="003B5612" w:rsidRPr="00DE3A6F" w:rsidRDefault="2AA69D5B" w:rsidP="00A01F05">
      <w:pPr>
        <w:pStyle w:val="Heading2"/>
        <w:rPr>
          <w:noProof/>
        </w:rPr>
      </w:pPr>
      <w:bookmarkStart w:id="26" w:name="_The_internal_layer"/>
      <w:bookmarkStart w:id="27" w:name="_Toc234447049"/>
      <w:bookmarkEnd w:id="26"/>
      <w:r w:rsidRPr="00DE3A6F">
        <w:rPr>
          <w:noProof/>
        </w:rPr>
        <w:t>Strengthening the legal f</w:t>
      </w:r>
      <w:r w:rsidR="007020EC" w:rsidRPr="00DE3A6F">
        <w:rPr>
          <w:noProof/>
        </w:rPr>
        <w:t>ramework</w:t>
      </w:r>
      <w:bookmarkEnd w:id="27"/>
    </w:p>
    <w:p w14:paraId="56558EDF" w14:textId="03398603" w:rsidR="00F20EAB" w:rsidRPr="00DE3A6F" w:rsidRDefault="00F20EAB" w:rsidP="00F43E85">
      <w:pPr>
        <w:pStyle w:val="Heading3"/>
        <w:rPr>
          <w:noProof/>
        </w:rPr>
      </w:pPr>
      <w:bookmarkStart w:id="28" w:name="_Toc134557979"/>
      <w:bookmarkStart w:id="29" w:name="_Toc202011317"/>
      <w:bookmarkStart w:id="30" w:name="_Toc234447050"/>
      <w:r w:rsidRPr="00DE3A6F">
        <w:rPr>
          <w:noProof/>
        </w:rPr>
        <w:t xml:space="preserve">The </w:t>
      </w:r>
      <w:bookmarkEnd w:id="28"/>
      <w:bookmarkEnd w:id="29"/>
      <w:r w:rsidR="000D6EFA" w:rsidRPr="00DE3A6F">
        <w:rPr>
          <w:noProof/>
        </w:rPr>
        <w:t>legislative proposal for the next MFF</w:t>
      </w:r>
      <w:bookmarkEnd w:id="30"/>
    </w:p>
    <w:p w14:paraId="388D387A" w14:textId="0E04846C" w:rsidR="00D87506" w:rsidRPr="00DE3A6F" w:rsidRDefault="6FA7B396" w:rsidP="221E107C">
      <w:pPr>
        <w:spacing w:before="40" w:after="160" w:line="288" w:lineRule="auto"/>
        <w:rPr>
          <w:noProof/>
        </w:rPr>
      </w:pPr>
      <w:r w:rsidRPr="00737CC7">
        <w:rPr>
          <w:noProof/>
        </w:rPr>
        <w:t xml:space="preserve">On </w:t>
      </w:r>
      <w:r w:rsidR="00AC0E53" w:rsidRPr="00737CC7">
        <w:rPr>
          <w:noProof/>
        </w:rPr>
        <w:t>16 </w:t>
      </w:r>
      <w:r w:rsidRPr="00737CC7">
        <w:rPr>
          <w:noProof/>
        </w:rPr>
        <w:t xml:space="preserve">July 2025, the Commission </w:t>
      </w:r>
      <w:r w:rsidR="37F644D7" w:rsidRPr="00737CC7">
        <w:rPr>
          <w:noProof/>
        </w:rPr>
        <w:t xml:space="preserve">adopted </w:t>
      </w:r>
      <w:r w:rsidRPr="00737CC7">
        <w:rPr>
          <w:noProof/>
        </w:rPr>
        <w:t xml:space="preserve">its first set of legislative proposals for the 2028-2034 </w:t>
      </w:r>
      <w:r w:rsidR="00BE25B0" w:rsidRPr="00737CC7">
        <w:rPr>
          <w:noProof/>
        </w:rPr>
        <w:t xml:space="preserve">multiannual financial framework </w:t>
      </w:r>
      <w:r w:rsidRPr="00737CC7">
        <w:rPr>
          <w:noProof/>
        </w:rPr>
        <w:t xml:space="preserve">(MFF), followed by a second set of sectoral proposals on </w:t>
      </w:r>
      <w:r w:rsidR="00BE25B0" w:rsidRPr="00737CC7">
        <w:rPr>
          <w:noProof/>
        </w:rPr>
        <w:t>3 </w:t>
      </w:r>
      <w:r w:rsidRPr="00737CC7">
        <w:rPr>
          <w:noProof/>
        </w:rPr>
        <w:t xml:space="preserve">September 2025. Together, these proposals </w:t>
      </w:r>
      <w:r w:rsidR="00BE25B0" w:rsidRPr="00737CC7">
        <w:rPr>
          <w:noProof/>
        </w:rPr>
        <w:t xml:space="preserve">create </w:t>
      </w:r>
      <w:r w:rsidRPr="00737CC7">
        <w:rPr>
          <w:noProof/>
        </w:rPr>
        <w:t xml:space="preserve">the strategic </w:t>
      </w:r>
      <w:r w:rsidR="6893280F" w:rsidRPr="00737CC7">
        <w:rPr>
          <w:noProof/>
        </w:rPr>
        <w:t>basis</w:t>
      </w:r>
      <w:r w:rsidR="4F894375" w:rsidRPr="00737CC7">
        <w:rPr>
          <w:noProof/>
        </w:rPr>
        <w:t xml:space="preserve"> </w:t>
      </w:r>
      <w:r w:rsidRPr="00737CC7">
        <w:rPr>
          <w:noProof/>
        </w:rPr>
        <w:t>for the E</w:t>
      </w:r>
      <w:r w:rsidR="2D5EA5B2" w:rsidRPr="00737CC7">
        <w:rPr>
          <w:noProof/>
        </w:rPr>
        <w:t>U</w:t>
      </w:r>
      <w:r w:rsidRPr="00737CC7">
        <w:rPr>
          <w:noProof/>
        </w:rPr>
        <w:t xml:space="preserve">’s future financial </w:t>
      </w:r>
      <w:r w:rsidR="7E029CAD" w:rsidRPr="00737CC7">
        <w:rPr>
          <w:noProof/>
        </w:rPr>
        <w:t xml:space="preserve">programming </w:t>
      </w:r>
      <w:r w:rsidRPr="00737CC7">
        <w:rPr>
          <w:noProof/>
        </w:rPr>
        <w:t>and prioriti</w:t>
      </w:r>
      <w:r w:rsidR="41500C83" w:rsidRPr="00737CC7">
        <w:rPr>
          <w:noProof/>
        </w:rPr>
        <w:t>sation</w:t>
      </w:r>
      <w:r w:rsidRPr="00737CC7">
        <w:rPr>
          <w:noProof/>
        </w:rPr>
        <w:t xml:space="preserve"> </w:t>
      </w:r>
      <w:r w:rsidR="4F894375" w:rsidRPr="00737CC7">
        <w:rPr>
          <w:noProof/>
        </w:rPr>
        <w:t xml:space="preserve">over </w:t>
      </w:r>
      <w:r w:rsidRPr="00737CC7">
        <w:rPr>
          <w:noProof/>
        </w:rPr>
        <w:t xml:space="preserve">the next </w:t>
      </w:r>
      <w:r w:rsidR="00C64AF0" w:rsidRPr="00737CC7">
        <w:rPr>
          <w:noProof/>
        </w:rPr>
        <w:t>seven</w:t>
      </w:r>
      <w:r w:rsidRPr="00737CC7">
        <w:rPr>
          <w:noProof/>
        </w:rPr>
        <w:t>-year budget period.</w:t>
      </w:r>
    </w:p>
    <w:p w14:paraId="4784D086" w14:textId="5A9AB232" w:rsidR="00D87506" w:rsidRPr="00DE3A6F" w:rsidRDefault="41500C83" w:rsidP="221E107C">
      <w:pPr>
        <w:spacing w:before="40" w:after="160" w:line="288" w:lineRule="auto"/>
        <w:rPr>
          <w:noProof/>
        </w:rPr>
      </w:pPr>
      <w:r w:rsidRPr="00737CC7">
        <w:rPr>
          <w:noProof/>
        </w:rPr>
        <w:t xml:space="preserve">The </w:t>
      </w:r>
      <w:r w:rsidR="00641FE8">
        <w:rPr>
          <w:noProof/>
        </w:rPr>
        <w:t xml:space="preserve">MFF </w:t>
      </w:r>
      <w:r w:rsidR="00D07898" w:rsidRPr="00737CC7">
        <w:rPr>
          <w:noProof/>
        </w:rPr>
        <w:t xml:space="preserve">proposal represents </w:t>
      </w:r>
      <w:r w:rsidRPr="00737CC7">
        <w:rPr>
          <w:noProof/>
        </w:rPr>
        <w:t xml:space="preserve">an ambitious </w:t>
      </w:r>
      <w:r w:rsidR="00D07898" w:rsidRPr="00737CC7">
        <w:rPr>
          <w:noProof/>
        </w:rPr>
        <w:t xml:space="preserve">reform </w:t>
      </w:r>
      <w:r w:rsidRPr="00737CC7">
        <w:rPr>
          <w:noProof/>
        </w:rPr>
        <w:t xml:space="preserve">of EU funding, with a budget </w:t>
      </w:r>
      <w:r w:rsidR="007E6F70" w:rsidRPr="00737CC7">
        <w:rPr>
          <w:noProof/>
        </w:rPr>
        <w:t>of nearly</w:t>
      </w:r>
      <w:r w:rsidRPr="00737CC7">
        <w:rPr>
          <w:noProof/>
        </w:rPr>
        <w:t xml:space="preserve"> </w:t>
      </w:r>
      <w:r w:rsidR="00E32E6F" w:rsidRPr="00737CC7">
        <w:rPr>
          <w:noProof/>
        </w:rPr>
        <w:t>EUR </w:t>
      </w:r>
      <w:r w:rsidRPr="00737CC7">
        <w:rPr>
          <w:noProof/>
        </w:rPr>
        <w:t>2 trillion</w:t>
      </w:r>
      <w:r w:rsidR="00641FE8">
        <w:rPr>
          <w:noProof/>
        </w:rPr>
        <w:t xml:space="preserve"> in current prices</w:t>
      </w:r>
      <w:r w:rsidRPr="00737CC7">
        <w:rPr>
          <w:noProof/>
        </w:rPr>
        <w:t xml:space="preserve">. The Commission </w:t>
      </w:r>
      <w:r w:rsidR="007E6F70" w:rsidRPr="00737CC7">
        <w:rPr>
          <w:noProof/>
        </w:rPr>
        <w:t>aims to make the</w:t>
      </w:r>
      <w:r w:rsidRPr="00737CC7">
        <w:rPr>
          <w:noProof/>
        </w:rPr>
        <w:t xml:space="preserve"> framework simpler, more </w:t>
      </w:r>
      <w:r w:rsidR="007E6F70" w:rsidRPr="00737CC7">
        <w:rPr>
          <w:noProof/>
        </w:rPr>
        <w:t xml:space="preserve">flexible </w:t>
      </w:r>
      <w:r w:rsidRPr="00737CC7">
        <w:rPr>
          <w:noProof/>
        </w:rPr>
        <w:t xml:space="preserve">and better </w:t>
      </w:r>
      <w:r w:rsidR="00104F80" w:rsidRPr="00737CC7">
        <w:rPr>
          <w:noProof/>
        </w:rPr>
        <w:t>aligned with</w:t>
      </w:r>
      <w:r w:rsidRPr="00737CC7">
        <w:rPr>
          <w:noProof/>
        </w:rPr>
        <w:t xml:space="preserve"> local and regional </w:t>
      </w:r>
      <w:r w:rsidR="00104F80" w:rsidRPr="00737CC7">
        <w:rPr>
          <w:noProof/>
        </w:rPr>
        <w:t>needs</w:t>
      </w:r>
      <w:r w:rsidRPr="00737CC7">
        <w:rPr>
          <w:noProof/>
        </w:rPr>
        <w:t xml:space="preserve">. </w:t>
      </w:r>
      <w:r w:rsidR="00104F80" w:rsidRPr="00737CC7">
        <w:rPr>
          <w:noProof/>
        </w:rPr>
        <w:t>I</w:t>
      </w:r>
      <w:r w:rsidRPr="00737CC7">
        <w:rPr>
          <w:noProof/>
        </w:rPr>
        <w:t xml:space="preserve">t also </w:t>
      </w:r>
      <w:r w:rsidR="00104F80" w:rsidRPr="00737CC7">
        <w:rPr>
          <w:noProof/>
        </w:rPr>
        <w:t xml:space="preserve">introduces </w:t>
      </w:r>
      <w:r w:rsidR="00024453" w:rsidRPr="00737CC7">
        <w:rPr>
          <w:noProof/>
        </w:rPr>
        <w:t xml:space="preserve">a </w:t>
      </w:r>
      <w:r w:rsidRPr="00737CC7">
        <w:rPr>
          <w:noProof/>
        </w:rPr>
        <w:t>shift toward</w:t>
      </w:r>
      <w:r w:rsidR="00024453" w:rsidRPr="00737CC7">
        <w:rPr>
          <w:noProof/>
        </w:rPr>
        <w:t>s</w:t>
      </w:r>
      <w:r w:rsidRPr="00737CC7">
        <w:rPr>
          <w:noProof/>
        </w:rPr>
        <w:t xml:space="preserve"> performance-based </w:t>
      </w:r>
      <w:r w:rsidR="00024453" w:rsidRPr="00737CC7">
        <w:rPr>
          <w:noProof/>
        </w:rPr>
        <w:t>funding</w:t>
      </w:r>
      <w:r w:rsidRPr="00737CC7">
        <w:rPr>
          <w:noProof/>
        </w:rPr>
        <w:t xml:space="preserve">, building on </w:t>
      </w:r>
      <w:r w:rsidR="00E32E6F" w:rsidRPr="00737CC7">
        <w:rPr>
          <w:noProof/>
        </w:rPr>
        <w:t xml:space="preserve">aspects </w:t>
      </w:r>
      <w:r w:rsidRPr="00737CC7">
        <w:rPr>
          <w:noProof/>
        </w:rPr>
        <w:t xml:space="preserve">of the </w:t>
      </w:r>
      <w:r w:rsidR="00024453" w:rsidRPr="00737CC7">
        <w:rPr>
          <w:noProof/>
        </w:rPr>
        <w:t>Recovery and Resilience Facility (</w:t>
      </w:r>
      <w:r w:rsidRPr="00737CC7">
        <w:rPr>
          <w:noProof/>
        </w:rPr>
        <w:t>RRF</w:t>
      </w:r>
      <w:r w:rsidR="00024453" w:rsidRPr="00737CC7">
        <w:rPr>
          <w:noProof/>
        </w:rPr>
        <w:t>)</w:t>
      </w:r>
      <w:r w:rsidRPr="00737CC7">
        <w:rPr>
          <w:noProof/>
        </w:rPr>
        <w:t xml:space="preserve">, where Member States receive funds subject to </w:t>
      </w:r>
      <w:r w:rsidR="00E32E6F" w:rsidRPr="00737CC7">
        <w:rPr>
          <w:noProof/>
        </w:rPr>
        <w:t xml:space="preserve">achieving </w:t>
      </w:r>
      <w:r w:rsidR="00CC1204" w:rsidRPr="00737CC7">
        <w:rPr>
          <w:noProof/>
        </w:rPr>
        <w:t xml:space="preserve">predefined </w:t>
      </w:r>
      <w:r w:rsidRPr="00737CC7">
        <w:rPr>
          <w:noProof/>
        </w:rPr>
        <w:t xml:space="preserve">milestones and targets </w:t>
      </w:r>
      <w:r w:rsidR="00CC1204" w:rsidRPr="00737CC7">
        <w:rPr>
          <w:noProof/>
        </w:rPr>
        <w:t xml:space="preserve">set out </w:t>
      </w:r>
      <w:r w:rsidRPr="00737CC7">
        <w:rPr>
          <w:noProof/>
        </w:rPr>
        <w:t xml:space="preserve">in their national </w:t>
      </w:r>
      <w:r w:rsidR="00D47A0E">
        <w:rPr>
          <w:noProof/>
        </w:rPr>
        <w:t xml:space="preserve">and regional partnership </w:t>
      </w:r>
      <w:r w:rsidRPr="00737CC7">
        <w:rPr>
          <w:noProof/>
        </w:rPr>
        <w:t xml:space="preserve">plans. This marks a </w:t>
      </w:r>
      <w:r w:rsidR="00CC1204" w:rsidRPr="00737CC7">
        <w:rPr>
          <w:noProof/>
        </w:rPr>
        <w:t xml:space="preserve">departure </w:t>
      </w:r>
      <w:r w:rsidRPr="00737CC7">
        <w:rPr>
          <w:noProof/>
        </w:rPr>
        <w:t xml:space="preserve">from traditional cost-based </w:t>
      </w:r>
      <w:r w:rsidR="006E19F1">
        <w:rPr>
          <w:noProof/>
        </w:rPr>
        <w:t xml:space="preserve">funding </w:t>
      </w:r>
      <w:r w:rsidR="005F6782" w:rsidRPr="00737CC7">
        <w:rPr>
          <w:noProof/>
        </w:rPr>
        <w:t>in favour of a result-oriented approach</w:t>
      </w:r>
      <w:r w:rsidRPr="00737CC7">
        <w:rPr>
          <w:noProof/>
        </w:rPr>
        <w:t>.</w:t>
      </w:r>
      <w:r w:rsidR="00AC4BC6">
        <w:rPr>
          <w:noProof/>
        </w:rPr>
        <w:t xml:space="preserve"> </w:t>
      </w:r>
      <w:r w:rsidR="00E84C11">
        <w:rPr>
          <w:noProof/>
          <w:lang w:val="en-US"/>
        </w:rPr>
        <w:t xml:space="preserve">In addition, the single audit </w:t>
      </w:r>
      <w:r w:rsidR="002215C2">
        <w:rPr>
          <w:noProof/>
          <w:lang w:val="en-US"/>
        </w:rPr>
        <w:t>principle</w:t>
      </w:r>
      <w:r w:rsidR="00E84C11">
        <w:rPr>
          <w:noProof/>
          <w:lang w:val="en-US"/>
        </w:rPr>
        <w:t xml:space="preserve"> places the effective functioning </w:t>
      </w:r>
      <w:r w:rsidR="00184380">
        <w:rPr>
          <w:noProof/>
          <w:lang w:val="en-US"/>
        </w:rPr>
        <w:t>of Member</w:t>
      </w:r>
      <w:r w:rsidR="00E84C11">
        <w:rPr>
          <w:noProof/>
          <w:lang w:val="en-US"/>
        </w:rPr>
        <w:t xml:space="preserve"> States’ management and control systems in the </w:t>
      </w:r>
      <w:r w:rsidR="00B16B95">
        <w:rPr>
          <w:noProof/>
          <w:lang w:val="en-US"/>
        </w:rPr>
        <w:t>center</w:t>
      </w:r>
      <w:r w:rsidR="00E84C11">
        <w:rPr>
          <w:noProof/>
          <w:lang w:val="en-US"/>
        </w:rPr>
        <w:t xml:space="preserve"> of the protection of the EU financial interests.</w:t>
      </w:r>
    </w:p>
    <w:p w14:paraId="4C2527AD" w14:textId="25C4467F" w:rsidR="00D87506" w:rsidRPr="00DE3A6F" w:rsidRDefault="00AF0877" w:rsidP="221E107C">
      <w:pPr>
        <w:spacing w:before="40" w:after="160" w:line="288" w:lineRule="auto"/>
        <w:rPr>
          <w:noProof/>
        </w:rPr>
      </w:pPr>
      <w:r w:rsidRPr="00737CC7">
        <w:rPr>
          <w:noProof/>
        </w:rPr>
        <w:t>T</w:t>
      </w:r>
      <w:r w:rsidR="1231A006" w:rsidRPr="00737CC7">
        <w:rPr>
          <w:noProof/>
        </w:rPr>
        <w:t xml:space="preserve">he new structure is designed to be more flexible, </w:t>
      </w:r>
      <w:r w:rsidR="00DA166D" w:rsidRPr="00737CC7">
        <w:rPr>
          <w:noProof/>
        </w:rPr>
        <w:t xml:space="preserve">with </w:t>
      </w:r>
      <w:r w:rsidR="1231A006" w:rsidRPr="00737CC7">
        <w:rPr>
          <w:noProof/>
        </w:rPr>
        <w:t xml:space="preserve">the number of budget headings </w:t>
      </w:r>
      <w:r w:rsidR="00490BF7" w:rsidRPr="00737CC7">
        <w:rPr>
          <w:noProof/>
        </w:rPr>
        <w:t xml:space="preserve">reduced </w:t>
      </w:r>
      <w:r w:rsidR="1231A006" w:rsidRPr="00737CC7">
        <w:rPr>
          <w:noProof/>
        </w:rPr>
        <w:t xml:space="preserve">from seven to four and numerous existing programmes </w:t>
      </w:r>
      <w:r w:rsidR="00490BF7" w:rsidRPr="00737CC7">
        <w:rPr>
          <w:noProof/>
        </w:rPr>
        <w:t xml:space="preserve">merged </w:t>
      </w:r>
      <w:r w:rsidR="1231A006" w:rsidRPr="00737CC7">
        <w:rPr>
          <w:noProof/>
        </w:rPr>
        <w:t>into larger, integrated funds to improve efficiency</w:t>
      </w:r>
      <w:r w:rsidR="009D2D8F">
        <w:rPr>
          <w:noProof/>
        </w:rPr>
        <w:t xml:space="preserve"> and synergies</w:t>
      </w:r>
      <w:r w:rsidR="1231A006" w:rsidRPr="00737CC7">
        <w:rPr>
          <w:noProof/>
        </w:rPr>
        <w:t xml:space="preserve">. </w:t>
      </w:r>
      <w:r w:rsidR="009E7107" w:rsidRPr="00737CC7">
        <w:rPr>
          <w:noProof/>
        </w:rPr>
        <w:t xml:space="preserve">This </w:t>
      </w:r>
      <w:r w:rsidR="1231A006" w:rsidRPr="00737CC7">
        <w:rPr>
          <w:noProof/>
        </w:rPr>
        <w:t xml:space="preserve">streamlined and flexible </w:t>
      </w:r>
      <w:r w:rsidR="009E7107" w:rsidRPr="00737CC7">
        <w:rPr>
          <w:noProof/>
        </w:rPr>
        <w:t xml:space="preserve">approach </w:t>
      </w:r>
      <w:r w:rsidR="00EA39B9" w:rsidRPr="00737CC7">
        <w:rPr>
          <w:noProof/>
        </w:rPr>
        <w:t xml:space="preserve">should ease </w:t>
      </w:r>
      <w:r w:rsidR="1231A006" w:rsidRPr="00737CC7">
        <w:rPr>
          <w:noProof/>
        </w:rPr>
        <w:t>administrative burden</w:t>
      </w:r>
      <w:r w:rsidR="00EA39B9" w:rsidRPr="00737CC7">
        <w:rPr>
          <w:noProof/>
        </w:rPr>
        <w:t>s</w:t>
      </w:r>
      <w:r w:rsidR="00120ECE" w:rsidRPr="00737CC7">
        <w:rPr>
          <w:noProof/>
        </w:rPr>
        <w:t xml:space="preserve">, strengthen </w:t>
      </w:r>
      <w:r w:rsidR="1231A006" w:rsidRPr="00737CC7">
        <w:rPr>
          <w:noProof/>
        </w:rPr>
        <w:t xml:space="preserve">internal controls, </w:t>
      </w:r>
      <w:r w:rsidR="00120ECE" w:rsidRPr="00737CC7">
        <w:rPr>
          <w:noProof/>
        </w:rPr>
        <w:t xml:space="preserve">and reduce </w:t>
      </w:r>
      <w:r w:rsidR="1231A006" w:rsidRPr="00737CC7">
        <w:rPr>
          <w:noProof/>
        </w:rPr>
        <w:t xml:space="preserve">vulnerabilities. </w:t>
      </w:r>
    </w:p>
    <w:p w14:paraId="3D01198F" w14:textId="66FEA0B5" w:rsidR="00D87506" w:rsidRPr="00DE3A6F" w:rsidRDefault="00B15B8D" w:rsidP="044E42F4">
      <w:pPr>
        <w:spacing w:before="40" w:after="160" w:line="288" w:lineRule="auto"/>
        <w:rPr>
          <w:noProof/>
        </w:rPr>
      </w:pPr>
      <w:r w:rsidRPr="00737CC7">
        <w:rPr>
          <w:noProof/>
        </w:rPr>
        <w:t>T</w:t>
      </w:r>
      <w:r w:rsidR="41500C83" w:rsidRPr="00737CC7">
        <w:rPr>
          <w:noProof/>
        </w:rPr>
        <w:t xml:space="preserve">he new MFF aims to support reforms that strengthen the </w:t>
      </w:r>
      <w:r w:rsidR="00490BF7" w:rsidRPr="00737CC7">
        <w:rPr>
          <w:noProof/>
        </w:rPr>
        <w:t xml:space="preserve">rule of law </w:t>
      </w:r>
      <w:r w:rsidR="41500C83" w:rsidRPr="00737CC7">
        <w:rPr>
          <w:noProof/>
        </w:rPr>
        <w:t xml:space="preserve">in the Member States and </w:t>
      </w:r>
      <w:r w:rsidR="00B5563D" w:rsidRPr="00737CC7">
        <w:rPr>
          <w:noProof/>
        </w:rPr>
        <w:t xml:space="preserve">requires </w:t>
      </w:r>
      <w:r w:rsidR="41500C83" w:rsidRPr="00737CC7">
        <w:rPr>
          <w:noProof/>
        </w:rPr>
        <w:t xml:space="preserve">comprehensive reporting on the final beneficiaries of EU funds. </w:t>
      </w:r>
      <w:r w:rsidR="1D1607E8" w:rsidRPr="00737CC7">
        <w:rPr>
          <w:noProof/>
        </w:rPr>
        <w:t>T</w:t>
      </w:r>
      <w:r w:rsidR="41500C83" w:rsidRPr="00737CC7">
        <w:rPr>
          <w:noProof/>
        </w:rPr>
        <w:t xml:space="preserve">he national and regional partnership plans align EU investments with broader national reform agendas, enhancing management, transparency, and sustainability. </w:t>
      </w:r>
      <w:r w:rsidR="12629B4E" w:rsidRPr="00737CC7">
        <w:rPr>
          <w:noProof/>
        </w:rPr>
        <w:t xml:space="preserve">The proposal </w:t>
      </w:r>
      <w:r w:rsidR="00B5563D" w:rsidRPr="00737CC7">
        <w:rPr>
          <w:noProof/>
        </w:rPr>
        <w:t xml:space="preserve">supplements </w:t>
      </w:r>
      <w:r w:rsidR="12629B4E" w:rsidRPr="00737CC7">
        <w:rPr>
          <w:noProof/>
        </w:rPr>
        <w:t xml:space="preserve">this </w:t>
      </w:r>
      <w:r w:rsidR="704500F3" w:rsidRPr="00737CC7">
        <w:rPr>
          <w:noProof/>
        </w:rPr>
        <w:t>approach</w:t>
      </w:r>
      <w:r w:rsidR="0BF60768" w:rsidRPr="00737CC7">
        <w:rPr>
          <w:noProof/>
        </w:rPr>
        <w:t xml:space="preserve"> with mandatory requirements for Member States to </w:t>
      </w:r>
      <w:r w:rsidR="704500F3" w:rsidRPr="00737CC7">
        <w:rPr>
          <w:noProof/>
        </w:rPr>
        <w:t>report any suspected fraud, corruption, irregularities, conflicts of interest</w:t>
      </w:r>
      <w:r w:rsidR="00345C20" w:rsidRPr="00737CC7">
        <w:rPr>
          <w:noProof/>
        </w:rPr>
        <w:t xml:space="preserve"> or</w:t>
      </w:r>
      <w:r w:rsidR="704500F3" w:rsidRPr="00737CC7">
        <w:rPr>
          <w:noProof/>
        </w:rPr>
        <w:t xml:space="preserve"> double funding</w:t>
      </w:r>
      <w:r w:rsidR="00345C20" w:rsidRPr="00737CC7">
        <w:rPr>
          <w:noProof/>
        </w:rPr>
        <w:t>,</w:t>
      </w:r>
      <w:r w:rsidR="704500F3" w:rsidRPr="00737CC7">
        <w:rPr>
          <w:noProof/>
        </w:rPr>
        <w:t xml:space="preserve"> </w:t>
      </w:r>
      <w:r w:rsidR="00345C20" w:rsidRPr="00737CC7">
        <w:rPr>
          <w:noProof/>
        </w:rPr>
        <w:t xml:space="preserve">while </w:t>
      </w:r>
      <w:r w:rsidR="6B810777" w:rsidRPr="00737CC7">
        <w:rPr>
          <w:noProof/>
        </w:rPr>
        <w:t>adopting comprehensive national anti-fraud strategies, based on risk assessments.</w:t>
      </w:r>
    </w:p>
    <w:p w14:paraId="7FDA3888" w14:textId="6B650394" w:rsidR="310B4DB8" w:rsidRPr="00DE3A6F" w:rsidRDefault="004B1A63" w:rsidP="007146E0">
      <w:pPr>
        <w:pStyle w:val="Caption"/>
        <w:pBdr>
          <w:top w:val="single" w:sz="4" w:space="1" w:color="auto"/>
          <w:left w:val="single" w:sz="4" w:space="4" w:color="auto"/>
          <w:bottom w:val="single" w:sz="4" w:space="1" w:color="auto"/>
          <w:right w:val="single" w:sz="4" w:space="4" w:color="auto"/>
        </w:pBdr>
        <w:shd w:val="clear" w:color="auto" w:fill="FFF2CC" w:themeFill="accent4" w:themeFillTint="33"/>
        <w:rPr>
          <w:b w:val="0"/>
          <w:bCs/>
          <w:i w:val="0"/>
          <w:iCs/>
          <w:noProof/>
          <w:szCs w:val="22"/>
        </w:rPr>
      </w:pPr>
      <w:r w:rsidRPr="00DE3A6F">
        <w:rPr>
          <w:noProof/>
        </w:rPr>
        <w:t xml:space="preserve">Focus point </w:t>
      </w:r>
      <w:r w:rsidR="006B63D6" w:rsidRPr="00DE3A6F">
        <w:rPr>
          <w:noProof/>
        </w:rPr>
        <w:fldChar w:fldCharType="begin"/>
      </w:r>
      <w:r w:rsidR="006B63D6" w:rsidRPr="00DE3A6F">
        <w:rPr>
          <w:noProof/>
        </w:rPr>
        <w:instrText xml:space="preserve"> SEQ Focus_point \* ARABIC </w:instrText>
      </w:r>
      <w:r w:rsidR="006B63D6" w:rsidRPr="00DE3A6F">
        <w:rPr>
          <w:noProof/>
        </w:rPr>
        <w:fldChar w:fldCharType="separate"/>
      </w:r>
      <w:r w:rsidR="006B63D6" w:rsidRPr="00DE3A6F">
        <w:rPr>
          <w:noProof/>
        </w:rPr>
        <w:t>1</w:t>
      </w:r>
      <w:r w:rsidR="006B63D6" w:rsidRPr="00DE3A6F">
        <w:rPr>
          <w:noProof/>
        </w:rPr>
        <w:fldChar w:fldCharType="end"/>
      </w:r>
      <w:r w:rsidR="000E4F07" w:rsidRPr="00DE3A6F">
        <w:rPr>
          <w:noProof/>
        </w:rPr>
        <w:t xml:space="preserve">: </w:t>
      </w:r>
      <w:r w:rsidR="0032778D" w:rsidRPr="00DE3A6F">
        <w:rPr>
          <w:noProof/>
        </w:rPr>
        <w:t xml:space="preserve">Need </w:t>
      </w:r>
      <w:r w:rsidR="007146E0" w:rsidRPr="00DE3A6F">
        <w:rPr>
          <w:noProof/>
        </w:rPr>
        <w:t>for enhanced administrative capacity and coordination</w:t>
      </w:r>
    </w:p>
    <w:p w14:paraId="2C04DCB9" w14:textId="31F7691F" w:rsidR="00D87506" w:rsidRPr="00DE3A6F" w:rsidRDefault="41500C83" w:rsidP="28D37C99">
      <w:pPr>
        <w:pBdr>
          <w:top w:val="single" w:sz="4" w:space="1" w:color="auto"/>
          <w:left w:val="single" w:sz="4" w:space="4" w:color="auto"/>
          <w:bottom w:val="single" w:sz="4" w:space="1" w:color="auto"/>
          <w:right w:val="single" w:sz="4" w:space="4" w:color="auto"/>
        </w:pBdr>
        <w:shd w:val="clear" w:color="auto" w:fill="FFF2CC" w:themeFill="accent4" w:themeFillTint="33"/>
        <w:spacing w:before="40" w:after="160" w:line="288" w:lineRule="auto"/>
        <w:rPr>
          <w:noProof/>
        </w:rPr>
      </w:pPr>
      <w:r w:rsidRPr="00737CC7">
        <w:rPr>
          <w:noProof/>
        </w:rPr>
        <w:t xml:space="preserve">The </w:t>
      </w:r>
      <w:r w:rsidR="1CAEB888" w:rsidRPr="00737CC7">
        <w:rPr>
          <w:noProof/>
        </w:rPr>
        <w:t>proposal for the regulation establishing the European Fund for economic, social and territorial cohesion, agriculture and rural, fisheries</w:t>
      </w:r>
      <w:r w:rsidR="00DE28C8" w:rsidRPr="00737CC7">
        <w:rPr>
          <w:noProof/>
        </w:rPr>
        <w:t xml:space="preserve"> and maritime</w:t>
      </w:r>
      <w:r w:rsidR="1CAEB888" w:rsidRPr="00737CC7">
        <w:rPr>
          <w:noProof/>
        </w:rPr>
        <w:t>,</w:t>
      </w:r>
      <w:r w:rsidR="5506335F" w:rsidRPr="00737CC7">
        <w:rPr>
          <w:noProof/>
        </w:rPr>
        <w:t xml:space="preserve"> prosperity and security, shifts the responsibility for control</w:t>
      </w:r>
      <w:r w:rsidR="00DE28C8" w:rsidRPr="00737CC7">
        <w:rPr>
          <w:noProof/>
        </w:rPr>
        <w:t>ling</w:t>
      </w:r>
      <w:r w:rsidR="5506335F" w:rsidRPr="00737CC7">
        <w:rPr>
          <w:noProof/>
        </w:rPr>
        <w:t xml:space="preserve"> EU f</w:t>
      </w:r>
      <w:r w:rsidR="6A4E4395" w:rsidRPr="00737CC7">
        <w:rPr>
          <w:noProof/>
        </w:rPr>
        <w:t xml:space="preserve">unds managed by the Member States </w:t>
      </w:r>
      <w:r w:rsidR="00942D05" w:rsidRPr="00737CC7">
        <w:rPr>
          <w:noProof/>
        </w:rPr>
        <w:t>to</w:t>
      </w:r>
      <w:r w:rsidR="6A4E4395" w:rsidRPr="00737CC7">
        <w:rPr>
          <w:noProof/>
        </w:rPr>
        <w:t xml:space="preserve"> national authorities. The performance-based delivery model </w:t>
      </w:r>
      <w:r w:rsidR="00415F3C" w:rsidRPr="00737CC7">
        <w:rPr>
          <w:noProof/>
        </w:rPr>
        <w:t xml:space="preserve">will require </w:t>
      </w:r>
      <w:r w:rsidR="00942D05" w:rsidRPr="00737CC7">
        <w:rPr>
          <w:noProof/>
        </w:rPr>
        <w:t xml:space="preserve">stronger </w:t>
      </w:r>
      <w:r w:rsidR="60171F85" w:rsidRPr="00737CC7">
        <w:rPr>
          <w:noProof/>
        </w:rPr>
        <w:t>administrative capa</w:t>
      </w:r>
      <w:r w:rsidR="000E4F07" w:rsidRPr="00737CC7">
        <w:rPr>
          <w:noProof/>
        </w:rPr>
        <w:t>c</w:t>
      </w:r>
      <w:r w:rsidR="60171F85" w:rsidRPr="00737CC7">
        <w:rPr>
          <w:noProof/>
        </w:rPr>
        <w:t xml:space="preserve">ity </w:t>
      </w:r>
      <w:r w:rsidR="001016B4" w:rsidRPr="00737CC7">
        <w:rPr>
          <w:noProof/>
        </w:rPr>
        <w:t>at national level</w:t>
      </w:r>
      <w:r w:rsidR="000B6A15" w:rsidRPr="00737CC7">
        <w:rPr>
          <w:noProof/>
        </w:rPr>
        <w:t xml:space="preserve"> and </w:t>
      </w:r>
      <w:r w:rsidR="006B528B">
        <w:rPr>
          <w:noProof/>
        </w:rPr>
        <w:t xml:space="preserve">close </w:t>
      </w:r>
      <w:r w:rsidR="4A88D1D4" w:rsidRPr="00737CC7">
        <w:rPr>
          <w:noProof/>
        </w:rPr>
        <w:t xml:space="preserve">coordination between the EU and national anti-fraud </w:t>
      </w:r>
      <w:r w:rsidR="00513000" w:rsidRPr="00737CC7">
        <w:rPr>
          <w:noProof/>
        </w:rPr>
        <w:t>bodies</w:t>
      </w:r>
      <w:r w:rsidR="4A88D1D4" w:rsidRPr="00737CC7">
        <w:rPr>
          <w:noProof/>
        </w:rPr>
        <w:t>.</w:t>
      </w:r>
    </w:p>
    <w:p w14:paraId="2C13148A" w14:textId="0C2B425C" w:rsidR="00F20EAB" w:rsidRPr="00DE3A6F" w:rsidRDefault="00B85389" w:rsidP="00F43E85">
      <w:pPr>
        <w:pStyle w:val="Heading3"/>
        <w:rPr>
          <w:noProof/>
        </w:rPr>
      </w:pPr>
      <w:bookmarkStart w:id="31" w:name="_Toc234447051"/>
      <w:r w:rsidRPr="00DE3A6F">
        <w:rPr>
          <w:noProof/>
        </w:rPr>
        <w:lastRenderedPageBreak/>
        <w:t>R</w:t>
      </w:r>
      <w:r w:rsidR="000D6EFA" w:rsidRPr="00DE3A6F">
        <w:rPr>
          <w:noProof/>
        </w:rPr>
        <w:t>eview of the anti-fraud architecture</w:t>
      </w:r>
      <w:bookmarkEnd w:id="31"/>
    </w:p>
    <w:p w14:paraId="6F3F9314" w14:textId="51F6299F" w:rsidR="00306548" w:rsidRPr="00B65A1F" w:rsidRDefault="00E7762B" w:rsidP="28D37C99">
      <w:pPr>
        <w:spacing w:before="40" w:after="160" w:line="288" w:lineRule="auto"/>
        <w:rPr>
          <w:noProof/>
          <w:color w:val="000000" w:themeColor="text1"/>
        </w:rPr>
      </w:pPr>
      <w:r w:rsidRPr="00737CC7">
        <w:rPr>
          <w:noProof/>
        </w:rPr>
        <w:t xml:space="preserve">In July 2025, </w:t>
      </w:r>
      <w:r w:rsidR="00D07C8E" w:rsidRPr="00737CC7">
        <w:rPr>
          <w:noProof/>
        </w:rPr>
        <w:t xml:space="preserve">while presenting </w:t>
      </w:r>
      <w:r w:rsidR="231B32E9" w:rsidRPr="00737CC7">
        <w:rPr>
          <w:noProof/>
        </w:rPr>
        <w:t xml:space="preserve">the first set of proposals for the next MFF, </w:t>
      </w:r>
      <w:r w:rsidR="56C0729D" w:rsidRPr="00737CC7">
        <w:rPr>
          <w:noProof/>
          <w:color w:val="000000" w:themeColor="text1"/>
        </w:rPr>
        <w:t xml:space="preserve">the Commission adopted a White Paper </w:t>
      </w:r>
      <w:r w:rsidR="005D7C3F">
        <w:rPr>
          <w:noProof/>
          <w:color w:val="000000" w:themeColor="text1"/>
        </w:rPr>
        <w:t>for</w:t>
      </w:r>
      <w:r w:rsidR="005D7C3F" w:rsidRPr="00737CC7">
        <w:rPr>
          <w:noProof/>
          <w:color w:val="000000" w:themeColor="text1"/>
        </w:rPr>
        <w:t xml:space="preserve"> </w:t>
      </w:r>
      <w:r w:rsidR="56C0729D" w:rsidRPr="00737CC7">
        <w:rPr>
          <w:noProof/>
          <w:color w:val="000000" w:themeColor="text1"/>
        </w:rPr>
        <w:t>the</w:t>
      </w:r>
      <w:r w:rsidR="00C92069">
        <w:rPr>
          <w:noProof/>
          <w:color w:val="000000" w:themeColor="text1"/>
        </w:rPr>
        <w:t xml:space="preserve"> </w:t>
      </w:r>
      <w:r w:rsidR="00B87627" w:rsidRPr="00737CC7">
        <w:rPr>
          <w:noProof/>
          <w:color w:val="000000" w:themeColor="text1"/>
        </w:rPr>
        <w:t>a</w:t>
      </w:r>
      <w:r w:rsidR="56C0729D" w:rsidRPr="00737CC7">
        <w:rPr>
          <w:noProof/>
          <w:color w:val="000000" w:themeColor="text1"/>
        </w:rPr>
        <w:t>nti-</w:t>
      </w:r>
      <w:r w:rsidR="00B87627" w:rsidRPr="00737CC7">
        <w:rPr>
          <w:noProof/>
          <w:color w:val="000000" w:themeColor="text1"/>
        </w:rPr>
        <w:t>f</w:t>
      </w:r>
      <w:r w:rsidR="56C0729D" w:rsidRPr="00737CC7">
        <w:rPr>
          <w:noProof/>
          <w:color w:val="000000" w:themeColor="text1"/>
        </w:rPr>
        <w:t xml:space="preserve">raud </w:t>
      </w:r>
      <w:r w:rsidR="00B87627" w:rsidRPr="00737CC7">
        <w:rPr>
          <w:noProof/>
          <w:color w:val="000000" w:themeColor="text1"/>
        </w:rPr>
        <w:t>a</w:t>
      </w:r>
      <w:r w:rsidR="56C0729D" w:rsidRPr="00737CC7">
        <w:rPr>
          <w:noProof/>
          <w:color w:val="000000" w:themeColor="text1"/>
        </w:rPr>
        <w:t>rchitecture (AFA</w:t>
      </w:r>
      <w:r w:rsidR="00C92069">
        <w:rPr>
          <w:noProof/>
          <w:color w:val="000000" w:themeColor="text1"/>
        </w:rPr>
        <w:t>)</w:t>
      </w:r>
      <w:r w:rsidR="005D7C3F">
        <w:rPr>
          <w:noProof/>
          <w:color w:val="000000" w:themeColor="text1"/>
        </w:rPr>
        <w:t xml:space="preserve"> review</w:t>
      </w:r>
      <w:r w:rsidR="58F4C8D0" w:rsidRPr="00737CC7">
        <w:rPr>
          <w:noProof/>
          <w:color w:val="000000" w:themeColor="text1"/>
        </w:rPr>
        <w:t> (</w:t>
      </w:r>
      <w:r w:rsidR="00390539" w:rsidRPr="00B65A1F">
        <w:rPr>
          <w:noProof/>
          <w:color w:val="000000" w:themeColor="text1"/>
          <w:vertAlign w:val="superscript"/>
        </w:rPr>
        <w:footnoteReference w:id="19"/>
      </w:r>
      <w:r w:rsidR="58F4C8D0" w:rsidRPr="00B65A1F">
        <w:rPr>
          <w:noProof/>
          <w:color w:val="000000" w:themeColor="text1"/>
        </w:rPr>
        <w:t>)</w:t>
      </w:r>
      <w:r w:rsidR="56C0729D" w:rsidRPr="00B65A1F">
        <w:rPr>
          <w:noProof/>
          <w:color w:val="000000" w:themeColor="text1"/>
        </w:rPr>
        <w:t xml:space="preserve">. </w:t>
      </w:r>
      <w:r w:rsidR="62A0A89F" w:rsidRPr="00B65A1F">
        <w:rPr>
          <w:noProof/>
          <w:color w:val="000000" w:themeColor="text1"/>
        </w:rPr>
        <w:t xml:space="preserve">The review </w:t>
      </w:r>
      <w:r w:rsidR="00B87627" w:rsidRPr="00B65A1F">
        <w:rPr>
          <w:noProof/>
          <w:color w:val="000000" w:themeColor="text1"/>
        </w:rPr>
        <w:t>a</w:t>
      </w:r>
      <w:r w:rsidR="62A0A89F" w:rsidRPr="00B65A1F">
        <w:rPr>
          <w:noProof/>
          <w:color w:val="000000" w:themeColor="text1"/>
        </w:rPr>
        <w:t>i</w:t>
      </w:r>
      <w:r w:rsidR="00B87627" w:rsidRPr="00B65A1F">
        <w:rPr>
          <w:noProof/>
          <w:color w:val="000000" w:themeColor="text1"/>
        </w:rPr>
        <w:t>m</w:t>
      </w:r>
      <w:r w:rsidR="62A0A89F" w:rsidRPr="00B65A1F">
        <w:rPr>
          <w:noProof/>
          <w:color w:val="000000" w:themeColor="text1"/>
        </w:rPr>
        <w:t xml:space="preserve">s to </w:t>
      </w:r>
      <w:r w:rsidR="000C4B8D" w:rsidRPr="00B65A1F">
        <w:rPr>
          <w:noProof/>
          <w:color w:val="000000" w:themeColor="text1"/>
        </w:rPr>
        <w:t xml:space="preserve">help increase </w:t>
      </w:r>
      <w:r w:rsidR="00E41118" w:rsidRPr="00B65A1F">
        <w:rPr>
          <w:noProof/>
          <w:color w:val="000000" w:themeColor="text1"/>
        </w:rPr>
        <w:t xml:space="preserve">the coherence, resilience and effectiveness </w:t>
      </w:r>
      <w:r w:rsidR="00A354DA" w:rsidRPr="00B65A1F">
        <w:rPr>
          <w:noProof/>
          <w:color w:val="000000" w:themeColor="text1"/>
        </w:rPr>
        <w:t>of the EU’s anti-fraud framework</w:t>
      </w:r>
      <w:r w:rsidR="00252FB8" w:rsidRPr="00B65A1F">
        <w:rPr>
          <w:noProof/>
          <w:color w:val="000000" w:themeColor="text1"/>
        </w:rPr>
        <w:t xml:space="preserve">, thereby </w:t>
      </w:r>
      <w:r w:rsidR="00186E97" w:rsidRPr="00B65A1F">
        <w:rPr>
          <w:noProof/>
          <w:color w:val="000000" w:themeColor="text1"/>
        </w:rPr>
        <w:t xml:space="preserve">strengthening </w:t>
      </w:r>
      <w:r w:rsidR="00252FB8" w:rsidRPr="00B65A1F">
        <w:rPr>
          <w:noProof/>
          <w:color w:val="000000" w:themeColor="text1"/>
        </w:rPr>
        <w:t xml:space="preserve">the </w:t>
      </w:r>
      <w:r w:rsidR="62A0A89F" w:rsidRPr="00B65A1F">
        <w:rPr>
          <w:noProof/>
          <w:color w:val="000000" w:themeColor="text1"/>
        </w:rPr>
        <w:t>protection of EU revenue and expenditure.</w:t>
      </w:r>
    </w:p>
    <w:p w14:paraId="2FA03581" w14:textId="13B8D73A" w:rsidR="00992342" w:rsidRPr="00B65A1F" w:rsidRDefault="56C0729D" w:rsidP="28D37C99">
      <w:pPr>
        <w:spacing w:before="40" w:after="160" w:line="288" w:lineRule="auto"/>
        <w:rPr>
          <w:noProof/>
          <w:color w:val="000000" w:themeColor="text1"/>
        </w:rPr>
      </w:pPr>
      <w:r w:rsidRPr="00B65A1F">
        <w:rPr>
          <w:noProof/>
          <w:color w:val="000000" w:themeColor="text1"/>
        </w:rPr>
        <w:t xml:space="preserve">The </w:t>
      </w:r>
      <w:r w:rsidR="4CC0626F" w:rsidRPr="00B65A1F">
        <w:rPr>
          <w:noProof/>
          <w:color w:val="000000" w:themeColor="text1"/>
        </w:rPr>
        <w:t xml:space="preserve">AFA review </w:t>
      </w:r>
      <w:r w:rsidR="00992342" w:rsidRPr="00B65A1F">
        <w:rPr>
          <w:noProof/>
          <w:color w:val="000000" w:themeColor="text1"/>
        </w:rPr>
        <w:t>seeks to modernise</w:t>
      </w:r>
      <w:r w:rsidR="4CC0626F" w:rsidRPr="00B65A1F">
        <w:rPr>
          <w:noProof/>
          <w:color w:val="000000" w:themeColor="text1"/>
        </w:rPr>
        <w:t xml:space="preserve"> the </w:t>
      </w:r>
      <w:r w:rsidRPr="00B65A1F">
        <w:rPr>
          <w:noProof/>
          <w:color w:val="000000" w:themeColor="text1"/>
        </w:rPr>
        <w:t>EU anti-fraud landscape</w:t>
      </w:r>
      <w:r w:rsidR="086C59A0" w:rsidRPr="00B65A1F">
        <w:rPr>
          <w:noProof/>
          <w:color w:val="000000" w:themeColor="text1"/>
        </w:rPr>
        <w:t xml:space="preserve"> in response to </w:t>
      </w:r>
      <w:r w:rsidR="00992342" w:rsidRPr="00B65A1F">
        <w:rPr>
          <w:noProof/>
          <w:color w:val="000000" w:themeColor="text1"/>
        </w:rPr>
        <w:t xml:space="preserve">key </w:t>
      </w:r>
      <w:r w:rsidR="086C59A0" w:rsidRPr="00B65A1F">
        <w:rPr>
          <w:noProof/>
          <w:color w:val="000000" w:themeColor="text1"/>
        </w:rPr>
        <w:t>developments</w:t>
      </w:r>
      <w:r w:rsidR="00992342" w:rsidRPr="00B65A1F">
        <w:rPr>
          <w:noProof/>
          <w:color w:val="000000" w:themeColor="text1"/>
        </w:rPr>
        <w:t>, including:</w:t>
      </w:r>
    </w:p>
    <w:p w14:paraId="0D101F02" w14:textId="7C94D8C4" w:rsidR="007C2235" w:rsidRPr="00DE3A6F" w:rsidRDefault="00442D67" w:rsidP="007C2235">
      <w:pPr>
        <w:pStyle w:val="ListParagraph"/>
        <w:numPr>
          <w:ilvl w:val="0"/>
          <w:numId w:val="52"/>
        </w:numPr>
        <w:spacing w:before="40" w:after="160" w:line="288" w:lineRule="auto"/>
        <w:jc w:val="both"/>
        <w:rPr>
          <w:rFonts w:ascii="Times New Roman" w:hAnsi="Times New Roman"/>
          <w:noProof/>
          <w:color w:val="000000" w:themeColor="text1"/>
        </w:rPr>
      </w:pPr>
      <w:r w:rsidRPr="00DE3A6F">
        <w:rPr>
          <w:rFonts w:ascii="Times New Roman" w:hAnsi="Times New Roman"/>
          <w:noProof/>
          <w:color w:val="000000" w:themeColor="text1"/>
        </w:rPr>
        <w:t>the</w:t>
      </w:r>
      <w:r w:rsidR="086C59A0" w:rsidRPr="00DE3A6F">
        <w:rPr>
          <w:rFonts w:ascii="Times New Roman" w:hAnsi="Times New Roman"/>
          <w:noProof/>
          <w:color w:val="000000" w:themeColor="text1"/>
        </w:rPr>
        <w:t xml:space="preserve"> shift towards performance-based models </w:t>
      </w:r>
      <w:r w:rsidR="007C2235" w:rsidRPr="00DE3A6F">
        <w:rPr>
          <w:rFonts w:ascii="Times New Roman" w:hAnsi="Times New Roman"/>
          <w:noProof/>
          <w:color w:val="000000" w:themeColor="text1"/>
        </w:rPr>
        <w:t xml:space="preserve">in </w:t>
      </w:r>
      <w:r w:rsidR="086C59A0" w:rsidRPr="00DE3A6F">
        <w:rPr>
          <w:rFonts w:ascii="Times New Roman" w:hAnsi="Times New Roman"/>
          <w:noProof/>
          <w:color w:val="000000" w:themeColor="text1"/>
        </w:rPr>
        <w:t xml:space="preserve">the next </w:t>
      </w:r>
      <w:r w:rsidR="56C0729D" w:rsidRPr="00DE3A6F">
        <w:rPr>
          <w:rFonts w:ascii="Times New Roman" w:hAnsi="Times New Roman"/>
          <w:noProof/>
          <w:color w:val="000000" w:themeColor="text1"/>
        </w:rPr>
        <w:t>MFF</w:t>
      </w:r>
      <w:r w:rsidR="007C2235" w:rsidRPr="00DE3A6F">
        <w:rPr>
          <w:rFonts w:ascii="Times New Roman" w:hAnsi="Times New Roman"/>
          <w:noProof/>
          <w:color w:val="000000" w:themeColor="text1"/>
        </w:rPr>
        <w:t>;</w:t>
      </w:r>
    </w:p>
    <w:p w14:paraId="0637A1B2" w14:textId="1565E126" w:rsidR="004772D3" w:rsidRPr="00DE3A6F" w:rsidRDefault="06289D12" w:rsidP="007C2235">
      <w:pPr>
        <w:pStyle w:val="ListParagraph"/>
        <w:numPr>
          <w:ilvl w:val="0"/>
          <w:numId w:val="52"/>
        </w:numPr>
        <w:spacing w:before="40" w:after="160" w:line="288" w:lineRule="auto"/>
        <w:jc w:val="both"/>
        <w:rPr>
          <w:noProof/>
          <w:color w:val="000000" w:themeColor="text1"/>
        </w:rPr>
      </w:pPr>
      <w:r w:rsidRPr="00DE3A6F">
        <w:rPr>
          <w:rFonts w:ascii="Times New Roman" w:hAnsi="Times New Roman"/>
          <w:noProof/>
          <w:color w:val="000000" w:themeColor="text1"/>
        </w:rPr>
        <w:t xml:space="preserve">the </w:t>
      </w:r>
      <w:r w:rsidR="00636FD6">
        <w:rPr>
          <w:rFonts w:ascii="Times New Roman" w:hAnsi="Times New Roman"/>
          <w:noProof/>
          <w:color w:val="000000" w:themeColor="text1"/>
        </w:rPr>
        <w:t>reference to</w:t>
      </w:r>
      <w:r w:rsidR="00285965">
        <w:rPr>
          <w:rFonts w:ascii="Times New Roman" w:hAnsi="Times New Roman"/>
          <w:noProof/>
          <w:color w:val="000000" w:themeColor="text1"/>
        </w:rPr>
        <w:t xml:space="preserve"> </w:t>
      </w:r>
      <w:r w:rsidRPr="00DE3A6F">
        <w:rPr>
          <w:rFonts w:ascii="Times New Roman" w:hAnsi="Times New Roman"/>
          <w:noProof/>
          <w:color w:val="000000" w:themeColor="text1"/>
        </w:rPr>
        <w:t>the Anti-Money Laundering Authority (AMLA)</w:t>
      </w:r>
      <w:r w:rsidR="00B205B8" w:rsidRPr="00DE3A6F">
        <w:rPr>
          <w:rFonts w:ascii="Times New Roman" w:hAnsi="Times New Roman"/>
          <w:noProof/>
          <w:color w:val="000000" w:themeColor="text1"/>
        </w:rPr>
        <w:t> (</w:t>
      </w:r>
      <w:r w:rsidR="00B205B8" w:rsidRPr="00DE3A6F">
        <w:rPr>
          <w:rStyle w:val="FootnoteReference"/>
          <w:rFonts w:ascii="Times New Roman" w:hAnsi="Times New Roman"/>
          <w:noProof/>
          <w:color w:val="000000" w:themeColor="text1"/>
        </w:rPr>
        <w:footnoteReference w:id="20"/>
      </w:r>
      <w:r w:rsidR="00B205B8" w:rsidRPr="00DE3A6F">
        <w:rPr>
          <w:rFonts w:ascii="Times New Roman" w:hAnsi="Times New Roman"/>
          <w:noProof/>
          <w:color w:val="000000" w:themeColor="text1"/>
        </w:rPr>
        <w:t>)</w:t>
      </w:r>
      <w:r w:rsidRPr="00DE3A6F">
        <w:rPr>
          <w:rFonts w:ascii="Times New Roman" w:hAnsi="Times New Roman"/>
          <w:noProof/>
          <w:color w:val="000000" w:themeColor="text1"/>
        </w:rPr>
        <w:t xml:space="preserve"> and the future European </w:t>
      </w:r>
      <w:r w:rsidR="00195653" w:rsidRPr="00CA1602">
        <w:rPr>
          <w:rFonts w:ascii="Times New Roman" w:hAnsi="Times New Roman"/>
          <w:noProof/>
          <w:color w:val="000000" w:themeColor="text1"/>
        </w:rPr>
        <w:t xml:space="preserve">Union </w:t>
      </w:r>
      <w:r w:rsidRPr="00DE3A6F">
        <w:rPr>
          <w:rFonts w:ascii="Times New Roman" w:hAnsi="Times New Roman"/>
          <w:noProof/>
          <w:color w:val="000000" w:themeColor="text1"/>
        </w:rPr>
        <w:t>Customs Authority</w:t>
      </w:r>
      <w:r w:rsidR="0045674B" w:rsidRPr="00DE3A6F">
        <w:rPr>
          <w:rFonts w:ascii="Times New Roman" w:hAnsi="Times New Roman"/>
          <w:noProof/>
          <w:color w:val="000000" w:themeColor="text1"/>
        </w:rPr>
        <w:t> (</w:t>
      </w:r>
      <w:r w:rsidR="0045674B" w:rsidRPr="00DE3A6F">
        <w:rPr>
          <w:rStyle w:val="FootnoteReference"/>
          <w:rFonts w:ascii="Times New Roman" w:hAnsi="Times New Roman"/>
          <w:noProof/>
          <w:color w:val="000000" w:themeColor="text1"/>
        </w:rPr>
        <w:footnoteReference w:id="21"/>
      </w:r>
      <w:r w:rsidR="0045674B" w:rsidRPr="00DE3A6F">
        <w:rPr>
          <w:rFonts w:ascii="Times New Roman" w:hAnsi="Times New Roman"/>
          <w:noProof/>
          <w:color w:val="000000" w:themeColor="text1"/>
        </w:rPr>
        <w:t>)</w:t>
      </w:r>
      <w:r w:rsidR="500516C5" w:rsidRPr="00DE3A6F">
        <w:rPr>
          <w:rFonts w:ascii="Times New Roman" w:hAnsi="Times New Roman"/>
          <w:noProof/>
          <w:color w:val="000000" w:themeColor="text1"/>
        </w:rPr>
        <w:t xml:space="preserve">, </w:t>
      </w:r>
      <w:r w:rsidR="00A8212E">
        <w:rPr>
          <w:rFonts w:ascii="Times New Roman" w:hAnsi="Times New Roman"/>
          <w:noProof/>
          <w:color w:val="000000" w:themeColor="text1"/>
        </w:rPr>
        <w:t xml:space="preserve">as potential anti-fraud actors within the AFA </w:t>
      </w:r>
      <w:r w:rsidR="1D281042" w:rsidRPr="00DE3A6F">
        <w:rPr>
          <w:rFonts w:ascii="Times New Roman" w:hAnsi="Times New Roman"/>
          <w:noProof/>
          <w:color w:val="000000" w:themeColor="text1"/>
        </w:rPr>
        <w:t xml:space="preserve">alongside </w:t>
      </w:r>
      <w:r w:rsidR="500516C5" w:rsidRPr="00DE3A6F">
        <w:rPr>
          <w:rFonts w:ascii="Times New Roman" w:hAnsi="Times New Roman"/>
          <w:noProof/>
          <w:color w:val="000000" w:themeColor="text1"/>
        </w:rPr>
        <w:t xml:space="preserve">existing </w:t>
      </w:r>
      <w:r w:rsidR="1D281042" w:rsidRPr="00DE3A6F">
        <w:rPr>
          <w:rFonts w:ascii="Times New Roman" w:hAnsi="Times New Roman"/>
          <w:noProof/>
          <w:color w:val="000000" w:themeColor="text1"/>
        </w:rPr>
        <w:t>actors (</w:t>
      </w:r>
      <w:r w:rsidR="500516C5" w:rsidRPr="00DE3A6F">
        <w:rPr>
          <w:rFonts w:ascii="Times New Roman" w:hAnsi="Times New Roman"/>
          <w:noProof/>
          <w:color w:val="000000" w:themeColor="text1"/>
        </w:rPr>
        <w:t xml:space="preserve">OLAF, </w:t>
      </w:r>
      <w:r w:rsidR="1D281042" w:rsidRPr="00DE3A6F">
        <w:rPr>
          <w:rFonts w:ascii="Times New Roman" w:hAnsi="Times New Roman"/>
          <w:noProof/>
          <w:color w:val="000000" w:themeColor="text1"/>
        </w:rPr>
        <w:t xml:space="preserve">the </w:t>
      </w:r>
      <w:r w:rsidR="500516C5" w:rsidRPr="00DE3A6F">
        <w:rPr>
          <w:rFonts w:ascii="Times New Roman" w:hAnsi="Times New Roman"/>
          <w:noProof/>
          <w:color w:val="000000" w:themeColor="text1"/>
        </w:rPr>
        <w:t>EPPO, Eurojust and Europol</w:t>
      </w:r>
      <w:r w:rsidR="1D281042" w:rsidRPr="00DE3A6F">
        <w:rPr>
          <w:rFonts w:ascii="Times New Roman" w:hAnsi="Times New Roman"/>
          <w:noProof/>
          <w:color w:val="000000" w:themeColor="text1"/>
        </w:rPr>
        <w:t>)</w:t>
      </w:r>
      <w:r w:rsidR="38C135C1" w:rsidRPr="00DE3A6F">
        <w:rPr>
          <w:rFonts w:ascii="Times New Roman" w:hAnsi="Times New Roman"/>
          <w:noProof/>
          <w:color w:val="000000" w:themeColor="text1"/>
        </w:rPr>
        <w:t>;</w:t>
      </w:r>
    </w:p>
    <w:p w14:paraId="68E28EBA" w14:textId="101847BC" w:rsidR="00866E90" w:rsidRPr="00B65A1F" w:rsidRDefault="004772D3" w:rsidP="28D37C99">
      <w:pPr>
        <w:pStyle w:val="ListParagraph"/>
        <w:numPr>
          <w:ilvl w:val="0"/>
          <w:numId w:val="52"/>
        </w:numPr>
        <w:spacing w:before="40" w:after="160" w:line="288" w:lineRule="auto"/>
        <w:jc w:val="both"/>
        <w:rPr>
          <w:noProof/>
          <w:color w:val="000000" w:themeColor="text1"/>
        </w:rPr>
      </w:pPr>
      <w:r w:rsidRPr="00B65A1F">
        <w:rPr>
          <w:rFonts w:ascii="Times New Roman" w:hAnsi="Times New Roman"/>
          <w:noProof/>
          <w:color w:val="000000" w:themeColor="text1"/>
        </w:rPr>
        <w:t xml:space="preserve">the evolving role of </w:t>
      </w:r>
      <w:r w:rsidR="4816E8C4" w:rsidRPr="00B65A1F">
        <w:rPr>
          <w:rFonts w:ascii="Times New Roman" w:hAnsi="Times New Roman"/>
          <w:noProof/>
          <w:color w:val="000000" w:themeColor="text1"/>
        </w:rPr>
        <w:t xml:space="preserve">national anti-fraud authorities, and authorising officers </w:t>
      </w:r>
      <w:r w:rsidR="00BF7CB5" w:rsidRPr="00B65A1F">
        <w:rPr>
          <w:rFonts w:ascii="Times New Roman" w:hAnsi="Times New Roman"/>
          <w:noProof/>
          <w:color w:val="000000" w:themeColor="text1"/>
        </w:rPr>
        <w:t xml:space="preserve">in </w:t>
      </w:r>
      <w:r w:rsidR="00A40494" w:rsidRPr="00B65A1F">
        <w:rPr>
          <w:rFonts w:ascii="Times New Roman" w:hAnsi="Times New Roman"/>
          <w:noProof/>
          <w:color w:val="000000" w:themeColor="text1"/>
        </w:rPr>
        <w:t xml:space="preserve">the </w:t>
      </w:r>
      <w:r w:rsidR="4816E8C4" w:rsidRPr="00B65A1F">
        <w:rPr>
          <w:rFonts w:ascii="Times New Roman" w:hAnsi="Times New Roman"/>
          <w:noProof/>
          <w:color w:val="000000" w:themeColor="text1"/>
        </w:rPr>
        <w:t xml:space="preserve">EU </w:t>
      </w:r>
      <w:r w:rsidR="00A40494" w:rsidRPr="00B65A1F">
        <w:rPr>
          <w:rFonts w:ascii="Times New Roman" w:hAnsi="Times New Roman"/>
          <w:noProof/>
          <w:color w:val="000000" w:themeColor="text1"/>
        </w:rPr>
        <w:t>i</w:t>
      </w:r>
      <w:r w:rsidR="4816E8C4" w:rsidRPr="00B65A1F">
        <w:rPr>
          <w:rFonts w:ascii="Times New Roman" w:hAnsi="Times New Roman"/>
          <w:noProof/>
          <w:color w:val="000000" w:themeColor="text1"/>
        </w:rPr>
        <w:t xml:space="preserve">nstitutions </w:t>
      </w:r>
      <w:r w:rsidR="00866E90" w:rsidRPr="00B65A1F">
        <w:rPr>
          <w:rFonts w:ascii="Times New Roman" w:hAnsi="Times New Roman"/>
          <w:noProof/>
          <w:color w:val="000000" w:themeColor="text1"/>
        </w:rPr>
        <w:t xml:space="preserve">in safeguarding the </w:t>
      </w:r>
      <w:r w:rsidR="4816E8C4" w:rsidRPr="00B65A1F">
        <w:rPr>
          <w:rFonts w:ascii="Times New Roman" w:hAnsi="Times New Roman"/>
          <w:noProof/>
          <w:color w:val="000000" w:themeColor="text1"/>
        </w:rPr>
        <w:t xml:space="preserve">EU budget. </w:t>
      </w:r>
    </w:p>
    <w:p w14:paraId="3C1683A0" w14:textId="10BDC49C" w:rsidR="00BA6A8C" w:rsidRPr="00DE3A6F" w:rsidRDefault="00BA6A8C" w:rsidP="00BA6A8C">
      <w:pPr>
        <w:pStyle w:val="Heading4"/>
        <w:rPr>
          <w:noProof/>
        </w:rPr>
      </w:pPr>
      <w:bookmarkStart w:id="32" w:name="_Toc234447052"/>
      <w:r w:rsidRPr="00B65A1F">
        <w:rPr>
          <w:noProof/>
        </w:rPr>
        <w:t>Key priorities identified in the White Paper</w:t>
      </w:r>
      <w:bookmarkEnd w:id="32"/>
    </w:p>
    <w:p w14:paraId="16FC8977" w14:textId="5E12C1BC" w:rsidR="00306548" w:rsidRPr="00B65A1F" w:rsidRDefault="4816E8C4" w:rsidP="28D37C99">
      <w:pPr>
        <w:spacing w:before="40" w:after="160" w:line="288" w:lineRule="auto"/>
        <w:ind w:left="60"/>
        <w:rPr>
          <w:noProof/>
          <w:color w:val="000000" w:themeColor="text1"/>
        </w:rPr>
      </w:pPr>
      <w:r w:rsidRPr="00B65A1F">
        <w:rPr>
          <w:noProof/>
          <w:color w:val="000000" w:themeColor="text1"/>
        </w:rPr>
        <w:t xml:space="preserve">The review is both </w:t>
      </w:r>
      <w:r w:rsidRPr="00B65A1F">
        <w:rPr>
          <w:b/>
          <w:bCs/>
          <w:noProof/>
          <w:color w:val="000000" w:themeColor="text1"/>
        </w:rPr>
        <w:t>timely and necessary</w:t>
      </w:r>
      <w:r w:rsidRPr="00B65A1F">
        <w:rPr>
          <w:noProof/>
          <w:color w:val="000000" w:themeColor="text1"/>
        </w:rPr>
        <w:t xml:space="preserve"> given the </w:t>
      </w:r>
      <w:r w:rsidR="006B3CD9" w:rsidRPr="00B65A1F">
        <w:rPr>
          <w:noProof/>
          <w:color w:val="000000" w:themeColor="text1"/>
        </w:rPr>
        <w:t xml:space="preserve">growing </w:t>
      </w:r>
      <w:r w:rsidRPr="00B65A1F">
        <w:rPr>
          <w:noProof/>
          <w:color w:val="000000" w:themeColor="text1"/>
        </w:rPr>
        <w:t xml:space="preserve">threats posed by organised crime and fraudsters exploiting </w:t>
      </w:r>
      <w:r w:rsidR="002C5DDC" w:rsidRPr="00B65A1F">
        <w:rPr>
          <w:noProof/>
          <w:color w:val="000000" w:themeColor="text1"/>
        </w:rPr>
        <w:t xml:space="preserve">emerging </w:t>
      </w:r>
      <w:r w:rsidRPr="00B65A1F">
        <w:rPr>
          <w:noProof/>
          <w:color w:val="000000" w:themeColor="text1"/>
        </w:rPr>
        <w:t>technologies such as artificial intelligence and cryptocurrencies.</w:t>
      </w:r>
    </w:p>
    <w:p w14:paraId="4501B704" w14:textId="0E84B57E" w:rsidR="23ED15CE" w:rsidRPr="00B65A1F" w:rsidRDefault="00BB0F93" w:rsidP="28D37C99">
      <w:pPr>
        <w:spacing w:before="40" w:after="160" w:line="288" w:lineRule="auto"/>
        <w:rPr>
          <w:noProof/>
          <w:color w:val="000000" w:themeColor="text1"/>
        </w:rPr>
      </w:pPr>
      <w:r w:rsidRPr="00B65A1F">
        <w:rPr>
          <w:noProof/>
          <w:color w:val="000000" w:themeColor="text1"/>
        </w:rPr>
        <w:t>T</w:t>
      </w:r>
      <w:r w:rsidR="5086D4F9" w:rsidRPr="00B65A1F">
        <w:rPr>
          <w:noProof/>
          <w:color w:val="000000" w:themeColor="text1"/>
        </w:rPr>
        <w:t xml:space="preserve">he White Paper </w:t>
      </w:r>
      <w:r w:rsidRPr="00B65A1F">
        <w:rPr>
          <w:noProof/>
          <w:color w:val="000000" w:themeColor="text1"/>
        </w:rPr>
        <w:t>outlines</w:t>
      </w:r>
      <w:r w:rsidR="00A950E5" w:rsidRPr="00B65A1F">
        <w:rPr>
          <w:noProof/>
          <w:color w:val="000000" w:themeColor="text1"/>
        </w:rPr>
        <w:t xml:space="preserve"> six priority </w:t>
      </w:r>
      <w:r w:rsidR="00AC4A97" w:rsidRPr="00B65A1F">
        <w:rPr>
          <w:noProof/>
          <w:color w:val="000000" w:themeColor="text1"/>
        </w:rPr>
        <w:t>theme</w:t>
      </w:r>
      <w:r w:rsidR="00A950E5" w:rsidRPr="00B65A1F">
        <w:rPr>
          <w:noProof/>
          <w:color w:val="000000" w:themeColor="text1"/>
        </w:rPr>
        <w:t>s</w:t>
      </w:r>
      <w:r w:rsidR="5086D4F9" w:rsidRPr="00B65A1F">
        <w:rPr>
          <w:noProof/>
          <w:color w:val="000000" w:themeColor="text1"/>
        </w:rPr>
        <w:t xml:space="preserve">: (i) </w:t>
      </w:r>
      <w:r w:rsidR="00823421" w:rsidRPr="00B65A1F">
        <w:rPr>
          <w:noProof/>
          <w:color w:val="000000" w:themeColor="text1"/>
        </w:rPr>
        <w:t xml:space="preserve">enhancing </w:t>
      </w:r>
      <w:r w:rsidR="5086D4F9" w:rsidRPr="00B65A1F">
        <w:rPr>
          <w:noProof/>
          <w:color w:val="000000" w:themeColor="text1"/>
        </w:rPr>
        <w:t>cooperation and coordination; (ii) strengthen</w:t>
      </w:r>
      <w:r w:rsidR="00823421" w:rsidRPr="00B65A1F">
        <w:rPr>
          <w:noProof/>
          <w:color w:val="000000" w:themeColor="text1"/>
        </w:rPr>
        <w:t>ing fraud</w:t>
      </w:r>
      <w:r w:rsidR="5086D4F9" w:rsidRPr="00B65A1F">
        <w:rPr>
          <w:noProof/>
          <w:color w:val="000000" w:themeColor="text1"/>
        </w:rPr>
        <w:t xml:space="preserve"> prevention; (iii) </w:t>
      </w:r>
      <w:r w:rsidR="00823421" w:rsidRPr="00B65A1F">
        <w:rPr>
          <w:noProof/>
          <w:color w:val="000000" w:themeColor="text1"/>
        </w:rPr>
        <w:t xml:space="preserve">improving </w:t>
      </w:r>
      <w:r w:rsidR="5086D4F9" w:rsidRPr="00B65A1F">
        <w:rPr>
          <w:noProof/>
          <w:color w:val="000000" w:themeColor="text1"/>
        </w:rPr>
        <w:t xml:space="preserve">detection; (iv) </w:t>
      </w:r>
      <w:r w:rsidR="003C5D5C" w:rsidRPr="00B65A1F">
        <w:rPr>
          <w:noProof/>
          <w:color w:val="000000" w:themeColor="text1"/>
        </w:rPr>
        <w:t>ensuring higher-</w:t>
      </w:r>
      <w:r w:rsidR="5086D4F9" w:rsidRPr="00B65A1F">
        <w:rPr>
          <w:noProof/>
          <w:color w:val="000000" w:themeColor="text1"/>
        </w:rPr>
        <w:t xml:space="preserve">quality reporting; (v) </w:t>
      </w:r>
      <w:r w:rsidR="003C5D5C" w:rsidRPr="00B65A1F">
        <w:rPr>
          <w:noProof/>
          <w:color w:val="000000" w:themeColor="text1"/>
        </w:rPr>
        <w:t xml:space="preserve">improving </w:t>
      </w:r>
      <w:r w:rsidR="5086D4F9" w:rsidRPr="00B65A1F">
        <w:rPr>
          <w:noProof/>
          <w:color w:val="000000" w:themeColor="text1"/>
        </w:rPr>
        <w:t>investigation and prosecution capabilities</w:t>
      </w:r>
      <w:r w:rsidR="00A40494" w:rsidRPr="00B65A1F">
        <w:rPr>
          <w:noProof/>
          <w:color w:val="000000" w:themeColor="text1"/>
        </w:rPr>
        <w:t xml:space="preserve">; </w:t>
      </w:r>
      <w:r w:rsidR="5086D4F9" w:rsidRPr="00B65A1F">
        <w:rPr>
          <w:noProof/>
          <w:color w:val="000000" w:themeColor="text1"/>
        </w:rPr>
        <w:t xml:space="preserve">and (vi) </w:t>
      </w:r>
      <w:r w:rsidR="003C5D5C" w:rsidRPr="00B65A1F">
        <w:rPr>
          <w:noProof/>
          <w:color w:val="000000" w:themeColor="text1"/>
        </w:rPr>
        <w:t xml:space="preserve">streamlining </w:t>
      </w:r>
      <w:r w:rsidR="5086D4F9" w:rsidRPr="00B65A1F">
        <w:rPr>
          <w:noProof/>
          <w:color w:val="000000" w:themeColor="text1"/>
        </w:rPr>
        <w:t>recovery process</w:t>
      </w:r>
      <w:r w:rsidR="003C5D5C" w:rsidRPr="00B65A1F">
        <w:rPr>
          <w:noProof/>
          <w:color w:val="000000" w:themeColor="text1"/>
        </w:rPr>
        <w:t>es</w:t>
      </w:r>
      <w:r w:rsidR="5086D4F9" w:rsidRPr="00B65A1F">
        <w:rPr>
          <w:noProof/>
          <w:color w:val="000000" w:themeColor="text1"/>
        </w:rPr>
        <w:t>.</w:t>
      </w:r>
    </w:p>
    <w:p w14:paraId="40BDAFC2" w14:textId="443A8CAE" w:rsidR="00306548" w:rsidRPr="00B65A1F" w:rsidRDefault="23ED15CE" w:rsidP="28D37C99">
      <w:pPr>
        <w:spacing w:before="40" w:after="160" w:line="288" w:lineRule="auto"/>
        <w:rPr>
          <w:noProof/>
          <w:color w:val="000000" w:themeColor="text1"/>
        </w:rPr>
      </w:pPr>
      <w:r w:rsidRPr="00B65A1F">
        <w:rPr>
          <w:noProof/>
          <w:color w:val="000000" w:themeColor="text1"/>
        </w:rPr>
        <w:t xml:space="preserve">A particular focus is </w:t>
      </w:r>
      <w:r w:rsidR="002B638E" w:rsidRPr="00B65A1F">
        <w:rPr>
          <w:noProof/>
          <w:color w:val="000000" w:themeColor="text1"/>
        </w:rPr>
        <w:t xml:space="preserve">placed on </w:t>
      </w:r>
      <w:r w:rsidR="00A40494" w:rsidRPr="00B65A1F">
        <w:rPr>
          <w:noProof/>
          <w:color w:val="000000" w:themeColor="text1"/>
        </w:rPr>
        <w:t xml:space="preserve">harnessing </w:t>
      </w:r>
      <w:r w:rsidRPr="00B65A1F">
        <w:rPr>
          <w:noProof/>
          <w:color w:val="000000" w:themeColor="text1"/>
        </w:rPr>
        <w:t xml:space="preserve">modern technologies, including artificial intelligence, </w:t>
      </w:r>
      <w:r w:rsidR="002B638E" w:rsidRPr="00B65A1F">
        <w:rPr>
          <w:noProof/>
          <w:color w:val="000000" w:themeColor="text1"/>
        </w:rPr>
        <w:t xml:space="preserve">across </w:t>
      </w:r>
      <w:r w:rsidRPr="00B65A1F">
        <w:rPr>
          <w:noProof/>
          <w:color w:val="000000" w:themeColor="text1"/>
        </w:rPr>
        <w:t xml:space="preserve">the entire anti-fraud cycle. </w:t>
      </w:r>
      <w:r w:rsidR="00DA7F44" w:rsidRPr="00B65A1F">
        <w:rPr>
          <w:noProof/>
          <w:color w:val="000000" w:themeColor="text1"/>
        </w:rPr>
        <w:t xml:space="preserve">Additionally, the review emphasises the need </w:t>
      </w:r>
      <w:r w:rsidR="00A40494" w:rsidRPr="00B65A1F">
        <w:rPr>
          <w:noProof/>
          <w:color w:val="000000" w:themeColor="text1"/>
        </w:rPr>
        <w:t xml:space="preserve">for </w:t>
      </w:r>
      <w:r w:rsidR="00DA7F44" w:rsidRPr="00B65A1F">
        <w:rPr>
          <w:noProof/>
          <w:color w:val="000000" w:themeColor="text1"/>
        </w:rPr>
        <w:t xml:space="preserve">better information-sharing, </w:t>
      </w:r>
      <w:r w:rsidR="00A40494" w:rsidRPr="00B65A1F">
        <w:rPr>
          <w:noProof/>
          <w:color w:val="000000" w:themeColor="text1"/>
        </w:rPr>
        <w:t>data-</w:t>
      </w:r>
      <w:r w:rsidR="00DA7F44" w:rsidRPr="00B65A1F">
        <w:rPr>
          <w:noProof/>
          <w:color w:val="000000" w:themeColor="text1"/>
        </w:rPr>
        <w:t>sharing and system operability among anti-fraud bodies.</w:t>
      </w:r>
    </w:p>
    <w:p w14:paraId="2637E6EC" w14:textId="0AD04591" w:rsidR="00535D42" w:rsidRPr="00DE3A6F" w:rsidRDefault="00535D42" w:rsidP="00733FD4">
      <w:pPr>
        <w:pStyle w:val="Heading4"/>
        <w:rPr>
          <w:noProof/>
          <w:color w:val="000000" w:themeColor="text1"/>
        </w:rPr>
      </w:pPr>
      <w:bookmarkStart w:id="33" w:name="_Toc234447053"/>
      <w:r w:rsidRPr="00DE3A6F">
        <w:rPr>
          <w:noProof/>
          <w:color w:val="000000" w:themeColor="text1"/>
        </w:rPr>
        <w:t>Sources informing the review</w:t>
      </w:r>
      <w:bookmarkEnd w:id="33"/>
    </w:p>
    <w:p w14:paraId="29A8075F" w14:textId="3FFA7D00" w:rsidR="00535D42" w:rsidRPr="00DE3A6F" w:rsidRDefault="00535D42" w:rsidP="00426557">
      <w:pPr>
        <w:keepNext/>
        <w:spacing w:before="40" w:after="160" w:line="288" w:lineRule="auto"/>
        <w:rPr>
          <w:noProof/>
          <w:color w:val="000000" w:themeColor="text1"/>
        </w:rPr>
      </w:pPr>
      <w:r w:rsidRPr="00DE3A6F">
        <w:rPr>
          <w:noProof/>
          <w:color w:val="000000" w:themeColor="text1"/>
        </w:rPr>
        <w:t>The review process draws on multiple input</w:t>
      </w:r>
      <w:r w:rsidR="00EB5CFF" w:rsidRPr="00DE3A6F">
        <w:rPr>
          <w:noProof/>
          <w:color w:val="000000" w:themeColor="text1"/>
        </w:rPr>
        <w:t>s</w:t>
      </w:r>
      <w:r w:rsidRPr="00DE3A6F">
        <w:rPr>
          <w:noProof/>
          <w:color w:val="000000" w:themeColor="text1"/>
        </w:rPr>
        <w:t xml:space="preserve">, </w:t>
      </w:r>
      <w:r w:rsidR="0036148D" w:rsidRPr="00DE3A6F">
        <w:rPr>
          <w:noProof/>
          <w:color w:val="000000" w:themeColor="text1"/>
        </w:rPr>
        <w:t>including</w:t>
      </w:r>
      <w:r w:rsidRPr="00DE3A6F">
        <w:rPr>
          <w:noProof/>
          <w:color w:val="000000" w:themeColor="text1"/>
        </w:rPr>
        <w:t>:</w:t>
      </w:r>
    </w:p>
    <w:p w14:paraId="75C944DA" w14:textId="7EBBF908" w:rsidR="00795A83" w:rsidRPr="00DE3A6F" w:rsidRDefault="000A7F63" w:rsidP="00733FD4">
      <w:pPr>
        <w:pStyle w:val="ListParagraph"/>
        <w:numPr>
          <w:ilvl w:val="0"/>
          <w:numId w:val="52"/>
        </w:numPr>
        <w:spacing w:before="40" w:after="160" w:line="288" w:lineRule="auto"/>
        <w:jc w:val="both"/>
        <w:rPr>
          <w:rFonts w:ascii="Times New Roman" w:hAnsi="Times New Roman"/>
          <w:noProof/>
          <w:color w:val="000000" w:themeColor="text1"/>
        </w:rPr>
      </w:pPr>
      <w:r w:rsidRPr="00CA1602">
        <w:rPr>
          <w:rFonts w:ascii="Times New Roman" w:hAnsi="Times New Roman"/>
          <w:noProof/>
          <w:color w:val="000000" w:themeColor="text1"/>
        </w:rPr>
        <w:t xml:space="preserve">findings </w:t>
      </w:r>
      <w:r w:rsidR="17EA1594" w:rsidRPr="00DE3A6F">
        <w:rPr>
          <w:rFonts w:ascii="Times New Roman" w:hAnsi="Times New Roman"/>
          <w:noProof/>
          <w:color w:val="000000" w:themeColor="text1"/>
        </w:rPr>
        <w:t xml:space="preserve">from </w:t>
      </w:r>
      <w:r w:rsidR="08A16DAE" w:rsidRPr="00DE3A6F">
        <w:rPr>
          <w:rFonts w:ascii="Times New Roman" w:hAnsi="Times New Roman"/>
          <w:noProof/>
          <w:color w:val="000000" w:themeColor="text1"/>
        </w:rPr>
        <w:t>ongoing evaluations of the key legislative acts underpinning EU anti-fraud work</w:t>
      </w:r>
      <w:r w:rsidR="36BDA7F0" w:rsidRPr="00DE3A6F">
        <w:rPr>
          <w:rFonts w:ascii="Times New Roman" w:hAnsi="Times New Roman"/>
          <w:noProof/>
          <w:color w:val="000000" w:themeColor="text1"/>
        </w:rPr>
        <w:t> (</w:t>
      </w:r>
      <w:r w:rsidR="00264973" w:rsidRPr="00DE3A6F">
        <w:rPr>
          <w:rStyle w:val="FootnoteReference"/>
          <w:rFonts w:ascii="Times New Roman" w:hAnsi="Times New Roman"/>
          <w:noProof/>
          <w:color w:val="000000" w:themeColor="text1"/>
        </w:rPr>
        <w:footnoteReference w:id="22"/>
      </w:r>
      <w:r w:rsidR="36BDA7F0" w:rsidRPr="00DE3A6F">
        <w:rPr>
          <w:rFonts w:ascii="Times New Roman" w:hAnsi="Times New Roman"/>
          <w:noProof/>
          <w:color w:val="000000" w:themeColor="text1"/>
        </w:rPr>
        <w:t>)</w:t>
      </w:r>
      <w:r w:rsidR="1F273027" w:rsidRPr="00DE3A6F">
        <w:rPr>
          <w:rFonts w:ascii="Times New Roman" w:hAnsi="Times New Roman"/>
          <w:noProof/>
          <w:color w:val="000000" w:themeColor="text1"/>
        </w:rPr>
        <w:t>;</w:t>
      </w:r>
    </w:p>
    <w:p w14:paraId="2BDCA725" w14:textId="0C4D99E0" w:rsidR="00C63AD9" w:rsidRPr="00DE3A6F" w:rsidRDefault="00795A83" w:rsidP="00733FD4">
      <w:pPr>
        <w:pStyle w:val="ListParagraph"/>
        <w:numPr>
          <w:ilvl w:val="0"/>
          <w:numId w:val="52"/>
        </w:numPr>
        <w:spacing w:before="40" w:after="160" w:line="288" w:lineRule="auto"/>
        <w:jc w:val="both"/>
        <w:rPr>
          <w:noProof/>
          <w:color w:val="000000" w:themeColor="text1"/>
        </w:rPr>
      </w:pPr>
      <w:r w:rsidRPr="00DE3A6F">
        <w:rPr>
          <w:rFonts w:ascii="Times New Roman" w:hAnsi="Times New Roman"/>
          <w:noProof/>
          <w:color w:val="000000" w:themeColor="text1"/>
        </w:rPr>
        <w:lastRenderedPageBreak/>
        <w:t>positions</w:t>
      </w:r>
      <w:r w:rsidR="5086D4F9" w:rsidRPr="00DE3A6F">
        <w:rPr>
          <w:rFonts w:ascii="Times New Roman" w:hAnsi="Times New Roman"/>
          <w:noProof/>
          <w:color w:val="000000" w:themeColor="text1"/>
        </w:rPr>
        <w:t xml:space="preserve"> expressed by the </w:t>
      </w:r>
      <w:r w:rsidR="00325D9C" w:rsidRPr="00DE3A6F">
        <w:rPr>
          <w:rFonts w:ascii="Times New Roman" w:hAnsi="Times New Roman"/>
          <w:noProof/>
          <w:color w:val="000000" w:themeColor="text1"/>
        </w:rPr>
        <w:t>European Parliament and the Council</w:t>
      </w:r>
      <w:r w:rsidR="00122439" w:rsidRPr="00DE3A6F">
        <w:rPr>
          <w:rFonts w:ascii="Times New Roman" w:hAnsi="Times New Roman"/>
          <w:noProof/>
          <w:color w:val="000000" w:themeColor="text1"/>
        </w:rPr>
        <w:t> (</w:t>
      </w:r>
      <w:r w:rsidR="00122439" w:rsidRPr="00DE3A6F">
        <w:rPr>
          <w:rStyle w:val="FootnoteReference"/>
          <w:rFonts w:ascii="Times New Roman" w:hAnsi="Times New Roman"/>
          <w:noProof/>
          <w:color w:val="000000" w:themeColor="text1"/>
        </w:rPr>
        <w:footnoteReference w:id="23"/>
      </w:r>
      <w:r w:rsidR="00122439" w:rsidRPr="00DE3A6F">
        <w:rPr>
          <w:rFonts w:ascii="Times New Roman" w:hAnsi="Times New Roman"/>
          <w:noProof/>
          <w:color w:val="000000" w:themeColor="text1"/>
        </w:rPr>
        <w:t>)</w:t>
      </w:r>
      <w:r w:rsidR="00C63AD9" w:rsidRPr="00DE3A6F">
        <w:rPr>
          <w:rFonts w:ascii="Times New Roman" w:hAnsi="Times New Roman"/>
          <w:noProof/>
          <w:color w:val="000000" w:themeColor="text1"/>
        </w:rPr>
        <w:t>;</w:t>
      </w:r>
    </w:p>
    <w:p w14:paraId="6E929596" w14:textId="1BE77A0C" w:rsidR="00C53394" w:rsidRPr="00DE3A6F" w:rsidRDefault="5086D4F9" w:rsidP="00733FD4">
      <w:pPr>
        <w:pStyle w:val="ListParagraph"/>
        <w:numPr>
          <w:ilvl w:val="0"/>
          <w:numId w:val="52"/>
        </w:numPr>
        <w:spacing w:before="40" w:after="160" w:line="288" w:lineRule="auto"/>
        <w:jc w:val="both"/>
        <w:rPr>
          <w:noProof/>
          <w:color w:val="000000" w:themeColor="text1"/>
        </w:rPr>
      </w:pPr>
      <w:r w:rsidRPr="00DE3A6F">
        <w:rPr>
          <w:rFonts w:ascii="Times New Roman" w:hAnsi="Times New Roman"/>
          <w:noProof/>
          <w:color w:val="000000" w:themeColor="text1"/>
        </w:rPr>
        <w:t>reports from the European Court of Auditors</w:t>
      </w:r>
      <w:r w:rsidR="00B22536" w:rsidRPr="00DE3A6F">
        <w:rPr>
          <w:rFonts w:ascii="Times New Roman" w:hAnsi="Times New Roman"/>
          <w:noProof/>
          <w:color w:val="000000" w:themeColor="text1"/>
        </w:rPr>
        <w:t> (</w:t>
      </w:r>
      <w:r w:rsidR="00B22536" w:rsidRPr="00DE3A6F">
        <w:rPr>
          <w:rStyle w:val="FootnoteReference"/>
          <w:rFonts w:ascii="Times New Roman" w:hAnsi="Times New Roman"/>
          <w:noProof/>
          <w:color w:val="000000" w:themeColor="text1"/>
        </w:rPr>
        <w:footnoteReference w:id="24"/>
      </w:r>
      <w:r w:rsidR="00B22536" w:rsidRPr="00DE3A6F">
        <w:rPr>
          <w:rFonts w:ascii="Times New Roman" w:hAnsi="Times New Roman"/>
          <w:noProof/>
          <w:color w:val="000000" w:themeColor="text1"/>
        </w:rPr>
        <w:t>)</w:t>
      </w:r>
      <w:r w:rsidR="00C53394" w:rsidRPr="00DE3A6F">
        <w:rPr>
          <w:rFonts w:ascii="Times New Roman" w:hAnsi="Times New Roman"/>
          <w:noProof/>
          <w:color w:val="000000" w:themeColor="text1"/>
        </w:rPr>
        <w:t>;</w:t>
      </w:r>
    </w:p>
    <w:p w14:paraId="33676B51" w14:textId="748E7F80" w:rsidR="00306548" w:rsidRPr="00737CC7" w:rsidRDefault="00C3466A" w:rsidP="28D37C99">
      <w:pPr>
        <w:pStyle w:val="ListParagraph"/>
        <w:numPr>
          <w:ilvl w:val="0"/>
          <w:numId w:val="52"/>
        </w:numPr>
        <w:spacing w:before="40" w:after="160" w:line="288" w:lineRule="auto"/>
        <w:jc w:val="both"/>
        <w:rPr>
          <w:noProof/>
          <w:color w:val="000000" w:themeColor="text1"/>
        </w:rPr>
      </w:pPr>
      <w:r w:rsidRPr="00737CC7">
        <w:rPr>
          <w:rFonts w:ascii="Times New Roman" w:hAnsi="Times New Roman"/>
          <w:noProof/>
          <w:color w:val="000000" w:themeColor="text1"/>
        </w:rPr>
        <w:t>consultations</w:t>
      </w:r>
      <w:r w:rsidR="00C53394" w:rsidRPr="00737CC7">
        <w:rPr>
          <w:rFonts w:ascii="Times New Roman" w:hAnsi="Times New Roman"/>
          <w:noProof/>
          <w:color w:val="000000" w:themeColor="text1"/>
        </w:rPr>
        <w:t xml:space="preserve"> with </w:t>
      </w:r>
      <w:r w:rsidR="008A6AFF" w:rsidRPr="00737CC7">
        <w:rPr>
          <w:rFonts w:ascii="Times New Roman" w:hAnsi="Times New Roman"/>
          <w:noProof/>
          <w:color w:val="000000" w:themeColor="text1"/>
        </w:rPr>
        <w:t>EU</w:t>
      </w:r>
      <w:r w:rsidR="5086D4F9" w:rsidRPr="00737CC7">
        <w:rPr>
          <w:rFonts w:ascii="Times New Roman" w:hAnsi="Times New Roman"/>
          <w:noProof/>
          <w:color w:val="000000" w:themeColor="text1"/>
        </w:rPr>
        <w:t xml:space="preserve"> anti-fraud actors</w:t>
      </w:r>
      <w:r w:rsidR="008A6AFF" w:rsidRPr="00737CC7">
        <w:rPr>
          <w:rFonts w:ascii="Times New Roman" w:hAnsi="Times New Roman"/>
          <w:noProof/>
          <w:color w:val="000000" w:themeColor="text1"/>
        </w:rPr>
        <w:t xml:space="preserve">, </w:t>
      </w:r>
      <w:r w:rsidRPr="00737CC7">
        <w:rPr>
          <w:rFonts w:ascii="Times New Roman" w:hAnsi="Times New Roman"/>
          <w:noProof/>
          <w:color w:val="000000" w:themeColor="text1"/>
        </w:rPr>
        <w:t xml:space="preserve">to </w:t>
      </w:r>
      <w:r w:rsidR="008A6AFF" w:rsidRPr="00737CC7">
        <w:rPr>
          <w:rFonts w:ascii="Times New Roman" w:hAnsi="Times New Roman"/>
          <w:noProof/>
          <w:color w:val="000000" w:themeColor="text1"/>
        </w:rPr>
        <w:t>gather</w:t>
      </w:r>
      <w:r w:rsidR="5086D4F9" w:rsidRPr="00737CC7">
        <w:rPr>
          <w:rFonts w:ascii="Times New Roman" w:hAnsi="Times New Roman"/>
          <w:noProof/>
          <w:color w:val="000000" w:themeColor="text1"/>
        </w:rPr>
        <w:t xml:space="preserve"> practical </w:t>
      </w:r>
      <w:r w:rsidR="008A6AFF" w:rsidRPr="00737CC7">
        <w:rPr>
          <w:rFonts w:ascii="Times New Roman" w:hAnsi="Times New Roman"/>
          <w:noProof/>
          <w:color w:val="000000" w:themeColor="text1"/>
        </w:rPr>
        <w:t>insights</w:t>
      </w:r>
      <w:r w:rsidR="5086D4F9" w:rsidRPr="00737CC7">
        <w:rPr>
          <w:rFonts w:ascii="Times New Roman" w:hAnsi="Times New Roman"/>
          <w:noProof/>
          <w:color w:val="000000" w:themeColor="text1"/>
        </w:rPr>
        <w:t xml:space="preserve"> </w:t>
      </w:r>
      <w:r w:rsidRPr="00737CC7">
        <w:rPr>
          <w:rFonts w:ascii="Times New Roman" w:hAnsi="Times New Roman"/>
          <w:noProof/>
          <w:color w:val="000000" w:themeColor="text1"/>
        </w:rPr>
        <w:t>into</w:t>
      </w:r>
      <w:r w:rsidR="002E0851" w:rsidRPr="00737CC7">
        <w:rPr>
          <w:rFonts w:ascii="Times New Roman" w:hAnsi="Times New Roman"/>
          <w:noProof/>
          <w:color w:val="000000" w:themeColor="text1"/>
        </w:rPr>
        <w:t xml:space="preserve"> </w:t>
      </w:r>
      <w:r w:rsidR="5086D4F9" w:rsidRPr="00737CC7">
        <w:rPr>
          <w:rFonts w:ascii="Times New Roman" w:hAnsi="Times New Roman"/>
          <w:noProof/>
          <w:color w:val="000000" w:themeColor="text1"/>
        </w:rPr>
        <w:t xml:space="preserve">prevention and enforcement to protect the </w:t>
      </w:r>
      <w:r w:rsidR="002E0851" w:rsidRPr="00737CC7">
        <w:rPr>
          <w:rFonts w:ascii="Times New Roman" w:hAnsi="Times New Roman"/>
          <w:noProof/>
          <w:color w:val="000000" w:themeColor="text1"/>
        </w:rPr>
        <w:t xml:space="preserve">EU’s </w:t>
      </w:r>
      <w:r w:rsidR="5086D4F9" w:rsidRPr="00737CC7">
        <w:rPr>
          <w:rFonts w:ascii="Times New Roman" w:hAnsi="Times New Roman"/>
          <w:noProof/>
          <w:color w:val="000000" w:themeColor="text1"/>
        </w:rPr>
        <w:t>financial interests.</w:t>
      </w:r>
    </w:p>
    <w:p w14:paraId="7D05577F" w14:textId="25EE54BF" w:rsidR="00CD2611" w:rsidRPr="00737CC7" w:rsidRDefault="49FCCF99" w:rsidP="28D37C99">
      <w:pPr>
        <w:spacing w:before="40" w:after="160" w:line="288" w:lineRule="auto"/>
        <w:rPr>
          <w:noProof/>
          <w:color w:val="000000" w:themeColor="text1"/>
        </w:rPr>
      </w:pPr>
      <w:r w:rsidRPr="00737CC7">
        <w:rPr>
          <w:noProof/>
          <w:color w:val="000000" w:themeColor="text1"/>
        </w:rPr>
        <w:t xml:space="preserve">The review process </w:t>
      </w:r>
      <w:r w:rsidR="002E0851" w:rsidRPr="00737CC7">
        <w:rPr>
          <w:noProof/>
          <w:color w:val="000000" w:themeColor="text1"/>
        </w:rPr>
        <w:t xml:space="preserve">is expected to culminate in </w:t>
      </w:r>
      <w:r w:rsidRPr="00737CC7">
        <w:rPr>
          <w:noProof/>
          <w:color w:val="000000" w:themeColor="text1"/>
        </w:rPr>
        <w:t xml:space="preserve">a Commission communication </w:t>
      </w:r>
      <w:r w:rsidR="00312225" w:rsidRPr="00737CC7">
        <w:rPr>
          <w:noProof/>
          <w:color w:val="000000" w:themeColor="text1"/>
        </w:rPr>
        <w:t xml:space="preserve">by late </w:t>
      </w:r>
      <w:r w:rsidRPr="00737CC7">
        <w:rPr>
          <w:noProof/>
          <w:color w:val="000000" w:themeColor="text1"/>
        </w:rPr>
        <w:t>2026</w:t>
      </w:r>
      <w:r w:rsidR="00312225" w:rsidRPr="00737CC7">
        <w:rPr>
          <w:noProof/>
          <w:color w:val="000000" w:themeColor="text1"/>
        </w:rPr>
        <w:t>, potentially</w:t>
      </w:r>
      <w:r w:rsidRPr="00737CC7">
        <w:rPr>
          <w:noProof/>
          <w:color w:val="000000" w:themeColor="text1"/>
        </w:rPr>
        <w:t xml:space="preserve"> accompanied by legislative proposals </w:t>
      </w:r>
      <w:r w:rsidR="00CD2611" w:rsidRPr="00737CC7">
        <w:rPr>
          <w:noProof/>
          <w:color w:val="000000" w:themeColor="text1"/>
        </w:rPr>
        <w:t>to amend</w:t>
      </w:r>
      <w:r w:rsidRPr="00737CC7">
        <w:rPr>
          <w:noProof/>
          <w:color w:val="000000" w:themeColor="text1"/>
        </w:rPr>
        <w:t xml:space="preserve"> key acts, </w:t>
      </w:r>
      <w:r w:rsidR="00CD2611" w:rsidRPr="00737CC7">
        <w:rPr>
          <w:noProof/>
          <w:color w:val="000000" w:themeColor="text1"/>
        </w:rPr>
        <w:t xml:space="preserve">including </w:t>
      </w:r>
      <w:r w:rsidRPr="00737CC7">
        <w:rPr>
          <w:noProof/>
          <w:color w:val="000000" w:themeColor="text1"/>
        </w:rPr>
        <w:t>the EPPO</w:t>
      </w:r>
      <w:r w:rsidR="006A53D6">
        <w:rPr>
          <w:noProof/>
          <w:color w:val="000000" w:themeColor="text1"/>
        </w:rPr>
        <w:t xml:space="preserve"> and</w:t>
      </w:r>
      <w:r w:rsidR="2CA0F7CC" w:rsidRPr="00737CC7">
        <w:rPr>
          <w:noProof/>
          <w:color w:val="000000" w:themeColor="text1"/>
        </w:rPr>
        <w:t xml:space="preserve"> </w:t>
      </w:r>
      <w:r w:rsidRPr="00737CC7">
        <w:rPr>
          <w:noProof/>
          <w:color w:val="000000" w:themeColor="text1"/>
        </w:rPr>
        <w:t>OLAF</w:t>
      </w:r>
      <w:r w:rsidR="36207293" w:rsidRPr="00737CC7">
        <w:rPr>
          <w:noProof/>
          <w:color w:val="000000" w:themeColor="text1"/>
        </w:rPr>
        <w:t xml:space="preserve"> </w:t>
      </w:r>
      <w:r w:rsidRPr="00737CC7">
        <w:rPr>
          <w:noProof/>
          <w:color w:val="000000" w:themeColor="text1"/>
        </w:rPr>
        <w:t xml:space="preserve">Regulations and the PIF Directive. </w:t>
      </w:r>
    </w:p>
    <w:p w14:paraId="1DFBB9D7" w14:textId="4335F4AF" w:rsidR="23ED15CE" w:rsidRPr="00DE3A6F" w:rsidRDefault="49FCCF99" w:rsidP="13F9CCF2">
      <w:pPr>
        <w:spacing w:before="40" w:after="160" w:line="288" w:lineRule="auto"/>
        <w:rPr>
          <w:noProof/>
          <w:color w:val="000000" w:themeColor="text1"/>
        </w:rPr>
      </w:pPr>
      <w:r w:rsidRPr="00DE3A6F">
        <w:rPr>
          <w:noProof/>
          <w:color w:val="000000" w:themeColor="text1"/>
        </w:rPr>
        <w:t xml:space="preserve">These measures </w:t>
      </w:r>
      <w:r w:rsidR="00A14C02" w:rsidRPr="00DE3A6F">
        <w:rPr>
          <w:noProof/>
          <w:color w:val="000000" w:themeColor="text1"/>
        </w:rPr>
        <w:t xml:space="preserve">aim to </w:t>
      </w:r>
      <w:r w:rsidR="00161933" w:rsidRPr="00CA1602">
        <w:rPr>
          <w:noProof/>
          <w:color w:val="000000" w:themeColor="text1"/>
        </w:rPr>
        <w:t xml:space="preserve">strengthen </w:t>
      </w:r>
      <w:r w:rsidRPr="00DE3A6F">
        <w:rPr>
          <w:noProof/>
          <w:color w:val="000000" w:themeColor="text1"/>
        </w:rPr>
        <w:t xml:space="preserve">the </w:t>
      </w:r>
      <w:r w:rsidR="002565E2" w:rsidRPr="00DE3A6F">
        <w:rPr>
          <w:noProof/>
          <w:color w:val="000000" w:themeColor="text1"/>
        </w:rPr>
        <w:t xml:space="preserve">EU’s </w:t>
      </w:r>
      <w:r w:rsidRPr="00DE3A6F">
        <w:rPr>
          <w:noProof/>
          <w:color w:val="000000" w:themeColor="text1"/>
        </w:rPr>
        <w:t xml:space="preserve">anti-fraud </w:t>
      </w:r>
      <w:r w:rsidR="002565E2" w:rsidRPr="00DE3A6F">
        <w:rPr>
          <w:noProof/>
          <w:color w:val="000000" w:themeColor="text1"/>
        </w:rPr>
        <w:t xml:space="preserve">framework </w:t>
      </w:r>
      <w:r w:rsidRPr="00DE3A6F">
        <w:rPr>
          <w:noProof/>
          <w:color w:val="000000" w:themeColor="text1"/>
        </w:rPr>
        <w:t>in time for the next MFF.</w:t>
      </w:r>
    </w:p>
    <w:p w14:paraId="3D494B25" w14:textId="76668C60" w:rsidR="23ED15CE" w:rsidRPr="00DE3A6F" w:rsidRDefault="00EC3337" w:rsidP="00BA4723">
      <w:pPr>
        <w:pStyle w:val="Caption"/>
        <w:keepNext/>
        <w:pBdr>
          <w:top w:val="single" w:sz="4" w:space="1" w:color="auto"/>
          <w:left w:val="single" w:sz="4" w:space="4" w:color="auto"/>
          <w:bottom w:val="single" w:sz="4" w:space="1" w:color="auto"/>
          <w:right w:val="single" w:sz="4" w:space="4" w:color="auto"/>
        </w:pBdr>
        <w:shd w:val="clear" w:color="auto" w:fill="DEEAF6" w:themeFill="accent1" w:themeFillTint="33"/>
        <w:rPr>
          <w:b w:val="0"/>
          <w:bCs/>
          <w:i w:val="0"/>
          <w:iCs/>
          <w:noProof/>
          <w:color w:val="000000" w:themeColor="text1"/>
        </w:rPr>
      </w:pPr>
      <w:r w:rsidRPr="00DE3A6F">
        <w:rPr>
          <w:noProof/>
        </w:rPr>
        <w:t xml:space="preserve">Snapshot </w:t>
      </w:r>
      <w:r w:rsidR="008B28F1" w:rsidRPr="00DE3A6F">
        <w:rPr>
          <w:noProof/>
        </w:rPr>
        <w:fldChar w:fldCharType="begin"/>
      </w:r>
      <w:r w:rsidR="008B28F1" w:rsidRPr="00DE3A6F">
        <w:rPr>
          <w:noProof/>
        </w:rPr>
        <w:instrText xml:space="preserve"> SEQ Snapshot \* ARABIC </w:instrText>
      </w:r>
      <w:r w:rsidR="008B28F1" w:rsidRPr="00DE3A6F">
        <w:rPr>
          <w:noProof/>
        </w:rPr>
        <w:fldChar w:fldCharType="separate"/>
      </w:r>
      <w:r w:rsidR="00CA6005">
        <w:rPr>
          <w:noProof/>
        </w:rPr>
        <w:t>1</w:t>
      </w:r>
      <w:r w:rsidR="008B28F1" w:rsidRPr="00DE3A6F">
        <w:rPr>
          <w:noProof/>
        </w:rPr>
        <w:fldChar w:fldCharType="end"/>
      </w:r>
      <w:r w:rsidR="346033AC" w:rsidRPr="00DE3A6F">
        <w:rPr>
          <w:bCs/>
          <w:iCs/>
          <w:noProof/>
          <w:color w:val="000000" w:themeColor="text1"/>
        </w:rPr>
        <w:t>: European Court of Auditors</w:t>
      </w:r>
      <w:r w:rsidR="00AF1737" w:rsidRPr="00DE3A6F">
        <w:rPr>
          <w:bCs/>
          <w:iCs/>
          <w:noProof/>
          <w:color w:val="000000" w:themeColor="text1"/>
        </w:rPr>
        <w:t>’</w:t>
      </w:r>
      <w:r w:rsidR="346033AC" w:rsidRPr="00DE3A6F">
        <w:rPr>
          <w:bCs/>
          <w:iCs/>
          <w:noProof/>
          <w:color w:val="000000" w:themeColor="text1"/>
        </w:rPr>
        <w:t xml:space="preserve"> special report on EU</w:t>
      </w:r>
      <w:r w:rsidR="00AF1737" w:rsidRPr="00DE3A6F">
        <w:rPr>
          <w:bCs/>
          <w:iCs/>
          <w:noProof/>
          <w:color w:val="000000" w:themeColor="text1"/>
        </w:rPr>
        <w:t>’s</w:t>
      </w:r>
      <w:r w:rsidR="346033AC" w:rsidRPr="00DE3A6F">
        <w:rPr>
          <w:bCs/>
          <w:iCs/>
          <w:noProof/>
          <w:color w:val="000000" w:themeColor="text1"/>
        </w:rPr>
        <w:t xml:space="preserve"> </w:t>
      </w:r>
      <w:r w:rsidR="00AF1737" w:rsidRPr="00DE3A6F">
        <w:rPr>
          <w:bCs/>
          <w:iCs/>
          <w:noProof/>
          <w:color w:val="000000" w:themeColor="text1"/>
        </w:rPr>
        <w:t xml:space="preserve">anti-fraud </w:t>
      </w:r>
      <w:r w:rsidR="00993D3C" w:rsidRPr="00DE3A6F">
        <w:rPr>
          <w:bCs/>
          <w:iCs/>
          <w:noProof/>
          <w:color w:val="000000" w:themeColor="text1"/>
        </w:rPr>
        <w:t>bodie</w:t>
      </w:r>
      <w:r w:rsidR="00D35EA3" w:rsidRPr="00DE3A6F">
        <w:rPr>
          <w:bCs/>
          <w:iCs/>
          <w:noProof/>
          <w:color w:val="000000" w:themeColor="text1"/>
        </w:rPr>
        <w:t>s</w:t>
      </w:r>
    </w:p>
    <w:p w14:paraId="5ADAC23D" w14:textId="37E475A1" w:rsidR="00306548" w:rsidRPr="00737CC7" w:rsidRDefault="2C0DDB20" w:rsidP="28D37C99">
      <w:pPr>
        <w:pBdr>
          <w:top w:val="single" w:sz="4" w:space="1" w:color="auto"/>
          <w:left w:val="single" w:sz="4" w:space="4" w:color="auto"/>
          <w:bottom w:val="single" w:sz="4" w:space="1" w:color="auto"/>
          <w:right w:val="single" w:sz="4" w:space="4" w:color="auto"/>
        </w:pBdr>
        <w:shd w:val="clear" w:color="auto" w:fill="DEEAF6" w:themeFill="accent1" w:themeFillTint="33"/>
        <w:spacing w:before="40" w:after="160" w:line="288" w:lineRule="auto"/>
        <w:rPr>
          <w:noProof/>
          <w:color w:val="000000" w:themeColor="text1"/>
        </w:rPr>
      </w:pPr>
      <w:r w:rsidRPr="00737CC7">
        <w:rPr>
          <w:noProof/>
          <w:color w:val="000000" w:themeColor="text1"/>
        </w:rPr>
        <w:t xml:space="preserve">In 2025, the European Court of Auditors (ECA) published its </w:t>
      </w:r>
      <w:r w:rsidR="00161933" w:rsidRPr="00737CC7">
        <w:rPr>
          <w:noProof/>
          <w:color w:val="000000" w:themeColor="text1"/>
        </w:rPr>
        <w:t xml:space="preserve">special report </w:t>
      </w:r>
      <w:r w:rsidR="2EEAAB2D" w:rsidRPr="00737CC7">
        <w:rPr>
          <w:noProof/>
          <w:color w:val="000000" w:themeColor="text1"/>
        </w:rPr>
        <w:t xml:space="preserve">26/2025 </w:t>
      </w:r>
      <w:r w:rsidRPr="00737CC7">
        <w:rPr>
          <w:noProof/>
          <w:color w:val="000000" w:themeColor="text1"/>
        </w:rPr>
        <w:t xml:space="preserve">on EU bodies fighting </w:t>
      </w:r>
      <w:r w:rsidR="68F06046" w:rsidRPr="00737CC7">
        <w:rPr>
          <w:noProof/>
          <w:color w:val="000000" w:themeColor="text1"/>
        </w:rPr>
        <w:t>fraud, which</w:t>
      </w:r>
      <w:r w:rsidRPr="00737CC7">
        <w:rPr>
          <w:noProof/>
          <w:color w:val="000000" w:themeColor="text1"/>
        </w:rPr>
        <w:t xml:space="preserve"> assessed the key </w:t>
      </w:r>
      <w:r w:rsidR="005D2AB9">
        <w:rPr>
          <w:noProof/>
          <w:color w:val="000000" w:themeColor="text1"/>
        </w:rPr>
        <w:t xml:space="preserve">actors </w:t>
      </w:r>
      <w:r w:rsidRPr="00737CC7">
        <w:rPr>
          <w:noProof/>
          <w:color w:val="000000" w:themeColor="text1"/>
        </w:rPr>
        <w:t xml:space="preserve">involved in the EU anti-fraud architecture, including </w:t>
      </w:r>
      <w:r w:rsidR="073612FD" w:rsidRPr="00737CC7">
        <w:rPr>
          <w:noProof/>
          <w:color w:val="000000" w:themeColor="text1"/>
        </w:rPr>
        <w:t xml:space="preserve">the </w:t>
      </w:r>
      <w:r w:rsidRPr="00737CC7">
        <w:rPr>
          <w:noProof/>
          <w:color w:val="000000" w:themeColor="text1"/>
        </w:rPr>
        <w:t xml:space="preserve">EPPO and OLAF, and how they cooperate in investigating fraud. </w:t>
      </w:r>
      <w:r w:rsidR="00A53D98" w:rsidRPr="00737CC7">
        <w:rPr>
          <w:noProof/>
          <w:color w:val="000000" w:themeColor="text1"/>
        </w:rPr>
        <w:t xml:space="preserve">The </w:t>
      </w:r>
      <w:r w:rsidRPr="00737CC7">
        <w:rPr>
          <w:noProof/>
          <w:color w:val="000000" w:themeColor="text1"/>
        </w:rPr>
        <w:t xml:space="preserve">ECA found that the responsibilities of these bodies are </w:t>
      </w:r>
      <w:r w:rsidR="00B16B95" w:rsidRPr="00737CC7">
        <w:rPr>
          <w:noProof/>
          <w:color w:val="000000" w:themeColor="text1"/>
        </w:rPr>
        <w:t>clearly set</w:t>
      </w:r>
      <w:r w:rsidR="00A53D98" w:rsidRPr="00737CC7">
        <w:rPr>
          <w:noProof/>
          <w:color w:val="000000" w:themeColor="text1"/>
        </w:rPr>
        <w:t xml:space="preserve"> out</w:t>
      </w:r>
      <w:r w:rsidRPr="00737CC7">
        <w:rPr>
          <w:noProof/>
          <w:color w:val="000000" w:themeColor="text1"/>
        </w:rPr>
        <w:t xml:space="preserve">, but </w:t>
      </w:r>
      <w:r w:rsidR="4F1F4BF0" w:rsidRPr="00737CC7">
        <w:rPr>
          <w:noProof/>
          <w:color w:val="000000" w:themeColor="text1"/>
        </w:rPr>
        <w:t xml:space="preserve">the architecture would benefit from improvements </w:t>
      </w:r>
      <w:r w:rsidRPr="00737CC7">
        <w:rPr>
          <w:noProof/>
          <w:color w:val="000000" w:themeColor="text1"/>
        </w:rPr>
        <w:t xml:space="preserve">in terms of information </w:t>
      </w:r>
      <w:r w:rsidR="38A381DF" w:rsidRPr="00737CC7">
        <w:rPr>
          <w:noProof/>
          <w:color w:val="000000" w:themeColor="text1"/>
        </w:rPr>
        <w:t>exchange between</w:t>
      </w:r>
      <w:r w:rsidR="5111E52B" w:rsidRPr="00737CC7">
        <w:rPr>
          <w:noProof/>
          <w:color w:val="000000" w:themeColor="text1"/>
        </w:rPr>
        <w:t xml:space="preserve"> the</w:t>
      </w:r>
      <w:r w:rsidR="38A381DF" w:rsidRPr="00737CC7">
        <w:rPr>
          <w:noProof/>
          <w:color w:val="000000" w:themeColor="text1"/>
        </w:rPr>
        <w:t xml:space="preserve"> </w:t>
      </w:r>
      <w:r w:rsidRPr="00737CC7">
        <w:rPr>
          <w:noProof/>
          <w:color w:val="000000" w:themeColor="text1"/>
        </w:rPr>
        <w:t>EPPO and OLAF, as well as the Commission’s wider role in protecting the EU budget. The ECA recommended</w:t>
      </w:r>
      <w:r w:rsidR="00AD7EFE" w:rsidRPr="00737CC7">
        <w:rPr>
          <w:noProof/>
          <w:color w:val="000000" w:themeColor="text1"/>
        </w:rPr>
        <w:t xml:space="preserve"> that</w:t>
      </w:r>
      <w:r w:rsidRPr="00737CC7">
        <w:rPr>
          <w:noProof/>
          <w:color w:val="000000" w:themeColor="text1"/>
        </w:rPr>
        <w:t xml:space="preserve"> the Commission </w:t>
      </w:r>
      <w:r w:rsidR="009D7FC7" w:rsidRPr="00737CC7">
        <w:rPr>
          <w:noProof/>
          <w:color w:val="000000" w:themeColor="text1"/>
        </w:rPr>
        <w:t xml:space="preserve">to: i) </w:t>
      </w:r>
      <w:r w:rsidR="00AD7EFE" w:rsidRPr="00737CC7">
        <w:rPr>
          <w:noProof/>
          <w:color w:val="000000" w:themeColor="text1"/>
        </w:rPr>
        <w:t xml:space="preserve">set up </w:t>
      </w:r>
      <w:r w:rsidRPr="00737CC7">
        <w:rPr>
          <w:noProof/>
          <w:color w:val="000000" w:themeColor="text1"/>
        </w:rPr>
        <w:t xml:space="preserve">a new system to simplify </w:t>
      </w:r>
      <w:r w:rsidR="00AB0487" w:rsidRPr="00737CC7">
        <w:rPr>
          <w:noProof/>
          <w:color w:val="000000" w:themeColor="text1"/>
        </w:rPr>
        <w:t xml:space="preserve">the </w:t>
      </w:r>
      <w:r w:rsidRPr="00737CC7">
        <w:rPr>
          <w:noProof/>
          <w:color w:val="000000" w:themeColor="text1"/>
        </w:rPr>
        <w:t xml:space="preserve">handling </w:t>
      </w:r>
      <w:r w:rsidR="00AB0487" w:rsidRPr="00737CC7">
        <w:rPr>
          <w:noProof/>
          <w:color w:val="000000" w:themeColor="text1"/>
        </w:rPr>
        <w:t>of</w:t>
      </w:r>
      <w:r w:rsidR="00045046" w:rsidRPr="00737CC7">
        <w:rPr>
          <w:noProof/>
          <w:color w:val="000000" w:themeColor="text1"/>
        </w:rPr>
        <w:t xml:space="preserve"> </w:t>
      </w:r>
      <w:r w:rsidRPr="00737CC7">
        <w:rPr>
          <w:noProof/>
          <w:color w:val="000000" w:themeColor="text1"/>
        </w:rPr>
        <w:t xml:space="preserve">allegations and investigations; </w:t>
      </w:r>
      <w:r w:rsidR="00AB0487" w:rsidRPr="00737CC7">
        <w:rPr>
          <w:noProof/>
          <w:color w:val="000000" w:themeColor="text1"/>
        </w:rPr>
        <w:t xml:space="preserve">ii) </w:t>
      </w:r>
      <w:r w:rsidRPr="00737CC7">
        <w:rPr>
          <w:noProof/>
          <w:color w:val="000000" w:themeColor="text1"/>
        </w:rPr>
        <w:t xml:space="preserve">analyse variations in the level of fraud reported across the EU; and </w:t>
      </w:r>
      <w:r w:rsidR="0077159F" w:rsidRPr="00737CC7">
        <w:rPr>
          <w:noProof/>
          <w:color w:val="000000" w:themeColor="text1"/>
        </w:rPr>
        <w:t xml:space="preserve">(iii) </w:t>
      </w:r>
      <w:r w:rsidRPr="00737CC7">
        <w:rPr>
          <w:noProof/>
          <w:color w:val="000000" w:themeColor="text1"/>
        </w:rPr>
        <w:t>measure the impact of fraud investigations, including amounts recovered to the EU budget.</w:t>
      </w:r>
    </w:p>
    <w:p w14:paraId="220D85C7" w14:textId="5EE37383" w:rsidR="000D6EFA" w:rsidRPr="00DE3A6F" w:rsidRDefault="00165D91" w:rsidP="00F43E85">
      <w:pPr>
        <w:pStyle w:val="Heading3"/>
        <w:rPr>
          <w:noProof/>
        </w:rPr>
      </w:pPr>
      <w:bookmarkStart w:id="34" w:name="_The_Commission:_implementation"/>
      <w:bookmarkStart w:id="35" w:name="_Toc234447054"/>
      <w:bookmarkStart w:id="36" w:name="_Toc202011319"/>
      <w:bookmarkEnd w:id="34"/>
      <w:r w:rsidRPr="00DE3A6F">
        <w:rPr>
          <w:noProof/>
        </w:rPr>
        <w:t xml:space="preserve">The </w:t>
      </w:r>
      <w:r w:rsidR="000D6EFA" w:rsidRPr="00DE3A6F">
        <w:rPr>
          <w:noProof/>
        </w:rPr>
        <w:t>anti-corruption package</w:t>
      </w:r>
      <w:bookmarkEnd w:id="35"/>
    </w:p>
    <w:p w14:paraId="66ECBFA7" w14:textId="63497FA8" w:rsidR="00390306" w:rsidRPr="00DE3A6F" w:rsidRDefault="00390306" w:rsidP="00390306">
      <w:pPr>
        <w:pStyle w:val="Heading4"/>
        <w:rPr>
          <w:noProof/>
        </w:rPr>
      </w:pPr>
      <w:bookmarkStart w:id="37" w:name="_Toc234447055"/>
      <w:r w:rsidRPr="00DE3A6F">
        <w:rPr>
          <w:noProof/>
        </w:rPr>
        <w:t>Directive on combating corruption</w:t>
      </w:r>
      <w:bookmarkEnd w:id="37"/>
    </w:p>
    <w:p w14:paraId="17439532" w14:textId="5ABEAE65" w:rsidR="000D6EFA" w:rsidRPr="00DE3A6F" w:rsidRDefault="2DC3DDB0" w:rsidP="044E42F4">
      <w:pPr>
        <w:spacing w:before="40" w:after="160" w:line="288" w:lineRule="auto"/>
        <w:rPr>
          <w:noProof/>
        </w:rPr>
      </w:pPr>
      <w:r w:rsidRPr="00737CC7">
        <w:rPr>
          <w:noProof/>
        </w:rPr>
        <w:t xml:space="preserve">In December 2025, the Council and the European Parliament reached </w:t>
      </w:r>
      <w:r w:rsidR="1C0C2CF1" w:rsidRPr="00737CC7">
        <w:rPr>
          <w:noProof/>
        </w:rPr>
        <w:t>p</w:t>
      </w:r>
      <w:r w:rsidR="3F8AF43B" w:rsidRPr="00737CC7">
        <w:rPr>
          <w:noProof/>
        </w:rPr>
        <w:t xml:space="preserve">olitical agreement on the </w:t>
      </w:r>
      <w:r w:rsidR="3F8AF43B" w:rsidRPr="00737CC7">
        <w:rPr>
          <w:b/>
          <w:bCs/>
          <w:noProof/>
        </w:rPr>
        <w:t>Directive on combating corruption</w:t>
      </w:r>
      <w:r w:rsidR="003C6BD9" w:rsidRPr="00737CC7">
        <w:rPr>
          <w:noProof/>
        </w:rPr>
        <w:t> (</w:t>
      </w:r>
      <w:r w:rsidR="003C6BD9" w:rsidRPr="00737CC7">
        <w:rPr>
          <w:rStyle w:val="FootnoteReference"/>
          <w:noProof/>
        </w:rPr>
        <w:footnoteReference w:id="25"/>
      </w:r>
      <w:r w:rsidR="003C6BD9" w:rsidRPr="00737CC7">
        <w:rPr>
          <w:noProof/>
        </w:rPr>
        <w:t>)</w:t>
      </w:r>
      <w:r w:rsidR="1CD0CAAF" w:rsidRPr="00737CC7">
        <w:rPr>
          <w:noProof/>
        </w:rPr>
        <w:t>,</w:t>
      </w:r>
      <w:r w:rsidR="3F8AF43B" w:rsidRPr="00737CC7">
        <w:rPr>
          <w:noProof/>
        </w:rPr>
        <w:t xml:space="preserve"> </w:t>
      </w:r>
      <w:r w:rsidR="1C0C2CF1" w:rsidRPr="00737CC7">
        <w:rPr>
          <w:noProof/>
        </w:rPr>
        <w:t xml:space="preserve">following </w:t>
      </w:r>
      <w:r w:rsidR="3F8AF43B" w:rsidRPr="00737CC7">
        <w:rPr>
          <w:noProof/>
        </w:rPr>
        <w:t xml:space="preserve">trilogue negotiations </w:t>
      </w:r>
      <w:r w:rsidR="1C0C2CF1" w:rsidRPr="00737CC7">
        <w:rPr>
          <w:noProof/>
        </w:rPr>
        <w:t xml:space="preserve">that began </w:t>
      </w:r>
      <w:r w:rsidR="3F8AF43B" w:rsidRPr="00737CC7">
        <w:rPr>
          <w:noProof/>
        </w:rPr>
        <w:t xml:space="preserve">in January 2025. The Directive was formally adopted in spring 2026 </w:t>
      </w:r>
      <w:r w:rsidR="2EEA76F8" w:rsidRPr="00737CC7">
        <w:rPr>
          <w:noProof/>
        </w:rPr>
        <w:t xml:space="preserve">with </w:t>
      </w:r>
      <w:r w:rsidR="3F8AF43B" w:rsidRPr="00737CC7">
        <w:rPr>
          <w:noProof/>
        </w:rPr>
        <w:t xml:space="preserve">Member States </w:t>
      </w:r>
      <w:r w:rsidR="2EEA76F8" w:rsidRPr="00737CC7">
        <w:rPr>
          <w:noProof/>
        </w:rPr>
        <w:t xml:space="preserve">required </w:t>
      </w:r>
      <w:r w:rsidR="3F8AF43B" w:rsidRPr="00737CC7">
        <w:rPr>
          <w:noProof/>
        </w:rPr>
        <w:t>to transpose it into national law</w:t>
      </w:r>
      <w:r w:rsidR="714765AF" w:rsidRPr="00737CC7">
        <w:rPr>
          <w:noProof/>
        </w:rPr>
        <w:t xml:space="preserve"> within two years</w:t>
      </w:r>
      <w:r w:rsidR="3F8AF43B" w:rsidRPr="00737CC7">
        <w:rPr>
          <w:noProof/>
        </w:rPr>
        <w:t xml:space="preserve">. It </w:t>
      </w:r>
      <w:r w:rsidR="20E51926" w:rsidRPr="00737CC7">
        <w:rPr>
          <w:noProof/>
        </w:rPr>
        <w:t xml:space="preserve">introduces </w:t>
      </w:r>
      <w:r w:rsidR="3F8AF43B" w:rsidRPr="00737CC7">
        <w:rPr>
          <w:noProof/>
        </w:rPr>
        <w:t xml:space="preserve">three key changes </w:t>
      </w:r>
      <w:r w:rsidR="20E51926" w:rsidRPr="00737CC7">
        <w:rPr>
          <w:noProof/>
        </w:rPr>
        <w:t xml:space="preserve">to </w:t>
      </w:r>
      <w:r w:rsidR="3F8AF43B" w:rsidRPr="00737CC7">
        <w:rPr>
          <w:noProof/>
        </w:rPr>
        <w:t xml:space="preserve">how corruption offences will be </w:t>
      </w:r>
      <w:r w:rsidR="65162657" w:rsidRPr="00737CC7">
        <w:rPr>
          <w:noProof/>
        </w:rPr>
        <w:t>addressed</w:t>
      </w:r>
      <w:r w:rsidR="3F8AF43B" w:rsidRPr="00737CC7">
        <w:rPr>
          <w:noProof/>
        </w:rPr>
        <w:t xml:space="preserve"> across </w:t>
      </w:r>
      <w:r w:rsidR="00B16B95" w:rsidRPr="00737CC7">
        <w:rPr>
          <w:noProof/>
        </w:rPr>
        <w:t>the EU</w:t>
      </w:r>
      <w:r w:rsidR="3F8AF43B" w:rsidRPr="00737CC7">
        <w:rPr>
          <w:noProof/>
        </w:rPr>
        <w:t xml:space="preserve">: </w:t>
      </w:r>
    </w:p>
    <w:p w14:paraId="1812125A" w14:textId="49E51A39" w:rsidR="000D6EFA" w:rsidRPr="00737CC7" w:rsidRDefault="0092108A" w:rsidP="28D37C99">
      <w:pPr>
        <w:pStyle w:val="ListParagraph"/>
        <w:numPr>
          <w:ilvl w:val="0"/>
          <w:numId w:val="2"/>
        </w:numPr>
        <w:spacing w:before="40" w:after="160" w:line="288" w:lineRule="auto"/>
        <w:jc w:val="both"/>
        <w:rPr>
          <w:rFonts w:ascii="Times New Roman" w:hAnsi="Times New Roman"/>
          <w:noProof/>
        </w:rPr>
      </w:pPr>
      <w:r w:rsidRPr="00737CC7">
        <w:rPr>
          <w:rFonts w:ascii="Times New Roman" w:hAnsi="Times New Roman"/>
          <w:b/>
          <w:bCs/>
          <w:noProof/>
        </w:rPr>
        <w:t>Harmonised definitions:</w:t>
      </w:r>
      <w:r w:rsidR="70FAC630" w:rsidRPr="00737CC7">
        <w:rPr>
          <w:rFonts w:ascii="Times New Roman" w:hAnsi="Times New Roman"/>
          <w:noProof/>
        </w:rPr>
        <w:t xml:space="preserve"> </w:t>
      </w:r>
      <w:r w:rsidRPr="00737CC7">
        <w:rPr>
          <w:rFonts w:ascii="Times New Roman" w:hAnsi="Times New Roman"/>
          <w:noProof/>
        </w:rPr>
        <w:t>it aligns</w:t>
      </w:r>
      <w:r w:rsidR="00E97CFA" w:rsidRPr="00737CC7">
        <w:rPr>
          <w:rFonts w:ascii="Times New Roman" w:hAnsi="Times New Roman"/>
          <w:noProof/>
        </w:rPr>
        <w:t xml:space="preserve"> </w:t>
      </w:r>
      <w:r w:rsidR="70FAC630" w:rsidRPr="00737CC7">
        <w:rPr>
          <w:rFonts w:ascii="Times New Roman" w:hAnsi="Times New Roman"/>
          <w:noProof/>
        </w:rPr>
        <w:t xml:space="preserve">definitions of offences </w:t>
      </w:r>
      <w:r w:rsidR="00E97CFA" w:rsidRPr="00737CC7">
        <w:rPr>
          <w:rFonts w:ascii="Times New Roman" w:hAnsi="Times New Roman"/>
          <w:noProof/>
        </w:rPr>
        <w:t xml:space="preserve">including </w:t>
      </w:r>
      <w:r w:rsidR="70FAC630" w:rsidRPr="00737CC7">
        <w:rPr>
          <w:rFonts w:ascii="Times New Roman" w:hAnsi="Times New Roman"/>
          <w:noProof/>
        </w:rPr>
        <w:t xml:space="preserve">bribery, misappropriation, trading in influence, (at least certain serious violations </w:t>
      </w:r>
      <w:r w:rsidR="00300876" w:rsidRPr="00737CC7">
        <w:rPr>
          <w:rFonts w:ascii="Times New Roman" w:hAnsi="Times New Roman"/>
          <w:noProof/>
        </w:rPr>
        <w:t>involving</w:t>
      </w:r>
      <w:r w:rsidR="70FAC630" w:rsidRPr="00737CC7">
        <w:rPr>
          <w:rFonts w:ascii="Times New Roman" w:hAnsi="Times New Roman"/>
          <w:noProof/>
        </w:rPr>
        <w:t xml:space="preserve">) </w:t>
      </w:r>
      <w:r w:rsidR="70FAC630" w:rsidRPr="00737CC7">
        <w:rPr>
          <w:rFonts w:ascii="Times New Roman" w:hAnsi="Times New Roman"/>
          <w:noProof/>
        </w:rPr>
        <w:lastRenderedPageBreak/>
        <w:t>unlawful exercise of public functions, enrichment and concealment</w:t>
      </w:r>
      <w:r w:rsidR="0085351D" w:rsidRPr="00737CC7">
        <w:rPr>
          <w:rFonts w:ascii="Times New Roman" w:hAnsi="Times New Roman"/>
          <w:noProof/>
        </w:rPr>
        <w:t>,</w:t>
      </w:r>
      <w:r w:rsidR="70FAC630" w:rsidRPr="00737CC7">
        <w:rPr>
          <w:rFonts w:ascii="Times New Roman" w:hAnsi="Times New Roman"/>
          <w:noProof/>
        </w:rPr>
        <w:t xml:space="preserve"> as well as obstruction of justice related to corruption offences. </w:t>
      </w:r>
    </w:p>
    <w:p w14:paraId="6442FCDD" w14:textId="45FFF376" w:rsidR="000D6EFA" w:rsidRPr="00737CC7" w:rsidRDefault="009B3470" w:rsidP="28D37C99">
      <w:pPr>
        <w:pStyle w:val="ListParagraph"/>
        <w:numPr>
          <w:ilvl w:val="0"/>
          <w:numId w:val="2"/>
        </w:numPr>
        <w:spacing w:before="40" w:after="160" w:line="288" w:lineRule="auto"/>
        <w:jc w:val="both"/>
        <w:rPr>
          <w:rFonts w:ascii="Times New Roman" w:hAnsi="Times New Roman"/>
          <w:noProof/>
        </w:rPr>
      </w:pPr>
      <w:r w:rsidRPr="00737CC7">
        <w:rPr>
          <w:rFonts w:ascii="Times New Roman" w:hAnsi="Times New Roman"/>
          <w:b/>
          <w:bCs/>
          <w:noProof/>
        </w:rPr>
        <w:t xml:space="preserve">Stronger </w:t>
      </w:r>
      <w:r w:rsidR="00DC5B7F" w:rsidRPr="00737CC7">
        <w:rPr>
          <w:rFonts w:ascii="Times New Roman" w:hAnsi="Times New Roman"/>
          <w:b/>
          <w:bCs/>
          <w:noProof/>
        </w:rPr>
        <w:t xml:space="preserve">penalties and procedural rules: </w:t>
      </w:r>
      <w:r w:rsidR="70FAC630" w:rsidRPr="00737CC7">
        <w:rPr>
          <w:rFonts w:ascii="Times New Roman" w:hAnsi="Times New Roman"/>
          <w:noProof/>
        </w:rPr>
        <w:t xml:space="preserve">it </w:t>
      </w:r>
      <w:r w:rsidRPr="00737CC7">
        <w:rPr>
          <w:rFonts w:ascii="Times New Roman" w:hAnsi="Times New Roman"/>
          <w:noProof/>
        </w:rPr>
        <w:t xml:space="preserve">sets </w:t>
      </w:r>
      <w:r w:rsidR="70FAC630" w:rsidRPr="00737CC7">
        <w:rPr>
          <w:rFonts w:ascii="Times New Roman" w:hAnsi="Times New Roman"/>
          <w:noProof/>
        </w:rPr>
        <w:t>minimum levels of criminal penalties</w:t>
      </w:r>
      <w:r w:rsidR="00A80B90" w:rsidRPr="00737CC7">
        <w:rPr>
          <w:rFonts w:ascii="Times New Roman" w:hAnsi="Times New Roman"/>
          <w:noProof/>
        </w:rPr>
        <w:t xml:space="preserve"> (including </w:t>
      </w:r>
      <w:r w:rsidR="70FAC630" w:rsidRPr="00737CC7">
        <w:rPr>
          <w:rFonts w:ascii="Times New Roman" w:hAnsi="Times New Roman"/>
          <w:noProof/>
        </w:rPr>
        <w:t>imprisonment</w:t>
      </w:r>
      <w:r w:rsidR="00DF5C89" w:rsidRPr="00737CC7">
        <w:rPr>
          <w:rFonts w:ascii="Times New Roman" w:hAnsi="Times New Roman"/>
          <w:noProof/>
        </w:rPr>
        <w:t>)</w:t>
      </w:r>
      <w:r w:rsidR="70FAC630" w:rsidRPr="00737CC7">
        <w:rPr>
          <w:rFonts w:ascii="Times New Roman" w:hAnsi="Times New Roman"/>
          <w:noProof/>
        </w:rPr>
        <w:t xml:space="preserve"> for </w:t>
      </w:r>
      <w:r w:rsidR="00DF5C89" w:rsidRPr="00737CC7">
        <w:rPr>
          <w:rFonts w:ascii="Times New Roman" w:hAnsi="Times New Roman"/>
          <w:noProof/>
        </w:rPr>
        <w:t>natural and legal persons</w:t>
      </w:r>
      <w:r w:rsidR="00723E2D" w:rsidRPr="00737CC7">
        <w:rPr>
          <w:rFonts w:ascii="Times New Roman" w:hAnsi="Times New Roman"/>
          <w:noProof/>
        </w:rPr>
        <w:t xml:space="preserve"> </w:t>
      </w:r>
      <w:r w:rsidR="70FAC630" w:rsidRPr="00737CC7">
        <w:rPr>
          <w:rFonts w:ascii="Times New Roman" w:hAnsi="Times New Roman"/>
          <w:noProof/>
        </w:rPr>
        <w:t xml:space="preserve">and </w:t>
      </w:r>
      <w:r w:rsidR="00792D92" w:rsidRPr="00737CC7">
        <w:rPr>
          <w:rFonts w:ascii="Times New Roman" w:hAnsi="Times New Roman"/>
          <w:noProof/>
        </w:rPr>
        <w:t xml:space="preserve">lays down </w:t>
      </w:r>
      <w:r w:rsidR="70FAC630" w:rsidRPr="00737CC7">
        <w:rPr>
          <w:rFonts w:ascii="Times New Roman" w:hAnsi="Times New Roman"/>
          <w:noProof/>
        </w:rPr>
        <w:t>minimum time</w:t>
      </w:r>
      <w:r w:rsidR="00792D92" w:rsidRPr="00737CC7">
        <w:rPr>
          <w:rFonts w:ascii="Times New Roman" w:hAnsi="Times New Roman"/>
          <w:noProof/>
        </w:rPr>
        <w:t xml:space="preserve"> </w:t>
      </w:r>
      <w:r w:rsidR="70FAC630" w:rsidRPr="00737CC7">
        <w:rPr>
          <w:rFonts w:ascii="Times New Roman" w:hAnsi="Times New Roman"/>
          <w:noProof/>
        </w:rPr>
        <w:t>frames for investigati</w:t>
      </w:r>
      <w:r w:rsidR="00723E2D" w:rsidRPr="00737CC7">
        <w:rPr>
          <w:rFonts w:ascii="Times New Roman" w:hAnsi="Times New Roman"/>
          <w:noProof/>
        </w:rPr>
        <w:t>ng</w:t>
      </w:r>
      <w:r w:rsidR="70FAC630" w:rsidRPr="00737CC7">
        <w:rPr>
          <w:rFonts w:ascii="Times New Roman" w:hAnsi="Times New Roman"/>
          <w:noProof/>
        </w:rPr>
        <w:t xml:space="preserve"> and </w:t>
      </w:r>
      <w:r w:rsidR="00723E2D" w:rsidRPr="00737CC7">
        <w:rPr>
          <w:rFonts w:ascii="Times New Roman" w:hAnsi="Times New Roman"/>
          <w:noProof/>
        </w:rPr>
        <w:t xml:space="preserve">prosecuting </w:t>
      </w:r>
      <w:r w:rsidR="70FAC630" w:rsidRPr="00737CC7">
        <w:rPr>
          <w:rFonts w:ascii="Times New Roman" w:hAnsi="Times New Roman"/>
          <w:noProof/>
        </w:rPr>
        <w:t>corruption</w:t>
      </w:r>
      <w:r w:rsidR="00705266" w:rsidRPr="00737CC7">
        <w:rPr>
          <w:rFonts w:ascii="Times New Roman" w:hAnsi="Times New Roman"/>
          <w:noProof/>
        </w:rPr>
        <w:t xml:space="preserve"> offences, </w:t>
      </w:r>
      <w:r w:rsidR="00667F03" w:rsidRPr="00737CC7">
        <w:rPr>
          <w:rFonts w:ascii="Times New Roman" w:hAnsi="Times New Roman"/>
          <w:noProof/>
        </w:rPr>
        <w:t xml:space="preserve">tailored to the gravity of </w:t>
      </w:r>
      <w:r w:rsidR="70FAC630" w:rsidRPr="00737CC7">
        <w:rPr>
          <w:rFonts w:ascii="Times New Roman" w:hAnsi="Times New Roman"/>
          <w:noProof/>
        </w:rPr>
        <w:t>each offence</w:t>
      </w:r>
      <w:r w:rsidR="00667F03" w:rsidRPr="00737CC7">
        <w:rPr>
          <w:rFonts w:ascii="Times New Roman" w:hAnsi="Times New Roman"/>
          <w:noProof/>
        </w:rPr>
        <w:t xml:space="preserve">, to </w:t>
      </w:r>
      <w:r w:rsidR="70FAC630" w:rsidRPr="00737CC7">
        <w:rPr>
          <w:rFonts w:ascii="Times New Roman" w:hAnsi="Times New Roman"/>
          <w:noProof/>
        </w:rPr>
        <w:t xml:space="preserve">ensure sufficient time </w:t>
      </w:r>
      <w:r w:rsidR="00667F03" w:rsidRPr="00737CC7">
        <w:rPr>
          <w:rFonts w:ascii="Times New Roman" w:hAnsi="Times New Roman"/>
          <w:noProof/>
        </w:rPr>
        <w:t>for effective enforcement</w:t>
      </w:r>
      <w:r w:rsidR="70FAC630" w:rsidRPr="00737CC7">
        <w:rPr>
          <w:rFonts w:ascii="Times New Roman" w:hAnsi="Times New Roman"/>
          <w:noProof/>
        </w:rPr>
        <w:t xml:space="preserve">. </w:t>
      </w:r>
    </w:p>
    <w:p w14:paraId="6C433AB2" w14:textId="11537ACF" w:rsidR="000D6EFA" w:rsidRPr="00DE3A6F" w:rsidRDefault="00D4146A" w:rsidP="00C84E03">
      <w:pPr>
        <w:pStyle w:val="ListParagraph"/>
        <w:numPr>
          <w:ilvl w:val="0"/>
          <w:numId w:val="2"/>
        </w:numPr>
        <w:spacing w:before="40" w:after="160" w:line="288" w:lineRule="auto"/>
        <w:jc w:val="both"/>
        <w:rPr>
          <w:rFonts w:ascii="Times New Roman" w:hAnsi="Times New Roman"/>
          <w:noProof/>
        </w:rPr>
      </w:pPr>
      <w:r w:rsidRPr="00DE3A6F">
        <w:rPr>
          <w:rFonts w:ascii="Times New Roman" w:hAnsi="Times New Roman"/>
          <w:noProof/>
        </w:rPr>
        <w:t xml:space="preserve"> </w:t>
      </w:r>
      <w:r w:rsidR="00FC50BC" w:rsidRPr="00DE3A6F">
        <w:rPr>
          <w:rFonts w:ascii="Times New Roman" w:hAnsi="Times New Roman"/>
          <w:b/>
          <w:bCs/>
          <w:noProof/>
        </w:rPr>
        <w:t xml:space="preserve">A </w:t>
      </w:r>
      <w:r w:rsidR="00792D92" w:rsidRPr="00CA1602">
        <w:rPr>
          <w:rFonts w:ascii="Times New Roman" w:hAnsi="Times New Roman"/>
          <w:b/>
          <w:bCs/>
          <w:noProof/>
        </w:rPr>
        <w:t xml:space="preserve">stronger </w:t>
      </w:r>
      <w:r w:rsidR="00FC50BC" w:rsidRPr="00DE3A6F">
        <w:rPr>
          <w:rFonts w:ascii="Times New Roman" w:hAnsi="Times New Roman"/>
          <w:b/>
          <w:bCs/>
          <w:noProof/>
        </w:rPr>
        <w:t xml:space="preserve">preventive framework: </w:t>
      </w:r>
      <w:r w:rsidR="00B00998" w:rsidRPr="00DE3A6F">
        <w:rPr>
          <w:rFonts w:ascii="Times New Roman" w:hAnsi="Times New Roman"/>
          <w:noProof/>
        </w:rPr>
        <w:t xml:space="preserve">it </w:t>
      </w:r>
      <w:r w:rsidR="00FC50BC" w:rsidRPr="00DE3A6F">
        <w:rPr>
          <w:rFonts w:ascii="Times New Roman" w:hAnsi="Times New Roman"/>
          <w:noProof/>
        </w:rPr>
        <w:t xml:space="preserve">reflects </w:t>
      </w:r>
      <w:r w:rsidR="0054242E" w:rsidRPr="00DE3A6F">
        <w:rPr>
          <w:rFonts w:ascii="Times New Roman" w:hAnsi="Times New Roman"/>
          <w:noProof/>
        </w:rPr>
        <w:t xml:space="preserve">joint efforts </w:t>
      </w:r>
      <w:r w:rsidR="00AC7EA7" w:rsidRPr="00DE3A6F">
        <w:rPr>
          <w:rFonts w:ascii="Times New Roman" w:hAnsi="Times New Roman"/>
          <w:noProof/>
        </w:rPr>
        <w:t xml:space="preserve">by </w:t>
      </w:r>
      <w:r w:rsidR="70FAC630" w:rsidRPr="00DE3A6F">
        <w:rPr>
          <w:rFonts w:ascii="Times New Roman" w:hAnsi="Times New Roman"/>
          <w:noProof/>
        </w:rPr>
        <w:t xml:space="preserve">Member States and the </w:t>
      </w:r>
      <w:r w:rsidR="00AC7EA7" w:rsidRPr="00DE3A6F">
        <w:rPr>
          <w:rFonts w:ascii="Times New Roman" w:hAnsi="Times New Roman"/>
          <w:noProof/>
        </w:rPr>
        <w:t>Commission</w:t>
      </w:r>
      <w:r w:rsidR="00743AE3" w:rsidRPr="00DE3A6F">
        <w:rPr>
          <w:rFonts w:ascii="Times New Roman" w:hAnsi="Times New Roman"/>
          <w:noProof/>
        </w:rPr>
        <w:t xml:space="preserve"> </w:t>
      </w:r>
      <w:r w:rsidR="70FAC630" w:rsidRPr="00DE3A6F">
        <w:rPr>
          <w:rFonts w:ascii="Times New Roman" w:hAnsi="Times New Roman"/>
          <w:noProof/>
        </w:rPr>
        <w:t xml:space="preserve">to adopt concrete measures to prevent corruption </w:t>
      </w:r>
      <w:r w:rsidR="006B5757" w:rsidRPr="00DE3A6F">
        <w:rPr>
          <w:rFonts w:ascii="Times New Roman" w:hAnsi="Times New Roman"/>
          <w:noProof/>
        </w:rPr>
        <w:t xml:space="preserve">across </w:t>
      </w:r>
      <w:r w:rsidR="70FAC630" w:rsidRPr="00DE3A6F">
        <w:rPr>
          <w:rFonts w:ascii="Times New Roman" w:hAnsi="Times New Roman"/>
          <w:noProof/>
        </w:rPr>
        <w:t>the EU</w:t>
      </w:r>
      <w:r w:rsidR="006B5757" w:rsidRPr="00DE3A6F">
        <w:rPr>
          <w:rFonts w:ascii="Times New Roman" w:hAnsi="Times New Roman"/>
          <w:noProof/>
        </w:rPr>
        <w:t>, such</w:t>
      </w:r>
      <w:r w:rsidR="70FAC630" w:rsidRPr="00DE3A6F">
        <w:rPr>
          <w:rFonts w:ascii="Times New Roman" w:hAnsi="Times New Roman"/>
          <w:noProof/>
        </w:rPr>
        <w:t xml:space="preserve"> as national anti-corruption </w:t>
      </w:r>
      <w:r w:rsidR="00291ACF" w:rsidRPr="00DE3A6F">
        <w:rPr>
          <w:rFonts w:ascii="Times New Roman" w:hAnsi="Times New Roman"/>
          <w:noProof/>
        </w:rPr>
        <w:t>strateg</w:t>
      </w:r>
      <w:r w:rsidR="00291ACF">
        <w:rPr>
          <w:rFonts w:ascii="Times New Roman" w:hAnsi="Times New Roman"/>
          <w:noProof/>
        </w:rPr>
        <w:t>ies</w:t>
      </w:r>
      <w:r w:rsidR="70FAC630" w:rsidRPr="00DE3A6F">
        <w:rPr>
          <w:rFonts w:ascii="Times New Roman" w:hAnsi="Times New Roman"/>
          <w:noProof/>
        </w:rPr>
        <w:t xml:space="preserve">. </w:t>
      </w:r>
    </w:p>
    <w:p w14:paraId="6188BE4B" w14:textId="32310AE0" w:rsidR="000D6EFA" w:rsidRPr="00DE3A6F" w:rsidRDefault="0015755A" w:rsidP="044E42F4">
      <w:pPr>
        <w:spacing w:before="40" w:after="160" w:line="288" w:lineRule="auto"/>
        <w:rPr>
          <w:noProof/>
        </w:rPr>
      </w:pPr>
      <w:r w:rsidRPr="00533BDB">
        <w:rPr>
          <w:noProof/>
        </w:rPr>
        <w:t>T</w:t>
      </w:r>
      <w:r w:rsidR="70FAC630" w:rsidRPr="00533BDB">
        <w:rPr>
          <w:noProof/>
        </w:rPr>
        <w:t xml:space="preserve">he Directive </w:t>
      </w:r>
      <w:r w:rsidR="45A0628B" w:rsidRPr="00533BDB">
        <w:rPr>
          <w:noProof/>
        </w:rPr>
        <w:t xml:space="preserve">on the fight against fraud to the EU's financial interests by means of criminal </w:t>
      </w:r>
      <w:r w:rsidR="00276C4D" w:rsidRPr="00533BDB">
        <w:rPr>
          <w:noProof/>
        </w:rPr>
        <w:t>law </w:t>
      </w:r>
      <w:r w:rsidR="00862D72" w:rsidRPr="00533BDB">
        <w:rPr>
          <w:noProof/>
        </w:rPr>
        <w:t>(</w:t>
      </w:r>
      <w:r w:rsidR="000D6EFA" w:rsidRPr="00533BDB">
        <w:rPr>
          <w:noProof/>
          <w:vertAlign w:val="superscript"/>
        </w:rPr>
        <w:footnoteReference w:id="26"/>
      </w:r>
      <w:r w:rsidR="76DAD014" w:rsidRPr="00533BDB">
        <w:rPr>
          <w:noProof/>
        </w:rPr>
        <w:t>)</w:t>
      </w:r>
      <w:r w:rsidR="45A0628B" w:rsidRPr="00533BDB">
        <w:rPr>
          <w:noProof/>
          <w:vertAlign w:val="superscript"/>
        </w:rPr>
        <w:t xml:space="preserve"> </w:t>
      </w:r>
      <w:r w:rsidR="00687C03">
        <w:rPr>
          <w:noProof/>
        </w:rPr>
        <w:t>has also been</w:t>
      </w:r>
      <w:r w:rsidR="003B5009">
        <w:rPr>
          <w:noProof/>
        </w:rPr>
        <w:t xml:space="preserve"> </w:t>
      </w:r>
      <w:r w:rsidR="70FAC630" w:rsidRPr="00533BDB">
        <w:rPr>
          <w:noProof/>
        </w:rPr>
        <w:t xml:space="preserve">amended to align </w:t>
      </w:r>
      <w:r w:rsidR="006E5D67" w:rsidRPr="00533BDB">
        <w:rPr>
          <w:noProof/>
        </w:rPr>
        <w:t xml:space="preserve">it </w:t>
      </w:r>
      <w:r w:rsidR="70FAC630" w:rsidRPr="00533BDB">
        <w:rPr>
          <w:noProof/>
        </w:rPr>
        <w:t xml:space="preserve">with this </w:t>
      </w:r>
      <w:r w:rsidR="00DF2ED3" w:rsidRPr="00533BDB">
        <w:rPr>
          <w:noProof/>
        </w:rPr>
        <w:t>new instrument</w:t>
      </w:r>
      <w:r w:rsidR="70FAC630" w:rsidRPr="00533BDB">
        <w:rPr>
          <w:noProof/>
        </w:rPr>
        <w:t xml:space="preserve">, </w:t>
      </w:r>
      <w:r w:rsidR="00DF2ED3" w:rsidRPr="00533BDB">
        <w:rPr>
          <w:noProof/>
        </w:rPr>
        <w:t xml:space="preserve">particularly </w:t>
      </w:r>
      <w:r w:rsidR="006E5D67" w:rsidRPr="00533BDB">
        <w:rPr>
          <w:noProof/>
        </w:rPr>
        <w:t xml:space="preserve">on </w:t>
      </w:r>
      <w:r w:rsidR="70FAC630" w:rsidRPr="00533BDB">
        <w:rPr>
          <w:noProof/>
        </w:rPr>
        <w:t>penalties and limitation periods</w:t>
      </w:r>
      <w:r w:rsidR="006B0335">
        <w:rPr>
          <w:noProof/>
        </w:rPr>
        <w:t xml:space="preserve"> and may be further aligned</w:t>
      </w:r>
      <w:r w:rsidR="70FAC630" w:rsidRPr="00533BDB">
        <w:rPr>
          <w:noProof/>
        </w:rPr>
        <w:t xml:space="preserve">. </w:t>
      </w:r>
    </w:p>
    <w:p w14:paraId="421C6ED2" w14:textId="1E7AF756" w:rsidR="00390306" w:rsidRPr="00DE3A6F" w:rsidRDefault="00390306" w:rsidP="000C1AE8">
      <w:pPr>
        <w:pStyle w:val="Heading4"/>
        <w:rPr>
          <w:noProof/>
        </w:rPr>
      </w:pPr>
      <w:bookmarkStart w:id="38" w:name="_Toc234447056"/>
      <w:r w:rsidRPr="00DE3A6F">
        <w:rPr>
          <w:noProof/>
        </w:rPr>
        <w:t xml:space="preserve">EU </w:t>
      </w:r>
      <w:r w:rsidR="006E5D67" w:rsidRPr="00CA1602">
        <w:rPr>
          <w:noProof/>
        </w:rPr>
        <w:t>n</w:t>
      </w:r>
      <w:r w:rsidRPr="00DE3A6F">
        <w:rPr>
          <w:noProof/>
        </w:rPr>
        <w:t>etwork against corruption</w:t>
      </w:r>
      <w:bookmarkEnd w:id="38"/>
    </w:p>
    <w:p w14:paraId="6D349792" w14:textId="0DD7E5FD" w:rsidR="00692FE5" w:rsidRPr="00DE3A6F" w:rsidRDefault="00692FE5" w:rsidP="0E7E2D8C">
      <w:pPr>
        <w:spacing w:before="40" w:after="160" w:line="288" w:lineRule="auto"/>
        <w:rPr>
          <w:noProof/>
        </w:rPr>
      </w:pPr>
      <w:r w:rsidRPr="00DE3A6F">
        <w:rPr>
          <w:noProof/>
        </w:rPr>
        <w:t>In 2025, t</w:t>
      </w:r>
      <w:r w:rsidR="15258230" w:rsidRPr="00DE3A6F">
        <w:rPr>
          <w:noProof/>
        </w:rPr>
        <w:t xml:space="preserve">he </w:t>
      </w:r>
      <w:r w:rsidR="00F63FB4" w:rsidRPr="00DE3A6F">
        <w:rPr>
          <w:noProof/>
        </w:rPr>
        <w:t>EU network against corruption (</w:t>
      </w:r>
      <w:r w:rsidR="00F63FB4" w:rsidRPr="00DE3A6F">
        <w:rPr>
          <w:rStyle w:val="FootnoteReference"/>
          <w:noProof/>
        </w:rPr>
        <w:footnoteReference w:id="27"/>
      </w:r>
      <w:r w:rsidR="00F63FB4" w:rsidRPr="00DE3A6F">
        <w:rPr>
          <w:noProof/>
        </w:rPr>
        <w:t>)</w:t>
      </w:r>
      <w:r w:rsidR="15258230" w:rsidRPr="00DE3A6F">
        <w:rPr>
          <w:b/>
          <w:bCs/>
          <w:noProof/>
        </w:rPr>
        <w:t xml:space="preserve"> </w:t>
      </w:r>
      <w:r w:rsidR="15258230" w:rsidRPr="00DE3A6F">
        <w:rPr>
          <w:noProof/>
        </w:rPr>
        <w:t xml:space="preserve">continued </w:t>
      </w:r>
      <w:r w:rsidRPr="00DE3A6F">
        <w:rPr>
          <w:noProof/>
        </w:rPr>
        <w:t>its activities, including:</w:t>
      </w:r>
    </w:p>
    <w:p w14:paraId="51EDAFF8" w14:textId="1E0A1602" w:rsidR="00A95E3D" w:rsidRPr="00DE3A6F" w:rsidRDefault="15258230" w:rsidP="00A95E3D">
      <w:pPr>
        <w:pStyle w:val="ListParagraph"/>
        <w:numPr>
          <w:ilvl w:val="0"/>
          <w:numId w:val="57"/>
        </w:numPr>
        <w:spacing w:before="40" w:after="160" w:line="288" w:lineRule="auto"/>
        <w:jc w:val="both"/>
        <w:rPr>
          <w:rFonts w:ascii="Times New Roman" w:hAnsi="Times New Roman"/>
          <w:noProof/>
        </w:rPr>
      </w:pPr>
      <w:r w:rsidRPr="00DE3A6F">
        <w:rPr>
          <w:rFonts w:ascii="Times New Roman" w:hAnsi="Times New Roman"/>
          <w:noProof/>
        </w:rPr>
        <w:t xml:space="preserve">a workshop on corruption mitigation measures </w:t>
      </w:r>
      <w:r w:rsidR="00A95E3D" w:rsidRPr="00DE3A6F">
        <w:rPr>
          <w:rFonts w:ascii="Times New Roman" w:hAnsi="Times New Roman"/>
          <w:noProof/>
        </w:rPr>
        <w:t>(</w:t>
      </w:r>
      <w:r w:rsidRPr="00DE3A6F">
        <w:rPr>
          <w:rFonts w:ascii="Times New Roman" w:hAnsi="Times New Roman"/>
          <w:noProof/>
        </w:rPr>
        <w:t>June 2025</w:t>
      </w:r>
      <w:r w:rsidR="00A95E3D" w:rsidRPr="00DE3A6F">
        <w:rPr>
          <w:rFonts w:ascii="Times New Roman" w:hAnsi="Times New Roman"/>
          <w:noProof/>
        </w:rPr>
        <w:t>);</w:t>
      </w:r>
      <w:r w:rsidRPr="00DE3A6F">
        <w:rPr>
          <w:rFonts w:ascii="Times New Roman" w:hAnsi="Times New Roman"/>
          <w:noProof/>
        </w:rPr>
        <w:t xml:space="preserve"> </w:t>
      </w:r>
    </w:p>
    <w:p w14:paraId="36985947" w14:textId="43EBBFFC" w:rsidR="000D6EFA" w:rsidRPr="00DE3A6F" w:rsidRDefault="00A95E3D" w:rsidP="00A95E3D">
      <w:pPr>
        <w:pStyle w:val="ListParagraph"/>
        <w:numPr>
          <w:ilvl w:val="0"/>
          <w:numId w:val="57"/>
        </w:numPr>
        <w:spacing w:before="40" w:after="160" w:line="288" w:lineRule="auto"/>
        <w:jc w:val="both"/>
        <w:rPr>
          <w:rFonts w:ascii="Times New Roman" w:hAnsi="Times New Roman"/>
          <w:noProof/>
        </w:rPr>
      </w:pPr>
      <w:r w:rsidRPr="00DE3A6F">
        <w:rPr>
          <w:rFonts w:ascii="Times New Roman" w:hAnsi="Times New Roman"/>
          <w:noProof/>
        </w:rPr>
        <w:t>its</w:t>
      </w:r>
      <w:r w:rsidR="15258230" w:rsidRPr="00DE3A6F">
        <w:rPr>
          <w:rFonts w:ascii="Times New Roman" w:hAnsi="Times New Roman"/>
          <w:noProof/>
        </w:rPr>
        <w:t xml:space="preserve"> third plenary meeting </w:t>
      </w:r>
      <w:r w:rsidRPr="00DE3A6F">
        <w:rPr>
          <w:rFonts w:ascii="Times New Roman" w:hAnsi="Times New Roman"/>
          <w:noProof/>
        </w:rPr>
        <w:t>(</w:t>
      </w:r>
      <w:r w:rsidR="15258230" w:rsidRPr="00DE3A6F">
        <w:rPr>
          <w:rFonts w:ascii="Times New Roman" w:hAnsi="Times New Roman"/>
          <w:noProof/>
        </w:rPr>
        <w:t>November 2025</w:t>
      </w:r>
      <w:r w:rsidRPr="00DE3A6F">
        <w:rPr>
          <w:rFonts w:ascii="Times New Roman" w:hAnsi="Times New Roman"/>
          <w:noProof/>
        </w:rPr>
        <w:t>)</w:t>
      </w:r>
      <w:r w:rsidR="15258230" w:rsidRPr="00DE3A6F">
        <w:rPr>
          <w:rFonts w:ascii="Times New Roman" w:hAnsi="Times New Roman"/>
          <w:noProof/>
        </w:rPr>
        <w:t xml:space="preserve">, </w:t>
      </w:r>
      <w:r w:rsidRPr="00DE3A6F">
        <w:rPr>
          <w:rFonts w:ascii="Times New Roman" w:hAnsi="Times New Roman"/>
          <w:noProof/>
        </w:rPr>
        <w:t xml:space="preserve">which explored </w:t>
      </w:r>
      <w:r w:rsidR="15258230" w:rsidRPr="00DE3A6F">
        <w:rPr>
          <w:rFonts w:ascii="Times New Roman" w:hAnsi="Times New Roman"/>
          <w:noProof/>
        </w:rPr>
        <w:t xml:space="preserve">the link between competitiveness – a key </w:t>
      </w:r>
      <w:r w:rsidR="009E40FF" w:rsidRPr="00DE3A6F">
        <w:rPr>
          <w:rFonts w:ascii="Times New Roman" w:hAnsi="Times New Roman"/>
          <w:noProof/>
        </w:rPr>
        <w:t xml:space="preserve">Commission </w:t>
      </w:r>
      <w:r w:rsidR="15258230" w:rsidRPr="00DE3A6F">
        <w:rPr>
          <w:rFonts w:ascii="Times New Roman" w:hAnsi="Times New Roman"/>
          <w:noProof/>
        </w:rPr>
        <w:t xml:space="preserve">priority </w:t>
      </w:r>
      <w:r w:rsidR="00687C03" w:rsidRPr="00CA1602">
        <w:rPr>
          <w:rFonts w:ascii="Times New Roman" w:hAnsi="Times New Roman"/>
          <w:noProof/>
        </w:rPr>
        <w:t xml:space="preserve">– </w:t>
      </w:r>
      <w:r w:rsidR="00687C03" w:rsidRPr="00DE3A6F">
        <w:rPr>
          <w:rFonts w:ascii="Times New Roman" w:hAnsi="Times New Roman"/>
          <w:noProof/>
        </w:rPr>
        <w:t>and</w:t>
      </w:r>
      <w:r w:rsidR="15258230" w:rsidRPr="00DE3A6F">
        <w:rPr>
          <w:rFonts w:ascii="Times New Roman" w:hAnsi="Times New Roman"/>
          <w:noProof/>
        </w:rPr>
        <w:t xml:space="preserve"> anti-corruption</w:t>
      </w:r>
      <w:r w:rsidR="00F41E22" w:rsidRPr="00DE3A6F">
        <w:rPr>
          <w:rFonts w:ascii="Times New Roman" w:hAnsi="Times New Roman"/>
          <w:noProof/>
        </w:rPr>
        <w:t xml:space="preserve"> efforts. Discussions focused on how </w:t>
      </w:r>
      <w:r w:rsidR="15258230" w:rsidRPr="00DE3A6F">
        <w:rPr>
          <w:rFonts w:ascii="Times New Roman" w:hAnsi="Times New Roman"/>
          <w:noProof/>
        </w:rPr>
        <w:t xml:space="preserve">EU anti-corruption policy </w:t>
      </w:r>
      <w:r w:rsidR="00E70B07" w:rsidRPr="00DE3A6F">
        <w:rPr>
          <w:rFonts w:ascii="Times New Roman" w:hAnsi="Times New Roman"/>
          <w:noProof/>
        </w:rPr>
        <w:t xml:space="preserve">could </w:t>
      </w:r>
      <w:r w:rsidR="15258230" w:rsidRPr="00DE3A6F">
        <w:rPr>
          <w:rFonts w:ascii="Times New Roman" w:hAnsi="Times New Roman"/>
          <w:noProof/>
        </w:rPr>
        <w:t xml:space="preserve">foster a more competitive business environment, attract investment, and promote sustainable economic growth across the EU. </w:t>
      </w:r>
    </w:p>
    <w:p w14:paraId="3EF36B07" w14:textId="79968E13" w:rsidR="00E70B07" w:rsidRPr="00DE3A6F" w:rsidRDefault="00E70B07" w:rsidP="000C1AE8">
      <w:pPr>
        <w:pStyle w:val="Heading4"/>
        <w:rPr>
          <w:noProof/>
          <w:szCs w:val="22"/>
        </w:rPr>
      </w:pPr>
      <w:bookmarkStart w:id="39" w:name="_Toc234447057"/>
      <w:r w:rsidRPr="00DE3A6F">
        <w:rPr>
          <w:noProof/>
          <w:szCs w:val="22"/>
        </w:rPr>
        <w:t xml:space="preserve">The EU </w:t>
      </w:r>
      <w:r w:rsidR="00E24B5A" w:rsidRPr="00DE3A6F">
        <w:rPr>
          <w:noProof/>
          <w:szCs w:val="22"/>
        </w:rPr>
        <w:t>anti-corruption strategy</w:t>
      </w:r>
      <w:bookmarkEnd w:id="39"/>
    </w:p>
    <w:p w14:paraId="19AE22DB" w14:textId="7F7433AA" w:rsidR="000D6EFA" w:rsidRPr="00DE3A6F" w:rsidRDefault="002E2921" w:rsidP="221E107C">
      <w:pPr>
        <w:spacing w:before="40" w:after="160" w:line="288" w:lineRule="auto"/>
        <w:rPr>
          <w:noProof/>
        </w:rPr>
      </w:pPr>
      <w:r w:rsidRPr="00533BDB">
        <w:rPr>
          <w:noProof/>
        </w:rPr>
        <w:t xml:space="preserve">In October 2025, the </w:t>
      </w:r>
      <w:r w:rsidR="70FAC630" w:rsidRPr="00533BDB">
        <w:rPr>
          <w:noProof/>
        </w:rPr>
        <w:t xml:space="preserve">adoption of the </w:t>
      </w:r>
      <w:r w:rsidR="70FAC630" w:rsidRPr="00533BDB">
        <w:rPr>
          <w:b/>
          <w:bCs/>
          <w:noProof/>
        </w:rPr>
        <w:t xml:space="preserve">first EU </w:t>
      </w:r>
      <w:r w:rsidR="00E24B5A" w:rsidRPr="00533BDB">
        <w:rPr>
          <w:b/>
          <w:bCs/>
          <w:noProof/>
        </w:rPr>
        <w:t>ant</w:t>
      </w:r>
      <w:r w:rsidR="70FAC630" w:rsidRPr="00533BDB">
        <w:rPr>
          <w:b/>
          <w:bCs/>
          <w:noProof/>
        </w:rPr>
        <w:t>i-corruption strategy</w:t>
      </w:r>
      <w:r w:rsidR="70FAC630" w:rsidRPr="00533BDB">
        <w:rPr>
          <w:noProof/>
        </w:rPr>
        <w:t xml:space="preserve"> was announced as part of the </w:t>
      </w:r>
      <w:r w:rsidR="00E24B5A" w:rsidRPr="00533BDB">
        <w:rPr>
          <w:noProof/>
        </w:rPr>
        <w:t xml:space="preserve">2026 </w:t>
      </w:r>
      <w:r w:rsidR="70FAC630" w:rsidRPr="00533BDB">
        <w:rPr>
          <w:noProof/>
        </w:rPr>
        <w:t>Commission work program</w:t>
      </w:r>
      <w:r w:rsidR="000C6ABB" w:rsidRPr="00533BDB">
        <w:rPr>
          <w:noProof/>
        </w:rPr>
        <w:t>me</w:t>
      </w:r>
      <w:r w:rsidR="000A5052" w:rsidRPr="00533BDB">
        <w:rPr>
          <w:noProof/>
        </w:rPr>
        <w:t>. The strategy aims to</w:t>
      </w:r>
      <w:r w:rsidR="70FAC630" w:rsidRPr="00533BDB">
        <w:rPr>
          <w:noProof/>
        </w:rPr>
        <w:t xml:space="preserve"> strengthen independent and effective judicial systems and to protect and uphold democracy and the rule of law in the EU.</w:t>
      </w:r>
    </w:p>
    <w:p w14:paraId="3B241CB7" w14:textId="72C04E60" w:rsidR="00A01F05" w:rsidRPr="00DE3A6F" w:rsidRDefault="00A06954" w:rsidP="00A01F05">
      <w:pPr>
        <w:pStyle w:val="Heading2"/>
        <w:rPr>
          <w:noProof/>
        </w:rPr>
      </w:pPr>
      <w:bookmarkStart w:id="40" w:name="_Toc234447058"/>
      <w:r w:rsidRPr="00DE3A6F">
        <w:rPr>
          <w:noProof/>
        </w:rPr>
        <w:t>O</w:t>
      </w:r>
      <w:r w:rsidR="00A01F05" w:rsidRPr="00DE3A6F">
        <w:rPr>
          <w:noProof/>
        </w:rPr>
        <w:t>verview of national measures adopted in 2025</w:t>
      </w:r>
      <w:bookmarkEnd w:id="40"/>
    </w:p>
    <w:p w14:paraId="3C1F6375" w14:textId="0EF01527" w:rsidR="00A01F05" w:rsidRPr="00DE3A6F" w:rsidRDefault="1EBB241C" w:rsidP="221E107C">
      <w:pPr>
        <w:rPr>
          <w:noProof/>
        </w:rPr>
      </w:pPr>
      <w:r w:rsidRPr="00533BDB">
        <w:rPr>
          <w:noProof/>
        </w:rPr>
        <w:t xml:space="preserve">In 2025, Member States reported </w:t>
      </w:r>
      <w:r w:rsidRPr="00533BDB">
        <w:rPr>
          <w:b/>
          <w:bCs/>
          <w:noProof/>
          <w:color w:val="000000" w:themeColor="text1"/>
        </w:rPr>
        <w:t>72 measures</w:t>
      </w:r>
      <w:r w:rsidRPr="00533BDB">
        <w:rPr>
          <w:noProof/>
          <w:color w:val="000000" w:themeColor="text1"/>
        </w:rPr>
        <w:t xml:space="preserve"> </w:t>
      </w:r>
      <w:r w:rsidR="00985C6E" w:rsidRPr="00533BDB">
        <w:rPr>
          <w:noProof/>
        </w:rPr>
        <w:t xml:space="preserve">to </w:t>
      </w:r>
      <w:r w:rsidRPr="00533BDB">
        <w:rPr>
          <w:noProof/>
        </w:rPr>
        <w:t xml:space="preserve">strengthen their anti-fraud </w:t>
      </w:r>
      <w:r w:rsidR="0069568B" w:rsidRPr="00533BDB">
        <w:rPr>
          <w:noProof/>
        </w:rPr>
        <w:t xml:space="preserve">frameworks </w:t>
      </w:r>
      <w:r w:rsidRPr="00533BDB">
        <w:rPr>
          <w:noProof/>
        </w:rPr>
        <w:t xml:space="preserve">and protect EU funds. Each country </w:t>
      </w:r>
      <w:r w:rsidR="001369C3">
        <w:rPr>
          <w:noProof/>
        </w:rPr>
        <w:t xml:space="preserve">had been asked to </w:t>
      </w:r>
      <w:r w:rsidRPr="00533BDB">
        <w:rPr>
          <w:noProof/>
        </w:rPr>
        <w:t xml:space="preserve">report up to </w:t>
      </w:r>
      <w:r w:rsidR="00D20E55" w:rsidRPr="00533BDB">
        <w:rPr>
          <w:noProof/>
        </w:rPr>
        <w:t xml:space="preserve">three </w:t>
      </w:r>
      <w:r w:rsidRPr="00533BDB">
        <w:rPr>
          <w:noProof/>
        </w:rPr>
        <w:t>measures</w:t>
      </w:r>
      <w:r w:rsidR="00D20E55" w:rsidRPr="00533BDB">
        <w:rPr>
          <w:noProof/>
        </w:rPr>
        <w:t xml:space="preserve">, which could be </w:t>
      </w:r>
      <w:r w:rsidRPr="00533BDB">
        <w:rPr>
          <w:b/>
          <w:bCs/>
          <w:noProof/>
          <w:color w:val="000000" w:themeColor="text1"/>
        </w:rPr>
        <w:t>legislative</w:t>
      </w:r>
      <w:r w:rsidRPr="00533BDB">
        <w:rPr>
          <w:noProof/>
        </w:rPr>
        <w:t xml:space="preserve">, </w:t>
      </w:r>
      <w:r w:rsidRPr="00533BDB">
        <w:rPr>
          <w:b/>
          <w:bCs/>
          <w:noProof/>
        </w:rPr>
        <w:t>administrative</w:t>
      </w:r>
      <w:r w:rsidRPr="00533BDB">
        <w:rPr>
          <w:noProof/>
        </w:rPr>
        <w:t xml:space="preserve">, </w:t>
      </w:r>
      <w:r w:rsidRPr="00533BDB">
        <w:rPr>
          <w:b/>
          <w:bCs/>
          <w:noProof/>
        </w:rPr>
        <w:t>organisational</w:t>
      </w:r>
      <w:r w:rsidRPr="00533BDB">
        <w:rPr>
          <w:noProof/>
        </w:rPr>
        <w:t xml:space="preserve">, or </w:t>
      </w:r>
      <w:r w:rsidRPr="00533BDB">
        <w:rPr>
          <w:b/>
          <w:bCs/>
          <w:noProof/>
        </w:rPr>
        <w:t>operational</w:t>
      </w:r>
      <w:r w:rsidRPr="00533BDB">
        <w:rPr>
          <w:noProof/>
        </w:rPr>
        <w:t xml:space="preserve"> </w:t>
      </w:r>
      <w:r w:rsidR="0062284D" w:rsidRPr="00533BDB">
        <w:rPr>
          <w:noProof/>
        </w:rPr>
        <w:t>in nature</w:t>
      </w:r>
      <w:r w:rsidRPr="00533BDB">
        <w:rPr>
          <w:noProof/>
        </w:rPr>
        <w:t xml:space="preserve">. </w:t>
      </w:r>
      <w:r w:rsidR="0062284D" w:rsidRPr="00533BDB">
        <w:rPr>
          <w:noProof/>
        </w:rPr>
        <w:t>Of the</w:t>
      </w:r>
      <w:r w:rsidR="00177274" w:rsidRPr="00533BDB">
        <w:rPr>
          <w:noProof/>
        </w:rPr>
        <w:t xml:space="preserve"> measures reported</w:t>
      </w:r>
      <w:r w:rsidRPr="00533BDB">
        <w:rPr>
          <w:noProof/>
        </w:rPr>
        <w:t xml:space="preserve">, </w:t>
      </w:r>
      <w:r w:rsidRPr="00533BDB">
        <w:rPr>
          <w:b/>
          <w:bCs/>
          <w:noProof/>
          <w:color w:val="000000" w:themeColor="text1"/>
        </w:rPr>
        <w:t xml:space="preserve">25 </w:t>
      </w:r>
      <w:r w:rsidR="00D1692B" w:rsidRPr="00533BDB">
        <w:rPr>
          <w:b/>
          <w:bCs/>
          <w:noProof/>
          <w:color w:val="000000" w:themeColor="text1"/>
        </w:rPr>
        <w:t xml:space="preserve">were </w:t>
      </w:r>
      <w:r w:rsidRPr="00533BDB">
        <w:rPr>
          <w:b/>
          <w:bCs/>
          <w:noProof/>
          <w:color w:val="000000" w:themeColor="text1"/>
        </w:rPr>
        <w:t>package</w:t>
      </w:r>
      <w:r w:rsidR="00353A39">
        <w:rPr>
          <w:b/>
          <w:bCs/>
          <w:noProof/>
          <w:color w:val="000000" w:themeColor="text1"/>
        </w:rPr>
        <w:t>s of</w:t>
      </w:r>
      <w:r w:rsidRPr="00533BDB">
        <w:rPr>
          <w:b/>
          <w:bCs/>
          <w:noProof/>
          <w:color w:val="000000" w:themeColor="text1"/>
        </w:rPr>
        <w:t xml:space="preserve"> measures</w:t>
      </w:r>
      <w:r w:rsidRPr="00533BDB">
        <w:rPr>
          <w:noProof/>
          <w:color w:val="074F6A"/>
        </w:rPr>
        <w:t xml:space="preserve"> </w:t>
      </w:r>
      <w:r w:rsidR="00D1692B" w:rsidRPr="00533BDB">
        <w:rPr>
          <w:noProof/>
        </w:rPr>
        <w:t>(</w:t>
      </w:r>
      <w:r w:rsidRPr="00533BDB">
        <w:rPr>
          <w:noProof/>
        </w:rPr>
        <w:t xml:space="preserve">12 of </w:t>
      </w:r>
      <w:r w:rsidR="00D1692B" w:rsidRPr="00533BDB">
        <w:rPr>
          <w:noProof/>
        </w:rPr>
        <w:t>which</w:t>
      </w:r>
      <w:r w:rsidR="000A6DE6" w:rsidRPr="00533BDB">
        <w:rPr>
          <w:noProof/>
        </w:rPr>
        <w:t xml:space="preserve"> combined</w:t>
      </w:r>
      <w:r w:rsidRPr="00533BDB">
        <w:rPr>
          <w:noProof/>
        </w:rPr>
        <w:t xml:space="preserve"> </w:t>
      </w:r>
      <w:r w:rsidR="000A6DE6" w:rsidRPr="00533BDB">
        <w:rPr>
          <w:noProof/>
        </w:rPr>
        <w:t xml:space="preserve">multiple </w:t>
      </w:r>
      <w:r w:rsidRPr="00533BDB">
        <w:rPr>
          <w:noProof/>
        </w:rPr>
        <w:t>type</w:t>
      </w:r>
      <w:r w:rsidR="000A6DE6" w:rsidRPr="00533BDB">
        <w:rPr>
          <w:noProof/>
        </w:rPr>
        <w:t>s</w:t>
      </w:r>
      <w:r w:rsidRPr="00533BDB">
        <w:rPr>
          <w:noProof/>
        </w:rPr>
        <w:t xml:space="preserve"> of action</w:t>
      </w:r>
      <w:r w:rsidR="00133735" w:rsidRPr="00533BDB">
        <w:rPr>
          <w:noProof/>
        </w:rPr>
        <w:t xml:space="preserve">), while the </w:t>
      </w:r>
      <w:r w:rsidR="00EB0008" w:rsidRPr="00533BDB">
        <w:rPr>
          <w:noProof/>
        </w:rPr>
        <w:t xml:space="preserve">remaining </w:t>
      </w:r>
      <w:r w:rsidRPr="00533BDB">
        <w:rPr>
          <w:b/>
          <w:bCs/>
          <w:noProof/>
          <w:color w:val="000000" w:themeColor="text1"/>
        </w:rPr>
        <w:t xml:space="preserve">47 </w:t>
      </w:r>
      <w:r w:rsidR="00EB0008" w:rsidRPr="00533BDB">
        <w:rPr>
          <w:b/>
          <w:bCs/>
          <w:noProof/>
          <w:color w:val="000000" w:themeColor="text1"/>
        </w:rPr>
        <w:t xml:space="preserve">were </w:t>
      </w:r>
      <w:r w:rsidRPr="00533BDB">
        <w:rPr>
          <w:b/>
          <w:bCs/>
          <w:noProof/>
          <w:color w:val="000000" w:themeColor="text1"/>
        </w:rPr>
        <w:t>single measures</w:t>
      </w:r>
      <w:r w:rsidRPr="00533BDB">
        <w:rPr>
          <w:noProof/>
          <w:color w:val="000000" w:themeColor="text1"/>
        </w:rPr>
        <w:t>.</w:t>
      </w:r>
      <w:r w:rsidRPr="00533BDB">
        <w:rPr>
          <w:noProof/>
        </w:rPr>
        <w:t xml:space="preserve"> </w:t>
      </w:r>
      <w:r w:rsidR="005C79C0" w:rsidRPr="00533BDB">
        <w:rPr>
          <w:noProof/>
        </w:rPr>
        <w:t>Package</w:t>
      </w:r>
      <w:r w:rsidR="00353A39">
        <w:rPr>
          <w:noProof/>
        </w:rPr>
        <w:t>s</w:t>
      </w:r>
      <w:r w:rsidR="005C79C0" w:rsidRPr="00533BDB">
        <w:rPr>
          <w:noProof/>
        </w:rPr>
        <w:t xml:space="preserve"> </w:t>
      </w:r>
      <w:r w:rsidR="00353A39">
        <w:rPr>
          <w:noProof/>
        </w:rPr>
        <w:t xml:space="preserve">of </w:t>
      </w:r>
      <w:r w:rsidR="005C79C0" w:rsidRPr="00533BDB">
        <w:rPr>
          <w:noProof/>
        </w:rPr>
        <w:t xml:space="preserve">measures consist of multiple </w:t>
      </w:r>
      <w:r w:rsidR="00353A39">
        <w:rPr>
          <w:noProof/>
        </w:rPr>
        <w:t>measures</w:t>
      </w:r>
      <w:r w:rsidR="00353A39" w:rsidRPr="00533BDB">
        <w:rPr>
          <w:noProof/>
        </w:rPr>
        <w:t xml:space="preserve"> </w:t>
      </w:r>
      <w:r w:rsidR="005C79C0" w:rsidRPr="00533BDB">
        <w:rPr>
          <w:noProof/>
        </w:rPr>
        <w:t xml:space="preserve">adopted simultaneously </w:t>
      </w:r>
      <w:r w:rsidR="00633E4F">
        <w:rPr>
          <w:noProof/>
        </w:rPr>
        <w:t>having</w:t>
      </w:r>
      <w:r w:rsidR="005C79C0" w:rsidRPr="00533BDB">
        <w:rPr>
          <w:noProof/>
        </w:rPr>
        <w:t xml:space="preserve"> the same objective.</w:t>
      </w:r>
    </w:p>
    <w:p w14:paraId="63BBD473" w14:textId="047AEC85" w:rsidR="00A01F05" w:rsidRPr="00DE3A6F" w:rsidRDefault="002A39FA" w:rsidP="13F9CCF2">
      <w:pPr>
        <w:spacing w:after="160" w:line="276" w:lineRule="auto"/>
        <w:rPr>
          <w:noProof/>
        </w:rPr>
      </w:pPr>
      <w:r w:rsidRPr="00DE3A6F">
        <w:rPr>
          <w:noProof/>
        </w:rPr>
        <w:t xml:space="preserve">The </w:t>
      </w:r>
      <w:r w:rsidR="1EBB241C" w:rsidRPr="00DE3A6F">
        <w:rPr>
          <w:noProof/>
        </w:rPr>
        <w:t xml:space="preserve">measures </w:t>
      </w:r>
      <w:r w:rsidR="00945613" w:rsidRPr="00DE3A6F">
        <w:rPr>
          <w:noProof/>
        </w:rPr>
        <w:t xml:space="preserve">reported </w:t>
      </w:r>
      <w:r w:rsidRPr="00DE3A6F">
        <w:rPr>
          <w:noProof/>
        </w:rPr>
        <w:t xml:space="preserve">cover </w:t>
      </w:r>
      <w:r w:rsidR="1EBB241C" w:rsidRPr="00DE3A6F">
        <w:rPr>
          <w:noProof/>
        </w:rPr>
        <w:t xml:space="preserve">all stages of the anti-fraud cycle. </w:t>
      </w:r>
      <w:r w:rsidR="00F36BF7" w:rsidRPr="00DE3A6F">
        <w:rPr>
          <w:noProof/>
        </w:rPr>
        <w:t>As</w:t>
      </w:r>
      <w:r w:rsidR="4C423DB5" w:rsidRPr="00DE3A6F">
        <w:rPr>
          <w:noProof/>
        </w:rPr>
        <w:t xml:space="preserve"> in previous years, </w:t>
      </w:r>
      <w:r w:rsidR="00F36BF7" w:rsidRPr="00DE3A6F">
        <w:rPr>
          <w:noProof/>
        </w:rPr>
        <w:t>the focus</w:t>
      </w:r>
      <w:r w:rsidR="4C423DB5" w:rsidRPr="00DE3A6F">
        <w:rPr>
          <w:noProof/>
        </w:rPr>
        <w:t xml:space="preserve"> i</w:t>
      </w:r>
      <w:r w:rsidR="1EBB241C" w:rsidRPr="00DE3A6F">
        <w:rPr>
          <w:noProof/>
        </w:rPr>
        <w:t xml:space="preserve">n 2025 </w:t>
      </w:r>
      <w:r w:rsidR="00354EF8" w:rsidRPr="00DE3A6F">
        <w:rPr>
          <w:noProof/>
        </w:rPr>
        <w:t>remained</w:t>
      </w:r>
      <w:r w:rsidR="1EBB241C" w:rsidRPr="00DE3A6F">
        <w:rPr>
          <w:noProof/>
        </w:rPr>
        <w:t xml:space="preserve"> on the </w:t>
      </w:r>
      <w:r w:rsidR="1EBB241C" w:rsidRPr="00DE3A6F">
        <w:rPr>
          <w:b/>
          <w:bCs/>
          <w:noProof/>
          <w:color w:val="000000" w:themeColor="text1"/>
        </w:rPr>
        <w:t>first two stages of the cycle</w:t>
      </w:r>
      <w:r w:rsidR="515185EB" w:rsidRPr="00DE3A6F">
        <w:rPr>
          <w:noProof/>
        </w:rPr>
        <w:t>, as show</w:t>
      </w:r>
      <w:r w:rsidR="5C502BFD" w:rsidRPr="00DE3A6F">
        <w:rPr>
          <w:noProof/>
        </w:rPr>
        <w:t>n</w:t>
      </w:r>
      <w:r w:rsidR="515185EB" w:rsidRPr="00DE3A6F">
        <w:rPr>
          <w:noProof/>
        </w:rPr>
        <w:t xml:space="preserve"> in Figure </w:t>
      </w:r>
      <w:r w:rsidR="000500A7">
        <w:rPr>
          <w:noProof/>
        </w:rPr>
        <w:t>5</w:t>
      </w:r>
      <w:r w:rsidR="515185EB" w:rsidRPr="00DE3A6F">
        <w:rPr>
          <w:noProof/>
        </w:rPr>
        <w:t>.</w:t>
      </w:r>
    </w:p>
    <w:p w14:paraId="5C7E82CB" w14:textId="2719A141" w:rsidR="00A01F05" w:rsidRPr="00DE3A6F" w:rsidRDefault="00E376DE" w:rsidP="000D6D9F">
      <w:pPr>
        <w:pStyle w:val="Caption"/>
        <w:keepNext/>
        <w:rPr>
          <w:b w:val="0"/>
          <w:bCs/>
          <w:i w:val="0"/>
          <w:iCs/>
          <w:noProof/>
          <w:szCs w:val="22"/>
        </w:rPr>
      </w:pPr>
      <w:r w:rsidRPr="00DE3A6F">
        <w:rPr>
          <w:noProof/>
        </w:rPr>
        <w:lastRenderedPageBreak/>
        <w:t xml:space="preserve">Figure </w:t>
      </w:r>
      <w:r w:rsidR="00C634A0" w:rsidRPr="00DE3A6F">
        <w:rPr>
          <w:noProof/>
        </w:rPr>
        <w:fldChar w:fldCharType="begin"/>
      </w:r>
      <w:r w:rsidR="00C634A0" w:rsidRPr="00DE3A6F">
        <w:rPr>
          <w:noProof/>
        </w:rPr>
        <w:instrText xml:space="preserve"> SEQ Figure \* ARABIC </w:instrText>
      </w:r>
      <w:r w:rsidR="00C634A0" w:rsidRPr="00DE3A6F">
        <w:rPr>
          <w:noProof/>
        </w:rPr>
        <w:fldChar w:fldCharType="separate"/>
      </w:r>
      <w:r w:rsidR="00A13C63">
        <w:rPr>
          <w:noProof/>
        </w:rPr>
        <w:t>5</w:t>
      </w:r>
      <w:r w:rsidR="00C634A0" w:rsidRPr="00DE3A6F">
        <w:rPr>
          <w:noProof/>
        </w:rPr>
        <w:fldChar w:fldCharType="end"/>
      </w:r>
      <w:r w:rsidR="2091D03D" w:rsidRPr="00DE3A6F">
        <w:rPr>
          <w:bCs/>
          <w:iCs/>
          <w:noProof/>
          <w:szCs w:val="22"/>
        </w:rPr>
        <w:t xml:space="preserve">: </w:t>
      </w:r>
      <w:r w:rsidR="00EC2A6D" w:rsidRPr="00DE3A6F">
        <w:rPr>
          <w:bCs/>
          <w:iCs/>
          <w:noProof/>
          <w:szCs w:val="22"/>
        </w:rPr>
        <w:t xml:space="preserve">Measures </w:t>
      </w:r>
      <w:r w:rsidR="2091D03D" w:rsidRPr="00DE3A6F">
        <w:rPr>
          <w:bCs/>
          <w:iCs/>
          <w:noProof/>
          <w:szCs w:val="22"/>
        </w:rPr>
        <w:t>reported by Member States by stage of the anti-fraud cycle addressed</w:t>
      </w:r>
    </w:p>
    <w:p w14:paraId="0E52CDFA" w14:textId="51F2FD9E" w:rsidR="00A01F05" w:rsidRPr="00DE3A6F" w:rsidRDefault="002253E2" w:rsidP="044E42F4">
      <w:pPr>
        <w:spacing w:after="160" w:line="276" w:lineRule="auto"/>
        <w:jc w:val="center"/>
        <w:rPr>
          <w:noProof/>
        </w:rPr>
      </w:pPr>
      <w:r w:rsidRPr="00533BDB">
        <w:rPr>
          <w:noProof/>
          <w:szCs w:val="22"/>
        </w:rPr>
        <w:drawing>
          <wp:inline distT="0" distB="0" distL="0" distR="0" wp14:anchorId="3BBD1D77" wp14:editId="64696C22">
            <wp:extent cx="5472430" cy="3192145"/>
            <wp:effectExtent l="0" t="19050" r="0" b="27305"/>
            <wp:docPr id="774517076" name="Diagram 11" descr="The figure represents a cycle matrix, divided in four parts, each representing one stage of the anti-fraud cycle. For each stage are indicated the number of measures reported by Member States that address it and how much this figure represents on the total number of measures reported (72).&#10;Each measure can address more than one stage.&#10;1) For prevention 57 measures were reported, representing 79% of the total;&#10;2) For detection, 48, 67%;&#10;3) for investigation and prosecution, 26, 36%; and&#10;4) for recovery and sanctioning, 21,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r w:rsidR="7BCD42B6" w:rsidRPr="00DE3A6F">
        <w:rPr>
          <w:noProof/>
        </w:rPr>
        <w:t xml:space="preserve"> </w:t>
      </w:r>
    </w:p>
    <w:p w14:paraId="062B5B7E" w14:textId="726462D9" w:rsidR="00A01F05" w:rsidRPr="00DE3A6F" w:rsidRDefault="4B896B5D" w:rsidP="221E107C">
      <w:pPr>
        <w:rPr>
          <w:i/>
          <w:iCs/>
          <w:noProof/>
          <w:szCs w:val="22"/>
        </w:rPr>
      </w:pPr>
      <w:r w:rsidRPr="00DE3A6F">
        <w:rPr>
          <w:i/>
          <w:iCs/>
          <w:noProof/>
          <w:szCs w:val="22"/>
        </w:rPr>
        <w:t xml:space="preserve">Note: </w:t>
      </w:r>
      <w:r w:rsidR="00DC6366" w:rsidRPr="00CA1602">
        <w:rPr>
          <w:i/>
          <w:iCs/>
          <w:noProof/>
          <w:szCs w:val="22"/>
        </w:rPr>
        <w:t xml:space="preserve">a </w:t>
      </w:r>
      <w:r w:rsidRPr="00DE3A6F">
        <w:rPr>
          <w:i/>
          <w:iCs/>
          <w:noProof/>
          <w:szCs w:val="22"/>
        </w:rPr>
        <w:t>measure can target more than one stage. Out of 72 measures reported, 18 target</w:t>
      </w:r>
      <w:r w:rsidR="00DC6366" w:rsidRPr="00DE3A6F">
        <w:rPr>
          <w:i/>
          <w:iCs/>
          <w:noProof/>
          <w:szCs w:val="22"/>
        </w:rPr>
        <w:t>ed</w:t>
      </w:r>
      <w:r w:rsidRPr="00DE3A6F">
        <w:rPr>
          <w:i/>
          <w:iCs/>
          <w:noProof/>
          <w:szCs w:val="22"/>
        </w:rPr>
        <w:t xml:space="preserve"> one stage, 36 two stages, 10 three stages, and 8 all four stages of the anti-fraud cycle.</w:t>
      </w:r>
    </w:p>
    <w:p w14:paraId="12457FA6" w14:textId="07DB11A4" w:rsidR="00A01F05" w:rsidRPr="00DE3A6F" w:rsidRDefault="00E74273" w:rsidP="221E107C">
      <w:pPr>
        <w:spacing w:after="160" w:line="276" w:lineRule="auto"/>
        <w:rPr>
          <w:noProof/>
        </w:rPr>
      </w:pPr>
      <w:r w:rsidRPr="00533BDB">
        <w:rPr>
          <w:noProof/>
        </w:rPr>
        <w:t>The m</w:t>
      </w:r>
      <w:r w:rsidR="26B4DCEE" w:rsidRPr="00533BDB">
        <w:rPr>
          <w:noProof/>
        </w:rPr>
        <w:t xml:space="preserve">easures </w:t>
      </w:r>
      <w:r w:rsidRPr="00533BDB">
        <w:rPr>
          <w:noProof/>
        </w:rPr>
        <w:t>also target</w:t>
      </w:r>
      <w:r w:rsidR="00DC6366" w:rsidRPr="00533BDB">
        <w:rPr>
          <w:noProof/>
        </w:rPr>
        <w:t>ed</w:t>
      </w:r>
      <w:r w:rsidRPr="00533BDB">
        <w:rPr>
          <w:noProof/>
        </w:rPr>
        <w:t xml:space="preserve"> </w:t>
      </w:r>
      <w:r w:rsidR="26B4DCEE" w:rsidRPr="00533BDB">
        <w:rPr>
          <w:noProof/>
        </w:rPr>
        <w:t xml:space="preserve">fraud risks in different </w:t>
      </w:r>
      <w:r w:rsidR="004E29D3" w:rsidRPr="00533BDB">
        <w:rPr>
          <w:noProof/>
        </w:rPr>
        <w:t xml:space="preserve">vulnerable </w:t>
      </w:r>
      <w:r w:rsidR="26B4DCEE" w:rsidRPr="00533BDB">
        <w:rPr>
          <w:noProof/>
        </w:rPr>
        <w:t>areas</w:t>
      </w:r>
      <w:r w:rsidR="004E29D3" w:rsidRPr="00533BDB">
        <w:rPr>
          <w:noProof/>
        </w:rPr>
        <w:t xml:space="preserve">, with some addressing </w:t>
      </w:r>
      <w:r w:rsidR="00D808F7" w:rsidRPr="00533BDB">
        <w:rPr>
          <w:noProof/>
        </w:rPr>
        <w:t xml:space="preserve">several </w:t>
      </w:r>
      <w:r w:rsidR="0096175B" w:rsidRPr="00533BDB">
        <w:rPr>
          <w:noProof/>
        </w:rPr>
        <w:t xml:space="preserve">areas at </w:t>
      </w:r>
      <w:r w:rsidR="0036148D" w:rsidRPr="00533BDB">
        <w:rPr>
          <w:noProof/>
        </w:rPr>
        <w:t>once. The</w:t>
      </w:r>
      <w:r w:rsidR="0096175B" w:rsidRPr="00533BDB">
        <w:rPr>
          <w:noProof/>
        </w:rPr>
        <w:t xml:space="preserve"> </w:t>
      </w:r>
      <w:r w:rsidR="26B4DCEE" w:rsidRPr="00533BDB">
        <w:rPr>
          <w:noProof/>
        </w:rPr>
        <w:t xml:space="preserve">most frequently targeted area </w:t>
      </w:r>
      <w:r w:rsidR="00D8294B" w:rsidRPr="00533BDB">
        <w:rPr>
          <w:noProof/>
        </w:rPr>
        <w:t xml:space="preserve">in 2025 </w:t>
      </w:r>
      <w:r w:rsidR="26B4DCEE" w:rsidRPr="00533BDB">
        <w:rPr>
          <w:noProof/>
        </w:rPr>
        <w:t xml:space="preserve">was </w:t>
      </w:r>
      <w:r w:rsidR="00200F02" w:rsidRPr="00533BDB">
        <w:rPr>
          <w:noProof/>
        </w:rPr>
        <w:t>‘</w:t>
      </w:r>
      <w:r w:rsidR="00D808F7" w:rsidRPr="00533BDB">
        <w:rPr>
          <w:b/>
          <w:bCs/>
          <w:noProof/>
          <w:color w:val="000000" w:themeColor="text1"/>
        </w:rPr>
        <w:t>shared management and control of</w:t>
      </w:r>
      <w:r w:rsidR="26B4DCEE" w:rsidRPr="00533BDB">
        <w:rPr>
          <w:b/>
          <w:bCs/>
          <w:noProof/>
          <w:color w:val="000000" w:themeColor="text1"/>
        </w:rPr>
        <w:t xml:space="preserve"> the EU funds</w:t>
      </w:r>
      <w:r w:rsidR="00200F02" w:rsidRPr="00533BDB">
        <w:rPr>
          <w:noProof/>
        </w:rPr>
        <w:t>’</w:t>
      </w:r>
      <w:r w:rsidR="00D8294B" w:rsidRPr="00533BDB">
        <w:rPr>
          <w:noProof/>
        </w:rPr>
        <w:t xml:space="preserve"> (mentioned in </w:t>
      </w:r>
      <w:r w:rsidR="26B4DCEE" w:rsidRPr="00533BDB">
        <w:rPr>
          <w:noProof/>
        </w:rPr>
        <w:t>37 measures</w:t>
      </w:r>
      <w:r w:rsidR="00C708D0" w:rsidRPr="00533BDB">
        <w:rPr>
          <w:noProof/>
        </w:rPr>
        <w:t>)</w:t>
      </w:r>
      <w:r w:rsidR="26B4DCEE" w:rsidRPr="00533BDB">
        <w:rPr>
          <w:noProof/>
        </w:rPr>
        <w:t xml:space="preserve">. </w:t>
      </w:r>
      <w:r w:rsidR="00C708D0" w:rsidRPr="00533BDB">
        <w:rPr>
          <w:noProof/>
        </w:rPr>
        <w:t>Around one</w:t>
      </w:r>
      <w:r w:rsidR="26B4DCEE" w:rsidRPr="00533BDB">
        <w:rPr>
          <w:noProof/>
        </w:rPr>
        <w:t xml:space="preserve"> in </w:t>
      </w:r>
      <w:r w:rsidR="00C708D0" w:rsidRPr="00533BDB">
        <w:rPr>
          <w:noProof/>
        </w:rPr>
        <w:t xml:space="preserve">three </w:t>
      </w:r>
      <w:r w:rsidR="26B4DCEE" w:rsidRPr="00533BDB">
        <w:rPr>
          <w:noProof/>
        </w:rPr>
        <w:t xml:space="preserve">measures also </w:t>
      </w:r>
      <w:r w:rsidR="00C31813" w:rsidRPr="00533BDB">
        <w:rPr>
          <w:noProof/>
        </w:rPr>
        <w:t>addressed ‘</w:t>
      </w:r>
      <w:r w:rsidR="00C31813" w:rsidRPr="00533BDB">
        <w:rPr>
          <w:noProof/>
          <w:color w:val="000000" w:themeColor="text1"/>
        </w:rPr>
        <w:t>c</w:t>
      </w:r>
      <w:r w:rsidR="26B4DCEE" w:rsidRPr="00533BDB">
        <w:rPr>
          <w:noProof/>
          <w:color w:val="000000" w:themeColor="text1"/>
        </w:rPr>
        <w:t>onflict</w:t>
      </w:r>
      <w:r w:rsidR="00C31813" w:rsidRPr="00533BDB">
        <w:rPr>
          <w:noProof/>
          <w:color w:val="000000" w:themeColor="text1"/>
        </w:rPr>
        <w:t>s</w:t>
      </w:r>
      <w:r w:rsidR="26B4DCEE" w:rsidRPr="00533BDB">
        <w:rPr>
          <w:noProof/>
          <w:color w:val="000000" w:themeColor="text1"/>
        </w:rPr>
        <w:t xml:space="preserve"> of </w:t>
      </w:r>
      <w:r w:rsidR="00797F98" w:rsidRPr="00533BDB">
        <w:rPr>
          <w:noProof/>
          <w:color w:val="000000" w:themeColor="text1"/>
        </w:rPr>
        <w:t>i</w:t>
      </w:r>
      <w:r w:rsidR="00BB1787" w:rsidRPr="00533BDB">
        <w:rPr>
          <w:noProof/>
          <w:color w:val="000000" w:themeColor="text1"/>
        </w:rPr>
        <w:t>nterest</w:t>
      </w:r>
      <w:r w:rsidR="00C31813" w:rsidRPr="00533BDB">
        <w:rPr>
          <w:noProof/>
          <w:color w:val="000000" w:themeColor="text1"/>
        </w:rPr>
        <w:t>’</w:t>
      </w:r>
      <w:r w:rsidR="00BB1787" w:rsidRPr="00533BDB">
        <w:rPr>
          <w:noProof/>
        </w:rPr>
        <w:t xml:space="preserve"> or</w:t>
      </w:r>
      <w:r w:rsidR="26B4DCEE" w:rsidRPr="00533BDB">
        <w:rPr>
          <w:noProof/>
        </w:rPr>
        <w:t xml:space="preserve"> </w:t>
      </w:r>
      <w:r w:rsidR="000E7CC8" w:rsidRPr="00533BDB">
        <w:rPr>
          <w:noProof/>
        </w:rPr>
        <w:t>‘</w:t>
      </w:r>
      <w:r w:rsidR="000E7CC8" w:rsidRPr="00533BDB">
        <w:rPr>
          <w:noProof/>
          <w:color w:val="000000" w:themeColor="text1"/>
        </w:rPr>
        <w:t>a</w:t>
      </w:r>
      <w:r w:rsidR="26B4DCEE" w:rsidRPr="00533BDB">
        <w:rPr>
          <w:noProof/>
          <w:color w:val="000000" w:themeColor="text1"/>
        </w:rPr>
        <w:t xml:space="preserve">ntifraud and </w:t>
      </w:r>
      <w:r w:rsidR="000E7CC8" w:rsidRPr="00533BDB">
        <w:rPr>
          <w:noProof/>
          <w:color w:val="000000" w:themeColor="text1"/>
        </w:rPr>
        <w:t>a</w:t>
      </w:r>
      <w:r w:rsidR="26B4DCEE" w:rsidRPr="00533BDB">
        <w:rPr>
          <w:noProof/>
          <w:color w:val="000000" w:themeColor="text1"/>
        </w:rPr>
        <w:t xml:space="preserve">nticorruption </w:t>
      </w:r>
      <w:r w:rsidR="000E7CC8" w:rsidRPr="00533BDB">
        <w:rPr>
          <w:noProof/>
          <w:color w:val="000000" w:themeColor="text1"/>
        </w:rPr>
        <w:t>s</w:t>
      </w:r>
      <w:r w:rsidR="26B4DCEE" w:rsidRPr="00533BDB">
        <w:rPr>
          <w:noProof/>
          <w:color w:val="000000" w:themeColor="text1"/>
        </w:rPr>
        <w:t>trateg</w:t>
      </w:r>
      <w:r w:rsidR="000E7CC8" w:rsidRPr="00533BDB">
        <w:rPr>
          <w:noProof/>
          <w:color w:val="000000" w:themeColor="text1"/>
        </w:rPr>
        <w:t>ies</w:t>
      </w:r>
      <w:r w:rsidR="00F86ED7" w:rsidRPr="00533BDB">
        <w:rPr>
          <w:noProof/>
        </w:rPr>
        <w:t>’</w:t>
      </w:r>
      <w:r w:rsidR="00B17E47" w:rsidRPr="00533BDB">
        <w:rPr>
          <w:noProof/>
        </w:rPr>
        <w:t xml:space="preserve"> (see </w:t>
      </w:r>
      <w:r w:rsidR="00B17E47" w:rsidRPr="00533BDB">
        <w:rPr>
          <w:b/>
          <w:bCs/>
          <w:noProof/>
        </w:rPr>
        <w:t>Figure 6</w:t>
      </w:r>
      <w:r w:rsidR="00B17E47" w:rsidRPr="00533BDB">
        <w:rPr>
          <w:noProof/>
        </w:rPr>
        <w:t>)</w:t>
      </w:r>
      <w:r w:rsidR="00F86ED7" w:rsidRPr="00533BDB">
        <w:rPr>
          <w:noProof/>
        </w:rPr>
        <w:t>.</w:t>
      </w:r>
    </w:p>
    <w:p w14:paraId="7A498C86" w14:textId="2009F32D" w:rsidR="00B07E7B" w:rsidRPr="00DE3A6F" w:rsidRDefault="004F091D" w:rsidP="000D6D9F">
      <w:pPr>
        <w:pStyle w:val="Caption"/>
        <w:keepNext/>
        <w:rPr>
          <w:noProof/>
          <w:szCs w:val="22"/>
        </w:rPr>
      </w:pPr>
      <w:r w:rsidRPr="00DE3A6F">
        <w:rPr>
          <w:noProof/>
        </w:rPr>
        <w:t xml:space="preserve">Figure </w:t>
      </w:r>
      <w:r w:rsidR="00C634A0" w:rsidRPr="00DE3A6F">
        <w:rPr>
          <w:noProof/>
        </w:rPr>
        <w:fldChar w:fldCharType="begin"/>
      </w:r>
      <w:r w:rsidR="00C634A0" w:rsidRPr="00DE3A6F">
        <w:rPr>
          <w:noProof/>
        </w:rPr>
        <w:instrText xml:space="preserve"> SEQ Figure \* ARABIC </w:instrText>
      </w:r>
      <w:r w:rsidR="00C634A0" w:rsidRPr="00DE3A6F">
        <w:rPr>
          <w:noProof/>
        </w:rPr>
        <w:fldChar w:fldCharType="separate"/>
      </w:r>
      <w:r w:rsidR="00A13C63">
        <w:rPr>
          <w:noProof/>
        </w:rPr>
        <w:t>6</w:t>
      </w:r>
      <w:r w:rsidR="00C634A0" w:rsidRPr="00DE3A6F">
        <w:rPr>
          <w:noProof/>
        </w:rPr>
        <w:fldChar w:fldCharType="end"/>
      </w:r>
      <w:r w:rsidRPr="00DE3A6F">
        <w:rPr>
          <w:noProof/>
        </w:rPr>
        <w:t>: Areas targeted in 2025</w:t>
      </w:r>
    </w:p>
    <w:p w14:paraId="361121AF" w14:textId="326D964D" w:rsidR="00A01F05" w:rsidRPr="00DE3A6F" w:rsidRDefault="00D501A0" w:rsidP="221E107C">
      <w:pPr>
        <w:spacing w:after="160" w:line="276" w:lineRule="auto"/>
        <w:rPr>
          <w:noProof/>
        </w:rPr>
      </w:pPr>
      <w:r>
        <w:rPr>
          <w:noProof/>
        </w:rPr>
        <w:drawing>
          <wp:inline distT="0" distB="0" distL="0" distR="0" wp14:anchorId="312BE03D" wp14:editId="061BC00E">
            <wp:extent cx="5472430" cy="2689225"/>
            <wp:effectExtent l="0" t="0" r="13970" b="15875"/>
            <wp:docPr id="1506697950" name="Chart 1" descr="This is a bar chart, indicating the number of measures targeting specific areas. One measure can target more than one area. One measure can target more than one area.&#10;Shared management and control of the EU funds was targeted by 36 measures, conflicts of interest by 26, antifraud or anticorruption strategy by 24, public procurement by 22, corruption and financial crime by 21, organised crime by 16, whistleblower by 11, fraud definition by 9, AFCOS by 7, customs and illicit trade by 6. 11 measures targeted other areas. ">
              <a:extLst xmlns:a="http://schemas.openxmlformats.org/drawingml/2006/main">
                <a:ext uri="{FF2B5EF4-FFF2-40B4-BE49-F238E27FC236}">
                  <a16:creationId xmlns:a16="http://schemas.microsoft.com/office/drawing/2014/main" id="{F4C4A305-9495-90A5-955A-C44B28E079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794C548" w14:textId="5D9AFE3D" w:rsidR="00A01F05" w:rsidRPr="00533BDB" w:rsidRDefault="483D984D" w:rsidP="28D37C99">
      <w:pPr>
        <w:spacing w:after="160" w:line="276" w:lineRule="auto"/>
        <w:rPr>
          <w:i/>
          <w:iCs/>
          <w:noProof/>
          <w:sz w:val="20"/>
        </w:rPr>
      </w:pPr>
      <w:r w:rsidRPr="00533BDB">
        <w:rPr>
          <w:i/>
          <w:iCs/>
          <w:noProof/>
          <w:sz w:val="20"/>
        </w:rPr>
        <w:t xml:space="preserve">Note: </w:t>
      </w:r>
      <w:r w:rsidR="000D6D9F" w:rsidRPr="00533BDB">
        <w:rPr>
          <w:i/>
          <w:iCs/>
          <w:noProof/>
          <w:sz w:val="20"/>
        </w:rPr>
        <w:t>o</w:t>
      </w:r>
      <w:r w:rsidRPr="00533BDB">
        <w:rPr>
          <w:i/>
          <w:iCs/>
          <w:noProof/>
          <w:sz w:val="20"/>
        </w:rPr>
        <w:t xml:space="preserve">ne measure </w:t>
      </w:r>
      <w:r w:rsidR="00CC76B6" w:rsidRPr="00533BDB">
        <w:rPr>
          <w:i/>
          <w:iCs/>
          <w:noProof/>
          <w:sz w:val="20"/>
        </w:rPr>
        <w:t xml:space="preserve">may </w:t>
      </w:r>
      <w:r w:rsidRPr="00533BDB">
        <w:rPr>
          <w:i/>
          <w:iCs/>
          <w:noProof/>
          <w:sz w:val="20"/>
        </w:rPr>
        <w:t xml:space="preserve">target multiple areas. </w:t>
      </w:r>
      <w:r w:rsidR="00CC76B6" w:rsidRPr="00533BDB">
        <w:rPr>
          <w:i/>
          <w:iCs/>
          <w:noProof/>
          <w:sz w:val="20"/>
        </w:rPr>
        <w:t>O</w:t>
      </w:r>
      <w:r w:rsidRPr="00533BDB">
        <w:rPr>
          <w:i/>
          <w:iCs/>
          <w:noProof/>
          <w:sz w:val="20"/>
        </w:rPr>
        <w:t>f 72 measures reported, 22 target</w:t>
      </w:r>
      <w:r w:rsidR="00235D5B" w:rsidRPr="00533BDB">
        <w:rPr>
          <w:i/>
          <w:iCs/>
          <w:noProof/>
          <w:sz w:val="20"/>
        </w:rPr>
        <w:t>ed</w:t>
      </w:r>
      <w:r w:rsidRPr="00533BDB">
        <w:rPr>
          <w:i/>
          <w:iCs/>
          <w:noProof/>
          <w:sz w:val="20"/>
        </w:rPr>
        <w:t xml:space="preserve"> one area, 17 two areas, 1</w:t>
      </w:r>
      <w:r w:rsidR="125AC9A1" w:rsidRPr="00533BDB">
        <w:rPr>
          <w:i/>
          <w:iCs/>
          <w:noProof/>
          <w:sz w:val="20"/>
        </w:rPr>
        <w:t>3</w:t>
      </w:r>
      <w:r w:rsidRPr="00533BDB">
        <w:rPr>
          <w:i/>
          <w:iCs/>
          <w:noProof/>
          <w:sz w:val="20"/>
        </w:rPr>
        <w:t xml:space="preserve"> three areas, 9 four areas, </w:t>
      </w:r>
      <w:r w:rsidR="7545133E" w:rsidRPr="00533BDB">
        <w:rPr>
          <w:i/>
          <w:iCs/>
          <w:noProof/>
          <w:sz w:val="20"/>
        </w:rPr>
        <w:t>1</w:t>
      </w:r>
      <w:r w:rsidRPr="00533BDB">
        <w:rPr>
          <w:i/>
          <w:iCs/>
          <w:noProof/>
          <w:sz w:val="20"/>
        </w:rPr>
        <w:t xml:space="preserve"> five areas, </w:t>
      </w:r>
      <w:r w:rsidR="54947630" w:rsidRPr="00533BDB">
        <w:rPr>
          <w:i/>
          <w:iCs/>
          <w:noProof/>
          <w:sz w:val="20"/>
        </w:rPr>
        <w:t>6</w:t>
      </w:r>
      <w:r w:rsidRPr="00533BDB">
        <w:rPr>
          <w:i/>
          <w:iCs/>
          <w:noProof/>
          <w:sz w:val="20"/>
        </w:rPr>
        <w:t xml:space="preserve"> six areas, 1 seven</w:t>
      </w:r>
      <w:r w:rsidR="00235D5B" w:rsidRPr="00533BDB">
        <w:rPr>
          <w:i/>
          <w:iCs/>
          <w:noProof/>
          <w:sz w:val="20"/>
        </w:rPr>
        <w:t xml:space="preserve"> areas</w:t>
      </w:r>
      <w:r w:rsidRPr="00533BDB">
        <w:rPr>
          <w:i/>
          <w:iCs/>
          <w:noProof/>
          <w:sz w:val="20"/>
        </w:rPr>
        <w:t xml:space="preserve">, </w:t>
      </w:r>
      <w:r w:rsidR="00DE3B04" w:rsidRPr="00533BDB">
        <w:rPr>
          <w:i/>
          <w:iCs/>
          <w:noProof/>
          <w:sz w:val="20"/>
        </w:rPr>
        <w:t xml:space="preserve">1 </w:t>
      </w:r>
      <w:r w:rsidRPr="00533BDB">
        <w:rPr>
          <w:i/>
          <w:iCs/>
          <w:noProof/>
          <w:sz w:val="20"/>
        </w:rPr>
        <w:t>eight</w:t>
      </w:r>
      <w:r w:rsidR="00953BEE" w:rsidRPr="00533BDB">
        <w:rPr>
          <w:i/>
          <w:iCs/>
          <w:noProof/>
          <w:sz w:val="20"/>
        </w:rPr>
        <w:t xml:space="preserve"> areas</w:t>
      </w:r>
      <w:r w:rsidRPr="00533BDB">
        <w:rPr>
          <w:i/>
          <w:iCs/>
          <w:noProof/>
          <w:sz w:val="20"/>
        </w:rPr>
        <w:t xml:space="preserve"> and </w:t>
      </w:r>
      <w:r w:rsidR="00DE3B04" w:rsidRPr="00533BDB">
        <w:rPr>
          <w:i/>
          <w:iCs/>
          <w:noProof/>
          <w:sz w:val="20"/>
        </w:rPr>
        <w:t xml:space="preserve">1 </w:t>
      </w:r>
      <w:r w:rsidRPr="00533BDB">
        <w:rPr>
          <w:i/>
          <w:iCs/>
          <w:noProof/>
          <w:sz w:val="20"/>
        </w:rPr>
        <w:t xml:space="preserve">nine areas, and 2 </w:t>
      </w:r>
      <w:r w:rsidR="00953BEE" w:rsidRPr="00533BDB">
        <w:rPr>
          <w:i/>
          <w:iCs/>
          <w:noProof/>
          <w:sz w:val="20"/>
        </w:rPr>
        <w:t xml:space="preserve">ten </w:t>
      </w:r>
      <w:r w:rsidRPr="00533BDB">
        <w:rPr>
          <w:i/>
          <w:iCs/>
          <w:noProof/>
          <w:sz w:val="20"/>
        </w:rPr>
        <w:t>areas.</w:t>
      </w:r>
    </w:p>
    <w:p w14:paraId="04B5A5B6" w14:textId="5F025C04" w:rsidR="00A01F05" w:rsidRPr="00DE3A6F" w:rsidRDefault="00CB0E06" w:rsidP="221E107C">
      <w:pPr>
        <w:spacing w:after="160" w:line="276" w:lineRule="auto"/>
        <w:rPr>
          <w:noProof/>
        </w:rPr>
      </w:pPr>
      <w:r w:rsidRPr="00533BDB">
        <w:rPr>
          <w:noProof/>
        </w:rPr>
        <w:t>M</w:t>
      </w:r>
      <w:r w:rsidR="0A7A5EC3" w:rsidRPr="00533BDB">
        <w:rPr>
          <w:noProof/>
        </w:rPr>
        <w:t>easure</w:t>
      </w:r>
      <w:r w:rsidR="00953BEE" w:rsidRPr="00533BDB">
        <w:rPr>
          <w:noProof/>
        </w:rPr>
        <w:t>s</w:t>
      </w:r>
      <w:r w:rsidR="0A7A5EC3" w:rsidRPr="00533BDB">
        <w:rPr>
          <w:noProof/>
        </w:rPr>
        <w:t xml:space="preserve"> may </w:t>
      </w:r>
      <w:r w:rsidRPr="00533BDB">
        <w:rPr>
          <w:noProof/>
        </w:rPr>
        <w:t xml:space="preserve">apply horizontally (across </w:t>
      </w:r>
      <w:r w:rsidR="0A7A5EC3" w:rsidRPr="00533BDB">
        <w:rPr>
          <w:noProof/>
        </w:rPr>
        <w:t xml:space="preserve">all EU budget </w:t>
      </w:r>
      <w:r w:rsidRPr="00533BDB">
        <w:rPr>
          <w:noProof/>
        </w:rPr>
        <w:t>sectors</w:t>
      </w:r>
      <w:r w:rsidR="00E656CC" w:rsidRPr="00533BDB">
        <w:rPr>
          <w:noProof/>
        </w:rPr>
        <w:t>)</w:t>
      </w:r>
      <w:r w:rsidR="0A7A5EC3" w:rsidRPr="00533BDB">
        <w:rPr>
          <w:noProof/>
        </w:rPr>
        <w:t xml:space="preserve"> or </w:t>
      </w:r>
      <w:r w:rsidR="00E656CC" w:rsidRPr="00533BDB">
        <w:rPr>
          <w:noProof/>
        </w:rPr>
        <w:t>sectorally (</w:t>
      </w:r>
      <w:r w:rsidR="0A7A5EC3" w:rsidRPr="00533BDB">
        <w:rPr>
          <w:noProof/>
        </w:rPr>
        <w:t>target</w:t>
      </w:r>
      <w:r w:rsidR="00E656CC" w:rsidRPr="00533BDB">
        <w:rPr>
          <w:noProof/>
        </w:rPr>
        <w:t>ing</w:t>
      </w:r>
      <w:r w:rsidR="0A7A5EC3" w:rsidRPr="00533BDB">
        <w:rPr>
          <w:noProof/>
        </w:rPr>
        <w:t xml:space="preserve"> specific sectors</w:t>
      </w:r>
      <w:r w:rsidR="00E656CC" w:rsidRPr="00533BDB">
        <w:rPr>
          <w:noProof/>
        </w:rPr>
        <w:t>)</w:t>
      </w:r>
      <w:r w:rsidR="0A7A5EC3" w:rsidRPr="00533BDB">
        <w:rPr>
          <w:noProof/>
        </w:rPr>
        <w:t>. Member States report</w:t>
      </w:r>
      <w:r w:rsidR="00F6510A" w:rsidRPr="00533BDB">
        <w:rPr>
          <w:noProof/>
        </w:rPr>
        <w:t>ed measures in both categories</w:t>
      </w:r>
      <w:r w:rsidR="0A7A5EC3" w:rsidRPr="00533BDB">
        <w:rPr>
          <w:noProof/>
        </w:rPr>
        <w:t>.</w:t>
      </w:r>
    </w:p>
    <w:p w14:paraId="1572A706" w14:textId="0E6B404E" w:rsidR="79AB8D73" w:rsidRPr="00DE3A6F" w:rsidRDefault="79AB8D73" w:rsidP="044E42F4">
      <w:pPr>
        <w:spacing w:before="120" w:after="160" w:line="276" w:lineRule="auto"/>
        <w:rPr>
          <w:noProof/>
        </w:rPr>
      </w:pPr>
      <w:r w:rsidRPr="00533BDB">
        <w:rPr>
          <w:noProof/>
        </w:rPr>
        <w:lastRenderedPageBreak/>
        <w:t>Based on Member States</w:t>
      </w:r>
      <w:r w:rsidR="00CB0E97" w:rsidRPr="00533BDB">
        <w:rPr>
          <w:noProof/>
        </w:rPr>
        <w:t>’</w:t>
      </w:r>
      <w:r w:rsidRPr="00533BDB">
        <w:rPr>
          <w:noProof/>
        </w:rPr>
        <w:t xml:space="preserve"> input, </w:t>
      </w:r>
      <w:r w:rsidRPr="00533BDB">
        <w:rPr>
          <w:b/>
          <w:bCs/>
          <w:noProof/>
        </w:rPr>
        <w:t>t</w:t>
      </w:r>
      <w:r w:rsidR="54571CB3" w:rsidRPr="00533BDB">
        <w:rPr>
          <w:b/>
          <w:bCs/>
          <w:noProof/>
        </w:rPr>
        <w:t>wo</w:t>
      </w:r>
      <w:r w:rsidRPr="00533BDB">
        <w:rPr>
          <w:b/>
          <w:bCs/>
          <w:noProof/>
        </w:rPr>
        <w:t xml:space="preserve"> </w:t>
      </w:r>
      <w:r w:rsidR="00E1437B" w:rsidRPr="00533BDB">
        <w:rPr>
          <w:b/>
          <w:bCs/>
          <w:noProof/>
        </w:rPr>
        <w:t>key trends emerged</w:t>
      </w:r>
      <w:r w:rsidR="00E1437B" w:rsidRPr="00533BDB">
        <w:rPr>
          <w:noProof/>
        </w:rPr>
        <w:t xml:space="preserve"> </w:t>
      </w:r>
      <w:r w:rsidRPr="00533BDB">
        <w:rPr>
          <w:noProof/>
        </w:rPr>
        <w:t>in 2025</w:t>
      </w:r>
      <w:r w:rsidR="00E1437B" w:rsidRPr="00533BDB">
        <w:rPr>
          <w:noProof/>
        </w:rPr>
        <w:t>:</w:t>
      </w:r>
      <w:r w:rsidRPr="00533BDB">
        <w:rPr>
          <w:noProof/>
        </w:rPr>
        <w:t xml:space="preserve"> </w:t>
      </w:r>
      <w:r w:rsidR="00CB0E97" w:rsidRPr="00533BDB">
        <w:rPr>
          <w:b/>
          <w:bCs/>
          <w:noProof/>
          <w:color w:val="000000" w:themeColor="text1"/>
        </w:rPr>
        <w:t>early detection</w:t>
      </w:r>
      <w:r w:rsidRPr="00533BDB">
        <w:rPr>
          <w:b/>
          <w:bCs/>
          <w:noProof/>
          <w:color w:val="000000" w:themeColor="text1"/>
        </w:rPr>
        <w:t xml:space="preserve"> and exclusion</w:t>
      </w:r>
      <w:r w:rsidR="2B79D87F" w:rsidRPr="00533BDB">
        <w:rPr>
          <w:b/>
          <w:bCs/>
          <w:noProof/>
          <w:color w:val="156082"/>
        </w:rPr>
        <w:t xml:space="preserve"> </w:t>
      </w:r>
      <w:r w:rsidR="2B79D87F" w:rsidRPr="00533BDB">
        <w:rPr>
          <w:noProof/>
        </w:rPr>
        <w:t>and</w:t>
      </w:r>
      <w:r w:rsidRPr="00533BDB">
        <w:rPr>
          <w:b/>
          <w:bCs/>
          <w:noProof/>
          <w:color w:val="156082"/>
        </w:rPr>
        <w:t xml:space="preserve"> </w:t>
      </w:r>
      <w:r w:rsidR="0800F88E" w:rsidRPr="00533BDB">
        <w:rPr>
          <w:b/>
          <w:bCs/>
          <w:noProof/>
          <w:color w:val="000000" w:themeColor="text1"/>
        </w:rPr>
        <w:t>capacity</w:t>
      </w:r>
      <w:r w:rsidRPr="00533BDB">
        <w:rPr>
          <w:b/>
          <w:bCs/>
          <w:noProof/>
          <w:color w:val="000000" w:themeColor="text1"/>
        </w:rPr>
        <w:t>-building activities</w:t>
      </w:r>
      <w:r w:rsidR="7B54CC0F" w:rsidRPr="00533BDB">
        <w:rPr>
          <w:b/>
          <w:bCs/>
          <w:noProof/>
          <w:color w:val="000000" w:themeColor="text1"/>
        </w:rPr>
        <w:t>.</w:t>
      </w:r>
      <w:r w:rsidR="7B54CC0F" w:rsidRPr="00533BDB">
        <w:rPr>
          <w:b/>
          <w:bCs/>
          <w:noProof/>
          <w:color w:val="156082"/>
        </w:rPr>
        <w:t xml:space="preserve"> </w:t>
      </w:r>
      <w:r w:rsidR="7563192D" w:rsidRPr="00533BDB">
        <w:rPr>
          <w:noProof/>
        </w:rPr>
        <w:t xml:space="preserve">These </w:t>
      </w:r>
      <w:r w:rsidR="00C41EF6" w:rsidRPr="00533BDB">
        <w:rPr>
          <w:noProof/>
        </w:rPr>
        <w:t xml:space="preserve">trends reinforced the continued emphasis </w:t>
      </w:r>
      <w:r w:rsidR="00CB0E97" w:rsidRPr="00533BDB">
        <w:rPr>
          <w:noProof/>
        </w:rPr>
        <w:t>on</w:t>
      </w:r>
      <w:r w:rsidR="7563192D" w:rsidRPr="00533BDB">
        <w:rPr>
          <w:noProof/>
        </w:rPr>
        <w:t xml:space="preserve"> </w:t>
      </w:r>
      <w:r w:rsidR="46E674FF" w:rsidRPr="00533BDB">
        <w:rPr>
          <w:noProof/>
        </w:rPr>
        <w:t xml:space="preserve">prevention and detection. </w:t>
      </w:r>
      <w:r w:rsidR="46E674FF" w:rsidRPr="00533BDB">
        <w:rPr>
          <w:b/>
          <w:bCs/>
          <w:noProof/>
        </w:rPr>
        <w:t xml:space="preserve"> </w:t>
      </w:r>
    </w:p>
    <w:p w14:paraId="453C7E6F" w14:textId="716490C2" w:rsidR="00A01F05" w:rsidRPr="00DE3A6F" w:rsidRDefault="744FA826" w:rsidP="13F9CCF2">
      <w:pPr>
        <w:pStyle w:val="Caption"/>
        <w:keepNext/>
        <w:pBdr>
          <w:top w:val="single" w:sz="4" w:space="1" w:color="auto"/>
          <w:left w:val="single" w:sz="4" w:space="4" w:color="auto"/>
          <w:bottom w:val="single" w:sz="4" w:space="1" w:color="auto"/>
          <w:right w:val="single" w:sz="4" w:space="4" w:color="auto"/>
        </w:pBdr>
        <w:shd w:val="clear" w:color="auto" w:fill="DEEAF6" w:themeFill="accent1" w:themeFillTint="33"/>
        <w:rPr>
          <w:noProof/>
        </w:rPr>
      </w:pPr>
      <w:bookmarkStart w:id="41" w:name="_Ref197687390"/>
      <w:bookmarkStart w:id="42" w:name="_Ref197687287"/>
      <w:r w:rsidRPr="00DE3A6F">
        <w:rPr>
          <w:noProof/>
        </w:rPr>
        <w:t xml:space="preserve">Snapshot </w:t>
      </w:r>
      <w:r w:rsidR="73A79B45" w:rsidRPr="00DE3A6F">
        <w:rPr>
          <w:noProof/>
        </w:rPr>
        <w:fldChar w:fldCharType="begin"/>
      </w:r>
      <w:r w:rsidR="73A79B45" w:rsidRPr="00DE3A6F">
        <w:rPr>
          <w:noProof/>
        </w:rPr>
        <w:instrText xml:space="preserve"> SEQ Snapshot \* ARABIC </w:instrText>
      </w:r>
      <w:r w:rsidR="73A79B45" w:rsidRPr="00DE3A6F">
        <w:rPr>
          <w:noProof/>
        </w:rPr>
        <w:fldChar w:fldCharType="separate"/>
      </w:r>
      <w:r w:rsidR="00CA6005">
        <w:rPr>
          <w:noProof/>
        </w:rPr>
        <w:t>2</w:t>
      </w:r>
      <w:r w:rsidR="73A79B45" w:rsidRPr="00DE3A6F">
        <w:rPr>
          <w:noProof/>
        </w:rPr>
        <w:fldChar w:fldCharType="end"/>
      </w:r>
      <w:bookmarkEnd w:id="41"/>
      <w:r w:rsidRPr="00DE3A6F">
        <w:rPr>
          <w:noProof/>
        </w:rPr>
        <w:t xml:space="preserve">: </w:t>
      </w:r>
      <w:r w:rsidR="38485525" w:rsidRPr="00DE3A6F">
        <w:rPr>
          <w:noProof/>
        </w:rPr>
        <w:t>Focus areas e</w:t>
      </w:r>
      <w:bookmarkEnd w:id="42"/>
      <w:r w:rsidR="5EB8F2EA" w:rsidRPr="00DE3A6F">
        <w:rPr>
          <w:noProof/>
        </w:rPr>
        <w:t>nhancing fraud prevention and detection</w:t>
      </w:r>
    </w:p>
    <w:p w14:paraId="5B0CAA12" w14:textId="01B469B9" w:rsidR="00A01F05" w:rsidRPr="00DE3A6F" w:rsidRDefault="744FA826"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533BDB">
        <w:rPr>
          <w:noProof/>
        </w:rPr>
        <w:t xml:space="preserve">Member States </w:t>
      </w:r>
      <w:r w:rsidR="002E203F" w:rsidRPr="00533BDB">
        <w:rPr>
          <w:noProof/>
        </w:rPr>
        <w:t xml:space="preserve">reported 17 measures </w:t>
      </w:r>
      <w:r w:rsidRPr="00533BDB">
        <w:rPr>
          <w:noProof/>
        </w:rPr>
        <w:t>target</w:t>
      </w:r>
      <w:r w:rsidR="002E203F" w:rsidRPr="00533BDB">
        <w:rPr>
          <w:noProof/>
        </w:rPr>
        <w:t>ing</w:t>
      </w:r>
      <w:r w:rsidRPr="00533BDB">
        <w:rPr>
          <w:noProof/>
        </w:rPr>
        <w:t xml:space="preserve"> (i) </w:t>
      </w:r>
      <w:r w:rsidR="001A4255" w:rsidRPr="00533BDB">
        <w:rPr>
          <w:noProof/>
        </w:rPr>
        <w:t>early detection</w:t>
      </w:r>
      <w:r w:rsidR="1326E475" w:rsidRPr="00533BDB">
        <w:rPr>
          <w:noProof/>
        </w:rPr>
        <w:t xml:space="preserve"> and exclusion</w:t>
      </w:r>
      <w:r w:rsidRPr="00533BDB">
        <w:rPr>
          <w:noProof/>
        </w:rPr>
        <w:t xml:space="preserve">; </w:t>
      </w:r>
      <w:r w:rsidR="1200BD82" w:rsidRPr="00533BDB">
        <w:rPr>
          <w:noProof/>
        </w:rPr>
        <w:t xml:space="preserve">and </w:t>
      </w:r>
      <w:r w:rsidRPr="00533BDB">
        <w:rPr>
          <w:noProof/>
        </w:rPr>
        <w:t xml:space="preserve">(ii) </w:t>
      </w:r>
      <w:r w:rsidR="1DDF0E1D" w:rsidRPr="00533BDB">
        <w:rPr>
          <w:noProof/>
        </w:rPr>
        <w:t xml:space="preserve">capacity building </w:t>
      </w:r>
      <w:r w:rsidRPr="00533BDB">
        <w:rPr>
          <w:noProof/>
        </w:rPr>
        <w:t>(</w:t>
      </w:r>
      <w:r w:rsidR="00A01F05" w:rsidRPr="00533BDB">
        <w:rPr>
          <w:rStyle w:val="FootnoteReference"/>
          <w:noProof/>
        </w:rPr>
        <w:footnoteReference w:id="28"/>
      </w:r>
      <w:r w:rsidRPr="00533BDB">
        <w:rPr>
          <w:noProof/>
        </w:rPr>
        <w:t xml:space="preserve">). These measures </w:t>
      </w:r>
      <w:r w:rsidR="003353BC" w:rsidRPr="00533BDB">
        <w:rPr>
          <w:noProof/>
        </w:rPr>
        <w:t xml:space="preserve">place </w:t>
      </w:r>
      <w:r w:rsidRPr="00533BDB">
        <w:rPr>
          <w:noProof/>
        </w:rPr>
        <w:t xml:space="preserve">strong emphasis on prevention. </w:t>
      </w:r>
    </w:p>
    <w:p w14:paraId="0FE54A09" w14:textId="3EF1EDA0" w:rsidR="00A01F05" w:rsidRPr="00533BDB" w:rsidRDefault="73A79B45" w:rsidP="28D37C99">
      <w:pPr>
        <w:keepNext/>
        <w:pBdr>
          <w:top w:val="single" w:sz="4" w:space="1" w:color="auto"/>
          <w:left w:val="single" w:sz="4" w:space="4" w:color="auto"/>
          <w:bottom w:val="single" w:sz="4" w:space="1" w:color="auto"/>
          <w:right w:val="single" w:sz="4" w:space="4" w:color="auto"/>
        </w:pBdr>
        <w:shd w:val="clear" w:color="auto" w:fill="DEEAF6" w:themeFill="accent1" w:themeFillTint="33"/>
        <w:rPr>
          <w:b/>
          <w:bCs/>
          <w:i/>
          <w:iCs/>
          <w:noProof/>
        </w:rPr>
      </w:pPr>
      <w:r w:rsidRPr="00533BDB">
        <w:rPr>
          <w:b/>
          <w:bCs/>
          <w:i/>
          <w:iCs/>
          <w:noProof/>
        </w:rPr>
        <w:t xml:space="preserve">(i) </w:t>
      </w:r>
      <w:r w:rsidR="5BB9C5E4" w:rsidRPr="00533BDB">
        <w:rPr>
          <w:b/>
          <w:bCs/>
          <w:i/>
          <w:iCs/>
          <w:noProof/>
        </w:rPr>
        <w:t>Early detection and exclusion</w:t>
      </w:r>
    </w:p>
    <w:p w14:paraId="063DBD06" w14:textId="014898CE" w:rsidR="3250EA48" w:rsidRPr="00DE3A6F" w:rsidRDefault="51C7E95D"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533BDB">
        <w:rPr>
          <w:noProof/>
        </w:rPr>
        <w:t>Member States reported multiple measures focus</w:t>
      </w:r>
      <w:r w:rsidR="004B058F" w:rsidRPr="00533BDB">
        <w:rPr>
          <w:noProof/>
        </w:rPr>
        <w:t>ing</w:t>
      </w:r>
      <w:r w:rsidRPr="00533BDB">
        <w:rPr>
          <w:noProof/>
        </w:rPr>
        <w:t xml:space="preserve"> on </w:t>
      </w:r>
      <w:r w:rsidR="0036148D" w:rsidRPr="00533BDB">
        <w:rPr>
          <w:noProof/>
        </w:rPr>
        <w:t>early detection</w:t>
      </w:r>
      <w:r w:rsidRPr="00533BDB">
        <w:rPr>
          <w:noProof/>
        </w:rPr>
        <w:t xml:space="preserve"> of ‘unreliable’ </w:t>
      </w:r>
      <w:r w:rsidR="002A40C6" w:rsidRPr="00533BDB">
        <w:rPr>
          <w:noProof/>
        </w:rPr>
        <w:t>entities</w:t>
      </w:r>
      <w:r w:rsidRPr="00533BDB">
        <w:rPr>
          <w:noProof/>
        </w:rPr>
        <w:t xml:space="preserve"> and their exclusion from further procedures. This might include counterparts previously </w:t>
      </w:r>
      <w:r w:rsidR="00D1103B" w:rsidRPr="00533BDB">
        <w:rPr>
          <w:noProof/>
        </w:rPr>
        <w:t xml:space="preserve">involved </w:t>
      </w:r>
      <w:r w:rsidRPr="00533BDB">
        <w:rPr>
          <w:noProof/>
        </w:rPr>
        <w:t xml:space="preserve">in fraudulent or irregular activities or </w:t>
      </w:r>
      <w:r w:rsidR="00D96E48" w:rsidRPr="00533BDB">
        <w:rPr>
          <w:noProof/>
        </w:rPr>
        <w:t>failing to</w:t>
      </w:r>
      <w:r w:rsidRPr="00533BDB">
        <w:rPr>
          <w:noProof/>
        </w:rPr>
        <w:t xml:space="preserve"> </w:t>
      </w:r>
      <w:r w:rsidR="00D96E48" w:rsidRPr="00533BDB">
        <w:rPr>
          <w:noProof/>
        </w:rPr>
        <w:t xml:space="preserve">disclose </w:t>
      </w:r>
      <w:r w:rsidRPr="00533BDB">
        <w:rPr>
          <w:noProof/>
        </w:rPr>
        <w:t>conflict</w:t>
      </w:r>
      <w:r w:rsidR="00D96E48" w:rsidRPr="00533BDB">
        <w:rPr>
          <w:noProof/>
        </w:rPr>
        <w:t>s</w:t>
      </w:r>
      <w:r w:rsidRPr="00533BDB">
        <w:rPr>
          <w:noProof/>
        </w:rPr>
        <w:t xml:space="preserve"> of interest. </w:t>
      </w:r>
      <w:r w:rsidR="00065AC3" w:rsidRPr="00533BDB">
        <w:rPr>
          <w:noProof/>
        </w:rPr>
        <w:t>Beyond reducing fraud</w:t>
      </w:r>
      <w:r w:rsidRPr="00533BDB">
        <w:rPr>
          <w:noProof/>
        </w:rPr>
        <w:t xml:space="preserve"> risks, </w:t>
      </w:r>
      <w:r w:rsidR="00065AC3" w:rsidRPr="00533BDB">
        <w:rPr>
          <w:noProof/>
        </w:rPr>
        <w:t>this approach</w:t>
      </w:r>
      <w:r w:rsidR="00885EBA" w:rsidRPr="00533BDB">
        <w:rPr>
          <w:noProof/>
        </w:rPr>
        <w:t xml:space="preserve"> optimises</w:t>
      </w:r>
      <w:r w:rsidRPr="00533BDB">
        <w:rPr>
          <w:noProof/>
        </w:rPr>
        <w:t xml:space="preserve"> resource</w:t>
      </w:r>
      <w:r w:rsidR="00885EBA" w:rsidRPr="00533BDB">
        <w:rPr>
          <w:noProof/>
        </w:rPr>
        <w:t xml:space="preserve"> allocation</w:t>
      </w:r>
      <w:r w:rsidRPr="00533BDB">
        <w:rPr>
          <w:noProof/>
        </w:rPr>
        <w:t xml:space="preserve">. An overview of these measures is </w:t>
      </w:r>
      <w:r w:rsidR="00E15741" w:rsidRPr="00533BDB">
        <w:rPr>
          <w:noProof/>
        </w:rPr>
        <w:t xml:space="preserve">provided </w:t>
      </w:r>
      <w:r w:rsidRPr="00533BDB">
        <w:rPr>
          <w:noProof/>
        </w:rPr>
        <w:t xml:space="preserve">in </w:t>
      </w:r>
      <w:r w:rsidRPr="00533BDB">
        <w:rPr>
          <w:b/>
          <w:bCs/>
          <w:noProof/>
        </w:rPr>
        <w:t xml:space="preserve">Table 1 </w:t>
      </w:r>
      <w:r w:rsidR="00C94C78" w:rsidRPr="00533BDB">
        <w:rPr>
          <w:b/>
          <w:bCs/>
          <w:noProof/>
        </w:rPr>
        <w:t xml:space="preserve">of </w:t>
      </w:r>
      <w:r w:rsidRPr="00533BDB">
        <w:rPr>
          <w:b/>
          <w:bCs/>
          <w:noProof/>
        </w:rPr>
        <w:t>Annex 3</w:t>
      </w:r>
      <w:r w:rsidRPr="00533BDB">
        <w:rPr>
          <w:noProof/>
        </w:rPr>
        <w:t>.</w:t>
      </w:r>
    </w:p>
    <w:p w14:paraId="7F27B65F" w14:textId="1AB74F85" w:rsidR="00A01F05" w:rsidRPr="00DE3A6F" w:rsidRDefault="73A79B45" w:rsidP="044E42F4">
      <w:pPr>
        <w:keepNext/>
        <w:pBdr>
          <w:top w:val="single" w:sz="4" w:space="1" w:color="auto"/>
          <w:left w:val="single" w:sz="4" w:space="4" w:color="auto"/>
          <w:bottom w:val="single" w:sz="4" w:space="1" w:color="auto"/>
          <w:right w:val="single" w:sz="4" w:space="4" w:color="auto"/>
        </w:pBdr>
        <w:shd w:val="clear" w:color="auto" w:fill="DEEAF6" w:themeFill="accent1" w:themeFillTint="33"/>
        <w:rPr>
          <w:b/>
          <w:bCs/>
          <w:i/>
          <w:iCs/>
          <w:noProof/>
        </w:rPr>
      </w:pPr>
      <w:r w:rsidRPr="00DE3A6F">
        <w:rPr>
          <w:b/>
          <w:bCs/>
          <w:i/>
          <w:iCs/>
          <w:noProof/>
        </w:rPr>
        <w:t xml:space="preserve">(ii) </w:t>
      </w:r>
      <w:r w:rsidR="65189C4F" w:rsidRPr="00DE3A6F">
        <w:rPr>
          <w:b/>
          <w:bCs/>
          <w:i/>
          <w:iCs/>
          <w:noProof/>
        </w:rPr>
        <w:t>Training and capacity building</w:t>
      </w:r>
    </w:p>
    <w:p w14:paraId="318C5FBC" w14:textId="3E2490F5" w:rsidR="00A01F05" w:rsidRPr="00DE3A6F" w:rsidRDefault="228162E4"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533BDB">
        <w:rPr>
          <w:noProof/>
        </w:rPr>
        <w:t xml:space="preserve">Member States </w:t>
      </w:r>
      <w:r w:rsidR="001D78ED" w:rsidRPr="00533BDB">
        <w:rPr>
          <w:noProof/>
        </w:rPr>
        <w:t>continued</w:t>
      </w:r>
      <w:r w:rsidRPr="00533BDB">
        <w:rPr>
          <w:noProof/>
        </w:rPr>
        <w:t xml:space="preserve"> efforts to raise awareness and </w:t>
      </w:r>
      <w:r w:rsidR="00C94C78" w:rsidRPr="00533BDB">
        <w:rPr>
          <w:noProof/>
        </w:rPr>
        <w:t xml:space="preserve">improve </w:t>
      </w:r>
      <w:r w:rsidRPr="00533BDB">
        <w:rPr>
          <w:noProof/>
        </w:rPr>
        <w:t xml:space="preserve">skills </w:t>
      </w:r>
      <w:r w:rsidR="004C5957" w:rsidRPr="00533BDB">
        <w:rPr>
          <w:noProof/>
        </w:rPr>
        <w:t xml:space="preserve">among staff involved </w:t>
      </w:r>
      <w:r w:rsidRPr="00533BDB">
        <w:rPr>
          <w:noProof/>
        </w:rPr>
        <w:t>in anti-fraud actions. Through training and guidelines</w:t>
      </w:r>
      <w:r w:rsidR="004A1BEF" w:rsidRPr="00533BDB">
        <w:rPr>
          <w:noProof/>
        </w:rPr>
        <w:t>,</w:t>
      </w:r>
      <w:r w:rsidRPr="00533BDB">
        <w:rPr>
          <w:noProof/>
        </w:rPr>
        <w:t xml:space="preserve"> </w:t>
      </w:r>
      <w:r w:rsidR="004A1BEF" w:rsidRPr="00533BDB">
        <w:rPr>
          <w:noProof/>
        </w:rPr>
        <w:t xml:space="preserve">they </w:t>
      </w:r>
      <w:r w:rsidRPr="00533BDB">
        <w:rPr>
          <w:noProof/>
        </w:rPr>
        <w:t>ensure</w:t>
      </w:r>
      <w:r w:rsidR="0417E4AB" w:rsidRPr="00533BDB">
        <w:rPr>
          <w:noProof/>
        </w:rPr>
        <w:t xml:space="preserve"> that</w:t>
      </w:r>
      <w:r w:rsidRPr="00533BDB">
        <w:rPr>
          <w:noProof/>
        </w:rPr>
        <w:t xml:space="preserve"> </w:t>
      </w:r>
      <w:r w:rsidR="00C94C78" w:rsidRPr="00533BDB">
        <w:rPr>
          <w:noProof/>
        </w:rPr>
        <w:t xml:space="preserve">staff </w:t>
      </w:r>
      <w:r w:rsidR="00A325D9" w:rsidRPr="00533BDB">
        <w:rPr>
          <w:noProof/>
        </w:rPr>
        <w:t>are</w:t>
      </w:r>
      <w:r w:rsidRPr="00533BDB">
        <w:rPr>
          <w:noProof/>
        </w:rPr>
        <w:t xml:space="preserve"> familiar with current fraud risks</w:t>
      </w:r>
      <w:r w:rsidR="00A325D9" w:rsidRPr="00533BDB">
        <w:rPr>
          <w:noProof/>
        </w:rPr>
        <w:t>,</w:t>
      </w:r>
      <w:r w:rsidRPr="00533BDB">
        <w:rPr>
          <w:noProof/>
        </w:rPr>
        <w:t xml:space="preserve"> systems and procedures</w:t>
      </w:r>
      <w:r w:rsidR="00A325D9" w:rsidRPr="00533BDB">
        <w:rPr>
          <w:noProof/>
        </w:rPr>
        <w:t>,</w:t>
      </w:r>
      <w:r w:rsidRPr="00533BDB">
        <w:rPr>
          <w:noProof/>
        </w:rPr>
        <w:t xml:space="preserve"> </w:t>
      </w:r>
      <w:r w:rsidR="0095354B" w:rsidRPr="00533BDB">
        <w:rPr>
          <w:noProof/>
        </w:rPr>
        <w:t xml:space="preserve">so that they can respond effectively </w:t>
      </w:r>
      <w:r w:rsidR="00A325D9" w:rsidRPr="00533BDB">
        <w:rPr>
          <w:noProof/>
        </w:rPr>
        <w:t xml:space="preserve">to cases of </w:t>
      </w:r>
      <w:r w:rsidRPr="00533BDB">
        <w:rPr>
          <w:noProof/>
        </w:rPr>
        <w:t>fraud and irregularities</w:t>
      </w:r>
      <w:r w:rsidR="00C748D9">
        <w:rPr>
          <w:noProof/>
        </w:rPr>
        <w:t xml:space="preserve"> </w:t>
      </w:r>
      <w:r w:rsidR="00C748D9" w:rsidRPr="00533BDB">
        <w:rPr>
          <w:noProof/>
        </w:rPr>
        <w:t>(</w:t>
      </w:r>
      <w:r w:rsidR="00C748D9">
        <w:rPr>
          <w:noProof/>
        </w:rPr>
        <w:t>see</w:t>
      </w:r>
      <w:r w:rsidR="00C748D9" w:rsidRPr="00533BDB">
        <w:rPr>
          <w:noProof/>
        </w:rPr>
        <w:t xml:space="preserve"> </w:t>
      </w:r>
      <w:r w:rsidR="00C748D9" w:rsidRPr="00533BDB">
        <w:rPr>
          <w:b/>
          <w:bCs/>
          <w:noProof/>
        </w:rPr>
        <w:t>Table 2 of Annex 3)</w:t>
      </w:r>
      <w:r w:rsidRPr="00533BDB">
        <w:rPr>
          <w:noProof/>
        </w:rPr>
        <w:t xml:space="preserve">. Additional measures include IT systems </w:t>
      </w:r>
      <w:r w:rsidR="00A973F1" w:rsidRPr="00533BDB">
        <w:rPr>
          <w:noProof/>
        </w:rPr>
        <w:t xml:space="preserve">training and </w:t>
      </w:r>
      <w:r w:rsidRPr="00533BDB">
        <w:rPr>
          <w:noProof/>
        </w:rPr>
        <w:t>technical guidelines.</w:t>
      </w:r>
    </w:p>
    <w:p w14:paraId="680C9E90" w14:textId="11164C4A" w:rsidR="00A01F05" w:rsidRPr="00DE3A6F" w:rsidRDefault="311FE94F" w:rsidP="044E42F4">
      <w:pPr>
        <w:rPr>
          <w:noProof/>
        </w:rPr>
      </w:pPr>
      <w:r w:rsidRPr="00533BDB">
        <w:rPr>
          <w:noProof/>
        </w:rPr>
        <w:t xml:space="preserve">A third focus area in 2025 </w:t>
      </w:r>
      <w:r w:rsidR="00A973F1" w:rsidRPr="00533BDB">
        <w:rPr>
          <w:noProof/>
        </w:rPr>
        <w:t xml:space="preserve">was </w:t>
      </w:r>
      <w:r w:rsidRPr="00533BDB">
        <w:rPr>
          <w:b/>
          <w:bCs/>
          <w:noProof/>
          <w:color w:val="000000" w:themeColor="text1"/>
        </w:rPr>
        <w:t>information exchange management</w:t>
      </w:r>
      <w:r w:rsidR="00F773AC" w:rsidRPr="00533BDB">
        <w:rPr>
          <w:noProof/>
          <w:color w:val="000000" w:themeColor="text1"/>
        </w:rPr>
        <w:t>,</w:t>
      </w:r>
      <w:r w:rsidR="1E9901B5" w:rsidRPr="00533BDB">
        <w:rPr>
          <w:b/>
          <w:bCs/>
          <w:noProof/>
        </w:rPr>
        <w:t xml:space="preserve"> </w:t>
      </w:r>
      <w:r w:rsidR="00F773AC" w:rsidRPr="00533BDB">
        <w:rPr>
          <w:noProof/>
        </w:rPr>
        <w:t xml:space="preserve">with </w:t>
      </w:r>
      <w:r w:rsidR="1E9901B5" w:rsidRPr="00533BDB">
        <w:rPr>
          <w:noProof/>
        </w:rPr>
        <w:t xml:space="preserve">measures </w:t>
      </w:r>
      <w:r w:rsidR="00707E1E" w:rsidRPr="00533BDB">
        <w:rPr>
          <w:noProof/>
        </w:rPr>
        <w:t xml:space="preserve">to </w:t>
      </w:r>
      <w:r w:rsidR="1E9901B5" w:rsidRPr="00533BDB">
        <w:rPr>
          <w:noProof/>
        </w:rPr>
        <w:t>streamlin</w:t>
      </w:r>
      <w:r w:rsidR="00707E1E" w:rsidRPr="00533BDB">
        <w:rPr>
          <w:noProof/>
        </w:rPr>
        <w:t>e</w:t>
      </w:r>
      <w:r w:rsidR="1E9901B5" w:rsidRPr="00533BDB">
        <w:rPr>
          <w:noProof/>
        </w:rPr>
        <w:t xml:space="preserve"> information </w:t>
      </w:r>
      <w:r w:rsidR="00F773AC" w:rsidRPr="00533BDB">
        <w:rPr>
          <w:noProof/>
        </w:rPr>
        <w:t xml:space="preserve">and data </w:t>
      </w:r>
      <w:r w:rsidR="1E9901B5" w:rsidRPr="00533BDB">
        <w:rPr>
          <w:noProof/>
        </w:rPr>
        <w:t>flow</w:t>
      </w:r>
      <w:r w:rsidR="00707E1E" w:rsidRPr="00533BDB">
        <w:rPr>
          <w:noProof/>
        </w:rPr>
        <w:t>s</w:t>
      </w:r>
      <w:r w:rsidR="1E9901B5" w:rsidRPr="00533BDB">
        <w:rPr>
          <w:noProof/>
        </w:rPr>
        <w:t xml:space="preserve"> </w:t>
      </w:r>
      <w:r w:rsidR="00F773AC" w:rsidRPr="00533BDB">
        <w:rPr>
          <w:noProof/>
        </w:rPr>
        <w:t>and</w:t>
      </w:r>
      <w:r w:rsidR="1E9901B5" w:rsidRPr="00533BDB">
        <w:rPr>
          <w:noProof/>
        </w:rPr>
        <w:t xml:space="preserve"> harmonis</w:t>
      </w:r>
      <w:r w:rsidR="008F4993" w:rsidRPr="00533BDB">
        <w:rPr>
          <w:noProof/>
        </w:rPr>
        <w:t xml:space="preserve">e </w:t>
      </w:r>
      <w:r w:rsidR="1E9901B5" w:rsidRPr="00533BDB">
        <w:rPr>
          <w:noProof/>
        </w:rPr>
        <w:t>reporting practices.</w:t>
      </w:r>
    </w:p>
    <w:p w14:paraId="78421502" w14:textId="5E307992" w:rsidR="00B81062" w:rsidRPr="00DE3A6F" w:rsidRDefault="00B81062" w:rsidP="00B81062">
      <w:pPr>
        <w:pStyle w:val="Caption"/>
        <w:keepNext/>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DE3A6F">
        <w:rPr>
          <w:noProof/>
        </w:rPr>
        <w:t xml:space="preserve">Snapshot </w:t>
      </w:r>
      <w:r w:rsidR="008B28F1" w:rsidRPr="00DE3A6F">
        <w:rPr>
          <w:noProof/>
        </w:rPr>
        <w:fldChar w:fldCharType="begin"/>
      </w:r>
      <w:r w:rsidR="008B28F1" w:rsidRPr="00DE3A6F">
        <w:rPr>
          <w:noProof/>
        </w:rPr>
        <w:instrText xml:space="preserve"> SEQ Snapshot \* ARABIC </w:instrText>
      </w:r>
      <w:r w:rsidR="008B28F1" w:rsidRPr="00DE3A6F">
        <w:rPr>
          <w:noProof/>
        </w:rPr>
        <w:fldChar w:fldCharType="separate"/>
      </w:r>
      <w:r w:rsidR="00CA6005">
        <w:rPr>
          <w:noProof/>
        </w:rPr>
        <w:t>3</w:t>
      </w:r>
      <w:r w:rsidR="008B28F1" w:rsidRPr="00DE3A6F">
        <w:rPr>
          <w:noProof/>
        </w:rPr>
        <w:fldChar w:fldCharType="end"/>
      </w:r>
      <w:r w:rsidR="6CD13653" w:rsidRPr="00DE3A6F">
        <w:rPr>
          <w:noProof/>
        </w:rPr>
        <w:t xml:space="preserve">: </w:t>
      </w:r>
      <w:r w:rsidR="7993B4CF" w:rsidRPr="00DE3A6F">
        <w:rPr>
          <w:noProof/>
        </w:rPr>
        <w:t>F</w:t>
      </w:r>
      <w:r w:rsidR="6CD13653" w:rsidRPr="00DE3A6F">
        <w:rPr>
          <w:noProof/>
        </w:rPr>
        <w:t>ocus area</w:t>
      </w:r>
      <w:r w:rsidR="248C68C1" w:rsidRPr="00DE3A6F">
        <w:rPr>
          <w:noProof/>
        </w:rPr>
        <w:t xml:space="preserve"> – </w:t>
      </w:r>
      <w:r w:rsidR="003E3B28" w:rsidRPr="00DE3A6F">
        <w:rPr>
          <w:noProof/>
        </w:rPr>
        <w:t xml:space="preserve">Information </w:t>
      </w:r>
      <w:r w:rsidR="248C68C1" w:rsidRPr="00DE3A6F">
        <w:rPr>
          <w:noProof/>
        </w:rPr>
        <w:t>exchange management</w:t>
      </w:r>
    </w:p>
    <w:p w14:paraId="49B86B58" w14:textId="2E9A3784" w:rsidR="002A3745" w:rsidRPr="00DE3A6F" w:rsidRDefault="0028413C"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533BDB">
        <w:rPr>
          <w:noProof/>
        </w:rPr>
        <w:t xml:space="preserve">Member States reported </w:t>
      </w:r>
      <w:r w:rsidR="3361BCEF" w:rsidRPr="00533BDB">
        <w:rPr>
          <w:noProof/>
        </w:rPr>
        <w:t>1</w:t>
      </w:r>
      <w:r w:rsidR="0AD90543" w:rsidRPr="00533BDB">
        <w:rPr>
          <w:noProof/>
        </w:rPr>
        <w:t>5</w:t>
      </w:r>
      <w:r w:rsidR="6CD13653" w:rsidRPr="00533BDB">
        <w:rPr>
          <w:noProof/>
        </w:rPr>
        <w:t xml:space="preserve"> measures </w:t>
      </w:r>
      <w:r w:rsidR="003E3B28" w:rsidRPr="00533BDB">
        <w:rPr>
          <w:noProof/>
        </w:rPr>
        <w:t>in</w:t>
      </w:r>
      <w:r w:rsidR="6CD13653" w:rsidRPr="00533BDB">
        <w:rPr>
          <w:noProof/>
        </w:rPr>
        <w:t xml:space="preserve"> </w:t>
      </w:r>
      <w:r w:rsidR="7936BDB9" w:rsidRPr="00533BDB">
        <w:rPr>
          <w:noProof/>
        </w:rPr>
        <w:t>this area</w:t>
      </w:r>
      <w:r w:rsidR="00685AAC" w:rsidRPr="00533BDB">
        <w:rPr>
          <w:noProof/>
        </w:rPr>
        <w:t> (</w:t>
      </w:r>
      <w:r w:rsidR="00685AAC" w:rsidRPr="00533BDB">
        <w:rPr>
          <w:rStyle w:val="FootnoteReference"/>
          <w:noProof/>
        </w:rPr>
        <w:footnoteReference w:id="29"/>
      </w:r>
      <w:r w:rsidR="00685AAC" w:rsidRPr="00533BDB">
        <w:rPr>
          <w:noProof/>
        </w:rPr>
        <w:t>)</w:t>
      </w:r>
      <w:r w:rsidR="7936BDB9" w:rsidRPr="00533BDB">
        <w:rPr>
          <w:noProof/>
        </w:rPr>
        <w:t xml:space="preserve">. </w:t>
      </w:r>
      <w:r w:rsidR="009A4E29" w:rsidRPr="00533BDB">
        <w:rPr>
          <w:noProof/>
        </w:rPr>
        <w:t xml:space="preserve">Effective data management </w:t>
      </w:r>
      <w:r w:rsidR="00BB4FB3" w:rsidRPr="00533BDB">
        <w:rPr>
          <w:noProof/>
        </w:rPr>
        <w:t xml:space="preserve">remains a </w:t>
      </w:r>
      <w:r w:rsidR="57AB7DE2" w:rsidRPr="00533BDB">
        <w:rPr>
          <w:noProof/>
        </w:rPr>
        <w:t>priorit</w:t>
      </w:r>
      <w:r w:rsidR="00BB4FB3" w:rsidRPr="00533BDB">
        <w:rPr>
          <w:noProof/>
        </w:rPr>
        <w:t xml:space="preserve">y, with </w:t>
      </w:r>
      <w:r w:rsidR="00BF0EA3" w:rsidRPr="00533BDB">
        <w:rPr>
          <w:noProof/>
        </w:rPr>
        <w:t>a</w:t>
      </w:r>
      <w:r w:rsidR="57AB7DE2" w:rsidRPr="00533BDB">
        <w:rPr>
          <w:noProof/>
        </w:rPr>
        <w:t>pproaches vary</w:t>
      </w:r>
      <w:r w:rsidR="00BF0EA3" w:rsidRPr="00533BDB">
        <w:rPr>
          <w:noProof/>
        </w:rPr>
        <w:t>ing</w:t>
      </w:r>
      <w:r w:rsidR="57AB7DE2" w:rsidRPr="00533BDB">
        <w:rPr>
          <w:noProof/>
        </w:rPr>
        <w:t xml:space="preserve"> but </w:t>
      </w:r>
      <w:r w:rsidR="0017450C" w:rsidRPr="00533BDB">
        <w:rPr>
          <w:noProof/>
        </w:rPr>
        <w:t xml:space="preserve">sharing </w:t>
      </w:r>
      <w:r w:rsidR="57AB7DE2" w:rsidRPr="00533BDB">
        <w:rPr>
          <w:noProof/>
        </w:rPr>
        <w:t xml:space="preserve">a common </w:t>
      </w:r>
      <w:r w:rsidR="0017450C" w:rsidRPr="00533BDB">
        <w:rPr>
          <w:noProof/>
        </w:rPr>
        <w:t>goal:</w:t>
      </w:r>
      <w:r w:rsidR="57AB7DE2" w:rsidRPr="00533BDB">
        <w:rPr>
          <w:noProof/>
        </w:rPr>
        <w:t xml:space="preserve"> </w:t>
      </w:r>
      <w:r w:rsidR="002A3745" w:rsidRPr="00533BDB">
        <w:rPr>
          <w:noProof/>
        </w:rPr>
        <w:t>improving data processing and accessibility</w:t>
      </w:r>
      <w:r w:rsidR="57AB7DE2" w:rsidRPr="00533BDB">
        <w:rPr>
          <w:noProof/>
        </w:rPr>
        <w:t xml:space="preserve">. </w:t>
      </w:r>
    </w:p>
    <w:p w14:paraId="16591117" w14:textId="083E5CE2" w:rsidR="36B4A29D" w:rsidRPr="00DE3A6F" w:rsidRDefault="6787C948"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533BDB">
        <w:rPr>
          <w:noProof/>
        </w:rPr>
        <w:t>Measur</w:t>
      </w:r>
      <w:r w:rsidR="57AB7DE2" w:rsidRPr="00533BDB">
        <w:rPr>
          <w:noProof/>
        </w:rPr>
        <w:t>es show</w:t>
      </w:r>
      <w:r w:rsidR="0ED710DE" w:rsidRPr="00533BDB">
        <w:rPr>
          <w:noProof/>
        </w:rPr>
        <w:t>n</w:t>
      </w:r>
      <w:r w:rsidR="57AB7DE2" w:rsidRPr="00533BDB">
        <w:rPr>
          <w:noProof/>
        </w:rPr>
        <w:t xml:space="preserve"> in </w:t>
      </w:r>
      <w:r w:rsidR="57AB7DE2" w:rsidRPr="00533BDB">
        <w:rPr>
          <w:b/>
          <w:bCs/>
          <w:noProof/>
        </w:rPr>
        <w:t xml:space="preserve">Table 3 </w:t>
      </w:r>
      <w:r w:rsidR="008F4993" w:rsidRPr="00533BDB">
        <w:rPr>
          <w:b/>
          <w:bCs/>
          <w:noProof/>
        </w:rPr>
        <w:t xml:space="preserve">of </w:t>
      </w:r>
      <w:r w:rsidR="57AB7DE2" w:rsidRPr="00533BDB">
        <w:rPr>
          <w:b/>
          <w:bCs/>
          <w:noProof/>
        </w:rPr>
        <w:t>Annex 3</w:t>
      </w:r>
      <w:r w:rsidR="57AB7DE2" w:rsidRPr="00533BDB">
        <w:rPr>
          <w:noProof/>
        </w:rPr>
        <w:t xml:space="preserve"> </w:t>
      </w:r>
      <w:r w:rsidR="4D4CF8EF" w:rsidRPr="00533BDB">
        <w:rPr>
          <w:noProof/>
        </w:rPr>
        <w:t>include</w:t>
      </w:r>
      <w:r w:rsidR="00CE7E03" w:rsidRPr="00533BDB">
        <w:rPr>
          <w:noProof/>
        </w:rPr>
        <w:t>:</w:t>
      </w:r>
      <w:r w:rsidR="4D4CF8EF" w:rsidRPr="00533BDB">
        <w:rPr>
          <w:noProof/>
        </w:rPr>
        <w:t xml:space="preserve"> </w:t>
      </w:r>
      <w:r w:rsidR="000E1211" w:rsidRPr="00533BDB">
        <w:rPr>
          <w:noProof/>
        </w:rPr>
        <w:t xml:space="preserve">(i) </w:t>
      </w:r>
      <w:r w:rsidR="57AB7DE2" w:rsidRPr="00533BDB">
        <w:rPr>
          <w:noProof/>
        </w:rPr>
        <w:t xml:space="preserve">guidelines, checklists </w:t>
      </w:r>
      <w:r w:rsidR="001172E4" w:rsidRPr="00533BDB">
        <w:rPr>
          <w:noProof/>
        </w:rPr>
        <w:t xml:space="preserve">and </w:t>
      </w:r>
      <w:r w:rsidR="57AB7DE2" w:rsidRPr="00533BDB">
        <w:rPr>
          <w:noProof/>
        </w:rPr>
        <w:t>common reporting standards</w:t>
      </w:r>
      <w:r w:rsidR="00CE7E03" w:rsidRPr="00533BDB">
        <w:rPr>
          <w:noProof/>
        </w:rPr>
        <w:t>;</w:t>
      </w:r>
      <w:r w:rsidR="57AB7DE2" w:rsidRPr="00533BDB">
        <w:rPr>
          <w:noProof/>
        </w:rPr>
        <w:t xml:space="preserve"> </w:t>
      </w:r>
      <w:r w:rsidR="001172E4" w:rsidRPr="00533BDB">
        <w:rPr>
          <w:noProof/>
        </w:rPr>
        <w:t xml:space="preserve">(ii) </w:t>
      </w:r>
      <w:r w:rsidR="57AB7DE2" w:rsidRPr="00533BDB">
        <w:rPr>
          <w:noProof/>
        </w:rPr>
        <w:t xml:space="preserve">designating dedicated bodies and </w:t>
      </w:r>
      <w:r w:rsidR="001D1DD4" w:rsidRPr="00533BDB">
        <w:rPr>
          <w:noProof/>
        </w:rPr>
        <w:t xml:space="preserve">reallocating </w:t>
      </w:r>
      <w:r w:rsidR="57AB7DE2" w:rsidRPr="00533BDB">
        <w:rPr>
          <w:noProof/>
        </w:rPr>
        <w:t>fraud-related responsibilities</w:t>
      </w:r>
      <w:r w:rsidR="001D1DD4" w:rsidRPr="00533BDB">
        <w:rPr>
          <w:noProof/>
        </w:rPr>
        <w:t>;</w:t>
      </w:r>
      <w:r w:rsidR="57AB7DE2" w:rsidRPr="00533BDB">
        <w:rPr>
          <w:noProof/>
        </w:rPr>
        <w:t xml:space="preserve"> </w:t>
      </w:r>
      <w:r w:rsidR="006E093C" w:rsidRPr="00533BDB">
        <w:rPr>
          <w:noProof/>
        </w:rPr>
        <w:t xml:space="preserve">(iii) </w:t>
      </w:r>
      <w:r w:rsidR="57AB7DE2" w:rsidRPr="00533BDB">
        <w:rPr>
          <w:noProof/>
        </w:rPr>
        <w:t>updating</w:t>
      </w:r>
      <w:r w:rsidR="001D1DD4" w:rsidRPr="00533BDB">
        <w:rPr>
          <w:noProof/>
        </w:rPr>
        <w:t xml:space="preserve"> and </w:t>
      </w:r>
      <w:r w:rsidR="0036148D" w:rsidRPr="00533BDB">
        <w:rPr>
          <w:noProof/>
        </w:rPr>
        <w:t>upgrading data</w:t>
      </w:r>
      <w:r w:rsidR="57AB7DE2" w:rsidRPr="00533BDB">
        <w:rPr>
          <w:noProof/>
        </w:rPr>
        <w:t xml:space="preserve"> </w:t>
      </w:r>
      <w:r w:rsidR="0036148D" w:rsidRPr="00533BDB">
        <w:rPr>
          <w:noProof/>
        </w:rPr>
        <w:t>systems</w:t>
      </w:r>
      <w:r w:rsidR="006E093C" w:rsidRPr="00533BDB">
        <w:rPr>
          <w:noProof/>
        </w:rPr>
        <w:t>;</w:t>
      </w:r>
      <w:r w:rsidR="0036148D" w:rsidRPr="00533BDB">
        <w:rPr>
          <w:noProof/>
        </w:rPr>
        <w:t xml:space="preserve"> and</w:t>
      </w:r>
      <w:r w:rsidR="57AB7DE2" w:rsidRPr="00533BDB">
        <w:rPr>
          <w:noProof/>
        </w:rPr>
        <w:t xml:space="preserve"> </w:t>
      </w:r>
      <w:r w:rsidR="006E093C" w:rsidRPr="00533BDB">
        <w:rPr>
          <w:noProof/>
        </w:rPr>
        <w:t xml:space="preserve">(iv) </w:t>
      </w:r>
      <w:r w:rsidR="57AB7DE2" w:rsidRPr="00533BDB">
        <w:rPr>
          <w:noProof/>
        </w:rPr>
        <w:t>creating dedicated databases.</w:t>
      </w:r>
    </w:p>
    <w:p w14:paraId="322974B5" w14:textId="31F6B38D" w:rsidR="7B54EDAE" w:rsidRPr="00DE3A6F" w:rsidRDefault="7B54EDAE"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533BDB">
        <w:rPr>
          <w:noProof/>
        </w:rPr>
        <w:t xml:space="preserve">Accessibility and quality of collected data </w:t>
      </w:r>
      <w:r w:rsidR="006E093C" w:rsidRPr="00533BDB">
        <w:rPr>
          <w:noProof/>
        </w:rPr>
        <w:t xml:space="preserve">are </w:t>
      </w:r>
      <w:r w:rsidRPr="00533BDB">
        <w:rPr>
          <w:noProof/>
        </w:rPr>
        <w:t xml:space="preserve">key for robust analytical work. Common practices </w:t>
      </w:r>
      <w:r w:rsidR="00AC2867" w:rsidRPr="00533BDB">
        <w:rPr>
          <w:noProof/>
        </w:rPr>
        <w:t xml:space="preserve">in </w:t>
      </w:r>
      <w:r w:rsidRPr="00533BDB">
        <w:rPr>
          <w:noProof/>
        </w:rPr>
        <w:t xml:space="preserve">data collection and data formats help improve data quality and </w:t>
      </w:r>
      <w:r w:rsidR="00AC2867" w:rsidRPr="00533BDB">
        <w:rPr>
          <w:noProof/>
        </w:rPr>
        <w:t xml:space="preserve">increase </w:t>
      </w:r>
      <w:r w:rsidRPr="00533BDB">
        <w:rPr>
          <w:noProof/>
        </w:rPr>
        <w:t xml:space="preserve">data usability. In 2025, many Member States reported </w:t>
      </w:r>
      <w:r w:rsidR="00AC2867" w:rsidRPr="00533BDB">
        <w:rPr>
          <w:noProof/>
        </w:rPr>
        <w:t xml:space="preserve">taking </w:t>
      </w:r>
      <w:r w:rsidRPr="00533BDB">
        <w:rPr>
          <w:noProof/>
        </w:rPr>
        <w:t xml:space="preserve">measures to improve </w:t>
      </w:r>
      <w:r w:rsidR="00AC2867" w:rsidRPr="00533BDB">
        <w:rPr>
          <w:noProof/>
        </w:rPr>
        <w:t xml:space="preserve">the </w:t>
      </w:r>
      <w:r w:rsidRPr="00533BDB">
        <w:rPr>
          <w:noProof/>
        </w:rPr>
        <w:t xml:space="preserve">quality </w:t>
      </w:r>
      <w:r w:rsidR="00362F0D" w:rsidRPr="00533BDB">
        <w:rPr>
          <w:noProof/>
        </w:rPr>
        <w:t xml:space="preserve">of </w:t>
      </w:r>
      <w:r w:rsidRPr="00533BDB">
        <w:rPr>
          <w:noProof/>
        </w:rPr>
        <w:t xml:space="preserve">and access to data, </w:t>
      </w:r>
      <w:r w:rsidR="00362F0D" w:rsidRPr="00533BDB">
        <w:rPr>
          <w:noProof/>
        </w:rPr>
        <w:t xml:space="preserve">thereby </w:t>
      </w:r>
      <w:r w:rsidRPr="00533BDB">
        <w:rPr>
          <w:noProof/>
        </w:rPr>
        <w:t>strengthening their other anti-fraud efforts.</w:t>
      </w:r>
    </w:p>
    <w:p w14:paraId="11DD604F" w14:textId="6AB8FF78" w:rsidR="3F4FA75A" w:rsidRPr="00DE3A6F" w:rsidRDefault="001E3BA6"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533BDB">
        <w:rPr>
          <w:noProof/>
        </w:rPr>
        <w:t>Additionally</w:t>
      </w:r>
      <w:r w:rsidR="3F4FA75A" w:rsidRPr="00533BDB">
        <w:rPr>
          <w:noProof/>
        </w:rPr>
        <w:t xml:space="preserve">, five Member States reported </w:t>
      </w:r>
      <w:r w:rsidR="21F46AAF" w:rsidRPr="00533BDB">
        <w:rPr>
          <w:noProof/>
        </w:rPr>
        <w:t xml:space="preserve">on changes to administrative structures </w:t>
      </w:r>
      <w:r w:rsidR="00362F0D" w:rsidRPr="00533BDB">
        <w:rPr>
          <w:noProof/>
        </w:rPr>
        <w:t xml:space="preserve">to </w:t>
      </w:r>
      <w:r w:rsidR="21F46AAF" w:rsidRPr="00533BDB">
        <w:rPr>
          <w:noProof/>
        </w:rPr>
        <w:t>facilitat</w:t>
      </w:r>
      <w:r w:rsidR="00362F0D" w:rsidRPr="00533BDB">
        <w:rPr>
          <w:noProof/>
        </w:rPr>
        <w:t>e</w:t>
      </w:r>
      <w:r w:rsidR="21F46AAF" w:rsidRPr="00533BDB">
        <w:rPr>
          <w:noProof/>
        </w:rPr>
        <w:t xml:space="preserve"> information flow</w:t>
      </w:r>
      <w:r w:rsidR="00362F0D" w:rsidRPr="00533BDB">
        <w:rPr>
          <w:noProof/>
        </w:rPr>
        <w:t>s</w:t>
      </w:r>
      <w:r w:rsidR="21F46AAF" w:rsidRPr="00533BDB">
        <w:rPr>
          <w:noProof/>
        </w:rPr>
        <w:t xml:space="preserve"> and </w:t>
      </w:r>
      <w:r w:rsidR="00362F0D" w:rsidRPr="00533BDB">
        <w:rPr>
          <w:noProof/>
        </w:rPr>
        <w:t xml:space="preserve">more clearly divide </w:t>
      </w:r>
      <w:r w:rsidR="21F46AAF" w:rsidRPr="00533BDB">
        <w:rPr>
          <w:noProof/>
        </w:rPr>
        <w:t xml:space="preserve">responsibilities in the anti-fraud domain. Reported examples (see </w:t>
      </w:r>
      <w:r w:rsidR="21F46AAF" w:rsidRPr="00533BDB">
        <w:rPr>
          <w:b/>
          <w:bCs/>
          <w:noProof/>
        </w:rPr>
        <w:t xml:space="preserve">Table </w:t>
      </w:r>
      <w:r w:rsidR="74AB6A14" w:rsidRPr="00533BDB">
        <w:rPr>
          <w:b/>
          <w:bCs/>
          <w:noProof/>
        </w:rPr>
        <w:t>4</w:t>
      </w:r>
      <w:r w:rsidR="21F46AAF" w:rsidRPr="00533BDB">
        <w:rPr>
          <w:b/>
          <w:bCs/>
          <w:noProof/>
        </w:rPr>
        <w:t xml:space="preserve"> </w:t>
      </w:r>
      <w:r w:rsidR="008F4993" w:rsidRPr="00533BDB">
        <w:rPr>
          <w:b/>
          <w:bCs/>
          <w:noProof/>
        </w:rPr>
        <w:t xml:space="preserve">of </w:t>
      </w:r>
      <w:r w:rsidR="21F46AAF" w:rsidRPr="00533BDB">
        <w:rPr>
          <w:b/>
          <w:bCs/>
          <w:noProof/>
        </w:rPr>
        <w:t>Annex 3</w:t>
      </w:r>
      <w:r w:rsidR="21F46AAF" w:rsidRPr="00533BDB">
        <w:rPr>
          <w:noProof/>
        </w:rPr>
        <w:t xml:space="preserve">) show new </w:t>
      </w:r>
      <w:r w:rsidR="609AFA0F" w:rsidRPr="00533BDB">
        <w:rPr>
          <w:noProof/>
        </w:rPr>
        <w:t>bodie</w:t>
      </w:r>
      <w:r w:rsidR="21F46AAF" w:rsidRPr="00533BDB">
        <w:rPr>
          <w:noProof/>
        </w:rPr>
        <w:t xml:space="preserve">s or units to </w:t>
      </w:r>
      <w:r w:rsidR="005B5A5B" w:rsidRPr="00533BDB">
        <w:rPr>
          <w:noProof/>
        </w:rPr>
        <w:t xml:space="preserve">being created to </w:t>
      </w:r>
      <w:r w:rsidR="21F46AAF" w:rsidRPr="00533BDB">
        <w:rPr>
          <w:noProof/>
        </w:rPr>
        <w:t xml:space="preserve">consolidate </w:t>
      </w:r>
      <w:r w:rsidR="005B5A5B" w:rsidRPr="00533BDB">
        <w:rPr>
          <w:noProof/>
        </w:rPr>
        <w:t xml:space="preserve">powers </w:t>
      </w:r>
      <w:r w:rsidR="21F46AAF" w:rsidRPr="00533BDB">
        <w:rPr>
          <w:noProof/>
        </w:rPr>
        <w:t xml:space="preserve">in various anti-fraud </w:t>
      </w:r>
      <w:r w:rsidR="005B5A5B" w:rsidRPr="00533BDB">
        <w:rPr>
          <w:noProof/>
        </w:rPr>
        <w:t xml:space="preserve">fields and </w:t>
      </w:r>
      <w:r w:rsidR="21F46AAF" w:rsidRPr="00533BDB">
        <w:rPr>
          <w:noProof/>
        </w:rPr>
        <w:t xml:space="preserve">dedicated responsible bodies </w:t>
      </w:r>
      <w:r w:rsidR="00B7438E" w:rsidRPr="00533BDB">
        <w:rPr>
          <w:noProof/>
        </w:rPr>
        <w:t xml:space="preserve">being set up </w:t>
      </w:r>
      <w:r w:rsidR="005B034F" w:rsidRPr="00533BDB">
        <w:rPr>
          <w:noProof/>
        </w:rPr>
        <w:t xml:space="preserve">to </w:t>
      </w:r>
      <w:r w:rsidR="21F46AAF" w:rsidRPr="00533BDB">
        <w:rPr>
          <w:noProof/>
        </w:rPr>
        <w:t xml:space="preserve">streamline communication with other national and EU-level counterparts and benefit from </w:t>
      </w:r>
      <w:r w:rsidR="00B7438E" w:rsidRPr="00533BDB">
        <w:rPr>
          <w:noProof/>
        </w:rPr>
        <w:t xml:space="preserve">the </w:t>
      </w:r>
      <w:r w:rsidR="21F46AAF" w:rsidRPr="00533BDB">
        <w:rPr>
          <w:noProof/>
        </w:rPr>
        <w:t>knowledge of highly specialised staff.</w:t>
      </w:r>
    </w:p>
    <w:p w14:paraId="7194191A" w14:textId="7B489A4A" w:rsidR="00A01F05" w:rsidRPr="00DE3A6F" w:rsidRDefault="00A01F05" w:rsidP="00A01F05">
      <w:pPr>
        <w:pStyle w:val="Heading2"/>
        <w:rPr>
          <w:noProof/>
        </w:rPr>
      </w:pPr>
      <w:bookmarkStart w:id="43" w:name="_Toc234447059"/>
      <w:r w:rsidRPr="00DE3A6F">
        <w:rPr>
          <w:noProof/>
        </w:rPr>
        <w:lastRenderedPageBreak/>
        <w:t>Strengthening the governance and coordination of the fight against fraud</w:t>
      </w:r>
      <w:bookmarkEnd w:id="43"/>
    </w:p>
    <w:p w14:paraId="661F9148" w14:textId="62103C31" w:rsidR="00165D91" w:rsidRPr="00DE3A6F" w:rsidRDefault="004D5F23" w:rsidP="00F43E85">
      <w:pPr>
        <w:pStyle w:val="Heading3"/>
        <w:rPr>
          <w:noProof/>
        </w:rPr>
      </w:pPr>
      <w:bookmarkStart w:id="44" w:name="_Toc234447060"/>
      <w:r w:rsidRPr="00533BDB">
        <w:rPr>
          <w:noProof/>
        </w:rPr>
        <w:t>I</w:t>
      </w:r>
      <w:r w:rsidR="040D6DFE" w:rsidRPr="00533BDB">
        <w:rPr>
          <w:noProof/>
        </w:rPr>
        <w:t>mplementation of the action plan accompanying the C</w:t>
      </w:r>
      <w:r w:rsidRPr="00533BDB">
        <w:rPr>
          <w:noProof/>
        </w:rPr>
        <w:t>ommission anti-fraud strategy</w:t>
      </w:r>
      <w:bookmarkEnd w:id="36"/>
      <w:bookmarkEnd w:id="44"/>
    </w:p>
    <w:p w14:paraId="75A7B0F4" w14:textId="0968E952" w:rsidR="007666AE" w:rsidRPr="00DE3A6F" w:rsidRDefault="6AD79B2E" w:rsidP="007666AE">
      <w:pPr>
        <w:rPr>
          <w:noProof/>
        </w:rPr>
      </w:pPr>
      <w:r w:rsidRPr="00533BDB">
        <w:rPr>
          <w:noProof/>
        </w:rPr>
        <w:t>A key instrument for the Commission’s sustained approach to fraud prevention, detection and correction</w:t>
      </w:r>
      <w:r w:rsidR="007B3AD0" w:rsidRPr="00533BDB">
        <w:rPr>
          <w:noProof/>
        </w:rPr>
        <w:t xml:space="preserve"> –</w:t>
      </w:r>
      <w:r w:rsidR="00B7438E" w:rsidRPr="00533BDB">
        <w:rPr>
          <w:noProof/>
        </w:rPr>
        <w:t xml:space="preserve"> </w:t>
      </w:r>
      <w:r w:rsidRPr="00533BDB">
        <w:rPr>
          <w:noProof/>
        </w:rPr>
        <w:t xml:space="preserve">the </w:t>
      </w:r>
      <w:r w:rsidRPr="00533BDB">
        <w:rPr>
          <w:b/>
          <w:bCs/>
          <w:noProof/>
        </w:rPr>
        <w:t>Commission anti-fraud strategy</w:t>
      </w:r>
      <w:r w:rsidRPr="00533BDB">
        <w:rPr>
          <w:noProof/>
        </w:rPr>
        <w:t xml:space="preserve"> (CAFS) and its 2023 accompanying action plan</w:t>
      </w:r>
      <w:r w:rsidR="007B3AD0" w:rsidRPr="00533BDB">
        <w:rPr>
          <w:noProof/>
        </w:rPr>
        <w:t xml:space="preserve"> – </w:t>
      </w:r>
      <w:r w:rsidRPr="00533BDB">
        <w:rPr>
          <w:noProof/>
        </w:rPr>
        <w:t xml:space="preserve">continued to be actively implemented throughout 2025. The plan includes 44 actions under </w:t>
      </w:r>
      <w:r w:rsidRPr="00533BDB">
        <w:rPr>
          <w:b/>
          <w:bCs/>
          <w:noProof/>
        </w:rPr>
        <w:t>seven themes</w:t>
      </w:r>
      <w:r w:rsidRPr="00533BDB">
        <w:rPr>
          <w:noProof/>
        </w:rPr>
        <w:t xml:space="preserve"> that cover the Commission’s priorities in fighting fraud. OLAF, as the lead service, monitored and coordinated </w:t>
      </w:r>
      <w:r w:rsidR="00D74483" w:rsidRPr="00533BDB">
        <w:rPr>
          <w:noProof/>
        </w:rPr>
        <w:t xml:space="preserve">the </w:t>
      </w:r>
      <w:r w:rsidRPr="00533BDB">
        <w:rPr>
          <w:noProof/>
        </w:rPr>
        <w:t>implementation</w:t>
      </w:r>
      <w:r w:rsidR="00D74483" w:rsidRPr="00533BDB">
        <w:rPr>
          <w:noProof/>
        </w:rPr>
        <w:t xml:space="preserve"> of the plan</w:t>
      </w:r>
      <w:r w:rsidR="00FB1985" w:rsidRPr="00533BDB">
        <w:rPr>
          <w:noProof/>
        </w:rPr>
        <w:t> (</w:t>
      </w:r>
      <w:r w:rsidR="007666AE" w:rsidRPr="00533BDB">
        <w:rPr>
          <w:rStyle w:val="FootnoteReference"/>
          <w:noProof/>
        </w:rPr>
        <w:footnoteReference w:id="30"/>
      </w:r>
      <w:r w:rsidR="00FB1985" w:rsidRPr="00533BDB">
        <w:rPr>
          <w:noProof/>
        </w:rPr>
        <w:t>)</w:t>
      </w:r>
      <w:r w:rsidRPr="00533BDB">
        <w:rPr>
          <w:noProof/>
        </w:rPr>
        <w:t xml:space="preserve">. </w:t>
      </w:r>
    </w:p>
    <w:p w14:paraId="3D3C7887" w14:textId="593C23EE" w:rsidR="007666AE" w:rsidRPr="00DE3A6F" w:rsidRDefault="007666AE" w:rsidP="007666AE">
      <w:pPr>
        <w:rPr>
          <w:noProof/>
        </w:rPr>
      </w:pPr>
      <w:r w:rsidRPr="00533BDB">
        <w:rPr>
          <w:noProof/>
        </w:rPr>
        <w:t>Themes 2 (</w:t>
      </w:r>
      <w:r w:rsidRPr="00533BDB">
        <w:rPr>
          <w:i/>
          <w:iCs/>
          <w:noProof/>
        </w:rPr>
        <w:t>Support Member States to reinforce the protection of the RRF, cohesion, agriculture and fisheries funds</w:t>
      </w:r>
      <w:r w:rsidRPr="00533BDB">
        <w:rPr>
          <w:noProof/>
        </w:rPr>
        <w:t>), 5 (</w:t>
      </w:r>
      <w:r w:rsidRPr="00533BDB">
        <w:rPr>
          <w:i/>
          <w:iCs/>
          <w:noProof/>
        </w:rPr>
        <w:t>Reinforce the anti-fraud architecture</w:t>
      </w:r>
      <w:r w:rsidRPr="00533BDB">
        <w:rPr>
          <w:noProof/>
        </w:rPr>
        <w:t>) and 6 (</w:t>
      </w:r>
      <w:r w:rsidRPr="00533BDB">
        <w:rPr>
          <w:i/>
          <w:iCs/>
          <w:noProof/>
        </w:rPr>
        <w:t>Reinforce the Commission's anti-fraud governance</w:t>
      </w:r>
      <w:r w:rsidRPr="00533BDB">
        <w:rPr>
          <w:noProof/>
        </w:rPr>
        <w:t xml:space="preserve">) </w:t>
      </w:r>
      <w:r w:rsidR="00302889" w:rsidRPr="00533BDB">
        <w:rPr>
          <w:noProof/>
        </w:rPr>
        <w:t xml:space="preserve">mainly help </w:t>
      </w:r>
      <w:r w:rsidRPr="00533BDB">
        <w:rPr>
          <w:noProof/>
        </w:rPr>
        <w:t>strengthen the governance and coordination of the fight against fraud.</w:t>
      </w:r>
    </w:p>
    <w:p w14:paraId="53E89E7F" w14:textId="464FBD40" w:rsidR="007666AE" w:rsidRPr="00DE3A6F" w:rsidRDefault="007666AE" w:rsidP="007666AE">
      <w:pPr>
        <w:rPr>
          <w:noProof/>
        </w:rPr>
      </w:pPr>
      <w:r w:rsidRPr="00DE3A6F">
        <w:rPr>
          <w:noProof/>
        </w:rPr>
        <w:t xml:space="preserve">Under the second theme, the Commission continued </w:t>
      </w:r>
      <w:r w:rsidR="0053769E" w:rsidRPr="00DE3A6F">
        <w:rPr>
          <w:noProof/>
        </w:rPr>
        <w:t xml:space="preserve">to </w:t>
      </w:r>
      <w:r w:rsidRPr="00DE3A6F">
        <w:rPr>
          <w:noProof/>
        </w:rPr>
        <w:t>provid</w:t>
      </w:r>
      <w:r w:rsidR="0053769E" w:rsidRPr="00CA1602">
        <w:rPr>
          <w:noProof/>
        </w:rPr>
        <w:t>e</w:t>
      </w:r>
      <w:r w:rsidRPr="00DE3A6F">
        <w:rPr>
          <w:noProof/>
        </w:rPr>
        <w:t xml:space="preserve"> targeted support to Member States on anti-fraud topics. The </w:t>
      </w:r>
      <w:r w:rsidR="003B5DC1" w:rsidRPr="00DE3A6F">
        <w:rPr>
          <w:noProof/>
        </w:rPr>
        <w:t>revised</w:t>
      </w:r>
      <w:r w:rsidRPr="00DE3A6F">
        <w:rPr>
          <w:noProof/>
        </w:rPr>
        <w:t xml:space="preserve"> Handbook on reporting irregularities was adopted in September 2025</w:t>
      </w:r>
      <w:r w:rsidR="003B386B" w:rsidRPr="00DE3A6F">
        <w:rPr>
          <w:noProof/>
        </w:rPr>
        <w:t>, following discussions with Member States</w:t>
      </w:r>
      <w:r w:rsidRPr="00DE3A6F">
        <w:rPr>
          <w:noProof/>
        </w:rPr>
        <w:t>.</w:t>
      </w:r>
    </w:p>
    <w:p w14:paraId="1E15449B" w14:textId="7FDFB058" w:rsidR="007666AE" w:rsidRPr="00DE3A6F" w:rsidRDefault="6AD79B2E" w:rsidP="007666AE">
      <w:pPr>
        <w:rPr>
          <w:noProof/>
        </w:rPr>
      </w:pPr>
      <w:r w:rsidRPr="00533BDB">
        <w:rPr>
          <w:noProof/>
        </w:rPr>
        <w:t xml:space="preserve">To reinforce the EU anti-fraud architecture (fifth theme) the Commission </w:t>
      </w:r>
      <w:r w:rsidR="00D90D80" w:rsidRPr="00533BDB">
        <w:rPr>
          <w:noProof/>
        </w:rPr>
        <w:t xml:space="preserve">stepped up </w:t>
      </w:r>
      <w:r w:rsidRPr="00533BDB">
        <w:rPr>
          <w:noProof/>
        </w:rPr>
        <w:t xml:space="preserve">cooperation with the EPPO </w:t>
      </w:r>
      <w:r w:rsidR="00D90D80" w:rsidRPr="00533BDB">
        <w:rPr>
          <w:noProof/>
        </w:rPr>
        <w:t xml:space="preserve">on </w:t>
      </w:r>
      <w:r w:rsidRPr="00533BDB">
        <w:rPr>
          <w:noProof/>
        </w:rPr>
        <w:t xml:space="preserve">the administrative follow-up of </w:t>
      </w:r>
      <w:r w:rsidR="00462D79">
        <w:rPr>
          <w:noProof/>
        </w:rPr>
        <w:t xml:space="preserve">the </w:t>
      </w:r>
      <w:r w:rsidRPr="00533BDB">
        <w:rPr>
          <w:noProof/>
        </w:rPr>
        <w:t xml:space="preserve">EPPO cases. OLAF </w:t>
      </w:r>
      <w:r w:rsidR="00D90D80" w:rsidRPr="00533BDB">
        <w:rPr>
          <w:noProof/>
        </w:rPr>
        <w:t xml:space="preserve">has </w:t>
      </w:r>
      <w:r w:rsidRPr="00533BDB">
        <w:rPr>
          <w:noProof/>
        </w:rPr>
        <w:t xml:space="preserve">continued </w:t>
      </w:r>
      <w:r w:rsidR="008B7074" w:rsidRPr="00533BDB">
        <w:rPr>
          <w:noProof/>
        </w:rPr>
        <w:t xml:space="preserve">to </w:t>
      </w:r>
      <w:r w:rsidRPr="00533BDB">
        <w:rPr>
          <w:noProof/>
        </w:rPr>
        <w:t xml:space="preserve">deliver training courses and presentations on ethics and anti-fraud matters to decentralised agencies and joint undertakings. </w:t>
      </w:r>
    </w:p>
    <w:p w14:paraId="30F5B950" w14:textId="7E0E5B21" w:rsidR="007666AE" w:rsidRPr="00DE3A6F" w:rsidRDefault="008B7074" w:rsidP="007666AE">
      <w:pPr>
        <w:rPr>
          <w:noProof/>
        </w:rPr>
      </w:pPr>
      <w:r w:rsidRPr="00CA1602">
        <w:rPr>
          <w:noProof/>
        </w:rPr>
        <w:t>On</w:t>
      </w:r>
      <w:r w:rsidR="007666AE" w:rsidRPr="00DE3A6F">
        <w:rPr>
          <w:noProof/>
        </w:rPr>
        <w:t xml:space="preserve"> cooperation among Commission departments and </w:t>
      </w:r>
      <w:r w:rsidRPr="00CA1602">
        <w:rPr>
          <w:noProof/>
        </w:rPr>
        <w:t xml:space="preserve">executive </w:t>
      </w:r>
      <w:r w:rsidR="007666AE" w:rsidRPr="00DE3A6F">
        <w:rPr>
          <w:noProof/>
        </w:rPr>
        <w:t>agencies (sixth theme)</w:t>
      </w:r>
      <w:r w:rsidR="00FD3708">
        <w:rPr>
          <w:noProof/>
        </w:rPr>
        <w:t xml:space="preserve">, </w:t>
      </w:r>
      <w:r w:rsidR="00FD3708" w:rsidRPr="00DE3A6F">
        <w:rPr>
          <w:noProof/>
        </w:rPr>
        <w:t>in 2025</w:t>
      </w:r>
      <w:r w:rsidR="00FD3708">
        <w:rPr>
          <w:noProof/>
        </w:rPr>
        <w:t>,</w:t>
      </w:r>
      <w:r w:rsidR="007666AE" w:rsidRPr="00DE3A6F">
        <w:rPr>
          <w:noProof/>
        </w:rPr>
        <w:t xml:space="preserve"> OLAF reviewed </w:t>
      </w:r>
      <w:r w:rsidR="000C2FD7" w:rsidRPr="00533BDB">
        <w:rPr>
          <w:noProof/>
        </w:rPr>
        <w:t>1</w:t>
      </w:r>
      <w:r w:rsidR="00533BDB" w:rsidRPr="00533BDB">
        <w:rPr>
          <w:noProof/>
        </w:rPr>
        <w:t>5</w:t>
      </w:r>
      <w:r w:rsidR="000C2FD7" w:rsidRPr="00CA1602">
        <w:rPr>
          <w:noProof/>
        </w:rPr>
        <w:t xml:space="preserve"> </w:t>
      </w:r>
      <w:r w:rsidR="007666AE" w:rsidRPr="00DE3A6F">
        <w:rPr>
          <w:noProof/>
        </w:rPr>
        <w:t xml:space="preserve">service-level strategies and continued sharing the latest developments </w:t>
      </w:r>
      <w:r w:rsidR="000C2FD7" w:rsidRPr="00CA1602">
        <w:rPr>
          <w:noProof/>
        </w:rPr>
        <w:t xml:space="preserve">in </w:t>
      </w:r>
      <w:r w:rsidR="007666AE" w:rsidRPr="00DE3A6F">
        <w:rPr>
          <w:noProof/>
        </w:rPr>
        <w:t xml:space="preserve">anti-fraud policy within the </w:t>
      </w:r>
      <w:r w:rsidR="000C2FD7" w:rsidRPr="00DE3A6F">
        <w:rPr>
          <w:noProof/>
        </w:rPr>
        <w:t>fraud prevention and detection network</w:t>
      </w:r>
      <w:r w:rsidR="007666AE" w:rsidRPr="00DE3A6F">
        <w:rPr>
          <w:noProof/>
        </w:rPr>
        <w:t>.</w:t>
      </w:r>
    </w:p>
    <w:p w14:paraId="582E9C8E" w14:textId="45FCC4DA" w:rsidR="00540A1F" w:rsidRPr="00DE3A6F" w:rsidRDefault="007666AE" w:rsidP="007666AE">
      <w:pPr>
        <w:rPr>
          <w:noProof/>
        </w:rPr>
      </w:pPr>
      <w:r w:rsidRPr="00533BDB">
        <w:rPr>
          <w:noProof/>
        </w:rPr>
        <w:t xml:space="preserve">The action plan is expected to </w:t>
      </w:r>
      <w:r w:rsidR="00C74C5F" w:rsidRPr="00533BDB">
        <w:rPr>
          <w:noProof/>
        </w:rPr>
        <w:t xml:space="preserve">be implemented </w:t>
      </w:r>
      <w:r w:rsidRPr="00533BDB">
        <w:rPr>
          <w:noProof/>
        </w:rPr>
        <w:t xml:space="preserve">until end of 2026. OLAF will evaluate the results and assess the need for a new anti-fraud strategy or action plan, and possible changes in the way the Commission and the EU deal with fraud risks. This </w:t>
      </w:r>
      <w:r w:rsidR="00A154E9" w:rsidRPr="00533BDB">
        <w:rPr>
          <w:noProof/>
        </w:rPr>
        <w:t xml:space="preserve">process of </w:t>
      </w:r>
      <w:r w:rsidRPr="00533BDB">
        <w:rPr>
          <w:noProof/>
        </w:rPr>
        <w:t xml:space="preserve">reflection will notably consider the results of the review of the </w:t>
      </w:r>
      <w:r w:rsidR="00A154E9" w:rsidRPr="00533BDB">
        <w:rPr>
          <w:noProof/>
        </w:rPr>
        <w:t xml:space="preserve">EU’s </w:t>
      </w:r>
      <w:r w:rsidRPr="00533BDB">
        <w:rPr>
          <w:noProof/>
        </w:rPr>
        <w:t xml:space="preserve">anti-fraud architecture and the </w:t>
      </w:r>
      <w:r w:rsidR="00A31229" w:rsidRPr="00533BDB">
        <w:rPr>
          <w:noProof/>
        </w:rPr>
        <w:t>ECA</w:t>
      </w:r>
      <w:r w:rsidRPr="00533BDB">
        <w:rPr>
          <w:noProof/>
        </w:rPr>
        <w:t xml:space="preserve"> </w:t>
      </w:r>
      <w:r w:rsidR="00A154E9" w:rsidRPr="00DE241B">
        <w:rPr>
          <w:noProof/>
        </w:rPr>
        <w:t xml:space="preserve">special report </w:t>
      </w:r>
      <w:r w:rsidR="00A31229" w:rsidRPr="00DE241B">
        <w:rPr>
          <w:noProof/>
        </w:rPr>
        <w:t xml:space="preserve">18/2026 </w:t>
      </w:r>
      <w:r w:rsidRPr="00DE241B">
        <w:rPr>
          <w:noProof/>
        </w:rPr>
        <w:t xml:space="preserve">of </w:t>
      </w:r>
      <w:r w:rsidR="00355A15" w:rsidRPr="00DE241B">
        <w:rPr>
          <w:noProof/>
        </w:rPr>
        <w:t>18</w:t>
      </w:r>
      <w:r w:rsidR="00355A15" w:rsidRPr="00533BDB">
        <w:rPr>
          <w:noProof/>
        </w:rPr>
        <w:t> </w:t>
      </w:r>
      <w:r w:rsidRPr="00533BDB">
        <w:rPr>
          <w:noProof/>
        </w:rPr>
        <w:t>June 2026 on the CAFS.</w:t>
      </w:r>
    </w:p>
    <w:p w14:paraId="12E56C7C" w14:textId="73A0FEBA" w:rsidR="00165D91" w:rsidRPr="00DE3A6F" w:rsidRDefault="00A01F05" w:rsidP="00F43E85">
      <w:pPr>
        <w:pStyle w:val="Heading3"/>
        <w:rPr>
          <w:noProof/>
        </w:rPr>
      </w:pPr>
      <w:bookmarkStart w:id="45" w:name="_National_anti-fraud_strategies"/>
      <w:bookmarkStart w:id="46" w:name="_Toc234447061"/>
      <w:bookmarkEnd w:id="45"/>
      <w:r w:rsidRPr="00DE3A6F">
        <w:rPr>
          <w:noProof/>
        </w:rPr>
        <w:t>National anti-fraud strategies</w:t>
      </w:r>
      <w:bookmarkEnd w:id="46"/>
    </w:p>
    <w:p w14:paraId="72F19F94" w14:textId="0177BB19" w:rsidR="007C472E" w:rsidRPr="00DE3A6F" w:rsidRDefault="007C472E" w:rsidP="221E107C">
      <w:pPr>
        <w:rPr>
          <w:noProof/>
        </w:rPr>
      </w:pPr>
      <w:bookmarkStart w:id="47" w:name="_The_external_layer"/>
      <w:bookmarkEnd w:id="47"/>
      <w:r w:rsidRPr="00533BDB">
        <w:rPr>
          <w:noProof/>
        </w:rPr>
        <w:t xml:space="preserve">Another key element of governance is the adoption of dedicated strategies to counter fraud affecting the EU’s financial interests. </w:t>
      </w:r>
      <w:r w:rsidR="00DD44EC" w:rsidRPr="00533BDB">
        <w:rPr>
          <w:noProof/>
        </w:rPr>
        <w:t>Over the years, t</w:t>
      </w:r>
      <w:r w:rsidRPr="00533BDB">
        <w:rPr>
          <w:noProof/>
        </w:rPr>
        <w:t xml:space="preserve">he Commission has supported the adoption of </w:t>
      </w:r>
      <w:r w:rsidR="00DD44EC" w:rsidRPr="00533BDB">
        <w:rPr>
          <w:noProof/>
        </w:rPr>
        <w:t>national anti</w:t>
      </w:r>
      <w:r w:rsidRPr="00533BDB">
        <w:rPr>
          <w:noProof/>
        </w:rPr>
        <w:t>-</w:t>
      </w:r>
      <w:r w:rsidR="00DD44EC" w:rsidRPr="00533BDB">
        <w:rPr>
          <w:noProof/>
        </w:rPr>
        <w:t xml:space="preserve">fraud strategies </w:t>
      </w:r>
      <w:r w:rsidRPr="00533BDB">
        <w:rPr>
          <w:noProof/>
        </w:rPr>
        <w:t>(NAFS)</w:t>
      </w:r>
      <w:r w:rsidR="001631E6" w:rsidRPr="00533BDB">
        <w:rPr>
          <w:noProof/>
        </w:rPr>
        <w:t xml:space="preserve">devised </w:t>
      </w:r>
      <w:r w:rsidRPr="00533BDB">
        <w:rPr>
          <w:noProof/>
        </w:rPr>
        <w:t xml:space="preserve">by the key national </w:t>
      </w:r>
      <w:r w:rsidR="0052274C" w:rsidRPr="00533BDB">
        <w:rPr>
          <w:noProof/>
        </w:rPr>
        <w:t xml:space="preserve">level </w:t>
      </w:r>
      <w:r w:rsidRPr="00533BDB">
        <w:rPr>
          <w:noProof/>
        </w:rPr>
        <w:t>of the AFA.</w:t>
      </w:r>
      <w:r w:rsidR="074976AE" w:rsidRPr="00533BDB">
        <w:rPr>
          <w:noProof/>
        </w:rPr>
        <w:t xml:space="preserve"> </w:t>
      </w:r>
      <w:r w:rsidR="009D3AC0" w:rsidRPr="00533BDB">
        <w:rPr>
          <w:noProof/>
        </w:rPr>
        <w:t>Currently</w:t>
      </w:r>
      <w:r w:rsidR="006E6A73" w:rsidRPr="00533BDB">
        <w:rPr>
          <w:noProof/>
        </w:rPr>
        <w:t xml:space="preserve">, there is no legal obligation for Member States to have a NAFS. However, the </w:t>
      </w:r>
      <w:r w:rsidR="00186227" w:rsidRPr="00533BDB">
        <w:rPr>
          <w:noProof/>
        </w:rPr>
        <w:t xml:space="preserve">Commission included the adoption of </w:t>
      </w:r>
      <w:r w:rsidR="008E6B5A" w:rsidRPr="00533BDB">
        <w:rPr>
          <w:noProof/>
        </w:rPr>
        <w:t xml:space="preserve">comprehensive </w:t>
      </w:r>
      <w:r w:rsidR="00186227" w:rsidRPr="00533BDB">
        <w:rPr>
          <w:noProof/>
        </w:rPr>
        <w:t>NAFS</w:t>
      </w:r>
      <w:r w:rsidR="008E6B5A" w:rsidRPr="00533BDB">
        <w:rPr>
          <w:noProof/>
        </w:rPr>
        <w:t xml:space="preserve">, based </w:t>
      </w:r>
      <w:r w:rsidR="00B33C6F" w:rsidRPr="00533BDB">
        <w:rPr>
          <w:noProof/>
        </w:rPr>
        <w:t xml:space="preserve">on a risk assessment, among the key requirements for </w:t>
      </w:r>
      <w:r w:rsidR="0007744E" w:rsidRPr="00533BDB">
        <w:rPr>
          <w:noProof/>
        </w:rPr>
        <w:t xml:space="preserve">Member States’ </w:t>
      </w:r>
      <w:r w:rsidR="00B33C6F" w:rsidRPr="00533BDB">
        <w:rPr>
          <w:noProof/>
        </w:rPr>
        <w:t>management</w:t>
      </w:r>
      <w:r w:rsidR="0007744E" w:rsidRPr="00533BDB">
        <w:rPr>
          <w:noProof/>
        </w:rPr>
        <w:t>,</w:t>
      </w:r>
      <w:r w:rsidR="00B33C6F" w:rsidRPr="00533BDB">
        <w:rPr>
          <w:noProof/>
        </w:rPr>
        <w:t xml:space="preserve"> control </w:t>
      </w:r>
      <w:r w:rsidR="0007744E" w:rsidRPr="00533BDB">
        <w:rPr>
          <w:noProof/>
        </w:rPr>
        <w:t xml:space="preserve">and audit </w:t>
      </w:r>
      <w:r w:rsidR="00B33C6F" w:rsidRPr="00533BDB">
        <w:rPr>
          <w:noProof/>
        </w:rPr>
        <w:t>systems</w:t>
      </w:r>
      <w:r w:rsidR="006E6A73" w:rsidRPr="00533BDB">
        <w:rPr>
          <w:noProof/>
        </w:rPr>
        <w:t xml:space="preserve"> </w:t>
      </w:r>
      <w:r w:rsidR="00D75B8D" w:rsidRPr="00533BDB">
        <w:rPr>
          <w:noProof/>
        </w:rPr>
        <w:t xml:space="preserve">in the proposal for the regulation establishing the </w:t>
      </w:r>
      <w:r w:rsidR="00E65755" w:rsidRPr="00533BDB">
        <w:rPr>
          <w:noProof/>
        </w:rPr>
        <w:t xml:space="preserve">European Fund for economic, social and territorial cohesion, agriculture and rural, fisheries and maritime, prosperity and </w:t>
      </w:r>
      <w:r w:rsidR="0036148D" w:rsidRPr="00533BDB">
        <w:rPr>
          <w:noProof/>
        </w:rPr>
        <w:t>security</w:t>
      </w:r>
      <w:r w:rsidR="006C5768" w:rsidRPr="00533BDB">
        <w:rPr>
          <w:noProof/>
        </w:rPr>
        <w:t xml:space="preserve"> for the period 2028-2034 (</w:t>
      </w:r>
      <w:r w:rsidR="006C5768" w:rsidRPr="00533BDB">
        <w:rPr>
          <w:rStyle w:val="FootnoteReference"/>
          <w:noProof/>
        </w:rPr>
        <w:footnoteReference w:id="31"/>
      </w:r>
      <w:r w:rsidR="006C5768" w:rsidRPr="00533BDB">
        <w:rPr>
          <w:noProof/>
        </w:rPr>
        <w:t>)</w:t>
      </w:r>
      <w:r w:rsidR="60292645" w:rsidRPr="00533BDB">
        <w:rPr>
          <w:noProof/>
        </w:rPr>
        <w:t>.</w:t>
      </w:r>
    </w:p>
    <w:p w14:paraId="4996BE15" w14:textId="032A0FF8" w:rsidR="003B5612" w:rsidRPr="00DE3A6F" w:rsidRDefault="0F161DD8" w:rsidP="221E107C">
      <w:pPr>
        <w:spacing w:after="160" w:line="257" w:lineRule="auto"/>
        <w:rPr>
          <w:noProof/>
        </w:rPr>
      </w:pPr>
      <w:r w:rsidRPr="00533BDB">
        <w:rPr>
          <w:noProof/>
        </w:rPr>
        <w:lastRenderedPageBreak/>
        <w:t xml:space="preserve">In 2025, 25 Member States indicated that they </w:t>
      </w:r>
      <w:r w:rsidR="00B23FBC" w:rsidRPr="00533BDB">
        <w:rPr>
          <w:noProof/>
        </w:rPr>
        <w:t xml:space="preserve">had </w:t>
      </w:r>
      <w:r w:rsidRPr="00533BDB">
        <w:rPr>
          <w:noProof/>
        </w:rPr>
        <w:t>anti-fraud strategies in place for the protection of the EU’s financial interests. The approach taken by the Member States varied widely</w:t>
      </w:r>
      <w:r w:rsidR="7D60639E" w:rsidRPr="00533BDB">
        <w:rPr>
          <w:noProof/>
        </w:rPr>
        <w:t xml:space="preserve"> though</w:t>
      </w:r>
      <w:r w:rsidR="0035048F">
        <w:rPr>
          <w:noProof/>
        </w:rPr>
        <w:t xml:space="preserve"> as regards the scope of these strategies</w:t>
      </w:r>
      <w:r w:rsidRPr="00533BDB">
        <w:rPr>
          <w:noProof/>
        </w:rPr>
        <w:t>.</w:t>
      </w:r>
    </w:p>
    <w:p w14:paraId="4135FAB5" w14:textId="3777234D" w:rsidR="003B5612" w:rsidRDefault="228F6B49" w:rsidP="00842296">
      <w:pPr>
        <w:spacing w:line="257" w:lineRule="auto"/>
        <w:rPr>
          <w:noProof/>
        </w:rPr>
      </w:pPr>
      <w:r w:rsidRPr="00533BDB">
        <w:rPr>
          <w:noProof/>
        </w:rPr>
        <w:t>A total of 10 Member States indicated</w:t>
      </w:r>
      <w:r w:rsidR="009C703B" w:rsidRPr="00533BDB">
        <w:rPr>
          <w:noProof/>
        </w:rPr>
        <w:t xml:space="preserve"> that</w:t>
      </w:r>
      <w:r w:rsidRPr="00533BDB">
        <w:rPr>
          <w:noProof/>
        </w:rPr>
        <w:t xml:space="preserve"> they have a NAFS in place addressing at least fraud against EU funds</w:t>
      </w:r>
      <w:r w:rsidR="00381A96" w:rsidRPr="00533BDB">
        <w:rPr>
          <w:noProof/>
        </w:rPr>
        <w:t> (</w:t>
      </w:r>
      <w:r w:rsidR="003B5612" w:rsidRPr="00533BDB">
        <w:rPr>
          <w:noProof/>
          <w:vertAlign w:val="superscript"/>
        </w:rPr>
        <w:footnoteReference w:id="32"/>
      </w:r>
      <w:r w:rsidR="00381A96" w:rsidRPr="00533BDB">
        <w:rPr>
          <w:noProof/>
        </w:rPr>
        <w:t>)</w:t>
      </w:r>
      <w:r w:rsidR="1229FEC1" w:rsidRPr="00533BDB">
        <w:rPr>
          <w:noProof/>
        </w:rPr>
        <w:t xml:space="preserve"> and</w:t>
      </w:r>
      <w:r w:rsidR="032D901B" w:rsidRPr="00533BDB">
        <w:rPr>
          <w:noProof/>
        </w:rPr>
        <w:t xml:space="preserve"> </w:t>
      </w:r>
      <w:r w:rsidRPr="00533BDB">
        <w:rPr>
          <w:noProof/>
        </w:rPr>
        <w:t>8 Member States</w:t>
      </w:r>
      <w:r w:rsidR="00381A96" w:rsidRPr="00533BDB">
        <w:rPr>
          <w:noProof/>
        </w:rPr>
        <w:t> (</w:t>
      </w:r>
      <w:r w:rsidR="003B5612" w:rsidRPr="00533BDB">
        <w:rPr>
          <w:noProof/>
          <w:vertAlign w:val="superscript"/>
        </w:rPr>
        <w:footnoteReference w:id="33"/>
      </w:r>
      <w:r w:rsidR="00381A96" w:rsidRPr="00533BDB">
        <w:rPr>
          <w:noProof/>
        </w:rPr>
        <w:t>)</w:t>
      </w:r>
      <w:r w:rsidRPr="00533BDB">
        <w:rPr>
          <w:noProof/>
        </w:rPr>
        <w:t xml:space="preserve"> are in the process of adopting one</w:t>
      </w:r>
      <w:r w:rsidR="04E6073C" w:rsidRPr="00533BDB">
        <w:rPr>
          <w:noProof/>
        </w:rPr>
        <w:t>. H</w:t>
      </w:r>
      <w:r w:rsidR="2EF63484" w:rsidRPr="00533BDB">
        <w:rPr>
          <w:noProof/>
        </w:rPr>
        <w:t xml:space="preserve">owever, </w:t>
      </w:r>
      <w:r w:rsidRPr="00533BDB">
        <w:rPr>
          <w:noProof/>
        </w:rPr>
        <w:t>9</w:t>
      </w:r>
      <w:r w:rsidR="76056B42" w:rsidRPr="00533BDB">
        <w:rPr>
          <w:noProof/>
        </w:rPr>
        <w:t xml:space="preserve"> </w:t>
      </w:r>
      <w:r w:rsidRPr="00533BDB">
        <w:rPr>
          <w:noProof/>
        </w:rPr>
        <w:t>Member States</w:t>
      </w:r>
      <w:r w:rsidR="00381A96" w:rsidRPr="00533BDB">
        <w:rPr>
          <w:noProof/>
        </w:rPr>
        <w:t> (</w:t>
      </w:r>
      <w:r w:rsidR="003B5612" w:rsidRPr="00533BDB">
        <w:rPr>
          <w:noProof/>
          <w:vertAlign w:val="superscript"/>
        </w:rPr>
        <w:footnoteReference w:id="34"/>
      </w:r>
      <w:r w:rsidR="00381A96" w:rsidRPr="00533BDB">
        <w:rPr>
          <w:noProof/>
        </w:rPr>
        <w:t>)</w:t>
      </w:r>
      <w:r w:rsidRPr="00533BDB">
        <w:rPr>
          <w:noProof/>
        </w:rPr>
        <w:t xml:space="preserve"> declared having </w:t>
      </w:r>
      <w:r w:rsidR="00B25918" w:rsidRPr="00533BDB">
        <w:rPr>
          <w:noProof/>
        </w:rPr>
        <w:t xml:space="preserve">neither </w:t>
      </w:r>
      <w:r w:rsidRPr="00533BDB">
        <w:rPr>
          <w:noProof/>
        </w:rPr>
        <w:t xml:space="preserve">a national anti-fraud strategy </w:t>
      </w:r>
      <w:r w:rsidR="006F2779" w:rsidRPr="00533BDB">
        <w:rPr>
          <w:noProof/>
        </w:rPr>
        <w:t>to</w:t>
      </w:r>
      <w:r w:rsidRPr="00533BDB">
        <w:rPr>
          <w:noProof/>
        </w:rPr>
        <w:t xml:space="preserve"> protect </w:t>
      </w:r>
      <w:r w:rsidR="006F2779" w:rsidRPr="00533BDB">
        <w:rPr>
          <w:noProof/>
        </w:rPr>
        <w:t xml:space="preserve">the </w:t>
      </w:r>
      <w:r w:rsidRPr="00533BDB">
        <w:rPr>
          <w:noProof/>
        </w:rPr>
        <w:t>EU’s financial interests nor an ongoing procedure to adopt one</w:t>
      </w:r>
      <w:r w:rsidR="00B47224">
        <w:rPr>
          <w:noProof/>
        </w:rPr>
        <w:t xml:space="preserve"> (</w:t>
      </w:r>
      <w:r w:rsidR="00B47224" w:rsidRPr="00B47224">
        <w:rPr>
          <w:b/>
          <w:bCs/>
          <w:noProof/>
        </w:rPr>
        <w:t>Figure 7</w:t>
      </w:r>
      <w:r w:rsidR="00B47224">
        <w:rPr>
          <w:noProof/>
        </w:rPr>
        <w:t>)</w:t>
      </w:r>
      <w:r w:rsidRPr="00533BDB">
        <w:rPr>
          <w:noProof/>
        </w:rPr>
        <w:t xml:space="preserve">. </w:t>
      </w:r>
    </w:p>
    <w:p w14:paraId="1B69D25A" w14:textId="0322FCB5" w:rsidR="0035048F" w:rsidRPr="00DE3A6F" w:rsidRDefault="0035048F" w:rsidP="0035048F">
      <w:pPr>
        <w:rPr>
          <w:noProof/>
        </w:rPr>
      </w:pPr>
      <w:r>
        <w:rPr>
          <w:noProof/>
        </w:rPr>
        <w:t>No Member State adopted</w:t>
      </w:r>
      <w:r w:rsidRPr="00DE3A6F">
        <w:rPr>
          <w:noProof/>
        </w:rPr>
        <w:t xml:space="preserve"> new NAFS in 2025.</w:t>
      </w:r>
    </w:p>
    <w:p w14:paraId="0A2FA30B" w14:textId="1BE533D6" w:rsidR="003B5612" w:rsidRPr="00DE3A6F" w:rsidRDefault="002353DF" w:rsidP="00842296">
      <w:pPr>
        <w:pStyle w:val="Caption"/>
        <w:keepNext/>
        <w:spacing w:before="0"/>
        <w:rPr>
          <w:b w:val="0"/>
          <w:bCs/>
          <w:i w:val="0"/>
          <w:iCs/>
          <w:noProof/>
          <w:szCs w:val="22"/>
          <w:vertAlign w:val="superscript"/>
        </w:rPr>
      </w:pPr>
      <w:r w:rsidRPr="00DE3A6F">
        <w:rPr>
          <w:noProof/>
        </w:rPr>
        <w:t xml:space="preserve">Figure </w:t>
      </w:r>
      <w:r w:rsidR="00C634A0" w:rsidRPr="00DE3A6F">
        <w:rPr>
          <w:noProof/>
        </w:rPr>
        <w:fldChar w:fldCharType="begin"/>
      </w:r>
      <w:r w:rsidR="00C634A0" w:rsidRPr="00DE3A6F">
        <w:rPr>
          <w:noProof/>
        </w:rPr>
        <w:instrText xml:space="preserve"> SEQ Figure \* ARABIC </w:instrText>
      </w:r>
      <w:r w:rsidR="00C634A0" w:rsidRPr="00DE3A6F">
        <w:rPr>
          <w:noProof/>
        </w:rPr>
        <w:fldChar w:fldCharType="separate"/>
      </w:r>
      <w:r w:rsidR="00A13C63">
        <w:rPr>
          <w:noProof/>
        </w:rPr>
        <w:t>7</w:t>
      </w:r>
      <w:r w:rsidR="00C634A0" w:rsidRPr="00DE3A6F">
        <w:rPr>
          <w:noProof/>
        </w:rPr>
        <w:fldChar w:fldCharType="end"/>
      </w:r>
      <w:r w:rsidRPr="00DE3A6F">
        <w:rPr>
          <w:noProof/>
        </w:rPr>
        <w:t xml:space="preserve">: </w:t>
      </w:r>
      <w:r w:rsidR="1E8A832C" w:rsidRPr="00DE3A6F">
        <w:rPr>
          <w:iCs/>
          <w:noProof/>
          <w:szCs w:val="22"/>
        </w:rPr>
        <w:t>Overview of the NAFS reported by Member States</w:t>
      </w:r>
      <w:r w:rsidR="00381A96" w:rsidRPr="00DE3A6F">
        <w:rPr>
          <w:iCs/>
          <w:noProof/>
          <w:szCs w:val="22"/>
        </w:rPr>
        <w:t> (</w:t>
      </w:r>
      <w:r w:rsidR="003B5612" w:rsidRPr="00DE3A6F">
        <w:rPr>
          <w:bCs/>
          <w:iCs/>
          <w:noProof/>
          <w:szCs w:val="22"/>
          <w:vertAlign w:val="superscript"/>
        </w:rPr>
        <w:footnoteReference w:id="35"/>
      </w:r>
      <w:r w:rsidR="00381A96" w:rsidRPr="00DE3A6F">
        <w:rPr>
          <w:iCs/>
          <w:noProof/>
          <w:szCs w:val="22"/>
        </w:rPr>
        <w:t>)</w:t>
      </w:r>
    </w:p>
    <w:p w14:paraId="04D675A9" w14:textId="55D49821" w:rsidR="003B5612" w:rsidRDefault="00D6287E" w:rsidP="00842296">
      <w:pPr>
        <w:keepNext/>
        <w:spacing w:after="160" w:line="257" w:lineRule="auto"/>
        <w:rPr>
          <w:noProof/>
        </w:rPr>
      </w:pPr>
      <w:r w:rsidRPr="00D6287E">
        <w:rPr>
          <w:noProof/>
        </w:rPr>
        <w:drawing>
          <wp:inline distT="0" distB="0" distL="0" distR="0" wp14:anchorId="69183110" wp14:editId="0FC10ED1">
            <wp:extent cx="5435912" cy="5149546"/>
            <wp:effectExtent l="0" t="0" r="0" b="0"/>
            <wp:docPr id="1967115060" name="Picture 1" descr="Figure 7 presents the state-of play of NAFS adoption by Member State. It shows the countries having a NAFS in place, the year in which they firstly adopt it and when it was lastly updated. It also indicates which countries are planning or working on adopting a NA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15060" name="Picture 1" descr="Figure 7 presents the state-of play of NAFS adoption by Member State. It shows the countries having a NAFS in place, the year in which they firstly adopt it and when it was lastly updated. It also indicates which countries are planning or working on adopting a NAF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50282" cy="5163159"/>
                    </a:xfrm>
                    <a:prstGeom prst="rect">
                      <a:avLst/>
                    </a:prstGeom>
                    <a:noFill/>
                    <a:ln>
                      <a:noFill/>
                    </a:ln>
                  </pic:spPr>
                </pic:pic>
              </a:graphicData>
            </a:graphic>
          </wp:inline>
        </w:drawing>
      </w:r>
    </w:p>
    <w:tbl>
      <w:tblPr>
        <w:tblW w:w="8593" w:type="dxa"/>
        <w:tblLook w:val="04A0" w:firstRow="1" w:lastRow="0" w:firstColumn="1" w:lastColumn="0" w:noHBand="0" w:noVBand="1"/>
      </w:tblPr>
      <w:tblGrid>
        <w:gridCol w:w="1843"/>
        <w:gridCol w:w="370"/>
        <w:gridCol w:w="1740"/>
        <w:gridCol w:w="580"/>
        <w:gridCol w:w="1740"/>
        <w:gridCol w:w="580"/>
        <w:gridCol w:w="1740"/>
      </w:tblGrid>
      <w:tr w:rsidR="00842296" w:rsidRPr="00842296" w14:paraId="5D5099FE" w14:textId="77777777" w:rsidTr="00842296">
        <w:trPr>
          <w:trHeight w:val="507"/>
        </w:trPr>
        <w:tc>
          <w:tcPr>
            <w:tcW w:w="1843" w:type="dxa"/>
            <w:tcBorders>
              <w:top w:val="nil"/>
              <w:left w:val="nil"/>
              <w:bottom w:val="nil"/>
              <w:right w:val="nil"/>
            </w:tcBorders>
            <w:shd w:val="clear" w:color="000000" w:fill="104861"/>
            <w:vAlign w:val="bottom"/>
            <w:hideMark/>
          </w:tcPr>
          <w:p w14:paraId="77E89F49" w14:textId="77777777" w:rsidR="00842296" w:rsidRPr="00842296" w:rsidRDefault="00842296" w:rsidP="00D6287E">
            <w:pPr>
              <w:spacing w:after="0" w:line="240" w:lineRule="auto"/>
              <w:jc w:val="center"/>
              <w:rPr>
                <w:rFonts w:ascii="Aptos Narrow" w:hAnsi="Aptos Narrow"/>
                <w:b/>
                <w:bCs/>
                <w:noProof/>
                <w:color w:val="FFFFFF"/>
                <w:sz w:val="20"/>
                <w:lang w:val="en-IE" w:eastAsia="en-IE"/>
              </w:rPr>
            </w:pPr>
            <w:r w:rsidRPr="00842296">
              <w:rPr>
                <w:rFonts w:ascii="Aptos Narrow" w:hAnsi="Aptos Narrow"/>
                <w:b/>
                <w:bCs/>
                <w:noProof/>
                <w:color w:val="FFFFFF"/>
                <w:sz w:val="20"/>
                <w:lang w:val="en-IE" w:eastAsia="en-IE"/>
              </w:rPr>
              <w:t>Year when NAFS was adopted</w:t>
            </w:r>
          </w:p>
        </w:tc>
        <w:tc>
          <w:tcPr>
            <w:tcW w:w="370" w:type="dxa"/>
            <w:tcBorders>
              <w:top w:val="nil"/>
              <w:left w:val="nil"/>
              <w:right w:val="nil"/>
            </w:tcBorders>
            <w:shd w:val="clear" w:color="000000" w:fill="FFFFFF"/>
            <w:noWrap/>
            <w:vAlign w:val="bottom"/>
            <w:hideMark/>
          </w:tcPr>
          <w:p w14:paraId="3233B645" w14:textId="398848BC" w:rsidR="00842296" w:rsidRPr="00842296" w:rsidRDefault="00842296" w:rsidP="00D6287E">
            <w:pPr>
              <w:spacing w:after="0" w:line="240" w:lineRule="auto"/>
              <w:jc w:val="left"/>
              <w:rPr>
                <w:rFonts w:ascii="Aptos Narrow" w:hAnsi="Aptos Narrow"/>
                <w:noProof/>
                <w:color w:val="000000"/>
                <w:sz w:val="20"/>
                <w:lang w:val="en-IE" w:eastAsia="en-IE"/>
              </w:rPr>
            </w:pPr>
            <w:r w:rsidRPr="00842296">
              <w:rPr>
                <w:rFonts w:ascii="Aptos Narrow" w:hAnsi="Aptos Narrow"/>
                <w:noProof/>
                <w:color w:val="000000"/>
                <w:sz w:val="20"/>
                <w:lang w:val="en-IE" w:eastAsia="en-IE"/>
              </w:rPr>
              <w:t> </w:t>
            </w:r>
            <w:r w:rsidRPr="00D6287E">
              <w:rPr>
                <w:rFonts w:ascii="Aptos Narrow" w:hAnsi="Aptos Narrow"/>
                <w:noProof/>
                <w:color w:val="000000"/>
                <w:szCs w:val="22"/>
                <w:lang w:val="en-IE" w:eastAsia="en-IE"/>
              </w:rPr>
              <w:t> </w:t>
            </w:r>
          </w:p>
        </w:tc>
        <w:tc>
          <w:tcPr>
            <w:tcW w:w="1740" w:type="dxa"/>
            <w:tcBorders>
              <w:top w:val="nil"/>
              <w:left w:val="nil"/>
              <w:bottom w:val="nil"/>
              <w:right w:val="nil"/>
            </w:tcBorders>
            <w:shd w:val="diagStripe" w:color="FFFFFF" w:fill="44B3E1"/>
            <w:vAlign w:val="bottom"/>
            <w:hideMark/>
          </w:tcPr>
          <w:p w14:paraId="04E44D90" w14:textId="77777777" w:rsidR="00842296" w:rsidRPr="00842296" w:rsidRDefault="00842296" w:rsidP="00D6287E">
            <w:pPr>
              <w:spacing w:after="0" w:line="240" w:lineRule="auto"/>
              <w:jc w:val="center"/>
              <w:rPr>
                <w:rFonts w:ascii="Aptos Narrow" w:hAnsi="Aptos Narrow"/>
                <w:b/>
                <w:bCs/>
                <w:noProof/>
                <w:color w:val="0B3040"/>
                <w:sz w:val="20"/>
                <w:lang w:val="en-IE" w:eastAsia="en-IE"/>
              </w:rPr>
            </w:pPr>
            <w:r w:rsidRPr="00842296">
              <w:rPr>
                <w:rFonts w:ascii="Aptos Narrow" w:hAnsi="Aptos Narrow"/>
                <w:b/>
                <w:bCs/>
                <w:noProof/>
                <w:color w:val="0B3040"/>
                <w:sz w:val="20"/>
                <w:lang w:val="en-IE" w:eastAsia="en-IE"/>
              </w:rPr>
              <w:t>Period covered by current NAFS</w:t>
            </w:r>
          </w:p>
        </w:tc>
        <w:tc>
          <w:tcPr>
            <w:tcW w:w="580" w:type="dxa"/>
            <w:tcBorders>
              <w:top w:val="nil"/>
              <w:left w:val="nil"/>
              <w:right w:val="nil"/>
            </w:tcBorders>
            <w:shd w:val="clear" w:color="000000" w:fill="FFFFFF"/>
            <w:noWrap/>
            <w:vAlign w:val="bottom"/>
            <w:hideMark/>
          </w:tcPr>
          <w:p w14:paraId="45802E48" w14:textId="3C5B1B68" w:rsidR="00842296" w:rsidRPr="00842296" w:rsidRDefault="00842296" w:rsidP="00D6287E">
            <w:pPr>
              <w:spacing w:after="0" w:line="240" w:lineRule="auto"/>
              <w:jc w:val="left"/>
              <w:rPr>
                <w:rFonts w:ascii="Aptos Narrow" w:hAnsi="Aptos Narrow"/>
                <w:noProof/>
                <w:color w:val="000000"/>
                <w:sz w:val="20"/>
                <w:lang w:val="en-IE" w:eastAsia="en-IE"/>
              </w:rPr>
            </w:pPr>
            <w:r w:rsidRPr="00842296">
              <w:rPr>
                <w:rFonts w:ascii="Aptos Narrow" w:hAnsi="Aptos Narrow"/>
                <w:noProof/>
                <w:color w:val="000000"/>
                <w:sz w:val="20"/>
                <w:lang w:val="en-IE" w:eastAsia="en-IE"/>
              </w:rPr>
              <w:t> </w:t>
            </w:r>
            <w:r w:rsidRPr="00D6287E">
              <w:rPr>
                <w:rFonts w:ascii="Aptos Narrow" w:hAnsi="Aptos Narrow"/>
                <w:noProof/>
                <w:color w:val="000000"/>
                <w:szCs w:val="22"/>
                <w:lang w:val="en-IE" w:eastAsia="en-IE"/>
              </w:rPr>
              <w:t> </w:t>
            </w:r>
          </w:p>
        </w:tc>
        <w:tc>
          <w:tcPr>
            <w:tcW w:w="1740" w:type="dxa"/>
            <w:tcBorders>
              <w:top w:val="single" w:sz="8" w:space="0" w:color="104861"/>
              <w:left w:val="single" w:sz="8" w:space="0" w:color="104861"/>
              <w:bottom w:val="single" w:sz="8" w:space="0" w:color="104861"/>
              <w:right w:val="single" w:sz="8" w:space="0" w:color="104861"/>
            </w:tcBorders>
            <w:shd w:val="diagStripe" w:color="FFFFFF" w:fill="44B3E1"/>
            <w:vAlign w:val="bottom"/>
            <w:hideMark/>
          </w:tcPr>
          <w:p w14:paraId="617C56FF" w14:textId="77777777" w:rsidR="00842296" w:rsidRPr="00842296" w:rsidRDefault="00842296" w:rsidP="00D6287E">
            <w:pPr>
              <w:spacing w:after="0" w:line="240" w:lineRule="auto"/>
              <w:jc w:val="center"/>
              <w:rPr>
                <w:rFonts w:ascii="Aptos Narrow" w:hAnsi="Aptos Narrow"/>
                <w:b/>
                <w:bCs/>
                <w:noProof/>
                <w:color w:val="0B3040"/>
                <w:sz w:val="20"/>
                <w:lang w:val="en-IE" w:eastAsia="en-IE"/>
              </w:rPr>
            </w:pPr>
            <w:r w:rsidRPr="00842296">
              <w:rPr>
                <w:rFonts w:ascii="Aptos Narrow" w:hAnsi="Aptos Narrow"/>
                <w:b/>
                <w:bCs/>
                <w:noProof/>
                <w:color w:val="0B3040"/>
                <w:sz w:val="20"/>
                <w:lang w:val="en-IE" w:eastAsia="en-IE"/>
              </w:rPr>
              <w:t>Date of last update to NAFS</w:t>
            </w:r>
          </w:p>
        </w:tc>
        <w:tc>
          <w:tcPr>
            <w:tcW w:w="580" w:type="dxa"/>
            <w:tcBorders>
              <w:top w:val="nil"/>
              <w:left w:val="nil"/>
              <w:right w:val="nil"/>
            </w:tcBorders>
            <w:shd w:val="clear" w:color="000000" w:fill="FFFFFF"/>
            <w:noWrap/>
            <w:vAlign w:val="bottom"/>
            <w:hideMark/>
          </w:tcPr>
          <w:p w14:paraId="7A22627A" w14:textId="0E3726B9" w:rsidR="00842296" w:rsidRPr="00842296" w:rsidRDefault="00842296" w:rsidP="00D6287E">
            <w:pPr>
              <w:spacing w:after="0" w:line="240" w:lineRule="auto"/>
              <w:jc w:val="left"/>
              <w:rPr>
                <w:rFonts w:ascii="Aptos Narrow" w:hAnsi="Aptos Narrow"/>
                <w:noProof/>
                <w:color w:val="000000"/>
                <w:sz w:val="20"/>
                <w:lang w:val="en-IE" w:eastAsia="en-IE"/>
              </w:rPr>
            </w:pPr>
            <w:r w:rsidRPr="00842296">
              <w:rPr>
                <w:rFonts w:ascii="Aptos Narrow" w:hAnsi="Aptos Narrow"/>
                <w:noProof/>
                <w:color w:val="000000"/>
                <w:sz w:val="20"/>
                <w:lang w:val="en-IE" w:eastAsia="en-IE"/>
              </w:rPr>
              <w:t> </w:t>
            </w:r>
            <w:r w:rsidRPr="00D6287E">
              <w:rPr>
                <w:rFonts w:ascii="Aptos Narrow" w:hAnsi="Aptos Narrow"/>
                <w:noProof/>
                <w:color w:val="000000"/>
                <w:szCs w:val="22"/>
                <w:lang w:val="en-IE" w:eastAsia="en-IE"/>
              </w:rPr>
              <w:t> </w:t>
            </w:r>
          </w:p>
        </w:tc>
        <w:tc>
          <w:tcPr>
            <w:tcW w:w="1740" w:type="dxa"/>
            <w:tcBorders>
              <w:top w:val="nil"/>
              <w:left w:val="nil"/>
              <w:bottom w:val="nil"/>
              <w:right w:val="nil"/>
            </w:tcBorders>
            <w:shd w:val="pct12" w:color="747474" w:fill="F2F2F2"/>
            <w:vAlign w:val="bottom"/>
            <w:hideMark/>
          </w:tcPr>
          <w:p w14:paraId="1428ED77" w14:textId="77777777" w:rsidR="00842296" w:rsidRPr="00842296" w:rsidRDefault="00842296" w:rsidP="00D6287E">
            <w:pPr>
              <w:spacing w:after="0" w:line="240" w:lineRule="auto"/>
              <w:jc w:val="center"/>
              <w:rPr>
                <w:rFonts w:ascii="Aptos Narrow" w:hAnsi="Aptos Narrow"/>
                <w:b/>
                <w:bCs/>
                <w:noProof/>
                <w:color w:val="000000"/>
                <w:sz w:val="20"/>
                <w:lang w:val="en-IE" w:eastAsia="en-IE"/>
              </w:rPr>
            </w:pPr>
            <w:r w:rsidRPr="00842296">
              <w:rPr>
                <w:rFonts w:ascii="Aptos Narrow" w:hAnsi="Aptos Narrow"/>
                <w:b/>
                <w:bCs/>
                <w:noProof/>
                <w:color w:val="000000"/>
                <w:sz w:val="20"/>
                <w:lang w:val="en-IE" w:eastAsia="en-IE"/>
              </w:rPr>
              <w:t>NAFS is 'planned' or 'ongoing'</w:t>
            </w:r>
          </w:p>
        </w:tc>
      </w:tr>
    </w:tbl>
    <w:p w14:paraId="4E580A4C" w14:textId="29E5812A" w:rsidR="003B5612" w:rsidRPr="00DE3A6F" w:rsidRDefault="67BA7063" w:rsidP="00A27A06">
      <w:pPr>
        <w:spacing w:before="240"/>
        <w:rPr>
          <w:noProof/>
        </w:rPr>
      </w:pPr>
      <w:r w:rsidRPr="00560A95">
        <w:rPr>
          <w:noProof/>
        </w:rPr>
        <w:lastRenderedPageBreak/>
        <w:t>22 out of 27</w:t>
      </w:r>
      <w:r w:rsidR="5F1842EF" w:rsidRPr="00560A95">
        <w:rPr>
          <w:noProof/>
        </w:rPr>
        <w:t xml:space="preserve"> Member States </w:t>
      </w:r>
      <w:r w:rsidR="5C0220DC" w:rsidRPr="00560A95">
        <w:rPr>
          <w:noProof/>
        </w:rPr>
        <w:t>indicated that they ha</w:t>
      </w:r>
      <w:r w:rsidR="00FE7E45" w:rsidRPr="00560A95">
        <w:rPr>
          <w:noProof/>
        </w:rPr>
        <w:t>d</w:t>
      </w:r>
      <w:r w:rsidR="5F1842EF" w:rsidRPr="00560A95">
        <w:rPr>
          <w:noProof/>
        </w:rPr>
        <w:t xml:space="preserve"> other types of anti-fraud strateg</w:t>
      </w:r>
      <w:r w:rsidR="00FE7E45" w:rsidRPr="00560A95">
        <w:rPr>
          <w:noProof/>
        </w:rPr>
        <w:t>y</w:t>
      </w:r>
      <w:r w:rsidR="5F1842EF" w:rsidRPr="00560A95">
        <w:rPr>
          <w:noProof/>
        </w:rPr>
        <w:t xml:space="preserve"> in place to protect the EU’s financial interests, as </w:t>
      </w:r>
      <w:r w:rsidR="29F7BCCB" w:rsidRPr="00560A95">
        <w:rPr>
          <w:noProof/>
        </w:rPr>
        <w:t xml:space="preserve">presented </w:t>
      </w:r>
      <w:r w:rsidR="5F1842EF" w:rsidRPr="00560A95">
        <w:rPr>
          <w:noProof/>
        </w:rPr>
        <w:t>in</w:t>
      </w:r>
      <w:r w:rsidR="3DE2A030" w:rsidRPr="00560A95">
        <w:rPr>
          <w:noProof/>
        </w:rPr>
        <w:t xml:space="preserve"> </w:t>
      </w:r>
      <w:r w:rsidR="3DE2A030" w:rsidRPr="00FD7D1C">
        <w:rPr>
          <w:b/>
          <w:bCs/>
          <w:noProof/>
        </w:rPr>
        <w:t xml:space="preserve">Figure </w:t>
      </w:r>
      <w:r w:rsidR="00E61465" w:rsidRPr="00FD7D1C">
        <w:rPr>
          <w:b/>
          <w:bCs/>
          <w:noProof/>
        </w:rPr>
        <w:t>8</w:t>
      </w:r>
      <w:r w:rsidR="1AF07AFB" w:rsidRPr="00560A95">
        <w:rPr>
          <w:noProof/>
        </w:rPr>
        <w:t>.</w:t>
      </w:r>
      <w:r w:rsidR="2B588BC5" w:rsidRPr="00560A95">
        <w:rPr>
          <w:noProof/>
        </w:rPr>
        <w:t xml:space="preserve"> Of the other </w:t>
      </w:r>
      <w:r w:rsidR="00A07F00" w:rsidRPr="00560A95">
        <w:rPr>
          <w:noProof/>
        </w:rPr>
        <w:t xml:space="preserve">5 </w:t>
      </w:r>
      <w:r w:rsidR="02CA1FDD" w:rsidRPr="00560A95">
        <w:rPr>
          <w:noProof/>
        </w:rPr>
        <w:t>Member States</w:t>
      </w:r>
      <w:r w:rsidR="2B588BC5" w:rsidRPr="00560A95">
        <w:rPr>
          <w:noProof/>
        </w:rPr>
        <w:t>,</w:t>
      </w:r>
      <w:r w:rsidR="082DBCED" w:rsidRPr="00560A95">
        <w:rPr>
          <w:noProof/>
        </w:rPr>
        <w:t xml:space="preserve"> </w:t>
      </w:r>
      <w:r w:rsidR="00A07F00" w:rsidRPr="00560A95">
        <w:rPr>
          <w:noProof/>
        </w:rPr>
        <w:t xml:space="preserve">3 </w:t>
      </w:r>
      <w:r w:rsidR="2B588BC5" w:rsidRPr="00560A95">
        <w:rPr>
          <w:noProof/>
        </w:rPr>
        <w:t xml:space="preserve">have a NAFS in place, while the remaining </w:t>
      </w:r>
      <w:r w:rsidR="0005776B" w:rsidRPr="00560A95">
        <w:rPr>
          <w:noProof/>
        </w:rPr>
        <w:t>2 </w:t>
      </w:r>
      <w:r w:rsidR="58F4C8D0" w:rsidRPr="00560A95">
        <w:rPr>
          <w:noProof/>
        </w:rPr>
        <w:t>(</w:t>
      </w:r>
      <w:r w:rsidR="003B5612" w:rsidRPr="00560A95">
        <w:rPr>
          <w:noProof/>
          <w:vertAlign w:val="superscript"/>
        </w:rPr>
        <w:footnoteReference w:id="36"/>
      </w:r>
      <w:r w:rsidR="58F4C8D0" w:rsidRPr="00560A95">
        <w:rPr>
          <w:noProof/>
        </w:rPr>
        <w:t>)</w:t>
      </w:r>
      <w:r w:rsidR="4C4DAF28" w:rsidRPr="00560A95">
        <w:rPr>
          <w:noProof/>
          <w:vertAlign w:val="superscript"/>
        </w:rPr>
        <w:t xml:space="preserve"> </w:t>
      </w:r>
      <w:r w:rsidR="2B588BC5" w:rsidRPr="00560A95">
        <w:rPr>
          <w:noProof/>
        </w:rPr>
        <w:t>did not declare having any anti-fraud</w:t>
      </w:r>
      <w:r w:rsidR="7042C8C7" w:rsidRPr="00560A95">
        <w:rPr>
          <w:noProof/>
        </w:rPr>
        <w:t xml:space="preserve"> </w:t>
      </w:r>
      <w:r w:rsidR="2B588BC5" w:rsidRPr="00560A95">
        <w:rPr>
          <w:noProof/>
        </w:rPr>
        <w:t>strategy.</w:t>
      </w:r>
    </w:p>
    <w:p w14:paraId="1E536B02" w14:textId="6498E8FE" w:rsidR="003B5612" w:rsidRPr="00DE3A6F" w:rsidRDefault="002353DF" w:rsidP="00A27A06">
      <w:pPr>
        <w:pStyle w:val="Caption"/>
        <w:keepNext/>
        <w:rPr>
          <w:i w:val="0"/>
          <w:iCs/>
          <w:noProof/>
          <w:szCs w:val="22"/>
        </w:rPr>
      </w:pPr>
      <w:r w:rsidRPr="00DE3A6F">
        <w:rPr>
          <w:noProof/>
        </w:rPr>
        <w:t xml:space="preserve">Figure </w:t>
      </w:r>
      <w:r w:rsidR="00C634A0" w:rsidRPr="00DE3A6F">
        <w:rPr>
          <w:noProof/>
        </w:rPr>
        <w:fldChar w:fldCharType="begin"/>
      </w:r>
      <w:r w:rsidR="00C634A0" w:rsidRPr="00DE3A6F">
        <w:rPr>
          <w:noProof/>
        </w:rPr>
        <w:instrText xml:space="preserve"> SEQ Figure \* ARABIC </w:instrText>
      </w:r>
      <w:r w:rsidR="00C634A0" w:rsidRPr="00DE3A6F">
        <w:rPr>
          <w:noProof/>
        </w:rPr>
        <w:fldChar w:fldCharType="separate"/>
      </w:r>
      <w:r w:rsidR="00A13C63">
        <w:rPr>
          <w:noProof/>
        </w:rPr>
        <w:t>8</w:t>
      </w:r>
      <w:r w:rsidR="00C634A0" w:rsidRPr="00DE3A6F">
        <w:rPr>
          <w:noProof/>
        </w:rPr>
        <w:fldChar w:fldCharType="end"/>
      </w:r>
      <w:r w:rsidRPr="00DE3A6F">
        <w:rPr>
          <w:noProof/>
        </w:rPr>
        <w:t xml:space="preserve">: </w:t>
      </w:r>
      <w:r w:rsidR="2925387B" w:rsidRPr="00DE3A6F">
        <w:rPr>
          <w:iCs/>
          <w:noProof/>
          <w:szCs w:val="22"/>
        </w:rPr>
        <w:t>Overview of other types of anti-fraud strateg</w:t>
      </w:r>
      <w:r w:rsidR="0005776B" w:rsidRPr="00CA1602">
        <w:rPr>
          <w:iCs/>
          <w:noProof/>
          <w:szCs w:val="22"/>
        </w:rPr>
        <w:t>y</w:t>
      </w:r>
      <w:r w:rsidR="2925387B" w:rsidRPr="00DE3A6F">
        <w:rPr>
          <w:iCs/>
          <w:noProof/>
          <w:szCs w:val="22"/>
        </w:rPr>
        <w:t xml:space="preserve"> reported by Member States</w:t>
      </w:r>
    </w:p>
    <w:tbl>
      <w:tblPr>
        <w:tblW w:w="8093" w:type="dxa"/>
        <w:tblLook w:val="04A0" w:firstRow="1" w:lastRow="0" w:firstColumn="1" w:lastColumn="0" w:noHBand="0" w:noVBand="1"/>
      </w:tblPr>
      <w:tblGrid>
        <w:gridCol w:w="1134"/>
        <w:gridCol w:w="1134"/>
        <w:gridCol w:w="1134"/>
        <w:gridCol w:w="1276"/>
        <w:gridCol w:w="1418"/>
        <w:gridCol w:w="1417"/>
        <w:gridCol w:w="580"/>
      </w:tblGrid>
      <w:tr w:rsidR="00AC4CA7" w:rsidRPr="00792670" w14:paraId="44FCD0ED" w14:textId="77777777" w:rsidTr="00792670">
        <w:trPr>
          <w:trHeight w:val="315"/>
        </w:trPr>
        <w:tc>
          <w:tcPr>
            <w:tcW w:w="1134" w:type="dxa"/>
            <w:tcBorders>
              <w:top w:val="nil"/>
              <w:left w:val="nil"/>
              <w:bottom w:val="nil"/>
              <w:right w:val="nil"/>
            </w:tcBorders>
            <w:shd w:val="clear" w:color="000000" w:fill="FFFFFF"/>
            <w:noWrap/>
            <w:vAlign w:val="bottom"/>
            <w:hideMark/>
          </w:tcPr>
          <w:p w14:paraId="3C359716"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6EF206E6"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55FF9293"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48A6F655"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4844E80E"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16873E60" w14:textId="77777777" w:rsidR="003D2691" w:rsidRPr="00792670" w:rsidRDefault="003D2691" w:rsidP="003D2691">
            <w:pPr>
              <w:spacing w:after="0" w:line="240" w:lineRule="auto"/>
              <w:jc w:val="center"/>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5D70A1D2"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AT</w:t>
            </w:r>
          </w:p>
        </w:tc>
      </w:tr>
      <w:tr w:rsidR="00AC4CA7" w:rsidRPr="00792670" w14:paraId="69FB6B53" w14:textId="77777777" w:rsidTr="00792670">
        <w:trPr>
          <w:trHeight w:val="315"/>
        </w:trPr>
        <w:tc>
          <w:tcPr>
            <w:tcW w:w="1134" w:type="dxa"/>
            <w:tcBorders>
              <w:top w:val="nil"/>
              <w:left w:val="nil"/>
              <w:bottom w:val="nil"/>
              <w:right w:val="nil"/>
            </w:tcBorders>
            <w:shd w:val="clear" w:color="000000" w:fill="104861"/>
            <w:noWrap/>
            <w:vAlign w:val="bottom"/>
            <w:hideMark/>
          </w:tcPr>
          <w:p w14:paraId="31E7F38F"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2A777829"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449941C"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55C3E07E"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5688384F"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104861"/>
            <w:noWrap/>
            <w:vAlign w:val="bottom"/>
            <w:hideMark/>
          </w:tcPr>
          <w:p w14:paraId="42E5162D"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69909044"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BE</w:t>
            </w:r>
          </w:p>
        </w:tc>
      </w:tr>
      <w:tr w:rsidR="00AC4CA7" w:rsidRPr="00792670" w14:paraId="12865377" w14:textId="77777777" w:rsidTr="00792670">
        <w:trPr>
          <w:trHeight w:val="315"/>
        </w:trPr>
        <w:tc>
          <w:tcPr>
            <w:tcW w:w="1134" w:type="dxa"/>
            <w:tcBorders>
              <w:top w:val="nil"/>
              <w:left w:val="nil"/>
              <w:bottom w:val="nil"/>
              <w:right w:val="nil"/>
            </w:tcBorders>
            <w:shd w:val="clear" w:color="000000" w:fill="FFFFFF"/>
            <w:noWrap/>
            <w:vAlign w:val="bottom"/>
            <w:hideMark/>
          </w:tcPr>
          <w:p w14:paraId="6D513B32"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6058EA8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E29C5C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339679B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2EC7D09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FFFFFF" w:fill="FFFFFF"/>
            <w:noWrap/>
            <w:vAlign w:val="bottom"/>
            <w:hideMark/>
          </w:tcPr>
          <w:p w14:paraId="429B429F" w14:textId="77777777" w:rsidR="003D2691" w:rsidRPr="00792670" w:rsidRDefault="003D2691" w:rsidP="003D2691">
            <w:pPr>
              <w:spacing w:after="0" w:line="240" w:lineRule="auto"/>
              <w:jc w:val="center"/>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5957A5F3"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BG</w:t>
            </w:r>
          </w:p>
        </w:tc>
      </w:tr>
      <w:tr w:rsidR="00AC4CA7" w:rsidRPr="00792670" w14:paraId="75A90869" w14:textId="77777777" w:rsidTr="00792670">
        <w:trPr>
          <w:trHeight w:val="315"/>
        </w:trPr>
        <w:tc>
          <w:tcPr>
            <w:tcW w:w="1134" w:type="dxa"/>
            <w:tcBorders>
              <w:top w:val="nil"/>
              <w:left w:val="nil"/>
              <w:bottom w:val="nil"/>
              <w:right w:val="nil"/>
            </w:tcBorders>
            <w:shd w:val="clear" w:color="000000" w:fill="FFFFFF"/>
            <w:noWrap/>
            <w:vAlign w:val="bottom"/>
            <w:hideMark/>
          </w:tcPr>
          <w:p w14:paraId="463CBD31"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2332ED26"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73C0974E"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3E7976A2"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54C902E3"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3E8096BB"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66235CB9"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HR</w:t>
            </w:r>
          </w:p>
        </w:tc>
      </w:tr>
      <w:tr w:rsidR="00AC4CA7" w:rsidRPr="00792670" w14:paraId="4C8882C3" w14:textId="77777777" w:rsidTr="00792670">
        <w:trPr>
          <w:trHeight w:val="315"/>
        </w:trPr>
        <w:tc>
          <w:tcPr>
            <w:tcW w:w="1134" w:type="dxa"/>
            <w:tcBorders>
              <w:top w:val="nil"/>
              <w:left w:val="nil"/>
              <w:bottom w:val="nil"/>
              <w:right w:val="nil"/>
            </w:tcBorders>
            <w:shd w:val="clear" w:color="000000" w:fill="FFFFFF"/>
            <w:noWrap/>
            <w:vAlign w:val="bottom"/>
            <w:hideMark/>
          </w:tcPr>
          <w:p w14:paraId="70B490DD"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5A265DB4"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0CE5A021"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603CCE61"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17C6488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747474" w:fill="FFFFFF"/>
            <w:noWrap/>
            <w:vAlign w:val="bottom"/>
            <w:hideMark/>
          </w:tcPr>
          <w:p w14:paraId="2CD8AB4C"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0F30570F"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CY</w:t>
            </w:r>
          </w:p>
        </w:tc>
      </w:tr>
      <w:tr w:rsidR="00AC4CA7" w:rsidRPr="00792670" w14:paraId="23FF4A1A" w14:textId="77777777" w:rsidTr="00792670">
        <w:trPr>
          <w:trHeight w:val="315"/>
        </w:trPr>
        <w:tc>
          <w:tcPr>
            <w:tcW w:w="1134" w:type="dxa"/>
            <w:tcBorders>
              <w:top w:val="nil"/>
              <w:left w:val="nil"/>
              <w:bottom w:val="nil"/>
              <w:right w:val="nil"/>
            </w:tcBorders>
            <w:shd w:val="clear" w:color="000000" w:fill="FFFFFF"/>
            <w:noWrap/>
            <w:vAlign w:val="bottom"/>
            <w:hideMark/>
          </w:tcPr>
          <w:p w14:paraId="2C0D420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13AB5340"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2EA57B05"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1D6D2E35"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0092745C"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747474" w:fill="104861"/>
            <w:noWrap/>
            <w:vAlign w:val="bottom"/>
            <w:hideMark/>
          </w:tcPr>
          <w:p w14:paraId="0D869D61"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00504F4F"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CZ</w:t>
            </w:r>
          </w:p>
        </w:tc>
      </w:tr>
      <w:tr w:rsidR="00AC4CA7" w:rsidRPr="00792670" w14:paraId="624C9730" w14:textId="77777777" w:rsidTr="00792670">
        <w:trPr>
          <w:trHeight w:val="315"/>
        </w:trPr>
        <w:tc>
          <w:tcPr>
            <w:tcW w:w="1134" w:type="dxa"/>
            <w:tcBorders>
              <w:top w:val="nil"/>
              <w:left w:val="nil"/>
              <w:bottom w:val="nil"/>
              <w:right w:val="nil"/>
            </w:tcBorders>
            <w:shd w:val="clear" w:color="000000" w:fill="FFFFFF"/>
            <w:noWrap/>
            <w:vAlign w:val="bottom"/>
            <w:hideMark/>
          </w:tcPr>
          <w:p w14:paraId="13CA92B7"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5D6B36BB"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751F879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55A2E5A2"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65504FE4"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FFFFFF"/>
            <w:noWrap/>
            <w:vAlign w:val="bottom"/>
            <w:hideMark/>
          </w:tcPr>
          <w:p w14:paraId="5515C813"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3FA97079"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DK</w:t>
            </w:r>
          </w:p>
        </w:tc>
      </w:tr>
      <w:tr w:rsidR="00AC4CA7" w:rsidRPr="00792670" w14:paraId="335DD510" w14:textId="77777777" w:rsidTr="00792670">
        <w:trPr>
          <w:trHeight w:val="315"/>
        </w:trPr>
        <w:tc>
          <w:tcPr>
            <w:tcW w:w="1134" w:type="dxa"/>
            <w:tcBorders>
              <w:top w:val="nil"/>
              <w:left w:val="nil"/>
              <w:bottom w:val="nil"/>
              <w:right w:val="nil"/>
            </w:tcBorders>
            <w:shd w:val="clear" w:color="000000" w:fill="FFFFFF"/>
            <w:noWrap/>
            <w:vAlign w:val="bottom"/>
            <w:hideMark/>
          </w:tcPr>
          <w:p w14:paraId="2F510659"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526D4C1D"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460DCED3"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1AC449C6"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774EF197"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2A9724B2"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03677771"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EE</w:t>
            </w:r>
          </w:p>
        </w:tc>
      </w:tr>
      <w:tr w:rsidR="00AC4CA7" w:rsidRPr="00792670" w14:paraId="0AEA8F2D" w14:textId="77777777" w:rsidTr="00792670">
        <w:trPr>
          <w:trHeight w:val="315"/>
        </w:trPr>
        <w:tc>
          <w:tcPr>
            <w:tcW w:w="1134" w:type="dxa"/>
            <w:tcBorders>
              <w:top w:val="nil"/>
              <w:left w:val="nil"/>
              <w:bottom w:val="nil"/>
              <w:right w:val="nil"/>
            </w:tcBorders>
            <w:shd w:val="clear" w:color="000000" w:fill="FFFFFF"/>
            <w:noWrap/>
            <w:vAlign w:val="bottom"/>
            <w:hideMark/>
          </w:tcPr>
          <w:p w14:paraId="31C3845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34B8693A"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21A9A05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03786A38"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3D8FA68F"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104861"/>
            <w:noWrap/>
            <w:vAlign w:val="bottom"/>
            <w:hideMark/>
          </w:tcPr>
          <w:p w14:paraId="4AF588F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4894AE2B"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FI</w:t>
            </w:r>
          </w:p>
        </w:tc>
      </w:tr>
      <w:tr w:rsidR="00AC4CA7" w:rsidRPr="00792670" w14:paraId="5F3004A3" w14:textId="77777777" w:rsidTr="00792670">
        <w:trPr>
          <w:trHeight w:val="315"/>
        </w:trPr>
        <w:tc>
          <w:tcPr>
            <w:tcW w:w="1134" w:type="dxa"/>
            <w:tcBorders>
              <w:top w:val="nil"/>
              <w:left w:val="nil"/>
              <w:bottom w:val="nil"/>
              <w:right w:val="nil"/>
            </w:tcBorders>
            <w:shd w:val="clear" w:color="000000" w:fill="FFFFFF"/>
            <w:noWrap/>
            <w:vAlign w:val="bottom"/>
            <w:hideMark/>
          </w:tcPr>
          <w:p w14:paraId="638365D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2E8028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59B54803"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1A986E90"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64D64B20"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single" w:sz="8" w:space="0" w:color="104861"/>
            </w:tcBorders>
            <w:shd w:val="clear" w:color="FFFFFF" w:fill="FFFFFF"/>
            <w:noWrap/>
            <w:vAlign w:val="bottom"/>
            <w:hideMark/>
          </w:tcPr>
          <w:p w14:paraId="0C0CE90A" w14:textId="77777777" w:rsidR="003D2691" w:rsidRPr="00792670" w:rsidRDefault="003D2691" w:rsidP="003D2691">
            <w:pPr>
              <w:spacing w:after="0" w:line="240" w:lineRule="auto"/>
              <w:jc w:val="center"/>
              <w:rPr>
                <w:rFonts w:ascii="Arial Narrow" w:hAnsi="Arial Narrow"/>
                <w:b/>
                <w:bCs/>
                <w:noProof/>
                <w:color w:val="0B3040"/>
                <w:sz w:val="16"/>
                <w:szCs w:val="16"/>
                <w:lang w:val="en-IE" w:eastAsia="en-IE"/>
              </w:rPr>
            </w:pPr>
            <w:r w:rsidRPr="00792670">
              <w:rPr>
                <w:rFonts w:ascii="Arial Narrow" w:hAnsi="Arial Narrow"/>
                <w:b/>
                <w:bCs/>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6654D303"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FR</w:t>
            </w:r>
          </w:p>
        </w:tc>
      </w:tr>
      <w:tr w:rsidR="00AC4CA7" w:rsidRPr="00792670" w14:paraId="19AE2A06" w14:textId="77777777" w:rsidTr="00792670">
        <w:trPr>
          <w:trHeight w:val="315"/>
        </w:trPr>
        <w:tc>
          <w:tcPr>
            <w:tcW w:w="1134" w:type="dxa"/>
            <w:tcBorders>
              <w:top w:val="nil"/>
              <w:left w:val="nil"/>
              <w:bottom w:val="nil"/>
              <w:right w:val="nil"/>
            </w:tcBorders>
            <w:shd w:val="clear" w:color="000000" w:fill="104861"/>
            <w:noWrap/>
            <w:vAlign w:val="bottom"/>
            <w:hideMark/>
          </w:tcPr>
          <w:p w14:paraId="502EC64B"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2D7A065C"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3D52CC77"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2C7AD14A"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7EBBD879"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104861"/>
            <w:noWrap/>
            <w:vAlign w:val="bottom"/>
            <w:hideMark/>
          </w:tcPr>
          <w:p w14:paraId="076C9CE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6CCD43C7"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DE</w:t>
            </w:r>
          </w:p>
        </w:tc>
      </w:tr>
      <w:tr w:rsidR="00AC4CA7" w:rsidRPr="00792670" w14:paraId="54D7A429" w14:textId="77777777" w:rsidTr="00792670">
        <w:trPr>
          <w:trHeight w:val="315"/>
        </w:trPr>
        <w:tc>
          <w:tcPr>
            <w:tcW w:w="1134" w:type="dxa"/>
            <w:tcBorders>
              <w:top w:val="nil"/>
              <w:left w:val="nil"/>
              <w:bottom w:val="nil"/>
              <w:right w:val="nil"/>
            </w:tcBorders>
            <w:shd w:val="clear" w:color="000000" w:fill="FFFFFF"/>
            <w:noWrap/>
            <w:vAlign w:val="bottom"/>
            <w:hideMark/>
          </w:tcPr>
          <w:p w14:paraId="498EDE0E"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08E98991"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024F4849"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3694CC5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057126AB"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60E5238B"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519178E4"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EL</w:t>
            </w:r>
          </w:p>
        </w:tc>
      </w:tr>
      <w:tr w:rsidR="00AC4CA7" w:rsidRPr="00792670" w14:paraId="35987207" w14:textId="77777777" w:rsidTr="00792670">
        <w:trPr>
          <w:trHeight w:val="315"/>
        </w:trPr>
        <w:tc>
          <w:tcPr>
            <w:tcW w:w="1134" w:type="dxa"/>
            <w:tcBorders>
              <w:top w:val="nil"/>
              <w:left w:val="nil"/>
              <w:bottom w:val="nil"/>
              <w:right w:val="nil"/>
            </w:tcBorders>
            <w:shd w:val="clear" w:color="000000" w:fill="FFFFFF"/>
            <w:noWrap/>
            <w:vAlign w:val="bottom"/>
            <w:hideMark/>
          </w:tcPr>
          <w:p w14:paraId="6FC190DC"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6FDF2B33"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5F89374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2E1B0426"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5D7AFFB8"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FFFFFF" w:fill="FFFFFF"/>
            <w:noWrap/>
            <w:vAlign w:val="bottom"/>
            <w:hideMark/>
          </w:tcPr>
          <w:p w14:paraId="52B10E7C" w14:textId="77777777" w:rsidR="003D2691" w:rsidRPr="00792670" w:rsidRDefault="003D2691" w:rsidP="003D2691">
            <w:pPr>
              <w:spacing w:after="0" w:line="240" w:lineRule="auto"/>
              <w:jc w:val="center"/>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6D858050"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HU</w:t>
            </w:r>
          </w:p>
        </w:tc>
      </w:tr>
      <w:tr w:rsidR="00AC4CA7" w:rsidRPr="00792670" w14:paraId="20865396" w14:textId="77777777" w:rsidTr="00792670">
        <w:trPr>
          <w:trHeight w:val="315"/>
        </w:trPr>
        <w:tc>
          <w:tcPr>
            <w:tcW w:w="1134" w:type="dxa"/>
            <w:tcBorders>
              <w:top w:val="nil"/>
              <w:left w:val="nil"/>
              <w:bottom w:val="nil"/>
              <w:right w:val="nil"/>
            </w:tcBorders>
            <w:shd w:val="clear" w:color="000000" w:fill="FFFFFF"/>
            <w:noWrap/>
            <w:vAlign w:val="bottom"/>
            <w:hideMark/>
          </w:tcPr>
          <w:p w14:paraId="345B3ED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2B86EF8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72A03967"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07C70E12"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7A738082"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104861"/>
            <w:noWrap/>
            <w:vAlign w:val="bottom"/>
            <w:hideMark/>
          </w:tcPr>
          <w:p w14:paraId="3C15EF5E"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308CB19B"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IE</w:t>
            </w:r>
          </w:p>
        </w:tc>
      </w:tr>
      <w:tr w:rsidR="00AC4CA7" w:rsidRPr="00792670" w14:paraId="71A61452" w14:textId="77777777" w:rsidTr="00792670">
        <w:trPr>
          <w:trHeight w:val="315"/>
        </w:trPr>
        <w:tc>
          <w:tcPr>
            <w:tcW w:w="1134" w:type="dxa"/>
            <w:tcBorders>
              <w:top w:val="nil"/>
              <w:left w:val="nil"/>
              <w:bottom w:val="nil"/>
              <w:right w:val="nil"/>
            </w:tcBorders>
            <w:shd w:val="clear" w:color="000000" w:fill="104861"/>
            <w:noWrap/>
            <w:vAlign w:val="bottom"/>
            <w:hideMark/>
          </w:tcPr>
          <w:p w14:paraId="5C4177E2"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56A10380"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7A101CA3"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5727A2EF"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26A27F45"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104861"/>
            <w:noWrap/>
            <w:vAlign w:val="bottom"/>
            <w:hideMark/>
          </w:tcPr>
          <w:p w14:paraId="42F948BE"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70687038"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IT</w:t>
            </w:r>
          </w:p>
        </w:tc>
      </w:tr>
      <w:tr w:rsidR="00AC4CA7" w:rsidRPr="00792670" w14:paraId="60BF8DF8" w14:textId="77777777" w:rsidTr="00792670">
        <w:trPr>
          <w:trHeight w:val="315"/>
        </w:trPr>
        <w:tc>
          <w:tcPr>
            <w:tcW w:w="1134" w:type="dxa"/>
            <w:tcBorders>
              <w:top w:val="nil"/>
              <w:left w:val="nil"/>
              <w:bottom w:val="nil"/>
              <w:right w:val="nil"/>
            </w:tcBorders>
            <w:shd w:val="clear" w:color="000000" w:fill="FFFFFF"/>
            <w:noWrap/>
            <w:vAlign w:val="bottom"/>
            <w:hideMark/>
          </w:tcPr>
          <w:p w14:paraId="0B6670EC"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7406CD32"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3FAF199"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0D134CEF"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387B11D7"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FFFFFF" w:fill="FFFFFF"/>
            <w:noWrap/>
            <w:vAlign w:val="bottom"/>
            <w:hideMark/>
          </w:tcPr>
          <w:p w14:paraId="6468349A" w14:textId="77777777" w:rsidR="003D2691" w:rsidRPr="00792670" w:rsidRDefault="003D2691" w:rsidP="003D2691">
            <w:pPr>
              <w:spacing w:after="0" w:line="240" w:lineRule="auto"/>
              <w:jc w:val="center"/>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0CB6ED70"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LV</w:t>
            </w:r>
          </w:p>
        </w:tc>
      </w:tr>
      <w:tr w:rsidR="00AC4CA7" w:rsidRPr="00792670" w14:paraId="3B26D73F" w14:textId="77777777" w:rsidTr="00792670">
        <w:trPr>
          <w:trHeight w:val="315"/>
        </w:trPr>
        <w:tc>
          <w:tcPr>
            <w:tcW w:w="1134" w:type="dxa"/>
            <w:tcBorders>
              <w:top w:val="nil"/>
              <w:left w:val="nil"/>
              <w:bottom w:val="nil"/>
              <w:right w:val="nil"/>
            </w:tcBorders>
            <w:shd w:val="clear" w:color="000000" w:fill="FFFFFF"/>
            <w:noWrap/>
            <w:vAlign w:val="bottom"/>
            <w:hideMark/>
          </w:tcPr>
          <w:p w14:paraId="2FB64A59"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7F4EF758"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1373E1F5"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5FB03890"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0676CDD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16C4AA86" w14:textId="77777777" w:rsidR="003D2691" w:rsidRPr="00792670" w:rsidRDefault="003D2691" w:rsidP="003D2691">
            <w:pPr>
              <w:spacing w:after="0" w:line="240" w:lineRule="auto"/>
              <w:jc w:val="center"/>
              <w:rPr>
                <w:rFonts w:ascii="Arial Narrow" w:hAnsi="Arial Narrow"/>
                <w:b/>
                <w:bCs/>
                <w:noProof/>
                <w:color w:val="0B3040"/>
                <w:sz w:val="16"/>
                <w:szCs w:val="16"/>
                <w:lang w:val="en-IE" w:eastAsia="en-IE"/>
              </w:rPr>
            </w:pPr>
            <w:r w:rsidRPr="00792670">
              <w:rPr>
                <w:rFonts w:ascii="Arial Narrow" w:hAnsi="Arial Narrow"/>
                <w:b/>
                <w:bCs/>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11CE873D"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LT</w:t>
            </w:r>
          </w:p>
        </w:tc>
      </w:tr>
      <w:tr w:rsidR="00AC4CA7" w:rsidRPr="00792670" w14:paraId="013B63AC" w14:textId="77777777" w:rsidTr="00792670">
        <w:trPr>
          <w:trHeight w:val="315"/>
        </w:trPr>
        <w:tc>
          <w:tcPr>
            <w:tcW w:w="1134" w:type="dxa"/>
            <w:tcBorders>
              <w:top w:val="nil"/>
              <w:left w:val="nil"/>
              <w:bottom w:val="nil"/>
              <w:right w:val="nil"/>
            </w:tcBorders>
            <w:shd w:val="clear" w:color="000000" w:fill="FFFFFF"/>
            <w:noWrap/>
            <w:vAlign w:val="bottom"/>
            <w:hideMark/>
          </w:tcPr>
          <w:p w14:paraId="5C1C6C8B"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97CF679"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5A0861F6"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0EA30AB0"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1FDDC021"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FFFFFF"/>
            <w:noWrap/>
            <w:vAlign w:val="bottom"/>
            <w:hideMark/>
          </w:tcPr>
          <w:p w14:paraId="192082B0"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0F426578"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LU</w:t>
            </w:r>
          </w:p>
        </w:tc>
      </w:tr>
      <w:tr w:rsidR="00AC4CA7" w:rsidRPr="00792670" w14:paraId="39F71ECF" w14:textId="77777777" w:rsidTr="00792670">
        <w:trPr>
          <w:trHeight w:val="315"/>
        </w:trPr>
        <w:tc>
          <w:tcPr>
            <w:tcW w:w="1134" w:type="dxa"/>
            <w:tcBorders>
              <w:top w:val="nil"/>
              <w:left w:val="nil"/>
              <w:bottom w:val="nil"/>
              <w:right w:val="nil"/>
            </w:tcBorders>
            <w:shd w:val="clear" w:color="000000" w:fill="FFFFFF"/>
            <w:noWrap/>
            <w:vAlign w:val="bottom"/>
            <w:hideMark/>
          </w:tcPr>
          <w:p w14:paraId="5E6B5E00"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58021FC2"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64894126"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00952952"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755EF272"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FFFFFF" w:fill="FFFFFF"/>
            <w:noWrap/>
            <w:vAlign w:val="bottom"/>
            <w:hideMark/>
          </w:tcPr>
          <w:p w14:paraId="56880071" w14:textId="77777777" w:rsidR="003D2691" w:rsidRPr="00792670" w:rsidRDefault="003D2691" w:rsidP="003D2691">
            <w:pPr>
              <w:spacing w:after="0" w:line="240" w:lineRule="auto"/>
              <w:jc w:val="center"/>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3A85CC30"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MT</w:t>
            </w:r>
          </w:p>
        </w:tc>
      </w:tr>
      <w:tr w:rsidR="00AC4CA7" w:rsidRPr="00792670" w14:paraId="6B4BF0EB" w14:textId="77777777" w:rsidTr="00792670">
        <w:trPr>
          <w:trHeight w:val="315"/>
        </w:trPr>
        <w:tc>
          <w:tcPr>
            <w:tcW w:w="1134" w:type="dxa"/>
            <w:tcBorders>
              <w:top w:val="nil"/>
              <w:left w:val="nil"/>
              <w:bottom w:val="nil"/>
              <w:right w:val="nil"/>
            </w:tcBorders>
            <w:shd w:val="clear" w:color="000000" w:fill="FFFFFF"/>
            <w:noWrap/>
            <w:vAlign w:val="bottom"/>
            <w:hideMark/>
          </w:tcPr>
          <w:p w14:paraId="5865CF1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54C610F9"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D861113"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2B49DFF8"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4C21ED4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747474" w:fill="FFFFFF"/>
            <w:noWrap/>
            <w:vAlign w:val="bottom"/>
            <w:hideMark/>
          </w:tcPr>
          <w:p w14:paraId="4C99BCB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40E9FAEB"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NL</w:t>
            </w:r>
          </w:p>
        </w:tc>
      </w:tr>
      <w:tr w:rsidR="00AC4CA7" w:rsidRPr="00792670" w14:paraId="4087D6AF" w14:textId="77777777" w:rsidTr="00792670">
        <w:trPr>
          <w:trHeight w:val="315"/>
        </w:trPr>
        <w:tc>
          <w:tcPr>
            <w:tcW w:w="1134" w:type="dxa"/>
            <w:tcBorders>
              <w:top w:val="nil"/>
              <w:left w:val="nil"/>
              <w:bottom w:val="nil"/>
              <w:right w:val="nil"/>
            </w:tcBorders>
            <w:shd w:val="clear" w:color="000000" w:fill="FFFFFF"/>
            <w:noWrap/>
            <w:vAlign w:val="bottom"/>
            <w:hideMark/>
          </w:tcPr>
          <w:p w14:paraId="5B66689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02C88258"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613D10A1"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7EB3E633"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56933115"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67CEC486"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025636FA"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PL</w:t>
            </w:r>
          </w:p>
        </w:tc>
      </w:tr>
      <w:tr w:rsidR="00AC4CA7" w:rsidRPr="00792670" w14:paraId="38B125B8" w14:textId="77777777" w:rsidTr="00792670">
        <w:trPr>
          <w:trHeight w:val="315"/>
        </w:trPr>
        <w:tc>
          <w:tcPr>
            <w:tcW w:w="1134" w:type="dxa"/>
            <w:tcBorders>
              <w:top w:val="nil"/>
              <w:left w:val="nil"/>
              <w:bottom w:val="nil"/>
              <w:right w:val="nil"/>
            </w:tcBorders>
            <w:shd w:val="clear" w:color="000000" w:fill="FFFFFF"/>
            <w:noWrap/>
            <w:vAlign w:val="bottom"/>
            <w:hideMark/>
          </w:tcPr>
          <w:p w14:paraId="3643C474"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60D46E8E"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50A22450"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7757EC06"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03068FA7"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nil"/>
            </w:tcBorders>
            <w:shd w:val="clear" w:color="FFFFFF" w:fill="FFFFFF"/>
            <w:noWrap/>
            <w:vAlign w:val="bottom"/>
            <w:hideMark/>
          </w:tcPr>
          <w:p w14:paraId="2DC1BBAE" w14:textId="77777777" w:rsidR="003D2691" w:rsidRPr="00792670" w:rsidRDefault="003D2691" w:rsidP="003D2691">
            <w:pPr>
              <w:spacing w:after="0" w:line="240" w:lineRule="auto"/>
              <w:jc w:val="center"/>
              <w:rPr>
                <w:rFonts w:ascii="Arial Narrow" w:hAnsi="Arial Narrow"/>
                <w:b/>
                <w:bCs/>
                <w:noProof/>
                <w:color w:val="0B3040"/>
                <w:sz w:val="16"/>
                <w:szCs w:val="16"/>
                <w:lang w:val="en-IE" w:eastAsia="en-IE"/>
              </w:rPr>
            </w:pPr>
            <w:r w:rsidRPr="00792670">
              <w:rPr>
                <w:rFonts w:ascii="Arial Narrow" w:hAnsi="Arial Narrow"/>
                <w:b/>
                <w:bCs/>
                <w:noProof/>
                <w:color w:val="0B3040"/>
                <w:sz w:val="16"/>
                <w:szCs w:val="16"/>
                <w:lang w:val="en-IE" w:eastAsia="en-IE"/>
              </w:rPr>
              <w:t> </w:t>
            </w:r>
          </w:p>
        </w:tc>
        <w:tc>
          <w:tcPr>
            <w:tcW w:w="580" w:type="dxa"/>
            <w:tcBorders>
              <w:top w:val="nil"/>
              <w:left w:val="dashed" w:sz="8" w:space="0" w:color="FF0000"/>
              <w:bottom w:val="nil"/>
              <w:right w:val="nil"/>
            </w:tcBorders>
            <w:shd w:val="clear" w:color="000000" w:fill="FFFFFF"/>
            <w:noWrap/>
            <w:vAlign w:val="bottom"/>
            <w:hideMark/>
          </w:tcPr>
          <w:p w14:paraId="7C49DD06"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PT</w:t>
            </w:r>
          </w:p>
        </w:tc>
      </w:tr>
      <w:tr w:rsidR="00AC4CA7" w:rsidRPr="00792670" w14:paraId="4CA254DF" w14:textId="77777777" w:rsidTr="00792670">
        <w:trPr>
          <w:trHeight w:val="315"/>
        </w:trPr>
        <w:tc>
          <w:tcPr>
            <w:tcW w:w="1134" w:type="dxa"/>
            <w:tcBorders>
              <w:top w:val="nil"/>
              <w:left w:val="nil"/>
              <w:bottom w:val="nil"/>
              <w:right w:val="nil"/>
            </w:tcBorders>
            <w:shd w:val="clear" w:color="000000" w:fill="FFFFFF"/>
            <w:noWrap/>
            <w:vAlign w:val="bottom"/>
            <w:hideMark/>
          </w:tcPr>
          <w:p w14:paraId="7F00C51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5B967EA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3786224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2FDE4541"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7D139651"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FFFFFF" w:fill="FFFFFF"/>
            <w:noWrap/>
            <w:vAlign w:val="bottom"/>
            <w:hideMark/>
          </w:tcPr>
          <w:p w14:paraId="737A9B1B" w14:textId="77777777" w:rsidR="003D2691" w:rsidRPr="00792670" w:rsidRDefault="003D2691" w:rsidP="003D2691">
            <w:pPr>
              <w:spacing w:after="0" w:line="240" w:lineRule="auto"/>
              <w:jc w:val="center"/>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419D5A69"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RO</w:t>
            </w:r>
          </w:p>
        </w:tc>
      </w:tr>
      <w:tr w:rsidR="00AC4CA7" w:rsidRPr="00792670" w14:paraId="79295F56" w14:textId="77777777" w:rsidTr="00792670">
        <w:trPr>
          <w:trHeight w:val="315"/>
        </w:trPr>
        <w:tc>
          <w:tcPr>
            <w:tcW w:w="1134" w:type="dxa"/>
            <w:tcBorders>
              <w:top w:val="nil"/>
              <w:left w:val="nil"/>
              <w:bottom w:val="nil"/>
              <w:right w:val="nil"/>
            </w:tcBorders>
            <w:shd w:val="clear" w:color="000000" w:fill="FFFFFF"/>
            <w:noWrap/>
            <w:vAlign w:val="bottom"/>
            <w:hideMark/>
          </w:tcPr>
          <w:p w14:paraId="0A9EC9F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08B742EE"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798F6665"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0D582AE7"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0A729D4A"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417" w:type="dxa"/>
            <w:tcBorders>
              <w:top w:val="nil"/>
              <w:left w:val="nil"/>
              <w:bottom w:val="nil"/>
              <w:right w:val="dashed" w:sz="8" w:space="0" w:color="E97132"/>
            </w:tcBorders>
            <w:shd w:val="clear" w:color="FFFFFF" w:fill="FFFFFF"/>
            <w:noWrap/>
            <w:vAlign w:val="bottom"/>
            <w:hideMark/>
          </w:tcPr>
          <w:p w14:paraId="6A08CA4A" w14:textId="77777777" w:rsidR="003D2691" w:rsidRPr="00792670" w:rsidRDefault="003D2691" w:rsidP="003D2691">
            <w:pPr>
              <w:spacing w:after="0" w:line="240" w:lineRule="auto"/>
              <w:jc w:val="center"/>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6E4571BD"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SK</w:t>
            </w:r>
          </w:p>
        </w:tc>
      </w:tr>
      <w:tr w:rsidR="00AC4CA7" w:rsidRPr="00792670" w14:paraId="7151FDFB" w14:textId="77777777" w:rsidTr="00792670">
        <w:trPr>
          <w:trHeight w:val="315"/>
        </w:trPr>
        <w:tc>
          <w:tcPr>
            <w:tcW w:w="1134" w:type="dxa"/>
            <w:tcBorders>
              <w:top w:val="nil"/>
              <w:left w:val="nil"/>
              <w:bottom w:val="nil"/>
              <w:right w:val="nil"/>
            </w:tcBorders>
            <w:shd w:val="clear" w:color="000000" w:fill="FFFFFF"/>
            <w:noWrap/>
            <w:vAlign w:val="bottom"/>
            <w:hideMark/>
          </w:tcPr>
          <w:p w14:paraId="433B53DD"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560D153C"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EF4715E"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12AE036F"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38C67C76"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31A18B1E"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1D62C5FB"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SI</w:t>
            </w:r>
          </w:p>
        </w:tc>
      </w:tr>
      <w:tr w:rsidR="00AC4CA7" w:rsidRPr="00792670" w14:paraId="7542DA44" w14:textId="77777777" w:rsidTr="00792670">
        <w:trPr>
          <w:trHeight w:val="315"/>
        </w:trPr>
        <w:tc>
          <w:tcPr>
            <w:tcW w:w="1134" w:type="dxa"/>
            <w:tcBorders>
              <w:top w:val="nil"/>
              <w:left w:val="nil"/>
              <w:bottom w:val="nil"/>
              <w:right w:val="nil"/>
            </w:tcBorders>
            <w:shd w:val="clear" w:color="000000" w:fill="104861"/>
            <w:noWrap/>
            <w:vAlign w:val="bottom"/>
            <w:hideMark/>
          </w:tcPr>
          <w:p w14:paraId="7189712E"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104861"/>
            <w:noWrap/>
            <w:vAlign w:val="bottom"/>
            <w:hideMark/>
          </w:tcPr>
          <w:p w14:paraId="40C7DA3C"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E0C189F"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1276" w:type="dxa"/>
            <w:tcBorders>
              <w:top w:val="nil"/>
              <w:left w:val="nil"/>
              <w:bottom w:val="nil"/>
              <w:right w:val="nil"/>
            </w:tcBorders>
            <w:shd w:val="clear" w:color="000000" w:fill="104861"/>
            <w:noWrap/>
            <w:vAlign w:val="bottom"/>
            <w:hideMark/>
          </w:tcPr>
          <w:p w14:paraId="41196A06"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8" w:type="dxa"/>
            <w:tcBorders>
              <w:top w:val="nil"/>
              <w:left w:val="nil"/>
              <w:bottom w:val="nil"/>
              <w:right w:val="nil"/>
            </w:tcBorders>
            <w:shd w:val="clear" w:color="000000" w:fill="104861"/>
            <w:noWrap/>
            <w:vAlign w:val="bottom"/>
            <w:hideMark/>
          </w:tcPr>
          <w:p w14:paraId="07052EFE" w14:textId="77777777" w:rsidR="003D2691" w:rsidRPr="00792670" w:rsidRDefault="003D2691" w:rsidP="003D2691">
            <w:pPr>
              <w:spacing w:after="0" w:line="240" w:lineRule="auto"/>
              <w:jc w:val="center"/>
              <w:rPr>
                <w:rFonts w:ascii="Arial Narrow" w:hAnsi="Arial Narrow"/>
                <w:b/>
                <w:bCs/>
                <w:noProof/>
                <w:color w:val="FFFFFF"/>
                <w:sz w:val="16"/>
                <w:szCs w:val="16"/>
                <w:lang w:val="en-IE" w:eastAsia="en-IE"/>
              </w:rPr>
            </w:pPr>
            <w:r w:rsidRPr="00792670">
              <w:rPr>
                <w:rFonts w:ascii="Arial Narrow" w:hAnsi="Arial Narrow"/>
                <w:b/>
                <w:bCs/>
                <w:noProof/>
                <w:color w:val="FFFFFF"/>
                <w:sz w:val="16"/>
                <w:szCs w:val="16"/>
                <w:lang w:val="en-IE" w:eastAsia="en-IE"/>
              </w:rPr>
              <w:t> </w:t>
            </w:r>
          </w:p>
        </w:tc>
        <w:tc>
          <w:tcPr>
            <w:tcW w:w="1417" w:type="dxa"/>
            <w:tcBorders>
              <w:top w:val="nil"/>
              <w:left w:val="nil"/>
              <w:bottom w:val="nil"/>
              <w:right w:val="dashed" w:sz="8" w:space="0" w:color="E97132"/>
            </w:tcBorders>
            <w:shd w:val="clear" w:color="747474" w:fill="104861"/>
            <w:noWrap/>
            <w:vAlign w:val="bottom"/>
            <w:hideMark/>
          </w:tcPr>
          <w:p w14:paraId="6CE86C56" w14:textId="77777777" w:rsidR="003D2691" w:rsidRPr="00792670" w:rsidRDefault="003D2691" w:rsidP="003D2691">
            <w:pPr>
              <w:spacing w:after="0" w:line="240" w:lineRule="auto"/>
              <w:jc w:val="left"/>
              <w:rPr>
                <w:rFonts w:ascii="Arial Narrow" w:hAnsi="Arial Narrow"/>
                <w:b/>
                <w:bCs/>
                <w:noProof/>
                <w:color w:val="000000"/>
                <w:sz w:val="16"/>
                <w:szCs w:val="16"/>
                <w:lang w:val="en-IE" w:eastAsia="en-IE"/>
              </w:rPr>
            </w:pPr>
            <w:r w:rsidRPr="00792670">
              <w:rPr>
                <w:rFonts w:ascii="Arial Narrow" w:hAnsi="Arial Narrow"/>
                <w:b/>
                <w:bCs/>
                <w:noProof/>
                <w:color w:val="00000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2B910393"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ES</w:t>
            </w:r>
          </w:p>
        </w:tc>
      </w:tr>
      <w:tr w:rsidR="00AC4CA7" w:rsidRPr="00792670" w14:paraId="70723334" w14:textId="77777777" w:rsidTr="00792670">
        <w:trPr>
          <w:trHeight w:val="360"/>
        </w:trPr>
        <w:tc>
          <w:tcPr>
            <w:tcW w:w="1134" w:type="dxa"/>
            <w:tcBorders>
              <w:top w:val="nil"/>
              <w:left w:val="nil"/>
              <w:bottom w:val="nil"/>
              <w:right w:val="nil"/>
            </w:tcBorders>
            <w:shd w:val="clear" w:color="000000" w:fill="FFFFFF"/>
            <w:noWrap/>
            <w:vAlign w:val="bottom"/>
            <w:hideMark/>
          </w:tcPr>
          <w:p w14:paraId="20BC67EE"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76EBC76F"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1134" w:type="dxa"/>
            <w:tcBorders>
              <w:top w:val="nil"/>
              <w:left w:val="nil"/>
              <w:bottom w:val="nil"/>
              <w:right w:val="nil"/>
            </w:tcBorders>
            <w:shd w:val="clear" w:color="000000" w:fill="FFFFFF"/>
            <w:noWrap/>
            <w:vAlign w:val="bottom"/>
            <w:hideMark/>
          </w:tcPr>
          <w:p w14:paraId="4E4EF372"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1276" w:type="dxa"/>
            <w:tcBorders>
              <w:top w:val="nil"/>
              <w:left w:val="nil"/>
              <w:bottom w:val="nil"/>
              <w:right w:val="nil"/>
            </w:tcBorders>
            <w:shd w:val="clear" w:color="000000" w:fill="FFFFFF"/>
            <w:noWrap/>
            <w:vAlign w:val="bottom"/>
            <w:hideMark/>
          </w:tcPr>
          <w:p w14:paraId="45DE3BA6"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1418" w:type="dxa"/>
            <w:tcBorders>
              <w:top w:val="nil"/>
              <w:left w:val="nil"/>
              <w:bottom w:val="nil"/>
              <w:right w:val="nil"/>
            </w:tcBorders>
            <w:shd w:val="clear" w:color="000000" w:fill="FFFFFF"/>
            <w:noWrap/>
            <w:vAlign w:val="bottom"/>
            <w:hideMark/>
          </w:tcPr>
          <w:p w14:paraId="79A323F8"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1417" w:type="dxa"/>
            <w:tcBorders>
              <w:top w:val="nil"/>
              <w:left w:val="nil"/>
              <w:bottom w:val="nil"/>
              <w:right w:val="dashed" w:sz="8" w:space="0" w:color="E97132"/>
            </w:tcBorders>
            <w:shd w:val="clear" w:color="000000" w:fill="FFFFFF"/>
            <w:noWrap/>
            <w:vAlign w:val="bottom"/>
            <w:hideMark/>
          </w:tcPr>
          <w:p w14:paraId="02A7EB0A" w14:textId="77777777" w:rsidR="003D2691" w:rsidRPr="00792670" w:rsidRDefault="003D2691" w:rsidP="003D2691">
            <w:pPr>
              <w:spacing w:after="0" w:line="240" w:lineRule="auto"/>
              <w:jc w:val="left"/>
              <w:rPr>
                <w:rFonts w:ascii="Arial Narrow" w:hAnsi="Arial Narrow"/>
                <w:noProof/>
                <w:color w:val="0B3040"/>
                <w:sz w:val="16"/>
                <w:szCs w:val="16"/>
                <w:lang w:val="en-IE" w:eastAsia="en-IE"/>
              </w:rPr>
            </w:pPr>
            <w:r w:rsidRPr="00792670">
              <w:rPr>
                <w:rFonts w:ascii="Arial Narrow" w:hAnsi="Arial Narrow"/>
                <w:noProof/>
                <w:color w:val="0B3040"/>
                <w:sz w:val="16"/>
                <w:szCs w:val="16"/>
                <w:lang w:val="en-IE" w:eastAsia="en-IE"/>
              </w:rPr>
              <w:t> </w:t>
            </w:r>
          </w:p>
        </w:tc>
        <w:tc>
          <w:tcPr>
            <w:tcW w:w="580" w:type="dxa"/>
            <w:tcBorders>
              <w:top w:val="nil"/>
              <w:left w:val="nil"/>
              <w:bottom w:val="nil"/>
              <w:right w:val="nil"/>
            </w:tcBorders>
            <w:shd w:val="clear" w:color="000000" w:fill="FFFFFF"/>
            <w:noWrap/>
            <w:vAlign w:val="bottom"/>
            <w:hideMark/>
          </w:tcPr>
          <w:p w14:paraId="7EF0A18A" w14:textId="77777777" w:rsidR="003D2691" w:rsidRPr="00792670" w:rsidRDefault="003D2691" w:rsidP="003D2691">
            <w:pPr>
              <w:spacing w:after="0" w:line="240" w:lineRule="auto"/>
              <w:jc w:val="left"/>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SE</w:t>
            </w:r>
          </w:p>
        </w:tc>
      </w:tr>
      <w:tr w:rsidR="00850C71" w:rsidRPr="00792670" w14:paraId="5C9390E7" w14:textId="77777777" w:rsidTr="00792670">
        <w:trPr>
          <w:trHeight w:val="915"/>
        </w:trPr>
        <w:tc>
          <w:tcPr>
            <w:tcW w:w="1134" w:type="dxa"/>
            <w:tcBorders>
              <w:top w:val="single" w:sz="12" w:space="0" w:color="104861"/>
              <w:left w:val="nil"/>
              <w:bottom w:val="nil"/>
              <w:right w:val="nil"/>
            </w:tcBorders>
            <w:shd w:val="clear" w:color="000000" w:fill="FFFFFF"/>
            <w:hideMark/>
          </w:tcPr>
          <w:p w14:paraId="68233D69" w14:textId="77777777" w:rsidR="003D2691" w:rsidRPr="00792670" w:rsidRDefault="003D2691" w:rsidP="003D2691">
            <w:pPr>
              <w:spacing w:after="0" w:line="240" w:lineRule="auto"/>
              <w:jc w:val="center"/>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Regional AFS</w:t>
            </w:r>
          </w:p>
        </w:tc>
        <w:tc>
          <w:tcPr>
            <w:tcW w:w="1134" w:type="dxa"/>
            <w:tcBorders>
              <w:top w:val="single" w:sz="12" w:space="0" w:color="104861"/>
              <w:left w:val="nil"/>
              <w:bottom w:val="nil"/>
              <w:right w:val="nil"/>
            </w:tcBorders>
            <w:shd w:val="clear" w:color="000000" w:fill="FFFFFF"/>
            <w:hideMark/>
          </w:tcPr>
          <w:p w14:paraId="2AF7D829" w14:textId="77777777" w:rsidR="003D2691" w:rsidRPr="00792670" w:rsidRDefault="003D2691" w:rsidP="003D2691">
            <w:pPr>
              <w:spacing w:after="0" w:line="240" w:lineRule="auto"/>
              <w:jc w:val="center"/>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Sectoral national strategy</w:t>
            </w:r>
          </w:p>
        </w:tc>
        <w:tc>
          <w:tcPr>
            <w:tcW w:w="1134" w:type="dxa"/>
            <w:tcBorders>
              <w:top w:val="single" w:sz="12" w:space="0" w:color="104861"/>
              <w:left w:val="nil"/>
              <w:bottom w:val="nil"/>
              <w:right w:val="nil"/>
            </w:tcBorders>
            <w:shd w:val="clear" w:color="000000" w:fill="FFFFFF"/>
            <w:hideMark/>
          </w:tcPr>
          <w:p w14:paraId="012C6FC5" w14:textId="77777777" w:rsidR="003D2691" w:rsidRPr="00792670" w:rsidRDefault="003D2691" w:rsidP="003D2691">
            <w:pPr>
              <w:spacing w:after="0" w:line="240" w:lineRule="auto"/>
              <w:jc w:val="center"/>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Sectoral regional AFS + anti-corruption strategy</w:t>
            </w:r>
          </w:p>
        </w:tc>
        <w:tc>
          <w:tcPr>
            <w:tcW w:w="1276" w:type="dxa"/>
            <w:tcBorders>
              <w:top w:val="single" w:sz="12" w:space="0" w:color="104861"/>
              <w:left w:val="nil"/>
              <w:bottom w:val="nil"/>
              <w:right w:val="nil"/>
            </w:tcBorders>
            <w:shd w:val="clear" w:color="000000" w:fill="FFFFFF"/>
            <w:hideMark/>
          </w:tcPr>
          <w:p w14:paraId="20C88800" w14:textId="77777777" w:rsidR="003D2691" w:rsidRPr="00792670" w:rsidRDefault="003D2691" w:rsidP="003D2691">
            <w:pPr>
              <w:spacing w:after="0" w:line="240" w:lineRule="auto"/>
              <w:jc w:val="center"/>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Authority level AFS</w:t>
            </w:r>
          </w:p>
        </w:tc>
        <w:tc>
          <w:tcPr>
            <w:tcW w:w="1418" w:type="dxa"/>
            <w:tcBorders>
              <w:top w:val="single" w:sz="12" w:space="0" w:color="104861"/>
              <w:left w:val="nil"/>
              <w:bottom w:val="nil"/>
              <w:right w:val="nil"/>
            </w:tcBorders>
            <w:shd w:val="clear" w:color="000000" w:fill="FFFFFF"/>
            <w:hideMark/>
          </w:tcPr>
          <w:p w14:paraId="48161AA7" w14:textId="77777777" w:rsidR="003D2691" w:rsidRPr="00792670" w:rsidRDefault="003D2691" w:rsidP="003D2691">
            <w:pPr>
              <w:spacing w:after="0" w:line="240" w:lineRule="auto"/>
              <w:jc w:val="center"/>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Programme level AFS</w:t>
            </w:r>
          </w:p>
        </w:tc>
        <w:tc>
          <w:tcPr>
            <w:tcW w:w="1417" w:type="dxa"/>
            <w:tcBorders>
              <w:top w:val="single" w:sz="12" w:space="0" w:color="104861"/>
              <w:left w:val="nil"/>
              <w:bottom w:val="nil"/>
              <w:right w:val="nil"/>
            </w:tcBorders>
            <w:shd w:val="clear" w:color="000000" w:fill="FFFFFF"/>
            <w:hideMark/>
          </w:tcPr>
          <w:p w14:paraId="130955EB" w14:textId="77777777" w:rsidR="003D2691" w:rsidRPr="00792670" w:rsidRDefault="003D2691" w:rsidP="003D2691">
            <w:pPr>
              <w:spacing w:after="0" w:line="240" w:lineRule="auto"/>
              <w:jc w:val="center"/>
              <w:rPr>
                <w:rFonts w:ascii="Arial Narrow" w:hAnsi="Arial Narrow"/>
                <w:noProof/>
                <w:color w:val="000000"/>
                <w:sz w:val="16"/>
                <w:szCs w:val="16"/>
                <w:lang w:val="en-IE" w:eastAsia="en-IE"/>
              </w:rPr>
            </w:pPr>
            <w:r w:rsidRPr="00792670">
              <w:rPr>
                <w:rFonts w:ascii="Arial Narrow" w:hAnsi="Arial Narrow"/>
                <w:noProof/>
                <w:color w:val="000000"/>
                <w:sz w:val="16"/>
                <w:szCs w:val="16"/>
                <w:lang w:val="en-IE" w:eastAsia="en-IE"/>
              </w:rPr>
              <w:t>Other</w:t>
            </w:r>
          </w:p>
        </w:tc>
        <w:tc>
          <w:tcPr>
            <w:tcW w:w="580" w:type="dxa"/>
            <w:tcBorders>
              <w:top w:val="nil"/>
              <w:left w:val="nil"/>
              <w:bottom w:val="nil"/>
              <w:right w:val="nil"/>
            </w:tcBorders>
            <w:noWrap/>
            <w:vAlign w:val="bottom"/>
            <w:hideMark/>
          </w:tcPr>
          <w:p w14:paraId="6831E10D" w14:textId="77777777" w:rsidR="003D2691" w:rsidRPr="00792670" w:rsidRDefault="003D2691" w:rsidP="003D2691">
            <w:pPr>
              <w:spacing w:after="0" w:line="240" w:lineRule="auto"/>
              <w:jc w:val="center"/>
              <w:rPr>
                <w:rFonts w:ascii="Arial Narrow" w:hAnsi="Arial Narrow"/>
                <w:noProof/>
                <w:color w:val="000000"/>
                <w:sz w:val="16"/>
                <w:szCs w:val="16"/>
                <w:lang w:val="en-IE" w:eastAsia="en-IE"/>
              </w:rPr>
            </w:pPr>
          </w:p>
        </w:tc>
      </w:tr>
    </w:tbl>
    <w:p w14:paraId="36F9EF8D" w14:textId="434E18F2" w:rsidR="003B5612" w:rsidRPr="00DE3A6F" w:rsidRDefault="559A0BE8" w:rsidP="221E107C">
      <w:pPr>
        <w:spacing w:before="120" w:after="160" w:line="257" w:lineRule="auto"/>
        <w:rPr>
          <w:noProof/>
        </w:rPr>
      </w:pPr>
      <w:r w:rsidRPr="00560A95">
        <w:rPr>
          <w:noProof/>
        </w:rPr>
        <w:t xml:space="preserve">The </w:t>
      </w:r>
      <w:r w:rsidRPr="00560A95">
        <w:rPr>
          <w:b/>
          <w:bCs/>
          <w:noProof/>
        </w:rPr>
        <w:t xml:space="preserve">main reason for adopting a NAFS </w:t>
      </w:r>
      <w:r w:rsidRPr="00560A95">
        <w:rPr>
          <w:noProof/>
        </w:rPr>
        <w:t xml:space="preserve">cited by Member States was the legal obligation to </w:t>
      </w:r>
      <w:r w:rsidR="74AC7678" w:rsidRPr="00560A95">
        <w:rPr>
          <w:noProof/>
        </w:rPr>
        <w:t>protect the EU’s financial interests</w:t>
      </w:r>
      <w:r w:rsidR="00A67DEF" w:rsidRPr="00560A95">
        <w:rPr>
          <w:noProof/>
        </w:rPr>
        <w:t xml:space="preserve"> </w:t>
      </w:r>
      <w:r w:rsidR="74AC7678" w:rsidRPr="00560A95">
        <w:rPr>
          <w:noProof/>
        </w:rPr>
        <w:t xml:space="preserve">under </w:t>
      </w:r>
      <w:r w:rsidR="00A67DEF" w:rsidRPr="00560A95">
        <w:rPr>
          <w:noProof/>
        </w:rPr>
        <w:t>Article </w:t>
      </w:r>
      <w:r w:rsidR="74AC7678" w:rsidRPr="00560A95">
        <w:rPr>
          <w:noProof/>
        </w:rPr>
        <w:t xml:space="preserve">325 </w:t>
      </w:r>
      <w:r w:rsidR="00A67DEF" w:rsidRPr="00560A95">
        <w:rPr>
          <w:noProof/>
        </w:rPr>
        <w:t>TFEU</w:t>
      </w:r>
      <w:r w:rsidR="74AC7678" w:rsidRPr="00560A95">
        <w:rPr>
          <w:noProof/>
        </w:rPr>
        <w:t xml:space="preserve">. </w:t>
      </w:r>
      <w:r w:rsidR="32863079" w:rsidRPr="00560A95">
        <w:rPr>
          <w:noProof/>
        </w:rPr>
        <w:t>One Member State</w:t>
      </w:r>
      <w:r w:rsidR="00381A96" w:rsidRPr="00560A95">
        <w:rPr>
          <w:noProof/>
        </w:rPr>
        <w:t> (</w:t>
      </w:r>
      <w:r w:rsidR="003B5612" w:rsidRPr="00560A95">
        <w:rPr>
          <w:noProof/>
          <w:vertAlign w:val="superscript"/>
        </w:rPr>
        <w:footnoteReference w:id="37"/>
      </w:r>
      <w:r w:rsidR="00381A96" w:rsidRPr="00560A95">
        <w:rPr>
          <w:noProof/>
        </w:rPr>
        <w:t>)</w:t>
      </w:r>
      <w:r w:rsidR="32863079" w:rsidRPr="00560A95">
        <w:rPr>
          <w:noProof/>
          <w:vertAlign w:val="superscript"/>
        </w:rPr>
        <w:t xml:space="preserve"> </w:t>
      </w:r>
      <w:r w:rsidR="32863079" w:rsidRPr="00560A95">
        <w:rPr>
          <w:noProof/>
        </w:rPr>
        <w:t>developed its NAFS specifically as part of commitments under the EU’s conditionality procedure.</w:t>
      </w:r>
      <w:r w:rsidR="3CF87957" w:rsidRPr="00560A95">
        <w:rPr>
          <w:noProof/>
        </w:rPr>
        <w:t xml:space="preserve"> Other reasons</w:t>
      </w:r>
      <w:r w:rsidR="36624166" w:rsidRPr="00560A95">
        <w:rPr>
          <w:noProof/>
        </w:rPr>
        <w:t xml:space="preserve"> mentioned</w:t>
      </w:r>
      <w:r w:rsidR="3CF87957" w:rsidRPr="00560A95">
        <w:rPr>
          <w:noProof/>
        </w:rPr>
        <w:t xml:space="preserve"> included</w:t>
      </w:r>
      <w:r w:rsidR="00A77A7C" w:rsidRPr="00560A95">
        <w:rPr>
          <w:noProof/>
        </w:rPr>
        <w:t>: (i) the</w:t>
      </w:r>
      <w:r w:rsidR="3CF87957" w:rsidRPr="00560A95">
        <w:rPr>
          <w:noProof/>
        </w:rPr>
        <w:t xml:space="preserve"> need for a coherent and coordinated policy framework to combat fraud</w:t>
      </w:r>
      <w:r w:rsidR="3DDF14B9" w:rsidRPr="00560A95">
        <w:rPr>
          <w:noProof/>
        </w:rPr>
        <w:t xml:space="preserve"> affecting the EU budget</w:t>
      </w:r>
      <w:r w:rsidR="001B2E1C" w:rsidRPr="00560A95">
        <w:rPr>
          <w:noProof/>
        </w:rPr>
        <w:t>;</w:t>
      </w:r>
      <w:r w:rsidR="3CF87957" w:rsidRPr="00560A95">
        <w:rPr>
          <w:noProof/>
        </w:rPr>
        <w:t xml:space="preserve"> </w:t>
      </w:r>
      <w:r w:rsidR="001B2E1C" w:rsidRPr="00560A95">
        <w:rPr>
          <w:noProof/>
        </w:rPr>
        <w:t xml:space="preserve">(ii) </w:t>
      </w:r>
      <w:r w:rsidR="3CF87957" w:rsidRPr="00560A95">
        <w:rPr>
          <w:noProof/>
        </w:rPr>
        <w:t>strengthening cooperation among national authorities responsible</w:t>
      </w:r>
      <w:r w:rsidR="059DF39E" w:rsidRPr="00560A95">
        <w:rPr>
          <w:noProof/>
        </w:rPr>
        <w:t xml:space="preserve"> for managing EU funds</w:t>
      </w:r>
      <w:r w:rsidR="001B2E1C" w:rsidRPr="00560A95">
        <w:rPr>
          <w:noProof/>
        </w:rPr>
        <w:t>;</w:t>
      </w:r>
      <w:r w:rsidR="7D29A2CB" w:rsidRPr="00560A95">
        <w:rPr>
          <w:noProof/>
        </w:rPr>
        <w:t xml:space="preserve"> and </w:t>
      </w:r>
      <w:r w:rsidR="001B2E1C" w:rsidRPr="00560A95">
        <w:rPr>
          <w:noProof/>
        </w:rPr>
        <w:t xml:space="preserve">(iii) creating </w:t>
      </w:r>
      <w:r w:rsidR="7D29A2CB" w:rsidRPr="00560A95">
        <w:rPr>
          <w:noProof/>
        </w:rPr>
        <w:t>structured mechanisms to address systemic risks.</w:t>
      </w:r>
    </w:p>
    <w:p w14:paraId="7E62410C" w14:textId="6A304C57" w:rsidR="003B5612" w:rsidRPr="00560A95" w:rsidRDefault="0E7FFF90" w:rsidP="00E51FF0">
      <w:pPr>
        <w:keepNext/>
        <w:spacing w:after="0"/>
        <w:rPr>
          <w:rFonts w:ascii="Calibri" w:eastAsia="Calibri" w:hAnsi="Calibri" w:cs="Calibri"/>
          <w:noProof/>
          <w:color w:val="595959" w:themeColor="text1" w:themeTint="A6"/>
        </w:rPr>
      </w:pPr>
      <w:r w:rsidRPr="00560A95">
        <w:rPr>
          <w:noProof/>
        </w:rPr>
        <w:lastRenderedPageBreak/>
        <w:t xml:space="preserve">Member States identified several </w:t>
      </w:r>
      <w:r w:rsidRPr="00560A95">
        <w:rPr>
          <w:b/>
          <w:bCs/>
          <w:noProof/>
        </w:rPr>
        <w:t xml:space="preserve">key benefits </w:t>
      </w:r>
      <w:r w:rsidRPr="00560A95">
        <w:rPr>
          <w:noProof/>
        </w:rPr>
        <w:t>of NAFS:</w:t>
      </w:r>
      <w:r w:rsidR="5EB10154" w:rsidRPr="00560A95">
        <w:rPr>
          <w:noProof/>
        </w:rPr>
        <w:t xml:space="preserve"> </w:t>
      </w:r>
    </w:p>
    <w:p w14:paraId="35BD51B2" w14:textId="74459F9E" w:rsidR="003B5612" w:rsidRPr="00560A95" w:rsidRDefault="00B96C9B" w:rsidP="28D37C99">
      <w:pPr>
        <w:pStyle w:val="ListParagraph"/>
        <w:numPr>
          <w:ilvl w:val="0"/>
          <w:numId w:val="4"/>
        </w:numPr>
        <w:jc w:val="both"/>
        <w:rPr>
          <w:rFonts w:eastAsia="Calibri" w:cs="Calibri"/>
          <w:noProof/>
          <w:color w:val="595959" w:themeColor="text1" w:themeTint="A6"/>
        </w:rPr>
      </w:pPr>
      <w:r w:rsidRPr="00560A95">
        <w:rPr>
          <w:rFonts w:ascii="Times New Roman" w:hAnsi="Times New Roman"/>
          <w:noProof/>
          <w:lang w:eastAsia="en-GB"/>
        </w:rPr>
        <w:t xml:space="preserve">better </w:t>
      </w:r>
      <w:r w:rsidR="5EB10154" w:rsidRPr="00560A95">
        <w:rPr>
          <w:rFonts w:ascii="Times New Roman" w:hAnsi="Times New Roman"/>
          <w:noProof/>
          <w:lang w:eastAsia="en-GB"/>
        </w:rPr>
        <w:t>cooperation, communication and coordination among national anti-fraud actors;</w:t>
      </w:r>
    </w:p>
    <w:p w14:paraId="75FD332C" w14:textId="252C2AD9" w:rsidR="003B5612" w:rsidRPr="00DE3A6F" w:rsidRDefault="5EB10154" w:rsidP="00C84E03">
      <w:pPr>
        <w:pStyle w:val="ListParagraph"/>
        <w:numPr>
          <w:ilvl w:val="0"/>
          <w:numId w:val="4"/>
        </w:numPr>
        <w:spacing w:line="288" w:lineRule="auto"/>
        <w:jc w:val="both"/>
        <w:rPr>
          <w:rFonts w:eastAsia="Calibri" w:cs="Calibri"/>
          <w:noProof/>
          <w:color w:val="595959" w:themeColor="text1" w:themeTint="A6"/>
        </w:rPr>
      </w:pPr>
      <w:r w:rsidRPr="00DE3A6F">
        <w:rPr>
          <w:rFonts w:ascii="Times New Roman" w:hAnsi="Times New Roman"/>
          <w:noProof/>
          <w:lang w:eastAsia="en-GB"/>
        </w:rPr>
        <w:t>consolidation of the anti-fraud architecture, particularly within the AFCOS network;</w:t>
      </w:r>
    </w:p>
    <w:p w14:paraId="1F25BDE9" w14:textId="2E096909" w:rsidR="003B5612" w:rsidRPr="00DE3A6F" w:rsidRDefault="5EB10154" w:rsidP="00C84E03">
      <w:pPr>
        <w:pStyle w:val="ListParagraph"/>
        <w:numPr>
          <w:ilvl w:val="0"/>
          <w:numId w:val="4"/>
        </w:numPr>
        <w:spacing w:line="288" w:lineRule="auto"/>
        <w:jc w:val="both"/>
        <w:rPr>
          <w:rFonts w:eastAsia="Calibri" w:cs="Calibri"/>
          <w:noProof/>
          <w:color w:val="595959" w:themeColor="text1" w:themeTint="A6"/>
        </w:rPr>
      </w:pPr>
      <w:r w:rsidRPr="00DE3A6F">
        <w:rPr>
          <w:rFonts w:ascii="Times New Roman" w:hAnsi="Times New Roman"/>
          <w:noProof/>
          <w:lang w:eastAsia="en-GB"/>
        </w:rPr>
        <w:t xml:space="preserve">better governance by clearly </w:t>
      </w:r>
      <w:r w:rsidR="00B96C9B" w:rsidRPr="00CA1602">
        <w:rPr>
          <w:rFonts w:ascii="Times New Roman" w:hAnsi="Times New Roman"/>
          <w:noProof/>
          <w:lang w:eastAsia="en-GB"/>
        </w:rPr>
        <w:t xml:space="preserve">setting out </w:t>
      </w:r>
      <w:r w:rsidRPr="00DE3A6F">
        <w:rPr>
          <w:rFonts w:ascii="Times New Roman" w:hAnsi="Times New Roman"/>
          <w:noProof/>
          <w:lang w:eastAsia="en-GB"/>
        </w:rPr>
        <w:t>responsibilities and procedures;</w:t>
      </w:r>
    </w:p>
    <w:p w14:paraId="4231AC70" w14:textId="3A0F42D4" w:rsidR="003B5612" w:rsidRPr="00DE3A6F" w:rsidRDefault="008226AF" w:rsidP="00C84E03">
      <w:pPr>
        <w:pStyle w:val="ListParagraph"/>
        <w:numPr>
          <w:ilvl w:val="0"/>
          <w:numId w:val="4"/>
        </w:numPr>
        <w:spacing w:line="288" w:lineRule="auto"/>
        <w:jc w:val="both"/>
        <w:rPr>
          <w:rFonts w:eastAsia="Calibri" w:cs="Calibri"/>
          <w:noProof/>
          <w:color w:val="595959" w:themeColor="text1" w:themeTint="A6"/>
        </w:rPr>
      </w:pPr>
      <w:r w:rsidRPr="00CA1602">
        <w:rPr>
          <w:rFonts w:ascii="Times New Roman" w:hAnsi="Times New Roman"/>
          <w:noProof/>
          <w:lang w:eastAsia="en-GB"/>
        </w:rPr>
        <w:t xml:space="preserve">clearer </w:t>
      </w:r>
      <w:r w:rsidR="5EB10154" w:rsidRPr="00DE3A6F">
        <w:rPr>
          <w:rFonts w:ascii="Times New Roman" w:hAnsi="Times New Roman"/>
          <w:noProof/>
          <w:lang w:eastAsia="en-GB"/>
        </w:rPr>
        <w:t>legal and regulatory framework;</w:t>
      </w:r>
    </w:p>
    <w:p w14:paraId="69022BF4" w14:textId="41D4AA12" w:rsidR="003B5612" w:rsidRPr="00DE3A6F" w:rsidRDefault="5EB10154" w:rsidP="00C84E03">
      <w:pPr>
        <w:pStyle w:val="ListParagraph"/>
        <w:numPr>
          <w:ilvl w:val="0"/>
          <w:numId w:val="4"/>
        </w:numPr>
        <w:spacing w:line="288" w:lineRule="auto"/>
        <w:jc w:val="both"/>
        <w:rPr>
          <w:rFonts w:eastAsia="Calibri" w:cs="Calibri"/>
          <w:noProof/>
          <w:color w:val="595959" w:themeColor="text1" w:themeTint="A6"/>
        </w:rPr>
      </w:pPr>
      <w:r w:rsidRPr="00DE3A6F">
        <w:rPr>
          <w:rFonts w:ascii="Times New Roman" w:hAnsi="Times New Roman"/>
          <w:noProof/>
          <w:lang w:eastAsia="en-GB"/>
        </w:rPr>
        <w:t xml:space="preserve">a more structured and systematic approach to fraud prevention and detection; </w:t>
      </w:r>
    </w:p>
    <w:p w14:paraId="608CADF1" w14:textId="07D0AAA9" w:rsidR="003B5612" w:rsidRPr="00DE3A6F" w:rsidRDefault="5EB10154" w:rsidP="00C84E03">
      <w:pPr>
        <w:pStyle w:val="ListParagraph"/>
        <w:numPr>
          <w:ilvl w:val="0"/>
          <w:numId w:val="4"/>
        </w:numPr>
        <w:spacing w:line="288" w:lineRule="auto"/>
        <w:jc w:val="both"/>
        <w:rPr>
          <w:rFonts w:eastAsia="Calibri" w:cs="Calibri"/>
          <w:noProof/>
          <w:color w:val="595959" w:themeColor="text1" w:themeTint="A6"/>
        </w:rPr>
      </w:pPr>
      <w:r w:rsidRPr="00DE3A6F">
        <w:rPr>
          <w:rFonts w:ascii="Times New Roman" w:hAnsi="Times New Roman"/>
          <w:noProof/>
          <w:lang w:eastAsia="en-GB"/>
        </w:rPr>
        <w:t>effective and coordinated implementation of anti-</w:t>
      </w:r>
      <w:r w:rsidR="00B16B95" w:rsidRPr="00DE3A6F">
        <w:rPr>
          <w:rFonts w:ascii="Times New Roman" w:hAnsi="Times New Roman"/>
          <w:noProof/>
          <w:lang w:eastAsia="en-GB"/>
        </w:rPr>
        <w:t>fraud</w:t>
      </w:r>
      <w:r w:rsidR="00B16B95" w:rsidRPr="00CA1602">
        <w:rPr>
          <w:rFonts w:ascii="Times New Roman" w:hAnsi="Times New Roman"/>
          <w:noProof/>
          <w:lang w:eastAsia="en-GB"/>
        </w:rPr>
        <w:t xml:space="preserve"> measures</w:t>
      </w:r>
      <w:r w:rsidRPr="00DE3A6F">
        <w:rPr>
          <w:rFonts w:ascii="Times New Roman" w:hAnsi="Times New Roman"/>
          <w:noProof/>
          <w:lang w:eastAsia="en-GB"/>
        </w:rPr>
        <w:t>;</w:t>
      </w:r>
    </w:p>
    <w:p w14:paraId="71F699E3" w14:textId="32B3EDE9" w:rsidR="003B5612" w:rsidRPr="00560A95" w:rsidRDefault="5EB10154" w:rsidP="28D37C99">
      <w:pPr>
        <w:pStyle w:val="ListParagraph"/>
        <w:numPr>
          <w:ilvl w:val="0"/>
          <w:numId w:val="4"/>
        </w:numPr>
        <w:spacing w:line="288" w:lineRule="auto"/>
        <w:jc w:val="both"/>
        <w:rPr>
          <w:rFonts w:ascii="Times New Roman" w:hAnsi="Times New Roman"/>
          <w:noProof/>
          <w:lang w:eastAsia="en-GB"/>
        </w:rPr>
      </w:pPr>
      <w:r w:rsidRPr="00560A95">
        <w:rPr>
          <w:rFonts w:ascii="Times New Roman" w:hAnsi="Times New Roman"/>
          <w:noProof/>
          <w:lang w:eastAsia="en-GB"/>
        </w:rPr>
        <w:t xml:space="preserve">greater transparency </w:t>
      </w:r>
      <w:r w:rsidR="008226AF" w:rsidRPr="00560A95">
        <w:rPr>
          <w:rFonts w:ascii="Times New Roman" w:hAnsi="Times New Roman"/>
          <w:noProof/>
          <w:lang w:eastAsia="en-GB"/>
        </w:rPr>
        <w:t xml:space="preserve">of </w:t>
      </w:r>
      <w:r w:rsidRPr="00560A95">
        <w:rPr>
          <w:rFonts w:ascii="Times New Roman" w:hAnsi="Times New Roman"/>
          <w:noProof/>
          <w:lang w:eastAsia="en-GB"/>
        </w:rPr>
        <w:t>anti-fraud efforts and accountability in fund management processes;</w:t>
      </w:r>
    </w:p>
    <w:p w14:paraId="03DDADCA" w14:textId="3BBADAA3" w:rsidR="003B5612" w:rsidRPr="00DE3A6F" w:rsidRDefault="002336E5" w:rsidP="00565EB3">
      <w:pPr>
        <w:pStyle w:val="ListParagraph"/>
        <w:numPr>
          <w:ilvl w:val="0"/>
          <w:numId w:val="4"/>
        </w:numPr>
        <w:spacing w:line="288" w:lineRule="auto"/>
        <w:jc w:val="both"/>
        <w:rPr>
          <w:rFonts w:ascii="Times New Roman" w:hAnsi="Times New Roman"/>
          <w:noProof/>
        </w:rPr>
      </w:pPr>
      <w:r w:rsidRPr="00CA1602">
        <w:rPr>
          <w:rFonts w:ascii="Times New Roman" w:hAnsi="Times New Roman"/>
          <w:noProof/>
          <w:lang w:eastAsia="en-GB"/>
        </w:rPr>
        <w:t xml:space="preserve">stronger </w:t>
      </w:r>
      <w:r w:rsidR="59443A0A" w:rsidRPr="00DE3A6F">
        <w:rPr>
          <w:rFonts w:ascii="Times New Roman" w:hAnsi="Times New Roman"/>
          <w:noProof/>
          <w:lang w:eastAsia="en-GB"/>
        </w:rPr>
        <w:t>institutional capacities through targeted capacity-building measures.</w:t>
      </w:r>
    </w:p>
    <w:p w14:paraId="175C0640" w14:textId="4DEBB744" w:rsidR="003B5612" w:rsidRPr="00DE3A6F" w:rsidRDefault="00565EB3" w:rsidP="221E107C">
      <w:pPr>
        <w:spacing w:before="120" w:after="160" w:line="257" w:lineRule="auto"/>
        <w:rPr>
          <w:noProof/>
        </w:rPr>
      </w:pPr>
      <w:r w:rsidRPr="00CA1602">
        <w:rPr>
          <w:noProof/>
        </w:rPr>
        <w:t>By contrast</w:t>
      </w:r>
      <w:r w:rsidR="115F4D4D" w:rsidRPr="00DE3A6F">
        <w:rPr>
          <w:noProof/>
        </w:rPr>
        <w:t>, the reasons for not adopting a NAFS</w:t>
      </w:r>
      <w:r w:rsidR="00A245F0" w:rsidRPr="00CA1602">
        <w:rPr>
          <w:noProof/>
        </w:rPr>
        <w:t xml:space="preserve"> mentioned by</w:t>
      </w:r>
      <w:r w:rsidR="115F4D4D" w:rsidRPr="00DE3A6F">
        <w:rPr>
          <w:noProof/>
        </w:rPr>
        <w:t xml:space="preserve"> </w:t>
      </w:r>
      <w:r w:rsidR="7C7F92F8" w:rsidRPr="00DE3A6F">
        <w:rPr>
          <w:noProof/>
        </w:rPr>
        <w:t xml:space="preserve">some </w:t>
      </w:r>
      <w:r w:rsidR="115F4D4D" w:rsidRPr="00DE3A6F">
        <w:rPr>
          <w:noProof/>
        </w:rPr>
        <w:t xml:space="preserve">Member States </w:t>
      </w:r>
      <w:r w:rsidR="00A245F0" w:rsidRPr="00CA1602">
        <w:rPr>
          <w:noProof/>
        </w:rPr>
        <w:t xml:space="preserve">included </w:t>
      </w:r>
      <w:r w:rsidR="59D70DCD" w:rsidRPr="00DE3A6F">
        <w:rPr>
          <w:noProof/>
        </w:rPr>
        <w:t>having key anti-fraud elements already embedded in existing national systems, procedures and other anti-fraud strategies in place at national level</w:t>
      </w:r>
      <w:r w:rsidR="5146E3CF" w:rsidRPr="00DE3A6F">
        <w:rPr>
          <w:noProof/>
        </w:rPr>
        <w:t xml:space="preserve">, lack of added value or lack of political decision. </w:t>
      </w:r>
      <w:r w:rsidR="00712243">
        <w:rPr>
          <w:noProof/>
        </w:rPr>
        <w:t>Three</w:t>
      </w:r>
      <w:r w:rsidR="00712243" w:rsidRPr="00DE3A6F">
        <w:rPr>
          <w:noProof/>
        </w:rPr>
        <w:t xml:space="preserve"> </w:t>
      </w:r>
      <w:r w:rsidR="5146E3CF" w:rsidRPr="00DE3A6F">
        <w:rPr>
          <w:noProof/>
        </w:rPr>
        <w:t>Member States</w:t>
      </w:r>
      <w:r w:rsidR="00712243" w:rsidRPr="00712243">
        <w:rPr>
          <w:noProof/>
        </w:rPr>
        <w:t> (</w:t>
      </w:r>
      <w:r w:rsidR="00712243">
        <w:rPr>
          <w:rStyle w:val="FootnoteReference"/>
          <w:noProof/>
        </w:rPr>
        <w:footnoteReference w:id="38"/>
      </w:r>
      <w:r w:rsidR="00712243">
        <w:rPr>
          <w:noProof/>
        </w:rPr>
        <w:t>)</w:t>
      </w:r>
      <w:r w:rsidR="5146E3CF" w:rsidRPr="00DE3A6F">
        <w:rPr>
          <w:noProof/>
        </w:rPr>
        <w:t xml:space="preserve"> reported legislative barriers as the main </w:t>
      </w:r>
      <w:r w:rsidR="5146E3CF" w:rsidRPr="00DE3A6F">
        <w:rPr>
          <w:b/>
          <w:noProof/>
        </w:rPr>
        <w:t>obstacle</w:t>
      </w:r>
      <w:r w:rsidR="5146E3CF" w:rsidRPr="00DE3A6F">
        <w:rPr>
          <w:noProof/>
        </w:rPr>
        <w:t xml:space="preserve"> to adopting a NAFS, while two</w:t>
      </w:r>
      <w:r w:rsidR="00931AC0" w:rsidRPr="00931AC0">
        <w:rPr>
          <w:noProof/>
        </w:rPr>
        <w:t> (</w:t>
      </w:r>
      <w:r w:rsidR="00931AC0">
        <w:rPr>
          <w:rStyle w:val="FootnoteReference"/>
          <w:noProof/>
        </w:rPr>
        <w:footnoteReference w:id="39"/>
      </w:r>
      <w:r w:rsidR="00931AC0">
        <w:rPr>
          <w:noProof/>
        </w:rPr>
        <w:t>)</w:t>
      </w:r>
      <w:r w:rsidR="5146E3CF" w:rsidRPr="00DE3A6F">
        <w:rPr>
          <w:noProof/>
        </w:rPr>
        <w:t xml:space="preserve"> cited resource-related issues and one</w:t>
      </w:r>
      <w:r w:rsidR="00931AC0" w:rsidRPr="00931AC0">
        <w:rPr>
          <w:noProof/>
        </w:rPr>
        <w:t> (</w:t>
      </w:r>
      <w:r w:rsidR="00931AC0">
        <w:rPr>
          <w:rStyle w:val="FootnoteReference"/>
          <w:noProof/>
        </w:rPr>
        <w:footnoteReference w:id="40"/>
      </w:r>
      <w:r w:rsidR="00931AC0">
        <w:rPr>
          <w:noProof/>
        </w:rPr>
        <w:t>)</w:t>
      </w:r>
      <w:r w:rsidR="5146E3CF" w:rsidRPr="00DE3A6F">
        <w:rPr>
          <w:noProof/>
        </w:rPr>
        <w:t xml:space="preserve"> mentioned institutional </w:t>
      </w:r>
      <w:r w:rsidR="0036148D" w:rsidRPr="00DE3A6F">
        <w:rPr>
          <w:noProof/>
        </w:rPr>
        <w:t>factor</w:t>
      </w:r>
      <w:r w:rsidR="006A5341" w:rsidRPr="00CA1602">
        <w:rPr>
          <w:noProof/>
        </w:rPr>
        <w:t>s</w:t>
      </w:r>
      <w:r w:rsidR="5146E3CF" w:rsidRPr="00DE3A6F">
        <w:rPr>
          <w:noProof/>
        </w:rPr>
        <w:t>.</w:t>
      </w:r>
    </w:p>
    <w:p w14:paraId="00717064" w14:textId="7BE9FD73" w:rsidR="0048430C" w:rsidRPr="00DE3A6F" w:rsidRDefault="00863ACB" w:rsidP="00A01F05">
      <w:pPr>
        <w:pStyle w:val="Heading2"/>
        <w:rPr>
          <w:noProof/>
        </w:rPr>
      </w:pPr>
      <w:bookmarkStart w:id="48" w:name="_Enhanced_cooperation_and"/>
      <w:bookmarkStart w:id="49" w:name="_Toc234447062"/>
      <w:bookmarkEnd w:id="48"/>
      <w:r w:rsidRPr="00560A95">
        <w:rPr>
          <w:noProof/>
        </w:rPr>
        <w:t xml:space="preserve">Enhancing </w:t>
      </w:r>
      <w:r w:rsidR="00F94C05" w:rsidRPr="00560A95">
        <w:rPr>
          <w:noProof/>
        </w:rPr>
        <w:t>anti-fraud frameworks</w:t>
      </w:r>
      <w:r w:rsidRPr="00560A95">
        <w:rPr>
          <w:noProof/>
        </w:rPr>
        <w:t xml:space="preserve">: A </w:t>
      </w:r>
      <w:r w:rsidR="00F94C05" w:rsidRPr="00560A95">
        <w:rPr>
          <w:noProof/>
        </w:rPr>
        <w:t>review of member states’ progress on reporting and digitalisation</w:t>
      </w:r>
      <w:bookmarkEnd w:id="49"/>
    </w:p>
    <w:p w14:paraId="1AF1517F" w14:textId="6905B593" w:rsidR="00186CF7" w:rsidRPr="00DE3A6F" w:rsidRDefault="3189FF7C" w:rsidP="00F43E85">
      <w:pPr>
        <w:pStyle w:val="Heading3"/>
        <w:rPr>
          <w:noProof/>
        </w:rPr>
      </w:pPr>
      <w:bookmarkStart w:id="50" w:name="_Dedicated_fora:_COCOLAF"/>
      <w:bookmarkStart w:id="51" w:name="_Toc202011327"/>
      <w:bookmarkStart w:id="52" w:name="_Toc234447063"/>
      <w:bookmarkEnd w:id="50"/>
      <w:r w:rsidRPr="00DE3A6F">
        <w:rPr>
          <w:noProof/>
        </w:rPr>
        <w:t xml:space="preserve">Member State actions: follow-up to the recommendation </w:t>
      </w:r>
      <w:r w:rsidR="00DB2A3D" w:rsidRPr="00CA1602">
        <w:rPr>
          <w:noProof/>
        </w:rPr>
        <w:t xml:space="preserve">in </w:t>
      </w:r>
      <w:r w:rsidRPr="00DE3A6F">
        <w:rPr>
          <w:noProof/>
        </w:rPr>
        <w:t>the 2024 PIF report</w:t>
      </w:r>
      <w:bookmarkEnd w:id="51"/>
      <w:bookmarkEnd w:id="52"/>
    </w:p>
    <w:p w14:paraId="0436D654" w14:textId="4259A710" w:rsidR="004D0A64" w:rsidRPr="00DE3A6F" w:rsidRDefault="00E53E3E" w:rsidP="044E42F4">
      <w:pPr>
        <w:rPr>
          <w:noProof/>
        </w:rPr>
      </w:pPr>
      <w:r w:rsidRPr="00560A95">
        <w:rPr>
          <w:noProof/>
        </w:rPr>
        <w:t xml:space="preserve">The 2024 PIF report contained </w:t>
      </w:r>
      <w:r w:rsidR="00B105F5" w:rsidRPr="00560A95">
        <w:rPr>
          <w:noProof/>
        </w:rPr>
        <w:t>four recommendations</w:t>
      </w:r>
      <w:r w:rsidR="00196BBA" w:rsidRPr="00560A95">
        <w:rPr>
          <w:noProof/>
        </w:rPr>
        <w:t> (</w:t>
      </w:r>
      <w:r w:rsidR="00196BBA" w:rsidRPr="00560A95">
        <w:rPr>
          <w:rStyle w:val="FootnoteReference"/>
          <w:noProof/>
        </w:rPr>
        <w:footnoteReference w:id="41"/>
      </w:r>
      <w:r w:rsidR="00196BBA" w:rsidRPr="00560A95">
        <w:rPr>
          <w:noProof/>
        </w:rPr>
        <w:t>)</w:t>
      </w:r>
      <w:r w:rsidR="00740216" w:rsidRPr="00560A95">
        <w:rPr>
          <w:noProof/>
        </w:rPr>
        <w:t xml:space="preserve">. The first two </w:t>
      </w:r>
      <w:r w:rsidR="00510CBD" w:rsidRPr="00560A95">
        <w:rPr>
          <w:noProof/>
        </w:rPr>
        <w:t xml:space="preserve">were </w:t>
      </w:r>
      <w:r w:rsidR="00EF2A7A" w:rsidRPr="00560A95">
        <w:rPr>
          <w:noProof/>
        </w:rPr>
        <w:t>on strengthening</w:t>
      </w:r>
      <w:r w:rsidR="007C7F3E" w:rsidRPr="00560A95">
        <w:rPr>
          <w:noProof/>
        </w:rPr>
        <w:t xml:space="preserve"> reporting and communication channels, </w:t>
      </w:r>
      <w:r w:rsidR="00EF2A7A" w:rsidRPr="00560A95">
        <w:rPr>
          <w:noProof/>
        </w:rPr>
        <w:t xml:space="preserve">specifically </w:t>
      </w:r>
      <w:r w:rsidR="007C7F3E" w:rsidRPr="00560A95">
        <w:rPr>
          <w:noProof/>
        </w:rPr>
        <w:t>by</w:t>
      </w:r>
      <w:r w:rsidR="00C66112" w:rsidRPr="00560A95">
        <w:rPr>
          <w:noProof/>
        </w:rPr>
        <w:t xml:space="preserve">: </w:t>
      </w:r>
      <w:r w:rsidR="00510CBD" w:rsidRPr="00560A95">
        <w:rPr>
          <w:noProof/>
        </w:rPr>
        <w:t>(i</w:t>
      </w:r>
      <w:r w:rsidR="00C66112" w:rsidRPr="00560A95">
        <w:rPr>
          <w:noProof/>
        </w:rPr>
        <w:t xml:space="preserve">) reducing the reporting gap in relation to suspected fraud and irregularities; and </w:t>
      </w:r>
      <w:r w:rsidR="009929F0" w:rsidRPr="00560A95">
        <w:rPr>
          <w:noProof/>
        </w:rPr>
        <w:t>(ii</w:t>
      </w:r>
      <w:r w:rsidR="00C66112" w:rsidRPr="00560A95">
        <w:rPr>
          <w:noProof/>
        </w:rPr>
        <w:t xml:space="preserve">) </w:t>
      </w:r>
      <w:r w:rsidR="009929F0" w:rsidRPr="00560A95">
        <w:rPr>
          <w:noProof/>
        </w:rPr>
        <w:t xml:space="preserve">setting up </w:t>
      </w:r>
      <w:r w:rsidR="003931A2" w:rsidRPr="00560A95">
        <w:rPr>
          <w:noProof/>
        </w:rPr>
        <w:t>more effective communication channels</w:t>
      </w:r>
      <w:r w:rsidR="00445DC2" w:rsidRPr="00560A95">
        <w:rPr>
          <w:noProof/>
        </w:rPr>
        <w:t xml:space="preserve">, by identifying and addressing existing loopholes in the information flow </w:t>
      </w:r>
      <w:r w:rsidR="009929F0" w:rsidRPr="00560A95">
        <w:rPr>
          <w:noProof/>
        </w:rPr>
        <w:t>for</w:t>
      </w:r>
      <w:r w:rsidR="00445DC2" w:rsidRPr="00560A95">
        <w:rPr>
          <w:noProof/>
        </w:rPr>
        <w:t xml:space="preserve"> suspected fraud</w:t>
      </w:r>
      <w:r w:rsidR="002A5F3C" w:rsidRPr="00560A95">
        <w:rPr>
          <w:noProof/>
        </w:rPr>
        <w:t xml:space="preserve"> cases</w:t>
      </w:r>
      <w:r w:rsidR="00A623FA" w:rsidRPr="00560A95">
        <w:rPr>
          <w:noProof/>
        </w:rPr>
        <w:t xml:space="preserve">, from initial reporting to the </w:t>
      </w:r>
      <w:r w:rsidR="0036148D" w:rsidRPr="00560A95">
        <w:rPr>
          <w:noProof/>
        </w:rPr>
        <w:t>Commission</w:t>
      </w:r>
      <w:r w:rsidR="00A623FA" w:rsidRPr="00560A95">
        <w:rPr>
          <w:noProof/>
        </w:rPr>
        <w:t xml:space="preserve"> </w:t>
      </w:r>
      <w:r w:rsidR="002A5F3C" w:rsidRPr="00560A95">
        <w:rPr>
          <w:noProof/>
        </w:rPr>
        <w:t xml:space="preserve">through </w:t>
      </w:r>
      <w:r w:rsidR="00136036" w:rsidRPr="00560A95">
        <w:rPr>
          <w:noProof/>
        </w:rPr>
        <w:t xml:space="preserve">to </w:t>
      </w:r>
      <w:r w:rsidR="002A5F3C" w:rsidRPr="00560A95">
        <w:rPr>
          <w:noProof/>
        </w:rPr>
        <w:t>follow-up</w:t>
      </w:r>
      <w:r w:rsidR="003931A2" w:rsidRPr="00560A95">
        <w:rPr>
          <w:noProof/>
        </w:rPr>
        <w:t>. The third recommendation</w:t>
      </w:r>
      <w:r w:rsidR="00D615DB" w:rsidRPr="00560A95">
        <w:rPr>
          <w:noProof/>
        </w:rPr>
        <w:t xml:space="preserve"> concerned the adoption of national anti-fraud strategies (already covered in </w:t>
      </w:r>
      <w:hyperlink w:anchor="_National_anti-fraud_strategies" w:history="1">
        <w:r w:rsidR="00D26859">
          <w:rPr>
            <w:rStyle w:val="Hyperlink"/>
            <w:noProof/>
          </w:rPr>
          <w:t>Sect</w:t>
        </w:r>
        <w:r w:rsidR="00D26859">
          <w:rPr>
            <w:rStyle w:val="Hyperlink"/>
            <w:noProof/>
          </w:rPr>
          <w:t>i</w:t>
        </w:r>
        <w:r w:rsidR="00D26859">
          <w:rPr>
            <w:rStyle w:val="Hyperlink"/>
            <w:noProof/>
          </w:rPr>
          <w:t>on 2.3.2</w:t>
        </w:r>
      </w:hyperlink>
      <w:r w:rsidR="00D615DB" w:rsidRPr="00560A95">
        <w:rPr>
          <w:noProof/>
        </w:rPr>
        <w:t>).</w:t>
      </w:r>
      <w:r w:rsidR="00C66112" w:rsidRPr="00560A95">
        <w:rPr>
          <w:noProof/>
        </w:rPr>
        <w:t xml:space="preserve"> </w:t>
      </w:r>
      <w:r w:rsidR="0089574A" w:rsidRPr="00560A95">
        <w:rPr>
          <w:noProof/>
        </w:rPr>
        <w:t xml:space="preserve">The fourth recommendation </w:t>
      </w:r>
      <w:r w:rsidR="00AF4961" w:rsidRPr="00560A95">
        <w:rPr>
          <w:noProof/>
        </w:rPr>
        <w:t>addressed digitalisation as a pillar of the NAFS</w:t>
      </w:r>
      <w:r w:rsidR="2501F613" w:rsidRPr="00560A95">
        <w:rPr>
          <w:noProof/>
        </w:rPr>
        <w:t xml:space="preserve"> with the aim of: </w:t>
      </w:r>
      <w:r w:rsidR="00771758" w:rsidRPr="00560A95">
        <w:rPr>
          <w:noProof/>
        </w:rPr>
        <w:t>(</w:t>
      </w:r>
      <w:r w:rsidR="2501F613" w:rsidRPr="00560A95">
        <w:rPr>
          <w:noProof/>
        </w:rPr>
        <w:t>a) assessing the le</w:t>
      </w:r>
      <w:r w:rsidR="74DA5359" w:rsidRPr="00560A95">
        <w:rPr>
          <w:noProof/>
        </w:rPr>
        <w:t>v</w:t>
      </w:r>
      <w:r w:rsidR="2501F613" w:rsidRPr="00560A95">
        <w:rPr>
          <w:noProof/>
        </w:rPr>
        <w:t xml:space="preserve">el of threat </w:t>
      </w:r>
      <w:r w:rsidR="5D150C93" w:rsidRPr="00560A95">
        <w:rPr>
          <w:noProof/>
        </w:rPr>
        <w:t>posed to the EU budget by the rise in cybercrime</w:t>
      </w:r>
      <w:r w:rsidR="00130547" w:rsidRPr="00560A95">
        <w:rPr>
          <w:noProof/>
        </w:rPr>
        <w:t xml:space="preserve"> and in</w:t>
      </w:r>
      <w:r w:rsidR="5D150C93" w:rsidRPr="00560A95">
        <w:rPr>
          <w:noProof/>
        </w:rPr>
        <w:t xml:space="preserve"> the use of AI and other innovative technologies, in particular by organised crime</w:t>
      </w:r>
      <w:r w:rsidR="00BE4AB9" w:rsidRPr="00560A95">
        <w:rPr>
          <w:noProof/>
        </w:rPr>
        <w:t xml:space="preserve"> groups</w:t>
      </w:r>
      <w:r w:rsidR="5D150C93" w:rsidRPr="00560A95">
        <w:rPr>
          <w:noProof/>
        </w:rPr>
        <w:t xml:space="preserve">; </w:t>
      </w:r>
      <w:r w:rsidR="00BE4AB9" w:rsidRPr="00560A95">
        <w:rPr>
          <w:noProof/>
        </w:rPr>
        <w:t>(</w:t>
      </w:r>
      <w:r w:rsidR="5D150C93" w:rsidRPr="00560A95">
        <w:rPr>
          <w:noProof/>
        </w:rPr>
        <w:t xml:space="preserve">b) identifying </w:t>
      </w:r>
      <w:r w:rsidR="003F003A" w:rsidRPr="00560A95">
        <w:rPr>
          <w:noProof/>
        </w:rPr>
        <w:t xml:space="preserve">Member States’ </w:t>
      </w:r>
      <w:r w:rsidR="6FBC400B" w:rsidRPr="00560A95">
        <w:rPr>
          <w:noProof/>
        </w:rPr>
        <w:t>knowledge and skill</w:t>
      </w:r>
      <w:r w:rsidR="00BE4AB9" w:rsidRPr="00560A95">
        <w:rPr>
          <w:noProof/>
        </w:rPr>
        <w:t>s</w:t>
      </w:r>
      <w:r w:rsidR="6FBC400B" w:rsidRPr="00560A95">
        <w:rPr>
          <w:noProof/>
        </w:rPr>
        <w:t xml:space="preserve"> gaps in relation to the </w:t>
      </w:r>
      <w:r w:rsidR="00BE4AB9" w:rsidRPr="00560A95">
        <w:rPr>
          <w:noProof/>
        </w:rPr>
        <w:t>deploying</w:t>
      </w:r>
      <w:r w:rsidR="6FBC400B" w:rsidRPr="00560A95">
        <w:rPr>
          <w:noProof/>
        </w:rPr>
        <w:t>, develop</w:t>
      </w:r>
      <w:r w:rsidR="00BE4AB9" w:rsidRPr="00560A95">
        <w:rPr>
          <w:noProof/>
        </w:rPr>
        <w:t>ing</w:t>
      </w:r>
      <w:r w:rsidR="6FBC400B" w:rsidRPr="00560A95">
        <w:rPr>
          <w:noProof/>
        </w:rPr>
        <w:t xml:space="preserve"> and us</w:t>
      </w:r>
      <w:r w:rsidR="00BE4AB9" w:rsidRPr="00560A95">
        <w:rPr>
          <w:noProof/>
        </w:rPr>
        <w:t>ing</w:t>
      </w:r>
      <w:r w:rsidR="6FBC400B" w:rsidRPr="00560A95">
        <w:rPr>
          <w:noProof/>
        </w:rPr>
        <w:t xml:space="preserve"> innovative technologies to </w:t>
      </w:r>
      <w:r w:rsidR="000F3EAA" w:rsidRPr="00560A95">
        <w:rPr>
          <w:noProof/>
        </w:rPr>
        <w:t xml:space="preserve">combat </w:t>
      </w:r>
      <w:r w:rsidR="6FBC400B" w:rsidRPr="00560A95">
        <w:rPr>
          <w:noProof/>
        </w:rPr>
        <w:t xml:space="preserve">fraud more effectively; </w:t>
      </w:r>
      <w:r w:rsidR="009B6480" w:rsidRPr="00560A95">
        <w:rPr>
          <w:noProof/>
        </w:rPr>
        <w:t>and (</w:t>
      </w:r>
      <w:r w:rsidR="6FBC400B" w:rsidRPr="00560A95">
        <w:rPr>
          <w:noProof/>
        </w:rPr>
        <w:t xml:space="preserve">c) identifying the </w:t>
      </w:r>
      <w:r w:rsidR="009B6480" w:rsidRPr="00560A95">
        <w:rPr>
          <w:noProof/>
        </w:rPr>
        <w:t xml:space="preserve">measures </w:t>
      </w:r>
      <w:r w:rsidR="6FBC400B" w:rsidRPr="00560A95">
        <w:rPr>
          <w:noProof/>
        </w:rPr>
        <w:t xml:space="preserve">needed to </w:t>
      </w:r>
      <w:r w:rsidR="00E538C6" w:rsidRPr="00560A95">
        <w:rPr>
          <w:noProof/>
        </w:rPr>
        <w:t xml:space="preserve">mitigate </w:t>
      </w:r>
      <w:r w:rsidR="009B6480" w:rsidRPr="00560A95">
        <w:rPr>
          <w:noProof/>
        </w:rPr>
        <w:t xml:space="preserve">those </w:t>
      </w:r>
      <w:r w:rsidR="6FBC400B" w:rsidRPr="00560A95">
        <w:rPr>
          <w:noProof/>
        </w:rPr>
        <w:t>threats and vulnerabilities.</w:t>
      </w:r>
    </w:p>
    <w:p w14:paraId="4036D34C" w14:textId="12AF5631" w:rsidR="00E666E6" w:rsidRPr="00DE3A6F" w:rsidRDefault="3BBEA3A5" w:rsidP="00880372">
      <w:pPr>
        <w:pStyle w:val="Heading4"/>
        <w:rPr>
          <w:rFonts w:eastAsia="Times New Roman Bold"/>
          <w:noProof/>
        </w:rPr>
      </w:pPr>
      <w:r w:rsidRPr="00DE3A6F">
        <w:rPr>
          <w:rFonts w:eastAsia="Times New Roman Bold"/>
          <w:noProof/>
        </w:rPr>
        <w:lastRenderedPageBreak/>
        <w:t xml:space="preserve"> </w:t>
      </w:r>
      <w:bookmarkStart w:id="53" w:name="_Toc234447064"/>
      <w:r w:rsidR="476BB3E0" w:rsidRPr="00880372">
        <w:rPr>
          <w:rFonts w:eastAsia="Times New Roman Bold"/>
          <w:noProof/>
        </w:rPr>
        <w:t>Improved</w:t>
      </w:r>
      <w:r w:rsidR="476BB3E0" w:rsidRPr="00DE3A6F">
        <w:rPr>
          <w:rFonts w:eastAsia="Times New Roman Bold"/>
          <w:noProof/>
        </w:rPr>
        <w:t xml:space="preserve"> reporting and more effective communication channels</w:t>
      </w:r>
      <w:bookmarkEnd w:id="53"/>
    </w:p>
    <w:p w14:paraId="24D2296D" w14:textId="6811321E" w:rsidR="001072E6" w:rsidRPr="00DE3A6F" w:rsidRDefault="001072E6" w:rsidP="00E51FF0">
      <w:pPr>
        <w:keepNext/>
        <w:rPr>
          <w:b/>
          <w:bCs/>
          <w:i/>
          <w:iCs/>
          <w:noProof/>
        </w:rPr>
      </w:pPr>
      <w:r w:rsidRPr="00DE3A6F">
        <w:rPr>
          <w:b/>
          <w:bCs/>
          <w:i/>
          <w:iCs/>
          <w:noProof/>
        </w:rPr>
        <w:t>Improved reporting</w:t>
      </w:r>
    </w:p>
    <w:p w14:paraId="04CAE759" w14:textId="488A7C85" w:rsidR="008B0DBC" w:rsidRPr="00DE3A6F" w:rsidRDefault="00611428" w:rsidP="008B0DBC">
      <w:pPr>
        <w:rPr>
          <w:noProof/>
        </w:rPr>
      </w:pPr>
      <w:r w:rsidRPr="00560A95">
        <w:rPr>
          <w:noProof/>
        </w:rPr>
        <w:t xml:space="preserve">Member States </w:t>
      </w:r>
      <w:r w:rsidR="001E5B53" w:rsidRPr="00560A95">
        <w:rPr>
          <w:noProof/>
        </w:rPr>
        <w:t xml:space="preserve">show </w:t>
      </w:r>
      <w:r w:rsidR="001E5B53" w:rsidRPr="00560A95">
        <w:rPr>
          <w:b/>
          <w:bCs/>
          <w:noProof/>
        </w:rPr>
        <w:t xml:space="preserve">greater confidence in their </w:t>
      </w:r>
      <w:r w:rsidR="00946F16" w:rsidRPr="00560A95">
        <w:rPr>
          <w:b/>
          <w:bCs/>
          <w:noProof/>
        </w:rPr>
        <w:t xml:space="preserve">anti-fraud </w:t>
      </w:r>
      <w:r w:rsidR="001E5B53" w:rsidRPr="00560A95">
        <w:rPr>
          <w:b/>
          <w:bCs/>
          <w:noProof/>
        </w:rPr>
        <w:t>reporting systems</w:t>
      </w:r>
      <w:r w:rsidR="00946F16" w:rsidRPr="00560A95">
        <w:rPr>
          <w:noProof/>
        </w:rPr>
        <w:t xml:space="preserve">. </w:t>
      </w:r>
      <w:r w:rsidR="00D00440" w:rsidRPr="00560A95">
        <w:rPr>
          <w:noProof/>
        </w:rPr>
        <w:t>I</w:t>
      </w:r>
      <w:r w:rsidR="00946F16" w:rsidRPr="00560A95">
        <w:rPr>
          <w:noProof/>
        </w:rPr>
        <w:t xml:space="preserve">n 2024 </w:t>
      </w:r>
      <w:r w:rsidR="00373604" w:rsidRPr="00560A95">
        <w:rPr>
          <w:noProof/>
        </w:rPr>
        <w:t xml:space="preserve">11 </w:t>
      </w:r>
      <w:r w:rsidR="00946F16" w:rsidRPr="00560A95">
        <w:rPr>
          <w:noProof/>
        </w:rPr>
        <w:t>Me</w:t>
      </w:r>
      <w:r w:rsidR="00FD3D55" w:rsidRPr="00560A95">
        <w:rPr>
          <w:noProof/>
        </w:rPr>
        <w:t xml:space="preserve">mber States identified no </w:t>
      </w:r>
      <w:r w:rsidR="004F4606" w:rsidRPr="00560A95">
        <w:rPr>
          <w:noProof/>
        </w:rPr>
        <w:t xml:space="preserve">significant </w:t>
      </w:r>
      <w:r w:rsidR="00FD3D55" w:rsidRPr="00560A95">
        <w:rPr>
          <w:noProof/>
        </w:rPr>
        <w:t xml:space="preserve">gaps in their </w:t>
      </w:r>
      <w:r w:rsidR="004F4606" w:rsidRPr="00560A95">
        <w:rPr>
          <w:noProof/>
        </w:rPr>
        <w:t xml:space="preserve">reporting, </w:t>
      </w:r>
      <w:r w:rsidR="00D00440" w:rsidRPr="00560A95">
        <w:rPr>
          <w:noProof/>
        </w:rPr>
        <w:t xml:space="preserve">while </w:t>
      </w:r>
      <w:r w:rsidR="004F4606" w:rsidRPr="00560A95">
        <w:rPr>
          <w:noProof/>
        </w:rPr>
        <w:t xml:space="preserve">their number </w:t>
      </w:r>
      <w:r w:rsidR="00373604" w:rsidRPr="00560A95">
        <w:rPr>
          <w:noProof/>
        </w:rPr>
        <w:t xml:space="preserve">rose </w:t>
      </w:r>
      <w:r w:rsidR="004F4606" w:rsidRPr="00560A95">
        <w:rPr>
          <w:noProof/>
        </w:rPr>
        <w:t>to 18 in 2025</w:t>
      </w:r>
      <w:r w:rsidR="00A73FDA" w:rsidRPr="00560A95">
        <w:rPr>
          <w:noProof/>
        </w:rPr>
        <w:t xml:space="preserve">, a trend that </w:t>
      </w:r>
      <w:r w:rsidR="00C21615" w:rsidRPr="00560A95">
        <w:rPr>
          <w:noProof/>
        </w:rPr>
        <w:t xml:space="preserve">may </w:t>
      </w:r>
      <w:r w:rsidR="00A73FDA" w:rsidRPr="00560A95">
        <w:rPr>
          <w:noProof/>
        </w:rPr>
        <w:t xml:space="preserve">reflect </w:t>
      </w:r>
      <w:r w:rsidR="00C21615" w:rsidRPr="00560A95">
        <w:rPr>
          <w:noProof/>
        </w:rPr>
        <w:t xml:space="preserve">improvements in national reporting </w:t>
      </w:r>
      <w:r w:rsidR="00A73FDA" w:rsidRPr="00560A95">
        <w:rPr>
          <w:noProof/>
        </w:rPr>
        <w:t>mechanisms</w:t>
      </w:r>
      <w:r w:rsidR="00C21615" w:rsidRPr="00560A95">
        <w:rPr>
          <w:noProof/>
        </w:rPr>
        <w:t xml:space="preserve">, </w:t>
      </w:r>
      <w:r w:rsidR="00F95A6A" w:rsidRPr="00560A95">
        <w:rPr>
          <w:noProof/>
        </w:rPr>
        <w:t xml:space="preserve">heightened </w:t>
      </w:r>
      <w:r w:rsidR="00C21615" w:rsidRPr="00560A95">
        <w:rPr>
          <w:noProof/>
        </w:rPr>
        <w:t xml:space="preserve">awareness of obligations, or increased </w:t>
      </w:r>
      <w:r w:rsidR="00F95A6A" w:rsidRPr="00560A95">
        <w:rPr>
          <w:noProof/>
        </w:rPr>
        <w:t>trust in existing</w:t>
      </w:r>
      <w:r w:rsidR="00C21615" w:rsidRPr="00560A95">
        <w:rPr>
          <w:noProof/>
        </w:rPr>
        <w:t xml:space="preserve"> systems. </w:t>
      </w:r>
      <w:r w:rsidR="00635603" w:rsidRPr="00560A95">
        <w:rPr>
          <w:noProof/>
        </w:rPr>
        <w:t>Nevertheless</w:t>
      </w:r>
      <w:r w:rsidR="00F95A6A" w:rsidRPr="00560A95">
        <w:rPr>
          <w:noProof/>
        </w:rPr>
        <w:t>, caution is warranted</w:t>
      </w:r>
      <w:r w:rsidR="00B05246" w:rsidRPr="00560A95">
        <w:rPr>
          <w:noProof/>
        </w:rPr>
        <w:t xml:space="preserve">, </w:t>
      </w:r>
      <w:r w:rsidR="00C21615" w:rsidRPr="00560A95">
        <w:rPr>
          <w:noProof/>
        </w:rPr>
        <w:t xml:space="preserve">as </w:t>
      </w:r>
      <w:r w:rsidR="00B05246" w:rsidRPr="00560A95">
        <w:rPr>
          <w:noProof/>
        </w:rPr>
        <w:t xml:space="preserve">these findings are </w:t>
      </w:r>
      <w:r w:rsidR="00C21615" w:rsidRPr="00560A95">
        <w:rPr>
          <w:noProof/>
        </w:rPr>
        <w:t xml:space="preserve">based on Member States’ </w:t>
      </w:r>
      <w:r w:rsidR="00B05246" w:rsidRPr="00560A95">
        <w:rPr>
          <w:noProof/>
        </w:rPr>
        <w:t>self-</w:t>
      </w:r>
      <w:r w:rsidR="00C21615" w:rsidRPr="00560A95">
        <w:rPr>
          <w:noProof/>
        </w:rPr>
        <w:t>assessments.</w:t>
      </w:r>
    </w:p>
    <w:p w14:paraId="246346F6" w14:textId="5C95D59C" w:rsidR="00C21615" w:rsidRPr="00DE3A6F" w:rsidRDefault="598831F7" w:rsidP="008B0DBC">
      <w:pPr>
        <w:rPr>
          <w:noProof/>
        </w:rPr>
      </w:pPr>
      <w:r w:rsidRPr="00560A95">
        <w:rPr>
          <w:b/>
          <w:bCs/>
          <w:noProof/>
        </w:rPr>
        <w:t xml:space="preserve">Prevention </w:t>
      </w:r>
      <w:r w:rsidR="00B05246" w:rsidRPr="00560A95">
        <w:rPr>
          <w:b/>
          <w:bCs/>
          <w:noProof/>
        </w:rPr>
        <w:t>remains the primary</w:t>
      </w:r>
      <w:r w:rsidRPr="00560A95">
        <w:rPr>
          <w:b/>
          <w:bCs/>
          <w:noProof/>
        </w:rPr>
        <w:t xml:space="preserve"> focus</w:t>
      </w:r>
      <w:r w:rsidRPr="00560A95">
        <w:rPr>
          <w:noProof/>
        </w:rPr>
        <w:t xml:space="preserve"> of national anti-fraud efforts, followed by detection. </w:t>
      </w:r>
      <w:r w:rsidR="004934E7" w:rsidRPr="00560A95">
        <w:rPr>
          <w:noProof/>
        </w:rPr>
        <w:t>Twenty-four</w:t>
      </w:r>
      <w:r w:rsidRPr="00560A95">
        <w:rPr>
          <w:noProof/>
        </w:rPr>
        <w:t xml:space="preserve"> Member States </w:t>
      </w:r>
      <w:r w:rsidR="004934E7" w:rsidRPr="00560A95">
        <w:rPr>
          <w:noProof/>
        </w:rPr>
        <w:t>prioritised prevention</w:t>
      </w:r>
      <w:r w:rsidR="009C11D4" w:rsidRPr="00560A95">
        <w:rPr>
          <w:noProof/>
        </w:rPr>
        <w:t xml:space="preserve">, </w:t>
      </w:r>
      <w:r w:rsidRPr="00560A95">
        <w:rPr>
          <w:noProof/>
        </w:rPr>
        <w:t xml:space="preserve">while </w:t>
      </w:r>
      <w:r w:rsidR="009C11D4" w:rsidRPr="00560A95">
        <w:rPr>
          <w:noProof/>
        </w:rPr>
        <w:t xml:space="preserve">the </w:t>
      </w:r>
      <w:r w:rsidRPr="00560A95">
        <w:rPr>
          <w:noProof/>
        </w:rPr>
        <w:t xml:space="preserve">remaining </w:t>
      </w:r>
      <w:r w:rsidR="005F3198" w:rsidRPr="00560A95">
        <w:rPr>
          <w:noProof/>
        </w:rPr>
        <w:t>three</w:t>
      </w:r>
      <w:r w:rsidR="00FB1985" w:rsidRPr="00560A95">
        <w:rPr>
          <w:noProof/>
        </w:rPr>
        <w:t> (</w:t>
      </w:r>
      <w:r w:rsidR="00FB1985" w:rsidRPr="00560A95">
        <w:rPr>
          <w:rStyle w:val="FootnoteReference"/>
          <w:noProof/>
        </w:rPr>
        <w:footnoteReference w:id="42"/>
      </w:r>
      <w:r w:rsidR="00FB1985" w:rsidRPr="00560A95">
        <w:rPr>
          <w:noProof/>
        </w:rPr>
        <w:t>)</w:t>
      </w:r>
      <w:r w:rsidR="173E310B" w:rsidRPr="00560A95">
        <w:rPr>
          <w:noProof/>
        </w:rPr>
        <w:t xml:space="preserve"> </w:t>
      </w:r>
      <w:r w:rsidR="009C11D4" w:rsidRPr="00560A95">
        <w:rPr>
          <w:noProof/>
        </w:rPr>
        <w:t xml:space="preserve">focused on </w:t>
      </w:r>
      <w:r w:rsidRPr="00560A95">
        <w:rPr>
          <w:noProof/>
        </w:rPr>
        <w:t>detection.</w:t>
      </w:r>
    </w:p>
    <w:p w14:paraId="6E3FD1B4" w14:textId="03D7DFD9" w:rsidR="00497E73" w:rsidRPr="00DE3A6F" w:rsidRDefault="00585155" w:rsidP="008B0DBC">
      <w:pPr>
        <w:rPr>
          <w:noProof/>
        </w:rPr>
      </w:pPr>
      <w:r w:rsidRPr="00560A95">
        <w:rPr>
          <w:noProof/>
        </w:rPr>
        <w:t xml:space="preserve">On </w:t>
      </w:r>
      <w:r w:rsidR="00A278D7" w:rsidRPr="00560A95">
        <w:rPr>
          <w:noProof/>
        </w:rPr>
        <w:t>staff knowledge and training on</w:t>
      </w:r>
      <w:r w:rsidR="00A7661F" w:rsidRPr="00560A95">
        <w:rPr>
          <w:noProof/>
        </w:rPr>
        <w:t xml:space="preserve"> the </w:t>
      </w:r>
      <w:r w:rsidR="00A278D7" w:rsidRPr="00560A95">
        <w:rPr>
          <w:noProof/>
        </w:rPr>
        <w:t xml:space="preserve">Irregularity Management System (IMS), </w:t>
      </w:r>
      <w:r w:rsidR="00A7661F" w:rsidRPr="00560A95">
        <w:rPr>
          <w:noProof/>
        </w:rPr>
        <w:t>most</w:t>
      </w:r>
      <w:r w:rsidR="00A278D7" w:rsidRPr="00560A95">
        <w:rPr>
          <w:noProof/>
        </w:rPr>
        <w:t xml:space="preserve"> Member States rely on OLAF or Commission materials (22 Member States), regular training sessions (20), liaison officers or trainers in contact with OLAF (18), and national guidance or manuals (17).</w:t>
      </w:r>
    </w:p>
    <w:p w14:paraId="21D68964" w14:textId="0BB34008" w:rsidR="00F67C50" w:rsidRPr="00DE3A6F" w:rsidRDefault="00F67C50" w:rsidP="008B0DBC">
      <w:pPr>
        <w:rPr>
          <w:noProof/>
        </w:rPr>
      </w:pPr>
      <w:r w:rsidRPr="00560A95">
        <w:rPr>
          <w:noProof/>
        </w:rPr>
        <w:t xml:space="preserve">Overall, </w:t>
      </w:r>
      <w:r w:rsidR="004A1820" w:rsidRPr="00560A95">
        <w:rPr>
          <w:noProof/>
        </w:rPr>
        <w:t xml:space="preserve">responses indicate a </w:t>
      </w:r>
      <w:r w:rsidR="004A1820" w:rsidRPr="00560A95">
        <w:rPr>
          <w:b/>
          <w:bCs/>
          <w:noProof/>
        </w:rPr>
        <w:t>strong</w:t>
      </w:r>
      <w:r w:rsidRPr="00560A95">
        <w:rPr>
          <w:b/>
          <w:bCs/>
          <w:noProof/>
        </w:rPr>
        <w:t xml:space="preserve"> commitment</w:t>
      </w:r>
      <w:r w:rsidRPr="00560A95">
        <w:rPr>
          <w:noProof/>
        </w:rPr>
        <w:t xml:space="preserve"> to anti-fraud reporting, characterised by</w:t>
      </w:r>
      <w:r w:rsidR="005043A2" w:rsidRPr="00560A95">
        <w:rPr>
          <w:noProof/>
        </w:rPr>
        <w:t>:</w:t>
      </w:r>
      <w:r w:rsidRPr="00560A95">
        <w:rPr>
          <w:noProof/>
        </w:rPr>
        <w:t xml:space="preserve"> </w:t>
      </w:r>
      <w:r w:rsidR="005043A2" w:rsidRPr="00560A95">
        <w:rPr>
          <w:noProof/>
        </w:rPr>
        <w:t xml:space="preserve">(i) </w:t>
      </w:r>
      <w:r w:rsidRPr="00560A95">
        <w:rPr>
          <w:noProof/>
        </w:rPr>
        <w:t xml:space="preserve">a prevention-led approach, </w:t>
      </w:r>
      <w:r w:rsidR="005043A2" w:rsidRPr="00560A95">
        <w:rPr>
          <w:noProof/>
        </w:rPr>
        <w:t xml:space="preserve">(ii) </w:t>
      </w:r>
      <w:r w:rsidRPr="00560A95">
        <w:rPr>
          <w:noProof/>
        </w:rPr>
        <w:t xml:space="preserve">extensive use of training, </w:t>
      </w:r>
      <w:r w:rsidR="005043A2" w:rsidRPr="00560A95">
        <w:rPr>
          <w:noProof/>
        </w:rPr>
        <w:t xml:space="preserve">(iii) </w:t>
      </w:r>
      <w:r w:rsidRPr="00560A95">
        <w:rPr>
          <w:noProof/>
        </w:rPr>
        <w:t xml:space="preserve">growing reliance on risk assessment, and </w:t>
      </w:r>
      <w:r w:rsidR="007A1FD9" w:rsidRPr="00560A95">
        <w:rPr>
          <w:noProof/>
        </w:rPr>
        <w:t xml:space="preserve">(iv) better </w:t>
      </w:r>
      <w:r w:rsidRPr="00560A95">
        <w:rPr>
          <w:noProof/>
        </w:rPr>
        <w:t xml:space="preserve">coordination through AFCOS and IMS support structures. </w:t>
      </w:r>
      <w:r w:rsidR="00FB0EA7" w:rsidRPr="00560A95">
        <w:rPr>
          <w:noProof/>
        </w:rPr>
        <w:t xml:space="preserve">However, </w:t>
      </w:r>
      <w:r w:rsidRPr="00560A95">
        <w:rPr>
          <w:noProof/>
        </w:rPr>
        <w:t xml:space="preserve">closing the reporting gap depends not only on legal obligations, but </w:t>
      </w:r>
      <w:r w:rsidR="00FB0EA7" w:rsidRPr="00560A95">
        <w:rPr>
          <w:noProof/>
        </w:rPr>
        <w:t xml:space="preserve">also </w:t>
      </w:r>
      <w:r w:rsidRPr="00560A95">
        <w:rPr>
          <w:noProof/>
        </w:rPr>
        <w:t xml:space="preserve">on operational consistency, staff capacity, </w:t>
      </w:r>
      <w:r w:rsidR="00FB0EA7" w:rsidRPr="00560A95">
        <w:rPr>
          <w:noProof/>
        </w:rPr>
        <w:t xml:space="preserve">inter-agency </w:t>
      </w:r>
      <w:r w:rsidRPr="00560A95">
        <w:rPr>
          <w:noProof/>
        </w:rPr>
        <w:t>coordination, and systematic quality control of reporting data.</w:t>
      </w:r>
    </w:p>
    <w:p w14:paraId="31B0D4A6" w14:textId="4F69AD64" w:rsidR="00130A07" w:rsidRPr="00DE3A6F" w:rsidRDefault="00CC439E" w:rsidP="00CC439E">
      <w:pPr>
        <w:pStyle w:val="Caption"/>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DE3A6F">
        <w:rPr>
          <w:noProof/>
        </w:rPr>
        <w:t xml:space="preserve">Snapshot </w:t>
      </w:r>
      <w:r w:rsidR="008B28F1" w:rsidRPr="00DE3A6F">
        <w:rPr>
          <w:noProof/>
        </w:rPr>
        <w:fldChar w:fldCharType="begin"/>
      </w:r>
      <w:r w:rsidR="008B28F1" w:rsidRPr="00DE3A6F">
        <w:rPr>
          <w:noProof/>
        </w:rPr>
        <w:instrText xml:space="preserve"> SEQ Snapshot \* ARABIC </w:instrText>
      </w:r>
      <w:r w:rsidR="008B28F1" w:rsidRPr="00DE3A6F">
        <w:rPr>
          <w:noProof/>
        </w:rPr>
        <w:fldChar w:fldCharType="separate"/>
      </w:r>
      <w:r w:rsidR="00CA6005">
        <w:rPr>
          <w:noProof/>
        </w:rPr>
        <w:t>4</w:t>
      </w:r>
      <w:r w:rsidR="008B28F1" w:rsidRPr="00DE3A6F">
        <w:rPr>
          <w:noProof/>
        </w:rPr>
        <w:fldChar w:fldCharType="end"/>
      </w:r>
      <w:r w:rsidR="00130A07" w:rsidRPr="00DE3A6F">
        <w:rPr>
          <w:noProof/>
        </w:rPr>
        <w:t xml:space="preserve">: Best practices </w:t>
      </w:r>
      <w:r w:rsidR="00680F73" w:rsidRPr="00DE3A6F">
        <w:rPr>
          <w:noProof/>
        </w:rPr>
        <w:t>to improve reporting</w:t>
      </w:r>
    </w:p>
    <w:p w14:paraId="395658E8" w14:textId="3F7C3C04" w:rsidR="00680F73" w:rsidRPr="00DE3A6F" w:rsidRDefault="790679BC" w:rsidP="00CC439E">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DE3A6F">
        <w:rPr>
          <w:noProof/>
        </w:rPr>
        <w:t>The most transferable best practices mentioned by Member States include: </w:t>
      </w:r>
    </w:p>
    <w:p w14:paraId="409D9718" w14:textId="76AC2F38" w:rsidR="00680F73" w:rsidRPr="00DE3A6F" w:rsidRDefault="790679BC" w:rsidP="00CC439E">
      <w:pPr>
        <w:numPr>
          <w:ilvl w:val="0"/>
          <w:numId w:val="27"/>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regular fraud risk self-assessment</w:t>
      </w:r>
      <w:r w:rsidR="004A7289" w:rsidRPr="00DE3A6F">
        <w:rPr>
          <w:noProof/>
        </w:rPr>
        <w:t>;</w:t>
      </w:r>
    </w:p>
    <w:p w14:paraId="78BA5340" w14:textId="7CE7D8EA" w:rsidR="00680F73" w:rsidRPr="00DE3A6F" w:rsidRDefault="00C87E3D" w:rsidP="00CC439E">
      <w:pPr>
        <w:numPr>
          <w:ilvl w:val="0"/>
          <w:numId w:val="28"/>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 xml:space="preserve">comprehensive </w:t>
      </w:r>
      <w:r w:rsidR="00680F73" w:rsidRPr="00DE3A6F">
        <w:rPr>
          <w:noProof/>
        </w:rPr>
        <w:t>staff training and onboarding for IMS</w:t>
      </w:r>
      <w:r w:rsidR="001C1B1D" w:rsidRPr="00CA1602">
        <w:rPr>
          <w:noProof/>
        </w:rPr>
        <w:t xml:space="preserve"> </w:t>
      </w:r>
      <w:r w:rsidR="00680F73" w:rsidRPr="00DE3A6F">
        <w:rPr>
          <w:noProof/>
        </w:rPr>
        <w:t>reporting</w:t>
      </w:r>
      <w:r w:rsidR="004A7289" w:rsidRPr="00DE3A6F">
        <w:rPr>
          <w:noProof/>
        </w:rPr>
        <w:t>;</w:t>
      </w:r>
    </w:p>
    <w:p w14:paraId="1F18AECB" w14:textId="65798370" w:rsidR="00680F73" w:rsidRPr="00DE3A6F" w:rsidRDefault="00680F73" w:rsidP="00CC439E">
      <w:pPr>
        <w:numPr>
          <w:ilvl w:val="0"/>
          <w:numId w:val="29"/>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 xml:space="preserve">clear allocation </w:t>
      </w:r>
      <w:r w:rsidR="00C87E3D" w:rsidRPr="00DE3A6F">
        <w:rPr>
          <w:noProof/>
        </w:rPr>
        <w:t xml:space="preserve">of tasks </w:t>
      </w:r>
      <w:r w:rsidRPr="00DE3A6F">
        <w:rPr>
          <w:noProof/>
        </w:rPr>
        <w:t>and referral pathways</w:t>
      </w:r>
      <w:r w:rsidR="001C1B1D" w:rsidRPr="00DE3A6F">
        <w:rPr>
          <w:noProof/>
        </w:rPr>
        <w:t>;</w:t>
      </w:r>
    </w:p>
    <w:p w14:paraId="10F674FF" w14:textId="01B45867" w:rsidR="00680F73" w:rsidRPr="00DE3A6F" w:rsidRDefault="00680F73" w:rsidP="28D37C99">
      <w:pPr>
        <w:numPr>
          <w:ilvl w:val="0"/>
          <w:numId w:val="30"/>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560A95">
        <w:rPr>
          <w:noProof/>
        </w:rPr>
        <w:t>use of red flags, data tools and integrated checks</w:t>
      </w:r>
      <w:r w:rsidR="001C1B1D" w:rsidRPr="00560A95">
        <w:rPr>
          <w:noProof/>
        </w:rPr>
        <w:t>;</w:t>
      </w:r>
    </w:p>
    <w:p w14:paraId="59F3068B" w14:textId="7EB00C6E" w:rsidR="00680F73" w:rsidRPr="00DE3A6F" w:rsidRDefault="00680F73" w:rsidP="00CC439E">
      <w:pPr>
        <w:numPr>
          <w:ilvl w:val="0"/>
          <w:numId w:val="31"/>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national coordination mechanisms and working groups</w:t>
      </w:r>
      <w:r w:rsidR="001C1B1D" w:rsidRPr="00DE3A6F">
        <w:rPr>
          <w:noProof/>
        </w:rPr>
        <w:t>;</w:t>
      </w:r>
    </w:p>
    <w:p w14:paraId="5B4EED44" w14:textId="42D9CDD3" w:rsidR="00680F73" w:rsidRPr="00DE3A6F" w:rsidRDefault="790679BC" w:rsidP="28D37C99">
      <w:pPr>
        <w:numPr>
          <w:ilvl w:val="0"/>
          <w:numId w:val="32"/>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560A95">
        <w:rPr>
          <w:noProof/>
        </w:rPr>
        <w:t>effectiveness measurement combining audits, risks, cases and recoveries.</w:t>
      </w:r>
    </w:p>
    <w:p w14:paraId="7DF143AF" w14:textId="6F3B04DF" w:rsidR="00680F73" w:rsidRPr="00DE3A6F" w:rsidRDefault="00597BD1" w:rsidP="28D37C99">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560A95">
        <w:rPr>
          <w:b/>
          <w:bCs/>
          <w:noProof/>
        </w:rPr>
        <w:t>Key</w:t>
      </w:r>
      <w:r w:rsidR="790679BC" w:rsidRPr="00560A95">
        <w:rPr>
          <w:b/>
          <w:bCs/>
          <w:noProof/>
        </w:rPr>
        <w:t xml:space="preserve"> </w:t>
      </w:r>
      <w:r w:rsidR="006F4FC4" w:rsidRPr="00560A95">
        <w:rPr>
          <w:b/>
          <w:bCs/>
          <w:noProof/>
        </w:rPr>
        <w:t>takeaway</w:t>
      </w:r>
      <w:r w:rsidR="00F76AEF" w:rsidRPr="00560A95">
        <w:rPr>
          <w:b/>
          <w:bCs/>
          <w:noProof/>
        </w:rPr>
        <w:t>:</w:t>
      </w:r>
      <w:r w:rsidR="00D6520D" w:rsidRPr="00560A95">
        <w:rPr>
          <w:noProof/>
        </w:rPr>
        <w:t xml:space="preserve"> </w:t>
      </w:r>
      <w:r w:rsidR="790679BC" w:rsidRPr="00560A95">
        <w:rPr>
          <w:noProof/>
        </w:rPr>
        <w:t xml:space="preserve">closing the reporting gap requires </w:t>
      </w:r>
      <w:r w:rsidR="00F76AEF" w:rsidRPr="00560A95">
        <w:rPr>
          <w:noProof/>
        </w:rPr>
        <w:t xml:space="preserve">more than </w:t>
      </w:r>
      <w:r w:rsidR="790679BC" w:rsidRPr="00560A95">
        <w:rPr>
          <w:noProof/>
        </w:rPr>
        <w:t xml:space="preserve">legal </w:t>
      </w:r>
      <w:r w:rsidR="00F76AEF" w:rsidRPr="00560A95">
        <w:rPr>
          <w:noProof/>
        </w:rPr>
        <w:t>compliance</w:t>
      </w:r>
      <w:r w:rsidR="00A34125" w:rsidRPr="00560A95">
        <w:rPr>
          <w:noProof/>
        </w:rPr>
        <w:t>. It demands</w:t>
      </w:r>
      <w:r w:rsidR="790679BC" w:rsidRPr="00560A95">
        <w:rPr>
          <w:noProof/>
        </w:rPr>
        <w:t xml:space="preserve"> operational consistency, staff</w:t>
      </w:r>
      <w:r w:rsidR="00560A95">
        <w:rPr>
          <w:noProof/>
        </w:rPr>
        <w:t xml:space="preserve"> </w:t>
      </w:r>
      <w:r w:rsidR="001C1B1D" w:rsidRPr="00560A95">
        <w:rPr>
          <w:noProof/>
        </w:rPr>
        <w:t>skills</w:t>
      </w:r>
      <w:r w:rsidR="790679BC" w:rsidRPr="00560A95">
        <w:rPr>
          <w:noProof/>
        </w:rPr>
        <w:t>,</w:t>
      </w:r>
      <w:r w:rsidR="00A34125" w:rsidRPr="00560A95">
        <w:rPr>
          <w:noProof/>
        </w:rPr>
        <w:t xml:space="preserve"> </w:t>
      </w:r>
      <w:r w:rsidR="790679BC" w:rsidRPr="00560A95">
        <w:rPr>
          <w:noProof/>
        </w:rPr>
        <w:t>coordination</w:t>
      </w:r>
      <w:r w:rsidR="001C1B1D" w:rsidRPr="00560A95">
        <w:rPr>
          <w:noProof/>
        </w:rPr>
        <w:t xml:space="preserve"> </w:t>
      </w:r>
      <w:r w:rsidR="790679BC" w:rsidRPr="00560A95">
        <w:rPr>
          <w:noProof/>
        </w:rPr>
        <w:t xml:space="preserve">and systematic </w:t>
      </w:r>
      <w:r w:rsidR="00F47C27" w:rsidRPr="00560A95">
        <w:rPr>
          <w:noProof/>
        </w:rPr>
        <w:t>data-</w:t>
      </w:r>
      <w:r w:rsidR="790679BC" w:rsidRPr="00560A95">
        <w:rPr>
          <w:noProof/>
        </w:rPr>
        <w:t xml:space="preserve">quality </w:t>
      </w:r>
      <w:r w:rsidR="00F47C27" w:rsidRPr="00560A95">
        <w:rPr>
          <w:noProof/>
        </w:rPr>
        <w:t>checks</w:t>
      </w:r>
      <w:r w:rsidR="790679BC" w:rsidRPr="00560A95">
        <w:rPr>
          <w:noProof/>
        </w:rPr>
        <w:t>.</w:t>
      </w:r>
    </w:p>
    <w:p w14:paraId="6D79DB14" w14:textId="137F043D" w:rsidR="004F7200" w:rsidRPr="00DE3A6F" w:rsidRDefault="00227132" w:rsidP="008B0DBC">
      <w:pPr>
        <w:rPr>
          <w:b/>
          <w:bCs/>
          <w:i/>
          <w:iCs/>
          <w:noProof/>
        </w:rPr>
      </w:pPr>
      <w:r w:rsidRPr="00DE3A6F">
        <w:rPr>
          <w:b/>
          <w:bCs/>
          <w:i/>
          <w:iCs/>
          <w:noProof/>
        </w:rPr>
        <w:t>Information flow and communication channels</w:t>
      </w:r>
    </w:p>
    <w:p w14:paraId="04749469" w14:textId="50A3B365" w:rsidR="00F73F35" w:rsidRPr="00DE3A6F" w:rsidRDefault="00BB1B48" w:rsidP="00BB1B48">
      <w:pPr>
        <w:rPr>
          <w:noProof/>
        </w:rPr>
      </w:pPr>
      <w:r w:rsidRPr="00560A95">
        <w:rPr>
          <w:noProof/>
        </w:rPr>
        <w:t xml:space="preserve">Most Member States have formal or semi-formal arrangements to </w:t>
      </w:r>
      <w:r w:rsidR="008C1846" w:rsidRPr="00560A95">
        <w:rPr>
          <w:noProof/>
        </w:rPr>
        <w:t xml:space="preserve">facilitate </w:t>
      </w:r>
      <w:r w:rsidRPr="00560A95">
        <w:rPr>
          <w:noProof/>
        </w:rPr>
        <w:t>information</w:t>
      </w:r>
      <w:r w:rsidR="008C1846" w:rsidRPr="00560A95">
        <w:rPr>
          <w:noProof/>
        </w:rPr>
        <w:t>-sharing</w:t>
      </w:r>
      <w:r w:rsidRPr="00560A95">
        <w:rPr>
          <w:noProof/>
        </w:rPr>
        <w:t xml:space="preserve"> between reporting and judicial authorities</w:t>
      </w:r>
      <w:r w:rsidR="00F73F35" w:rsidRPr="00560A95">
        <w:rPr>
          <w:noProof/>
        </w:rPr>
        <w:t>, including:</w:t>
      </w:r>
    </w:p>
    <w:p w14:paraId="21DC295F" w14:textId="52E9BB05" w:rsidR="00DF3046" w:rsidRPr="00DE3A6F" w:rsidRDefault="00BB1B48" w:rsidP="00F73F35">
      <w:pPr>
        <w:pStyle w:val="ListParagraph"/>
        <w:numPr>
          <w:ilvl w:val="0"/>
          <w:numId w:val="59"/>
        </w:numPr>
        <w:rPr>
          <w:rFonts w:ascii="Times New Roman" w:hAnsi="Times New Roman"/>
          <w:noProof/>
        </w:rPr>
      </w:pPr>
      <w:r w:rsidRPr="00DE3A6F">
        <w:rPr>
          <w:rFonts w:ascii="Times New Roman" w:hAnsi="Times New Roman"/>
          <w:noProof/>
        </w:rPr>
        <w:t>central contact points or single points of contact</w:t>
      </w:r>
      <w:r w:rsidR="00F73F35" w:rsidRPr="00DE3A6F">
        <w:rPr>
          <w:rFonts w:ascii="Times New Roman" w:hAnsi="Times New Roman"/>
          <w:noProof/>
        </w:rPr>
        <w:t>;</w:t>
      </w:r>
      <w:r w:rsidRPr="00DE3A6F">
        <w:rPr>
          <w:rFonts w:ascii="Times New Roman" w:hAnsi="Times New Roman"/>
          <w:noProof/>
        </w:rPr>
        <w:t xml:space="preserve"> </w:t>
      </w:r>
    </w:p>
    <w:p w14:paraId="15B74CC6" w14:textId="77777777" w:rsidR="00DF3046" w:rsidRPr="00DE3A6F" w:rsidRDefault="00BB1B48" w:rsidP="00F73F35">
      <w:pPr>
        <w:pStyle w:val="ListParagraph"/>
        <w:numPr>
          <w:ilvl w:val="0"/>
          <w:numId w:val="59"/>
        </w:numPr>
        <w:rPr>
          <w:rFonts w:ascii="Times New Roman" w:hAnsi="Times New Roman"/>
          <w:noProof/>
        </w:rPr>
      </w:pPr>
      <w:r w:rsidRPr="00DE3A6F">
        <w:rPr>
          <w:rFonts w:ascii="Times New Roman" w:hAnsi="Times New Roman"/>
          <w:noProof/>
        </w:rPr>
        <w:t>reporting guidelines and manuals</w:t>
      </w:r>
      <w:r w:rsidR="00DF3046" w:rsidRPr="00DE3A6F">
        <w:rPr>
          <w:rFonts w:ascii="Times New Roman" w:hAnsi="Times New Roman"/>
          <w:noProof/>
        </w:rPr>
        <w:t>;</w:t>
      </w:r>
    </w:p>
    <w:p w14:paraId="6C2D76E7" w14:textId="6BB88AFA" w:rsidR="00DF3046" w:rsidRPr="00DE3A6F" w:rsidRDefault="00BB1B48" w:rsidP="00F73F35">
      <w:pPr>
        <w:pStyle w:val="ListParagraph"/>
        <w:numPr>
          <w:ilvl w:val="0"/>
          <w:numId w:val="59"/>
        </w:numPr>
        <w:rPr>
          <w:rFonts w:ascii="Times New Roman" w:hAnsi="Times New Roman"/>
          <w:noProof/>
        </w:rPr>
      </w:pPr>
      <w:r w:rsidRPr="00DE3A6F">
        <w:rPr>
          <w:rFonts w:ascii="Times New Roman" w:hAnsi="Times New Roman"/>
          <w:noProof/>
        </w:rPr>
        <w:t>cooperation protocols or memoranda of understanding</w:t>
      </w:r>
      <w:r w:rsidR="00DF3046" w:rsidRPr="00DE3A6F">
        <w:rPr>
          <w:rFonts w:ascii="Times New Roman" w:hAnsi="Times New Roman"/>
          <w:noProof/>
        </w:rPr>
        <w:t>;</w:t>
      </w:r>
    </w:p>
    <w:p w14:paraId="0B002196" w14:textId="21B882B2" w:rsidR="00D375A1" w:rsidRPr="00DE3A6F" w:rsidRDefault="00BB1B48" w:rsidP="00F73F35">
      <w:pPr>
        <w:pStyle w:val="ListParagraph"/>
        <w:numPr>
          <w:ilvl w:val="0"/>
          <w:numId w:val="59"/>
        </w:numPr>
        <w:rPr>
          <w:rFonts w:ascii="Times New Roman" w:hAnsi="Times New Roman"/>
          <w:noProof/>
        </w:rPr>
      </w:pPr>
      <w:r w:rsidRPr="00DE3A6F">
        <w:rPr>
          <w:rFonts w:ascii="Times New Roman" w:hAnsi="Times New Roman"/>
          <w:noProof/>
        </w:rPr>
        <w:t>regular inter-agency meetings</w:t>
      </w:r>
      <w:r w:rsidR="00D375A1" w:rsidRPr="00DE3A6F">
        <w:rPr>
          <w:rFonts w:ascii="Times New Roman" w:hAnsi="Times New Roman"/>
          <w:noProof/>
        </w:rPr>
        <w:t>;</w:t>
      </w:r>
    </w:p>
    <w:p w14:paraId="52DFAF90" w14:textId="0443BD0B" w:rsidR="00D375A1" w:rsidRPr="00DE3A6F" w:rsidRDefault="00BB1B48" w:rsidP="00F73F35">
      <w:pPr>
        <w:pStyle w:val="ListParagraph"/>
        <w:numPr>
          <w:ilvl w:val="0"/>
          <w:numId w:val="59"/>
        </w:numPr>
        <w:rPr>
          <w:rFonts w:ascii="Times New Roman" w:hAnsi="Times New Roman"/>
          <w:noProof/>
        </w:rPr>
      </w:pPr>
      <w:r w:rsidRPr="00DE3A6F">
        <w:rPr>
          <w:rFonts w:ascii="Times New Roman" w:hAnsi="Times New Roman"/>
          <w:noProof/>
        </w:rPr>
        <w:t>direct email exchanges</w:t>
      </w:r>
      <w:r w:rsidR="00D375A1" w:rsidRPr="00DE3A6F">
        <w:rPr>
          <w:rFonts w:ascii="Times New Roman" w:hAnsi="Times New Roman"/>
          <w:noProof/>
        </w:rPr>
        <w:t>;</w:t>
      </w:r>
      <w:r w:rsidRPr="00DE3A6F">
        <w:rPr>
          <w:rFonts w:ascii="Times New Roman" w:hAnsi="Times New Roman"/>
          <w:noProof/>
        </w:rPr>
        <w:t xml:space="preserve"> and </w:t>
      </w:r>
    </w:p>
    <w:p w14:paraId="136C7A64" w14:textId="60B32001" w:rsidR="00BB1B48" w:rsidRPr="00DE3A6F" w:rsidRDefault="00BB1B48" w:rsidP="00026C83">
      <w:pPr>
        <w:pStyle w:val="ListParagraph"/>
        <w:numPr>
          <w:ilvl w:val="0"/>
          <w:numId w:val="59"/>
        </w:numPr>
        <w:spacing w:after="120"/>
        <w:ind w:left="714" w:hanging="357"/>
        <w:rPr>
          <w:rFonts w:ascii="Times New Roman" w:hAnsi="Times New Roman"/>
          <w:noProof/>
        </w:rPr>
      </w:pPr>
      <w:r w:rsidRPr="00DE3A6F">
        <w:rPr>
          <w:rFonts w:ascii="Times New Roman" w:hAnsi="Times New Roman"/>
          <w:noProof/>
        </w:rPr>
        <w:t>dedicated AFCOS coordination structures.</w:t>
      </w:r>
    </w:p>
    <w:p w14:paraId="439FFDC2" w14:textId="2925E9EA" w:rsidR="00BB1B48" w:rsidRPr="00DE3A6F" w:rsidRDefault="00BB1B48" w:rsidP="00BB1B48">
      <w:pPr>
        <w:rPr>
          <w:noProof/>
        </w:rPr>
      </w:pPr>
      <w:r w:rsidRPr="00DE3A6F">
        <w:rPr>
          <w:noProof/>
        </w:rPr>
        <w:t>Regular meetings are the most widely used coordination method</w:t>
      </w:r>
      <w:r w:rsidR="000064D1" w:rsidRPr="00DE3A6F">
        <w:rPr>
          <w:noProof/>
        </w:rPr>
        <w:t xml:space="preserve"> (</w:t>
      </w:r>
      <w:r w:rsidRPr="00DE3A6F">
        <w:rPr>
          <w:noProof/>
        </w:rPr>
        <w:t>reported by 25 Member States</w:t>
      </w:r>
      <w:r w:rsidR="000064D1" w:rsidRPr="00DE3A6F">
        <w:rPr>
          <w:noProof/>
        </w:rPr>
        <w:t>)</w:t>
      </w:r>
      <w:r w:rsidRPr="00DE3A6F">
        <w:rPr>
          <w:noProof/>
        </w:rPr>
        <w:t xml:space="preserve">. IMS is also widely used as a coordination tool, with 22 Member States referring to its use in this context. Encrypted email is used by 15 Member States. </w:t>
      </w:r>
      <w:r w:rsidR="00B00394" w:rsidRPr="00DE3A6F">
        <w:rPr>
          <w:noProof/>
        </w:rPr>
        <w:t>A</w:t>
      </w:r>
      <w:r w:rsidRPr="00DE3A6F">
        <w:rPr>
          <w:noProof/>
        </w:rPr>
        <w:t xml:space="preserve">mong the 16 Member States using secure </w:t>
      </w:r>
      <w:r w:rsidRPr="00DE3A6F">
        <w:rPr>
          <w:noProof/>
        </w:rPr>
        <w:lastRenderedPageBreak/>
        <w:t xml:space="preserve">online platforms or shared case-management systems, 14 rely on </w:t>
      </w:r>
      <w:r w:rsidR="00B00394" w:rsidRPr="00DE3A6F">
        <w:rPr>
          <w:noProof/>
        </w:rPr>
        <w:t xml:space="preserve">them as their primary </w:t>
      </w:r>
      <w:r w:rsidRPr="00DE3A6F">
        <w:rPr>
          <w:noProof/>
        </w:rPr>
        <w:t>communication</w:t>
      </w:r>
      <w:r w:rsidR="007C24B2" w:rsidRPr="00DE3A6F">
        <w:rPr>
          <w:noProof/>
        </w:rPr>
        <w:t xml:space="preserve"> tool</w:t>
      </w:r>
      <w:r w:rsidRPr="00DE3A6F">
        <w:rPr>
          <w:noProof/>
        </w:rPr>
        <w:t>.</w:t>
      </w:r>
    </w:p>
    <w:p w14:paraId="2901632F" w14:textId="2DA71450" w:rsidR="007C24B2" w:rsidRPr="00DE3A6F" w:rsidRDefault="007C24B2" w:rsidP="00FA02ED">
      <w:pPr>
        <w:rPr>
          <w:b/>
          <w:bCs/>
          <w:i/>
          <w:iCs/>
          <w:noProof/>
        </w:rPr>
      </w:pPr>
      <w:r w:rsidRPr="00DE3A6F">
        <w:rPr>
          <w:b/>
          <w:bCs/>
          <w:i/>
          <w:iCs/>
          <w:noProof/>
        </w:rPr>
        <w:t>Operational weaknesses</w:t>
      </w:r>
    </w:p>
    <w:p w14:paraId="43095CDB" w14:textId="1C34712C" w:rsidR="00FA02ED" w:rsidRPr="00DE3A6F" w:rsidRDefault="00FA02ED" w:rsidP="00FA02ED">
      <w:pPr>
        <w:rPr>
          <w:noProof/>
        </w:rPr>
      </w:pPr>
      <w:r w:rsidRPr="00560A95">
        <w:rPr>
          <w:noProof/>
        </w:rPr>
        <w:t xml:space="preserve">The main </w:t>
      </w:r>
      <w:r w:rsidR="007C24B2" w:rsidRPr="00560A95">
        <w:rPr>
          <w:noProof/>
        </w:rPr>
        <w:t xml:space="preserve">challenge </w:t>
      </w:r>
      <w:r w:rsidRPr="00560A95">
        <w:rPr>
          <w:noProof/>
        </w:rPr>
        <w:t xml:space="preserve">identified </w:t>
      </w:r>
      <w:r w:rsidR="003434E2" w:rsidRPr="00560A95">
        <w:rPr>
          <w:noProof/>
        </w:rPr>
        <w:t xml:space="preserve">is </w:t>
      </w:r>
      <w:r w:rsidRPr="00560A95">
        <w:rPr>
          <w:noProof/>
        </w:rPr>
        <w:t xml:space="preserve">timely </w:t>
      </w:r>
      <w:r w:rsidR="003434E2" w:rsidRPr="00560A95">
        <w:rPr>
          <w:noProof/>
        </w:rPr>
        <w:t xml:space="preserve">access to </w:t>
      </w:r>
      <w:r w:rsidRPr="00560A95">
        <w:rPr>
          <w:noProof/>
        </w:rPr>
        <w:t xml:space="preserve">information from investigative and judicial </w:t>
      </w:r>
      <w:r w:rsidR="006A3CD1" w:rsidRPr="00560A95">
        <w:rPr>
          <w:noProof/>
        </w:rPr>
        <w:t>authorities</w:t>
      </w:r>
      <w:r w:rsidR="0035048F">
        <w:rPr>
          <w:noProof/>
        </w:rPr>
        <w:t xml:space="preserve"> (e.g. </w:t>
      </w:r>
      <w:r w:rsidR="0035048F" w:rsidRPr="00560A95">
        <w:rPr>
          <w:noProof/>
        </w:rPr>
        <w:t>prosecutors, police, the EPPO or co</w:t>
      </w:r>
      <w:r w:rsidR="0035048F">
        <w:rPr>
          <w:noProof/>
        </w:rPr>
        <w:t>urts</w:t>
      </w:r>
      <w:r w:rsidR="00842296">
        <w:rPr>
          <w:noProof/>
        </w:rPr>
        <w:t>)</w:t>
      </w:r>
      <w:r w:rsidR="006A3CD1" w:rsidRPr="00560A95">
        <w:rPr>
          <w:noProof/>
        </w:rPr>
        <w:t>, in</w:t>
      </w:r>
      <w:r w:rsidRPr="00560A95">
        <w:rPr>
          <w:noProof/>
        </w:rPr>
        <w:t xml:space="preserve"> particular </w:t>
      </w:r>
      <w:r w:rsidR="00DB71AF" w:rsidRPr="00560A95">
        <w:rPr>
          <w:noProof/>
        </w:rPr>
        <w:t xml:space="preserve">on </w:t>
      </w:r>
      <w:r w:rsidRPr="00560A95">
        <w:rPr>
          <w:noProof/>
        </w:rPr>
        <w:t>updates on ongoing criminal proceedings</w:t>
      </w:r>
      <w:r w:rsidR="0035048F">
        <w:rPr>
          <w:noProof/>
        </w:rPr>
        <w:t xml:space="preserve"> (especially </w:t>
      </w:r>
      <w:r w:rsidR="0035048F" w:rsidRPr="00560A95">
        <w:rPr>
          <w:noProof/>
        </w:rPr>
        <w:t>where criminal proceedings are prolonged or subject to confidentiality requirements</w:t>
      </w:r>
      <w:r w:rsidR="0035048F">
        <w:rPr>
          <w:noProof/>
        </w:rPr>
        <w:t>)</w:t>
      </w:r>
      <w:r w:rsidRPr="00560A95">
        <w:rPr>
          <w:noProof/>
        </w:rPr>
        <w:t xml:space="preserve"> and final judicial outcomes. Member States repeatedly </w:t>
      </w:r>
      <w:r w:rsidR="00F74BBA" w:rsidRPr="00560A95">
        <w:rPr>
          <w:noProof/>
        </w:rPr>
        <w:t>reported</w:t>
      </w:r>
      <w:r w:rsidRPr="00560A95">
        <w:rPr>
          <w:noProof/>
        </w:rPr>
        <w:t xml:space="preserve"> difficulties in obtaining the information needed to complete or update IMS entries, especially </w:t>
      </w:r>
      <w:r w:rsidR="00BF409F" w:rsidRPr="00560A95">
        <w:rPr>
          <w:noProof/>
        </w:rPr>
        <w:t xml:space="preserve">for </w:t>
      </w:r>
      <w:r w:rsidRPr="00560A95">
        <w:rPr>
          <w:noProof/>
        </w:rPr>
        <w:t xml:space="preserve">sanctions, </w:t>
      </w:r>
      <w:r w:rsidR="00BF409F" w:rsidRPr="00560A95">
        <w:rPr>
          <w:noProof/>
        </w:rPr>
        <w:t xml:space="preserve">fraud </w:t>
      </w:r>
      <w:r w:rsidRPr="00560A95">
        <w:rPr>
          <w:noProof/>
        </w:rPr>
        <w:t>classification, modus operandi, recovery amount</w:t>
      </w:r>
      <w:r w:rsidR="008D2FCE" w:rsidRPr="00560A95">
        <w:rPr>
          <w:noProof/>
        </w:rPr>
        <w:t>s</w:t>
      </w:r>
      <w:r w:rsidRPr="00560A95">
        <w:rPr>
          <w:noProof/>
        </w:rPr>
        <w:t>, and judicial status and outcomes.</w:t>
      </w:r>
    </w:p>
    <w:p w14:paraId="593C0BA2" w14:textId="40F9A700" w:rsidR="00FA02ED" w:rsidRPr="00DE3A6F" w:rsidRDefault="5FC25518" w:rsidP="00FA02ED">
      <w:pPr>
        <w:rPr>
          <w:noProof/>
        </w:rPr>
      </w:pPr>
      <w:r w:rsidRPr="00560A95">
        <w:rPr>
          <w:noProof/>
        </w:rPr>
        <w:t xml:space="preserve">Several Member States also referred to structural limitations linked to the EPPO Regulation, </w:t>
      </w:r>
      <w:r w:rsidR="3604C45C" w:rsidRPr="00560A95">
        <w:rPr>
          <w:noProof/>
        </w:rPr>
        <w:t>where</w:t>
      </w:r>
      <w:r w:rsidRPr="00560A95">
        <w:rPr>
          <w:noProof/>
        </w:rPr>
        <w:t xml:space="preserve"> AFCOS does not always receive operational information directly</w:t>
      </w:r>
      <w:r w:rsidR="3604C45C" w:rsidRPr="00560A95">
        <w:rPr>
          <w:noProof/>
        </w:rPr>
        <w:t xml:space="preserve">, </w:t>
      </w:r>
      <w:r w:rsidRPr="00560A95">
        <w:rPr>
          <w:noProof/>
        </w:rPr>
        <w:t>confirm</w:t>
      </w:r>
      <w:r w:rsidR="3604C45C" w:rsidRPr="00560A95">
        <w:rPr>
          <w:noProof/>
        </w:rPr>
        <w:t>ing</w:t>
      </w:r>
      <w:r w:rsidRPr="00560A95">
        <w:rPr>
          <w:noProof/>
        </w:rPr>
        <w:t xml:space="preserve"> a pattern </w:t>
      </w:r>
      <w:r w:rsidR="3604C45C" w:rsidRPr="00560A95">
        <w:rPr>
          <w:noProof/>
        </w:rPr>
        <w:t xml:space="preserve">previously </w:t>
      </w:r>
      <w:r w:rsidRPr="00560A95">
        <w:rPr>
          <w:noProof/>
        </w:rPr>
        <w:t xml:space="preserve">identified in the </w:t>
      </w:r>
      <w:r w:rsidR="00C97573" w:rsidRPr="00560A95">
        <w:rPr>
          <w:noProof/>
        </w:rPr>
        <w:t xml:space="preserve">2024 </w:t>
      </w:r>
      <w:r w:rsidRPr="00560A95">
        <w:rPr>
          <w:noProof/>
        </w:rPr>
        <w:t>PIF report.</w:t>
      </w:r>
    </w:p>
    <w:p w14:paraId="6F972A07" w14:textId="0DA342A1" w:rsidR="00FA02ED" w:rsidRPr="00DE3A6F" w:rsidRDefault="00026C83" w:rsidP="00FA02ED">
      <w:pPr>
        <w:rPr>
          <w:noProof/>
        </w:rPr>
      </w:pPr>
      <w:r w:rsidRPr="00560A95">
        <w:rPr>
          <w:noProof/>
        </w:rPr>
        <w:t>C</w:t>
      </w:r>
      <w:r w:rsidR="00FA02ED" w:rsidRPr="00560A95">
        <w:rPr>
          <w:noProof/>
        </w:rPr>
        <w:t>ooperation with national administrative bodies appears to function</w:t>
      </w:r>
      <w:r w:rsidRPr="00560A95">
        <w:rPr>
          <w:noProof/>
        </w:rPr>
        <w:t xml:space="preserve"> </w:t>
      </w:r>
      <w:r w:rsidR="00FA02ED" w:rsidRPr="00560A95">
        <w:rPr>
          <w:noProof/>
        </w:rPr>
        <w:t xml:space="preserve">relatively </w:t>
      </w:r>
      <w:r w:rsidRPr="00560A95">
        <w:rPr>
          <w:noProof/>
        </w:rPr>
        <w:t>smoothly, with</w:t>
      </w:r>
      <w:r w:rsidR="00FA02ED" w:rsidRPr="00560A95">
        <w:rPr>
          <w:noProof/>
        </w:rPr>
        <w:t xml:space="preserve"> 24 Member States </w:t>
      </w:r>
      <w:r w:rsidRPr="00560A95">
        <w:rPr>
          <w:noProof/>
        </w:rPr>
        <w:t xml:space="preserve">reporting </w:t>
      </w:r>
      <w:r w:rsidR="00FA02ED" w:rsidRPr="00560A95">
        <w:rPr>
          <w:noProof/>
        </w:rPr>
        <w:t xml:space="preserve">no issues. Cooperation with investigative bodies was assessed </w:t>
      </w:r>
      <w:r w:rsidR="00C97573" w:rsidRPr="00560A95">
        <w:rPr>
          <w:noProof/>
        </w:rPr>
        <w:t xml:space="preserve">to be </w:t>
      </w:r>
      <w:r w:rsidR="00FA02ED" w:rsidRPr="00560A95">
        <w:rPr>
          <w:noProof/>
        </w:rPr>
        <w:t>less uniform: 18 Member States reported no issues, 7 reported minor issues and 2</w:t>
      </w:r>
      <w:r w:rsidR="00C347E3" w:rsidRPr="00560A95">
        <w:rPr>
          <w:noProof/>
        </w:rPr>
        <w:t> (</w:t>
      </w:r>
      <w:r w:rsidR="00C347E3" w:rsidRPr="00560A95">
        <w:rPr>
          <w:rStyle w:val="FootnoteReference"/>
          <w:noProof/>
        </w:rPr>
        <w:footnoteReference w:id="43"/>
      </w:r>
      <w:r w:rsidR="00C347E3" w:rsidRPr="00560A95">
        <w:rPr>
          <w:noProof/>
        </w:rPr>
        <w:t>)</w:t>
      </w:r>
      <w:r w:rsidR="00FA02ED" w:rsidRPr="00560A95">
        <w:rPr>
          <w:noProof/>
        </w:rPr>
        <w:t xml:space="preserve"> reported serious issues. This suggests that the principal </w:t>
      </w:r>
      <w:r w:rsidR="002563BE" w:rsidRPr="00560A95">
        <w:rPr>
          <w:noProof/>
        </w:rPr>
        <w:t xml:space="preserve">challenge </w:t>
      </w:r>
      <w:r w:rsidR="00FA02ED" w:rsidRPr="00560A95">
        <w:rPr>
          <w:noProof/>
        </w:rPr>
        <w:t>lies not in administrative coordination as such, but in access to follow-up information from investigative and judicial authorities once a case enters the criminal justice chain.</w:t>
      </w:r>
    </w:p>
    <w:p w14:paraId="3C3F1C3D" w14:textId="023E648F" w:rsidR="00455FB1" w:rsidRPr="00DE3A6F" w:rsidRDefault="00455FB1" w:rsidP="00FA02ED">
      <w:pPr>
        <w:rPr>
          <w:b/>
          <w:bCs/>
          <w:i/>
          <w:iCs/>
          <w:noProof/>
        </w:rPr>
      </w:pPr>
      <w:r w:rsidRPr="00DE3A6F">
        <w:rPr>
          <w:b/>
          <w:bCs/>
          <w:i/>
          <w:iCs/>
          <w:noProof/>
        </w:rPr>
        <w:t>Conclusion</w:t>
      </w:r>
    </w:p>
    <w:p w14:paraId="15344921" w14:textId="6A54E6E8" w:rsidR="00FA02ED" w:rsidRPr="00DE3A6F" w:rsidRDefault="00455FB1" w:rsidP="00FA02ED">
      <w:pPr>
        <w:rPr>
          <w:noProof/>
        </w:rPr>
      </w:pPr>
      <w:r w:rsidRPr="00560A95">
        <w:rPr>
          <w:noProof/>
        </w:rPr>
        <w:t>T</w:t>
      </w:r>
      <w:r w:rsidR="00FA02ED" w:rsidRPr="00560A95">
        <w:rPr>
          <w:noProof/>
        </w:rPr>
        <w:t xml:space="preserve">he effectiveness of communication channels depends less on </w:t>
      </w:r>
      <w:r w:rsidRPr="00560A95">
        <w:rPr>
          <w:noProof/>
        </w:rPr>
        <w:t xml:space="preserve">creating </w:t>
      </w:r>
      <w:r w:rsidR="00FA02ED" w:rsidRPr="00560A95">
        <w:rPr>
          <w:noProof/>
        </w:rPr>
        <w:t xml:space="preserve">new reporting </w:t>
      </w:r>
      <w:r w:rsidR="00321273" w:rsidRPr="00560A95">
        <w:rPr>
          <w:noProof/>
        </w:rPr>
        <w:t xml:space="preserve">channels </w:t>
      </w:r>
      <w:r w:rsidR="00FA02ED" w:rsidRPr="00560A95">
        <w:rPr>
          <w:noProof/>
        </w:rPr>
        <w:t xml:space="preserve">than on structured governance, routine coordination and reliable mechanisms for follow-up, particularly between administrative and judicial actors. The </w:t>
      </w:r>
      <w:r w:rsidR="00EF5B42" w:rsidRPr="00560A95">
        <w:rPr>
          <w:noProof/>
        </w:rPr>
        <w:t xml:space="preserve">core </w:t>
      </w:r>
      <w:r w:rsidR="00FA02ED" w:rsidRPr="00560A95">
        <w:rPr>
          <w:noProof/>
        </w:rPr>
        <w:t>challenge</w:t>
      </w:r>
      <w:r w:rsidR="00EF5B42" w:rsidRPr="00560A95">
        <w:rPr>
          <w:noProof/>
        </w:rPr>
        <w:t xml:space="preserve"> </w:t>
      </w:r>
      <w:r w:rsidR="00FA02ED" w:rsidRPr="00560A95">
        <w:rPr>
          <w:noProof/>
        </w:rPr>
        <w:t>remains</w:t>
      </w:r>
      <w:r w:rsidR="00EF5B42" w:rsidRPr="00560A95">
        <w:rPr>
          <w:noProof/>
        </w:rPr>
        <w:t xml:space="preserve"> </w:t>
      </w:r>
      <w:r w:rsidR="00FA02ED" w:rsidRPr="00560A95">
        <w:rPr>
          <w:noProof/>
        </w:rPr>
        <w:t xml:space="preserve">ensuring </w:t>
      </w:r>
      <w:r w:rsidR="00ED08A7" w:rsidRPr="00560A95">
        <w:rPr>
          <w:noProof/>
        </w:rPr>
        <w:t xml:space="preserve">continuous </w:t>
      </w:r>
      <w:r w:rsidR="00FA02ED" w:rsidRPr="00560A95">
        <w:rPr>
          <w:noProof/>
        </w:rPr>
        <w:t xml:space="preserve">information flow after a case </w:t>
      </w:r>
      <w:r w:rsidR="000509DF" w:rsidRPr="00560A95">
        <w:rPr>
          <w:noProof/>
        </w:rPr>
        <w:t>reaches the courts</w:t>
      </w:r>
      <w:r w:rsidR="00FA02ED" w:rsidRPr="00560A95">
        <w:rPr>
          <w:noProof/>
        </w:rPr>
        <w:t>, so that administrative reporting</w:t>
      </w:r>
      <w:r w:rsidR="00ED08A7" w:rsidRPr="00560A95">
        <w:rPr>
          <w:noProof/>
        </w:rPr>
        <w:t xml:space="preserve"> </w:t>
      </w:r>
      <w:r w:rsidR="00FA02ED" w:rsidRPr="00560A95">
        <w:rPr>
          <w:noProof/>
        </w:rPr>
        <w:t>remains</w:t>
      </w:r>
      <w:r w:rsidR="00ED08A7" w:rsidRPr="00560A95">
        <w:rPr>
          <w:noProof/>
        </w:rPr>
        <w:t xml:space="preserve"> </w:t>
      </w:r>
      <w:r w:rsidR="00FA02ED" w:rsidRPr="00560A95">
        <w:rPr>
          <w:noProof/>
        </w:rPr>
        <w:t>timely,</w:t>
      </w:r>
      <w:r w:rsidR="00ED08A7" w:rsidRPr="00560A95">
        <w:rPr>
          <w:noProof/>
        </w:rPr>
        <w:t xml:space="preserve"> </w:t>
      </w:r>
      <w:r w:rsidR="00FA02ED" w:rsidRPr="00560A95">
        <w:rPr>
          <w:noProof/>
        </w:rPr>
        <w:t>complete</w:t>
      </w:r>
      <w:r w:rsidR="00ED08A7" w:rsidRPr="00560A95">
        <w:rPr>
          <w:noProof/>
        </w:rPr>
        <w:t xml:space="preserve"> </w:t>
      </w:r>
      <w:r w:rsidR="00FA02ED" w:rsidRPr="00560A95">
        <w:rPr>
          <w:noProof/>
        </w:rPr>
        <w:t>and</w:t>
      </w:r>
      <w:r w:rsidR="00ED08A7" w:rsidRPr="00560A95">
        <w:rPr>
          <w:noProof/>
        </w:rPr>
        <w:t xml:space="preserve"> </w:t>
      </w:r>
      <w:r w:rsidR="00FA02ED" w:rsidRPr="00560A95">
        <w:rPr>
          <w:noProof/>
        </w:rPr>
        <w:t>accurate.</w:t>
      </w:r>
    </w:p>
    <w:p w14:paraId="7050EAA4" w14:textId="6A2B93B7" w:rsidR="00D7696F" w:rsidRPr="00DE3A6F" w:rsidRDefault="00CC439E" w:rsidP="28D37C99">
      <w:pPr>
        <w:pStyle w:val="Caption"/>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560A95">
        <w:rPr>
          <w:noProof/>
        </w:rPr>
        <w:t xml:space="preserve">Snapshot </w:t>
      </w:r>
      <w:r w:rsidRPr="00DE3A6F">
        <w:rPr>
          <w:noProof/>
        </w:rPr>
        <w:fldChar w:fldCharType="begin"/>
      </w:r>
      <w:r w:rsidRPr="00DE3A6F">
        <w:rPr>
          <w:noProof/>
        </w:rPr>
        <w:instrText xml:space="preserve"> SEQ Snapshot \* ARABIC </w:instrText>
      </w:r>
      <w:r w:rsidRPr="00DE3A6F">
        <w:rPr>
          <w:noProof/>
        </w:rPr>
        <w:fldChar w:fldCharType="separate"/>
      </w:r>
      <w:r w:rsidR="00CA6005">
        <w:rPr>
          <w:noProof/>
        </w:rPr>
        <w:t>5</w:t>
      </w:r>
      <w:r w:rsidRPr="00DE3A6F">
        <w:rPr>
          <w:noProof/>
        </w:rPr>
        <w:fldChar w:fldCharType="end"/>
      </w:r>
      <w:r w:rsidRPr="00560A95">
        <w:rPr>
          <w:noProof/>
        </w:rPr>
        <w:t>:</w:t>
      </w:r>
      <w:r w:rsidR="00D7696F" w:rsidRPr="00560A95">
        <w:rPr>
          <w:noProof/>
        </w:rPr>
        <w:t xml:space="preserve">Best practices </w:t>
      </w:r>
      <w:r w:rsidR="00386E7A" w:rsidRPr="00560A95">
        <w:rPr>
          <w:noProof/>
        </w:rPr>
        <w:t>for effective communication channels</w:t>
      </w:r>
    </w:p>
    <w:p w14:paraId="57F9BFB8" w14:textId="26E2EC69" w:rsidR="00080360" w:rsidRPr="00DE3A6F" w:rsidRDefault="00080360" w:rsidP="00CC439E">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DE3A6F">
        <w:rPr>
          <w:noProof/>
        </w:rPr>
        <w:t>The most transferable best practices mentioned by Member States include: </w:t>
      </w:r>
    </w:p>
    <w:p w14:paraId="233CCC63" w14:textId="77777777" w:rsidR="00080360" w:rsidRPr="00DE3A6F" w:rsidRDefault="00080360" w:rsidP="00CC439E">
      <w:pPr>
        <w:numPr>
          <w:ilvl w:val="0"/>
          <w:numId w:val="33"/>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formal cooperation agreements and written referral/update procedures, </w:t>
      </w:r>
    </w:p>
    <w:p w14:paraId="6E79C3EF" w14:textId="77777777" w:rsidR="00080360" w:rsidRPr="00DE3A6F" w:rsidRDefault="00080360" w:rsidP="00CC439E">
      <w:pPr>
        <w:numPr>
          <w:ilvl w:val="0"/>
          <w:numId w:val="34"/>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regular multi-authority meetings and AFCOS-led coordination, </w:t>
      </w:r>
    </w:p>
    <w:p w14:paraId="505E9D16" w14:textId="77777777" w:rsidR="00080360" w:rsidRPr="00DE3A6F" w:rsidRDefault="00080360" w:rsidP="00CC439E">
      <w:pPr>
        <w:numPr>
          <w:ilvl w:val="0"/>
          <w:numId w:val="35"/>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clear case ownership and periodic follow-up reviews, </w:t>
      </w:r>
    </w:p>
    <w:p w14:paraId="58BD392C" w14:textId="77777777" w:rsidR="00080360" w:rsidRPr="00DE3A6F" w:rsidRDefault="00080360" w:rsidP="00CC439E">
      <w:pPr>
        <w:numPr>
          <w:ilvl w:val="0"/>
          <w:numId w:val="36"/>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national case-management systems feeding into IMS, </w:t>
      </w:r>
    </w:p>
    <w:p w14:paraId="6E472134" w14:textId="5AFFA2CF" w:rsidR="00080360" w:rsidRPr="00DE3A6F" w:rsidRDefault="00902FC2" w:rsidP="28D37C99">
      <w:pPr>
        <w:numPr>
          <w:ilvl w:val="0"/>
          <w:numId w:val="37"/>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560A95">
        <w:rPr>
          <w:noProof/>
        </w:rPr>
        <w:t>pragmatic</w:t>
      </w:r>
      <w:r w:rsidR="00080360" w:rsidRPr="00560A95">
        <w:rPr>
          <w:noProof/>
        </w:rPr>
        <w:t xml:space="preserve"> confidentiality arrangements</w:t>
      </w:r>
      <w:r w:rsidRPr="00560A95">
        <w:rPr>
          <w:noProof/>
        </w:rPr>
        <w:t xml:space="preserve"> (e.g.</w:t>
      </w:r>
      <w:r w:rsidR="00080360" w:rsidRPr="00560A95">
        <w:rPr>
          <w:noProof/>
        </w:rPr>
        <w:t xml:space="preserve"> need-to-know </w:t>
      </w:r>
      <w:r w:rsidR="00DD2D3C" w:rsidRPr="00560A95">
        <w:rPr>
          <w:noProof/>
        </w:rPr>
        <w:t xml:space="preserve">access </w:t>
      </w:r>
      <w:r w:rsidR="00080360" w:rsidRPr="00560A95">
        <w:rPr>
          <w:noProof/>
        </w:rPr>
        <w:t>and staged reporting</w:t>
      </w:r>
      <w:r w:rsidR="00DD2D3C" w:rsidRPr="00560A95">
        <w:rPr>
          <w:noProof/>
        </w:rPr>
        <w:t>)</w:t>
      </w:r>
      <w:r w:rsidR="00080360" w:rsidRPr="00560A95">
        <w:rPr>
          <w:noProof/>
        </w:rPr>
        <w:t>, </w:t>
      </w:r>
    </w:p>
    <w:p w14:paraId="39D1A806" w14:textId="1C15B4B2" w:rsidR="00080360" w:rsidRPr="00DE3A6F" w:rsidRDefault="00DD2D3C" w:rsidP="00CC439E">
      <w:pPr>
        <w:numPr>
          <w:ilvl w:val="0"/>
          <w:numId w:val="38"/>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 xml:space="preserve">designated </w:t>
      </w:r>
      <w:r w:rsidR="00080360" w:rsidRPr="00DE3A6F">
        <w:rPr>
          <w:noProof/>
        </w:rPr>
        <w:t>contact points and liaison structures, and </w:t>
      </w:r>
    </w:p>
    <w:p w14:paraId="3B27C9D1" w14:textId="77777777" w:rsidR="00080360" w:rsidRPr="00DE3A6F" w:rsidRDefault="00080360" w:rsidP="00CC439E">
      <w:pPr>
        <w:numPr>
          <w:ilvl w:val="0"/>
          <w:numId w:val="39"/>
        </w:numPr>
        <w:pBdr>
          <w:top w:val="single" w:sz="4" w:space="1" w:color="auto"/>
          <w:left w:val="single" w:sz="4" w:space="1" w:color="auto"/>
          <w:bottom w:val="single" w:sz="4" w:space="1" w:color="auto"/>
          <w:right w:val="single" w:sz="4" w:space="1" w:color="auto"/>
        </w:pBdr>
        <w:shd w:val="clear" w:color="auto" w:fill="DEEAF6" w:themeFill="accent1" w:themeFillTint="33"/>
        <w:tabs>
          <w:tab w:val="clear" w:pos="720"/>
          <w:tab w:val="num" w:pos="360"/>
        </w:tabs>
        <w:ind w:left="360"/>
        <w:rPr>
          <w:noProof/>
        </w:rPr>
      </w:pPr>
      <w:r w:rsidRPr="00DE3A6F">
        <w:rPr>
          <w:noProof/>
        </w:rPr>
        <w:t>continuous quality control of IMS data. </w:t>
      </w:r>
    </w:p>
    <w:p w14:paraId="00763663" w14:textId="562B3E67" w:rsidR="00080360" w:rsidRPr="00DE3A6F" w:rsidRDefault="00DD2D3C" w:rsidP="28D37C99">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560A95">
        <w:rPr>
          <w:b/>
          <w:bCs/>
          <w:noProof/>
        </w:rPr>
        <w:t xml:space="preserve">Key </w:t>
      </w:r>
      <w:r w:rsidR="006F4FC4" w:rsidRPr="00560A95">
        <w:rPr>
          <w:b/>
          <w:bCs/>
          <w:noProof/>
        </w:rPr>
        <w:t>takeaway</w:t>
      </w:r>
      <w:r w:rsidR="00BF4853" w:rsidRPr="00560A95">
        <w:rPr>
          <w:noProof/>
        </w:rPr>
        <w:t>:</w:t>
      </w:r>
      <w:r w:rsidR="00080360" w:rsidRPr="00560A95">
        <w:rPr>
          <w:noProof/>
        </w:rPr>
        <w:t xml:space="preserve"> improving communication is less about creating one new channel and more about ensuring that information continues to flow </w:t>
      </w:r>
      <w:r w:rsidR="00FF7804" w:rsidRPr="00560A95">
        <w:rPr>
          <w:noProof/>
        </w:rPr>
        <w:t xml:space="preserve">seamlessly, even </w:t>
      </w:r>
      <w:r w:rsidR="00080360" w:rsidRPr="00560A95">
        <w:rPr>
          <w:noProof/>
        </w:rPr>
        <w:t xml:space="preserve">after a case </w:t>
      </w:r>
      <w:r w:rsidR="000509DF" w:rsidRPr="00560A95">
        <w:rPr>
          <w:noProof/>
        </w:rPr>
        <w:t>enters the</w:t>
      </w:r>
      <w:r w:rsidR="00FF7804" w:rsidRPr="00560A95">
        <w:rPr>
          <w:noProof/>
        </w:rPr>
        <w:t xml:space="preserve"> </w:t>
      </w:r>
      <w:r w:rsidR="00080360" w:rsidRPr="00560A95">
        <w:rPr>
          <w:noProof/>
        </w:rPr>
        <w:t>judicial</w:t>
      </w:r>
      <w:r w:rsidR="00FF7804" w:rsidRPr="00560A95">
        <w:rPr>
          <w:noProof/>
        </w:rPr>
        <w:t xml:space="preserve"> phase</w:t>
      </w:r>
      <w:r w:rsidR="00080360" w:rsidRPr="00560A95">
        <w:rPr>
          <w:noProof/>
        </w:rPr>
        <w:t xml:space="preserve">, </w:t>
      </w:r>
      <w:r w:rsidR="00B62CAE" w:rsidRPr="00560A95">
        <w:rPr>
          <w:noProof/>
        </w:rPr>
        <w:t xml:space="preserve">to maintain </w:t>
      </w:r>
      <w:r w:rsidR="00080360" w:rsidRPr="00560A95">
        <w:rPr>
          <w:noProof/>
        </w:rPr>
        <w:t>timely,</w:t>
      </w:r>
      <w:r w:rsidR="00B62CAE" w:rsidRPr="00560A95">
        <w:rPr>
          <w:noProof/>
        </w:rPr>
        <w:t xml:space="preserve"> </w:t>
      </w:r>
      <w:r w:rsidR="00080360" w:rsidRPr="00560A95">
        <w:rPr>
          <w:noProof/>
        </w:rPr>
        <w:t>complete</w:t>
      </w:r>
      <w:r w:rsidR="00B62CAE" w:rsidRPr="00560A95">
        <w:rPr>
          <w:noProof/>
        </w:rPr>
        <w:t xml:space="preserve"> </w:t>
      </w:r>
      <w:r w:rsidR="00080360" w:rsidRPr="00560A95">
        <w:rPr>
          <w:noProof/>
        </w:rPr>
        <w:t>and</w:t>
      </w:r>
      <w:r w:rsidR="00B62CAE" w:rsidRPr="00560A95">
        <w:rPr>
          <w:noProof/>
        </w:rPr>
        <w:t xml:space="preserve"> </w:t>
      </w:r>
      <w:r w:rsidR="00080360" w:rsidRPr="00560A95">
        <w:rPr>
          <w:noProof/>
        </w:rPr>
        <w:t>accurate</w:t>
      </w:r>
      <w:r w:rsidR="00B62CAE" w:rsidRPr="00560A95">
        <w:rPr>
          <w:noProof/>
        </w:rPr>
        <w:t xml:space="preserve"> reporting</w:t>
      </w:r>
      <w:r w:rsidR="00080360" w:rsidRPr="00560A95">
        <w:rPr>
          <w:noProof/>
        </w:rPr>
        <w:t>.</w:t>
      </w:r>
    </w:p>
    <w:p w14:paraId="6B3CE600" w14:textId="4D9DF7C3" w:rsidR="004D0A64" w:rsidRPr="00DE3A6F" w:rsidRDefault="7EC781B7" w:rsidP="044E42F4">
      <w:pPr>
        <w:pStyle w:val="Heading4"/>
        <w:rPr>
          <w:noProof/>
        </w:rPr>
      </w:pPr>
      <w:bookmarkStart w:id="54" w:name="_Toc234447065"/>
      <w:r w:rsidRPr="00560A95">
        <w:rPr>
          <w:noProof/>
        </w:rPr>
        <w:lastRenderedPageBreak/>
        <w:t>Digitalisation and AI</w:t>
      </w:r>
      <w:bookmarkEnd w:id="54"/>
    </w:p>
    <w:p w14:paraId="3FE56656" w14:textId="3B62C376" w:rsidR="00D838D7" w:rsidRPr="00DE3A6F" w:rsidRDefault="21078D7E" w:rsidP="044E42F4">
      <w:pPr>
        <w:rPr>
          <w:noProof/>
        </w:rPr>
      </w:pPr>
      <w:r w:rsidRPr="00560A95">
        <w:rPr>
          <w:b/>
          <w:bCs/>
          <w:noProof/>
        </w:rPr>
        <w:t>Digitalisation</w:t>
      </w:r>
      <w:r w:rsidRPr="00560A95">
        <w:rPr>
          <w:noProof/>
        </w:rPr>
        <w:t xml:space="preserve"> remains a</w:t>
      </w:r>
      <w:r w:rsidR="00246534" w:rsidRPr="00560A95">
        <w:rPr>
          <w:noProof/>
        </w:rPr>
        <w:t xml:space="preserve"> </w:t>
      </w:r>
      <w:r w:rsidR="00246534" w:rsidRPr="00560A95">
        <w:rPr>
          <w:b/>
          <w:bCs/>
          <w:noProof/>
        </w:rPr>
        <w:t>key</w:t>
      </w:r>
      <w:r w:rsidRPr="00560A95">
        <w:rPr>
          <w:b/>
          <w:bCs/>
          <w:noProof/>
        </w:rPr>
        <w:t xml:space="preserve"> component</w:t>
      </w:r>
      <w:r w:rsidRPr="00560A95">
        <w:rPr>
          <w:noProof/>
        </w:rPr>
        <w:t xml:space="preserve"> of anti-fraud efforts across Member States, </w:t>
      </w:r>
      <w:r w:rsidR="00D838D7" w:rsidRPr="00560A95">
        <w:rPr>
          <w:noProof/>
        </w:rPr>
        <w:t xml:space="preserve">though </w:t>
      </w:r>
      <w:r w:rsidRPr="00560A95">
        <w:rPr>
          <w:noProof/>
        </w:rPr>
        <w:t xml:space="preserve">implementation </w:t>
      </w:r>
      <w:r w:rsidR="00D838D7" w:rsidRPr="00560A95">
        <w:rPr>
          <w:b/>
          <w:bCs/>
          <w:noProof/>
        </w:rPr>
        <w:t>varies</w:t>
      </w:r>
      <w:r w:rsidRPr="00560A95">
        <w:rPr>
          <w:b/>
          <w:bCs/>
          <w:noProof/>
        </w:rPr>
        <w:t xml:space="preserve"> </w:t>
      </w:r>
      <w:r w:rsidR="00D838D7" w:rsidRPr="00560A95">
        <w:rPr>
          <w:b/>
          <w:bCs/>
          <w:noProof/>
        </w:rPr>
        <w:t>significantly</w:t>
      </w:r>
      <w:r w:rsidR="00D838D7" w:rsidRPr="00560A95">
        <w:rPr>
          <w:noProof/>
        </w:rPr>
        <w:t xml:space="preserve"> </w:t>
      </w:r>
      <w:r w:rsidRPr="00560A95">
        <w:rPr>
          <w:noProof/>
        </w:rPr>
        <w:t xml:space="preserve">and is often </w:t>
      </w:r>
      <w:r w:rsidRPr="00560A95">
        <w:rPr>
          <w:b/>
          <w:bCs/>
          <w:noProof/>
        </w:rPr>
        <w:t>approached cautiously</w:t>
      </w:r>
      <w:r w:rsidRPr="00560A95">
        <w:rPr>
          <w:noProof/>
        </w:rPr>
        <w:t xml:space="preserve">. </w:t>
      </w:r>
    </w:p>
    <w:p w14:paraId="5DF115DD" w14:textId="56F15A76" w:rsidR="00720837" w:rsidRPr="00DE3A6F" w:rsidRDefault="00720837" w:rsidP="00FF0AB7">
      <w:pPr>
        <w:keepNext/>
        <w:rPr>
          <w:b/>
          <w:bCs/>
          <w:i/>
          <w:iCs/>
          <w:noProof/>
        </w:rPr>
      </w:pPr>
      <w:r w:rsidRPr="00DE3A6F">
        <w:rPr>
          <w:b/>
          <w:bCs/>
          <w:i/>
          <w:iCs/>
          <w:noProof/>
        </w:rPr>
        <w:t xml:space="preserve">Use of </w:t>
      </w:r>
      <w:r w:rsidR="21078D7E" w:rsidRPr="00DE3A6F">
        <w:rPr>
          <w:b/>
          <w:bCs/>
          <w:i/>
          <w:iCs/>
          <w:noProof/>
        </w:rPr>
        <w:t xml:space="preserve">AI </w:t>
      </w:r>
    </w:p>
    <w:p w14:paraId="5E460792" w14:textId="19C5ACF7" w:rsidR="31078278" w:rsidRPr="00DE3A6F" w:rsidRDefault="000527E9" w:rsidP="044E42F4">
      <w:pPr>
        <w:rPr>
          <w:noProof/>
        </w:rPr>
      </w:pPr>
      <w:r w:rsidRPr="00CA1602">
        <w:rPr>
          <w:noProof/>
        </w:rPr>
        <w:t>Most</w:t>
      </w:r>
      <w:r w:rsidR="21078D7E" w:rsidRPr="00DE3A6F">
        <w:rPr>
          <w:noProof/>
        </w:rPr>
        <w:t xml:space="preserve"> Member States (21) reported </w:t>
      </w:r>
      <w:r w:rsidR="005B0E93" w:rsidRPr="00DE3A6F">
        <w:rPr>
          <w:noProof/>
        </w:rPr>
        <w:t xml:space="preserve">not using </w:t>
      </w:r>
      <w:r w:rsidR="21078D7E" w:rsidRPr="00DE3A6F">
        <w:rPr>
          <w:noProof/>
        </w:rPr>
        <w:t xml:space="preserve">AI tools </w:t>
      </w:r>
      <w:r w:rsidR="005B0E93" w:rsidRPr="00DE3A6F">
        <w:rPr>
          <w:noProof/>
        </w:rPr>
        <w:t>in</w:t>
      </w:r>
      <w:r w:rsidR="21078D7E" w:rsidRPr="00DE3A6F">
        <w:rPr>
          <w:noProof/>
        </w:rPr>
        <w:t xml:space="preserve"> their anti-fraud strategies. </w:t>
      </w:r>
      <w:r w:rsidR="77C66F2F" w:rsidRPr="00DE3A6F">
        <w:rPr>
          <w:noProof/>
        </w:rPr>
        <w:t>Three</w:t>
      </w:r>
      <w:r w:rsidR="21078D7E" w:rsidRPr="00DE3A6F">
        <w:rPr>
          <w:noProof/>
        </w:rPr>
        <w:t xml:space="preserve"> Member States</w:t>
      </w:r>
      <w:r w:rsidR="6BA82F05" w:rsidRPr="00DE3A6F">
        <w:rPr>
          <w:noProof/>
        </w:rPr>
        <w:t> (</w:t>
      </w:r>
      <w:r w:rsidR="0060373F" w:rsidRPr="00DE3A6F">
        <w:rPr>
          <w:rStyle w:val="FootnoteReference"/>
          <w:noProof/>
        </w:rPr>
        <w:footnoteReference w:id="44"/>
      </w:r>
      <w:r w:rsidR="6BA82F05" w:rsidRPr="00DE3A6F">
        <w:rPr>
          <w:noProof/>
        </w:rPr>
        <w:t>)</w:t>
      </w:r>
      <w:r w:rsidR="21078D7E" w:rsidRPr="00DE3A6F">
        <w:rPr>
          <w:noProof/>
        </w:rPr>
        <w:t xml:space="preserve"> </w:t>
      </w:r>
      <w:r w:rsidR="00505383" w:rsidRPr="00DE3A6F">
        <w:rPr>
          <w:noProof/>
        </w:rPr>
        <w:t>confirmed</w:t>
      </w:r>
      <w:r w:rsidR="21078D7E" w:rsidRPr="00DE3A6F">
        <w:rPr>
          <w:noProof/>
        </w:rPr>
        <w:t xml:space="preserve"> AI </w:t>
      </w:r>
      <w:r w:rsidR="008B0015" w:rsidRPr="00CA1602">
        <w:rPr>
          <w:noProof/>
        </w:rPr>
        <w:t>was integrated into their</w:t>
      </w:r>
      <w:r w:rsidR="21078D7E" w:rsidRPr="00DE3A6F">
        <w:rPr>
          <w:noProof/>
        </w:rPr>
        <w:t xml:space="preserve"> national anti-fraud strategy, while </w:t>
      </w:r>
      <w:r w:rsidR="00AF4E6A" w:rsidRPr="00CA1602">
        <w:rPr>
          <w:noProof/>
        </w:rPr>
        <w:t>6</w:t>
      </w:r>
      <w:r w:rsidR="3CAC8A73" w:rsidRPr="00DE3A6F">
        <w:rPr>
          <w:noProof/>
        </w:rPr>
        <w:t> (</w:t>
      </w:r>
      <w:r w:rsidR="005F6AC4" w:rsidRPr="00DE3A6F">
        <w:rPr>
          <w:rStyle w:val="FootnoteReference"/>
          <w:noProof/>
        </w:rPr>
        <w:footnoteReference w:id="45"/>
      </w:r>
      <w:r w:rsidR="3CAC8A73" w:rsidRPr="00DE3A6F">
        <w:rPr>
          <w:noProof/>
        </w:rPr>
        <w:t>)</w:t>
      </w:r>
      <w:r w:rsidR="21078D7E" w:rsidRPr="00DE3A6F">
        <w:rPr>
          <w:noProof/>
        </w:rPr>
        <w:t xml:space="preserve"> </w:t>
      </w:r>
      <w:r w:rsidR="00AC6752" w:rsidRPr="00DE3A6F">
        <w:rPr>
          <w:noProof/>
        </w:rPr>
        <w:t xml:space="preserve">use it </w:t>
      </w:r>
      <w:r w:rsidR="21078D7E" w:rsidRPr="00DE3A6F">
        <w:rPr>
          <w:noProof/>
        </w:rPr>
        <w:t>in other anti-fraud frameworks.</w:t>
      </w:r>
    </w:p>
    <w:p w14:paraId="269BB420" w14:textId="29C10B4E" w:rsidR="00010C6D" w:rsidRPr="00DE3A6F" w:rsidRDefault="3E057B9D" w:rsidP="00245C58">
      <w:pPr>
        <w:rPr>
          <w:noProof/>
        </w:rPr>
      </w:pPr>
      <w:r w:rsidRPr="00DE3A6F">
        <w:rPr>
          <w:noProof/>
        </w:rPr>
        <w:t xml:space="preserve">Where </w:t>
      </w:r>
      <w:r w:rsidR="6472CBAB" w:rsidRPr="00DE3A6F">
        <w:rPr>
          <w:noProof/>
        </w:rPr>
        <w:t>applied</w:t>
      </w:r>
      <w:r w:rsidR="16DB4805" w:rsidRPr="00DE3A6F">
        <w:rPr>
          <w:noProof/>
        </w:rPr>
        <w:t xml:space="preserve">, </w:t>
      </w:r>
      <w:r w:rsidRPr="00DE3A6F">
        <w:rPr>
          <w:noProof/>
        </w:rPr>
        <w:t xml:space="preserve">AI is </w:t>
      </w:r>
      <w:r w:rsidR="16DB4805" w:rsidRPr="00DE3A6F">
        <w:rPr>
          <w:noProof/>
        </w:rPr>
        <w:t xml:space="preserve">primarily </w:t>
      </w:r>
      <w:r w:rsidRPr="00DE3A6F">
        <w:rPr>
          <w:noProof/>
        </w:rPr>
        <w:t>used</w:t>
      </w:r>
      <w:r w:rsidR="16DB4805" w:rsidRPr="00DE3A6F">
        <w:rPr>
          <w:noProof/>
        </w:rPr>
        <w:t xml:space="preserve"> for</w:t>
      </w:r>
      <w:r w:rsidR="64DAE5F7" w:rsidRPr="00DE3A6F">
        <w:rPr>
          <w:noProof/>
        </w:rPr>
        <w:t xml:space="preserve"> </w:t>
      </w:r>
      <w:r w:rsidRPr="00DE3A6F">
        <w:rPr>
          <w:noProof/>
        </w:rPr>
        <w:t xml:space="preserve">anomaly detection and predictive analytics, </w:t>
      </w:r>
      <w:r w:rsidR="64DAE5F7" w:rsidRPr="00DE3A6F">
        <w:rPr>
          <w:noProof/>
        </w:rPr>
        <w:t xml:space="preserve">aligning </w:t>
      </w:r>
      <w:r w:rsidR="30852C30" w:rsidRPr="00DE3A6F">
        <w:rPr>
          <w:noProof/>
        </w:rPr>
        <w:t xml:space="preserve">with the </w:t>
      </w:r>
      <w:r w:rsidRPr="00DE3A6F">
        <w:rPr>
          <w:noProof/>
        </w:rPr>
        <w:t xml:space="preserve">broader prevention and detection </w:t>
      </w:r>
      <w:r w:rsidR="30852C30" w:rsidRPr="00DE3A6F">
        <w:rPr>
          <w:noProof/>
        </w:rPr>
        <w:t xml:space="preserve">focus </w:t>
      </w:r>
      <w:r w:rsidRPr="00DE3A6F">
        <w:rPr>
          <w:noProof/>
        </w:rPr>
        <w:t xml:space="preserve">within the anti-fraud cycle. </w:t>
      </w:r>
    </w:p>
    <w:p w14:paraId="575DE58C" w14:textId="558A074E" w:rsidR="31078278" w:rsidRPr="00DE3A6F" w:rsidRDefault="31078278" w:rsidP="002649C1">
      <w:pPr>
        <w:rPr>
          <w:noProof/>
        </w:rPr>
      </w:pPr>
      <w:r w:rsidRPr="001D7BC2">
        <w:rPr>
          <w:noProof/>
        </w:rPr>
        <w:t>The examples provided by Member States include</w:t>
      </w:r>
      <w:r w:rsidR="003E2E8B" w:rsidRPr="001D7BC2">
        <w:rPr>
          <w:noProof/>
        </w:rPr>
        <w:t>:</w:t>
      </w:r>
      <w:r w:rsidRPr="001D7BC2">
        <w:rPr>
          <w:noProof/>
        </w:rPr>
        <w:t xml:space="preserve"> </w:t>
      </w:r>
      <w:r w:rsidR="00AF4E6A" w:rsidRPr="001D7BC2">
        <w:rPr>
          <w:noProof/>
        </w:rPr>
        <w:t xml:space="preserve">(i) </w:t>
      </w:r>
      <w:r w:rsidRPr="001D7BC2">
        <w:rPr>
          <w:noProof/>
        </w:rPr>
        <w:t>machine-learning tools for anomaly detection and risk analysis in agriculture and customs</w:t>
      </w:r>
      <w:r w:rsidR="003E2E8B" w:rsidRPr="001D7BC2">
        <w:rPr>
          <w:noProof/>
        </w:rPr>
        <w:t xml:space="preserve">; </w:t>
      </w:r>
      <w:r w:rsidR="00AF4E6A" w:rsidRPr="001D7BC2">
        <w:rPr>
          <w:noProof/>
        </w:rPr>
        <w:t xml:space="preserve">(ii) </w:t>
      </w:r>
      <w:r w:rsidRPr="001D7BC2">
        <w:rPr>
          <w:noProof/>
        </w:rPr>
        <w:t>tools supporting audits and the prediction of irregularities</w:t>
      </w:r>
      <w:r w:rsidR="00416D40" w:rsidRPr="001D7BC2">
        <w:rPr>
          <w:noProof/>
        </w:rPr>
        <w:t xml:space="preserve">; </w:t>
      </w:r>
      <w:r w:rsidR="00AF4E6A" w:rsidRPr="001D7BC2">
        <w:rPr>
          <w:noProof/>
        </w:rPr>
        <w:t xml:space="preserve">(iii) </w:t>
      </w:r>
      <w:r w:rsidRPr="001D7BC2">
        <w:rPr>
          <w:noProof/>
        </w:rPr>
        <w:t xml:space="preserve">text-processing and transcription </w:t>
      </w:r>
      <w:r w:rsidR="00416D40" w:rsidRPr="001D7BC2">
        <w:rPr>
          <w:noProof/>
        </w:rPr>
        <w:t>assistance;</w:t>
      </w:r>
      <w:r w:rsidR="00AF4E6A" w:rsidRPr="001D7BC2">
        <w:rPr>
          <w:noProof/>
        </w:rPr>
        <w:t xml:space="preserve"> (iv)</w:t>
      </w:r>
      <w:r w:rsidRPr="001D7BC2">
        <w:rPr>
          <w:noProof/>
        </w:rPr>
        <w:t xml:space="preserve"> risk scoring </w:t>
      </w:r>
      <w:r w:rsidR="00416D40" w:rsidRPr="001D7BC2">
        <w:rPr>
          <w:noProof/>
        </w:rPr>
        <w:t xml:space="preserve">and </w:t>
      </w:r>
      <w:r w:rsidRPr="001D7BC2">
        <w:rPr>
          <w:noProof/>
        </w:rPr>
        <w:t>network analysis</w:t>
      </w:r>
      <w:r w:rsidR="002649C1" w:rsidRPr="001D7BC2">
        <w:rPr>
          <w:noProof/>
        </w:rPr>
        <w:t xml:space="preserve"> applications;</w:t>
      </w:r>
      <w:r w:rsidRPr="001D7BC2">
        <w:rPr>
          <w:noProof/>
        </w:rPr>
        <w:t xml:space="preserve"> and </w:t>
      </w:r>
      <w:r w:rsidR="00AF4E6A" w:rsidRPr="001D7BC2">
        <w:rPr>
          <w:noProof/>
        </w:rPr>
        <w:t xml:space="preserve">(v) </w:t>
      </w:r>
      <w:r w:rsidRPr="001D7BC2">
        <w:rPr>
          <w:noProof/>
        </w:rPr>
        <w:t xml:space="preserve">automated invoice </w:t>
      </w:r>
      <w:r w:rsidR="002649C1" w:rsidRPr="001D7BC2">
        <w:rPr>
          <w:noProof/>
        </w:rPr>
        <w:t>verification.</w:t>
      </w:r>
    </w:p>
    <w:p w14:paraId="3B468703" w14:textId="4F892E2F" w:rsidR="31078278" w:rsidRPr="00DE3A6F" w:rsidRDefault="29FE1153" w:rsidP="00C725DC">
      <w:pPr>
        <w:spacing w:before="120"/>
        <w:rPr>
          <w:noProof/>
        </w:rPr>
      </w:pPr>
      <w:r w:rsidRPr="001D7BC2">
        <w:rPr>
          <w:noProof/>
        </w:rPr>
        <w:t xml:space="preserve">Overall, AI </w:t>
      </w:r>
      <w:r w:rsidR="002649C1" w:rsidRPr="001D7BC2">
        <w:rPr>
          <w:noProof/>
        </w:rPr>
        <w:t xml:space="preserve">adoption </w:t>
      </w:r>
      <w:r w:rsidRPr="001D7BC2">
        <w:rPr>
          <w:noProof/>
        </w:rPr>
        <w:t>remains at an exploratory stage</w:t>
      </w:r>
      <w:r w:rsidR="00AF4E6A" w:rsidRPr="001D7BC2">
        <w:rPr>
          <w:noProof/>
        </w:rPr>
        <w:t xml:space="preserve"> and is</w:t>
      </w:r>
      <w:r w:rsidRPr="001D7BC2">
        <w:rPr>
          <w:noProof/>
        </w:rPr>
        <w:t xml:space="preserve"> often sector-specific </w:t>
      </w:r>
      <w:r w:rsidR="00272F74" w:rsidRPr="001D7BC2">
        <w:rPr>
          <w:noProof/>
        </w:rPr>
        <w:t xml:space="preserve">rather </w:t>
      </w:r>
      <w:r w:rsidRPr="001D7BC2">
        <w:rPr>
          <w:noProof/>
        </w:rPr>
        <w:t>than fully integrated into national systems.</w:t>
      </w:r>
    </w:p>
    <w:p w14:paraId="1575F03E" w14:textId="11958676" w:rsidR="00FE5776" w:rsidRPr="00DE3A6F" w:rsidRDefault="00FE5776" w:rsidP="00FF0AB7">
      <w:pPr>
        <w:keepNext/>
        <w:spacing w:before="120"/>
        <w:rPr>
          <w:b/>
          <w:bCs/>
          <w:i/>
          <w:iCs/>
          <w:noProof/>
        </w:rPr>
      </w:pPr>
      <w:r w:rsidRPr="00DE3A6F">
        <w:rPr>
          <w:b/>
          <w:bCs/>
          <w:i/>
          <w:iCs/>
          <w:noProof/>
        </w:rPr>
        <w:t>Assessment of cyber-</w:t>
      </w:r>
      <w:r w:rsidR="00963459" w:rsidRPr="00DE3A6F">
        <w:rPr>
          <w:b/>
          <w:bCs/>
          <w:i/>
          <w:iCs/>
          <w:noProof/>
        </w:rPr>
        <w:t>threats</w:t>
      </w:r>
      <w:r w:rsidRPr="00DE3A6F">
        <w:rPr>
          <w:b/>
          <w:bCs/>
          <w:i/>
          <w:iCs/>
          <w:noProof/>
        </w:rPr>
        <w:t xml:space="preserve"> and AI-related threats</w:t>
      </w:r>
    </w:p>
    <w:p w14:paraId="20CE76E4" w14:textId="3594AB53" w:rsidR="00080BC7" w:rsidRPr="00DE3A6F" w:rsidRDefault="00FE5776" w:rsidP="0E7E2D8C">
      <w:pPr>
        <w:spacing w:before="120"/>
        <w:rPr>
          <w:noProof/>
        </w:rPr>
      </w:pPr>
      <w:r w:rsidRPr="00DE3A6F">
        <w:rPr>
          <w:noProof/>
        </w:rPr>
        <w:t>P</w:t>
      </w:r>
      <w:r w:rsidR="21078D7E" w:rsidRPr="00DE3A6F">
        <w:rPr>
          <w:noProof/>
        </w:rPr>
        <w:t xml:space="preserve">rogress in </w:t>
      </w:r>
      <w:r w:rsidRPr="00DE3A6F">
        <w:rPr>
          <w:noProof/>
        </w:rPr>
        <w:t>this area has been limited</w:t>
      </w:r>
      <w:r w:rsidR="00080BC7" w:rsidRPr="00DE3A6F">
        <w:rPr>
          <w:noProof/>
        </w:rPr>
        <w:t>:</w:t>
      </w:r>
    </w:p>
    <w:p w14:paraId="52CD949C" w14:textId="5CBDB297" w:rsidR="00A37142" w:rsidRPr="00DE3A6F" w:rsidRDefault="0089635F" w:rsidP="00A37142">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3</w:t>
      </w:r>
      <w:r w:rsidR="21078D7E" w:rsidRPr="00DE3A6F">
        <w:rPr>
          <w:rFonts w:ascii="Times New Roman" w:hAnsi="Times New Roman"/>
          <w:noProof/>
        </w:rPr>
        <w:t xml:space="preserve"> Member States</w:t>
      </w:r>
      <w:r w:rsidR="78225D90" w:rsidRPr="00DE3A6F">
        <w:rPr>
          <w:rFonts w:ascii="Times New Roman" w:hAnsi="Times New Roman"/>
          <w:noProof/>
        </w:rPr>
        <w:t> (</w:t>
      </w:r>
      <w:r w:rsidR="007831C6" w:rsidRPr="00DE3A6F">
        <w:rPr>
          <w:rStyle w:val="FootnoteReference"/>
          <w:rFonts w:ascii="Times New Roman" w:hAnsi="Times New Roman"/>
          <w:noProof/>
        </w:rPr>
        <w:footnoteReference w:id="46"/>
      </w:r>
      <w:r w:rsidR="78225D90" w:rsidRPr="00DE3A6F">
        <w:rPr>
          <w:rFonts w:ascii="Times New Roman" w:hAnsi="Times New Roman"/>
          <w:noProof/>
        </w:rPr>
        <w:t>)</w:t>
      </w:r>
      <w:r w:rsidR="21078D7E" w:rsidRPr="00DE3A6F">
        <w:rPr>
          <w:rFonts w:ascii="Times New Roman" w:hAnsi="Times New Roman"/>
          <w:noProof/>
        </w:rPr>
        <w:t xml:space="preserve"> </w:t>
      </w:r>
      <w:r w:rsidR="00A37142" w:rsidRPr="00DE3A6F">
        <w:rPr>
          <w:rFonts w:ascii="Times New Roman" w:hAnsi="Times New Roman"/>
          <w:noProof/>
        </w:rPr>
        <w:t xml:space="preserve">conducted </w:t>
      </w:r>
      <w:r w:rsidR="21078D7E" w:rsidRPr="00DE3A6F">
        <w:rPr>
          <w:rFonts w:ascii="Times New Roman" w:hAnsi="Times New Roman"/>
          <w:noProof/>
        </w:rPr>
        <w:t>a comprehensive assessment in 2025</w:t>
      </w:r>
      <w:r w:rsidR="00A37142" w:rsidRPr="00DE3A6F">
        <w:rPr>
          <w:rFonts w:ascii="Times New Roman" w:hAnsi="Times New Roman"/>
          <w:noProof/>
        </w:rPr>
        <w:t>;</w:t>
      </w:r>
    </w:p>
    <w:p w14:paraId="1BF6584E" w14:textId="005FAB3C" w:rsidR="0089635F" w:rsidRPr="00DE3A6F" w:rsidRDefault="21078D7E" w:rsidP="00A37142">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8</w:t>
      </w:r>
      <w:r w:rsidR="18389FD2" w:rsidRPr="00DE3A6F">
        <w:rPr>
          <w:rFonts w:ascii="Times New Roman" w:hAnsi="Times New Roman"/>
          <w:noProof/>
        </w:rPr>
        <w:t> (</w:t>
      </w:r>
      <w:r w:rsidR="007B28CD" w:rsidRPr="00DE3A6F">
        <w:rPr>
          <w:rStyle w:val="FootnoteReference"/>
          <w:rFonts w:ascii="Times New Roman" w:hAnsi="Times New Roman"/>
          <w:noProof/>
        </w:rPr>
        <w:footnoteReference w:id="47"/>
      </w:r>
      <w:r w:rsidR="18389FD2" w:rsidRPr="00DE3A6F">
        <w:rPr>
          <w:rFonts w:ascii="Times New Roman" w:hAnsi="Times New Roman"/>
          <w:noProof/>
        </w:rPr>
        <w:t>)</w:t>
      </w:r>
      <w:r w:rsidRPr="00DE3A6F">
        <w:rPr>
          <w:rFonts w:ascii="Times New Roman" w:hAnsi="Times New Roman"/>
          <w:noProof/>
        </w:rPr>
        <w:t xml:space="preserve"> </w:t>
      </w:r>
      <w:r w:rsidR="0089635F" w:rsidRPr="00DE3A6F">
        <w:rPr>
          <w:rFonts w:ascii="Times New Roman" w:hAnsi="Times New Roman"/>
          <w:noProof/>
        </w:rPr>
        <w:t>performed</w:t>
      </w:r>
      <w:r w:rsidRPr="00DE3A6F">
        <w:rPr>
          <w:rFonts w:ascii="Times New Roman" w:hAnsi="Times New Roman"/>
          <w:noProof/>
        </w:rPr>
        <w:t xml:space="preserve"> a partial assessment</w:t>
      </w:r>
      <w:r w:rsidR="0089635F" w:rsidRPr="00DE3A6F">
        <w:rPr>
          <w:rFonts w:ascii="Times New Roman" w:hAnsi="Times New Roman"/>
          <w:noProof/>
        </w:rPr>
        <w:t>;</w:t>
      </w:r>
      <w:r w:rsidRPr="00DE3A6F">
        <w:rPr>
          <w:rFonts w:ascii="Times New Roman" w:hAnsi="Times New Roman"/>
          <w:noProof/>
        </w:rPr>
        <w:t xml:space="preserve"> </w:t>
      </w:r>
    </w:p>
    <w:p w14:paraId="30BE66FC" w14:textId="6A353265" w:rsidR="003970D0" w:rsidRPr="00DE3A6F" w:rsidRDefault="21078D7E" w:rsidP="00A37142">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 xml:space="preserve">15 reported no assessment and no plans to </w:t>
      </w:r>
      <w:r w:rsidR="003970D0" w:rsidRPr="00DE3A6F">
        <w:rPr>
          <w:rFonts w:ascii="Times New Roman" w:hAnsi="Times New Roman"/>
          <w:noProof/>
        </w:rPr>
        <w:t>conduct one;</w:t>
      </w:r>
    </w:p>
    <w:p w14:paraId="2722149A" w14:textId="6ACAC01C" w:rsidR="003970D0" w:rsidRPr="001D7BC2" w:rsidRDefault="21078D7E" w:rsidP="28D37C99">
      <w:pPr>
        <w:pStyle w:val="ListParagraph"/>
        <w:numPr>
          <w:ilvl w:val="0"/>
          <w:numId w:val="60"/>
        </w:numPr>
        <w:spacing w:after="120"/>
        <w:ind w:left="714" w:hanging="357"/>
        <w:jc w:val="both"/>
        <w:rPr>
          <w:rFonts w:ascii="Times New Roman" w:hAnsi="Times New Roman"/>
          <w:noProof/>
        </w:rPr>
      </w:pPr>
      <w:r w:rsidRPr="001D7BC2">
        <w:rPr>
          <w:rFonts w:ascii="Times New Roman" w:hAnsi="Times New Roman"/>
          <w:noProof/>
        </w:rPr>
        <w:t xml:space="preserve">1 indicated that an assessment was planned. </w:t>
      </w:r>
    </w:p>
    <w:p w14:paraId="34F2506A" w14:textId="3EDA60E7" w:rsidR="31078278" w:rsidRPr="00DE3A6F" w:rsidRDefault="21078D7E" w:rsidP="003970D0">
      <w:pPr>
        <w:rPr>
          <w:noProof/>
        </w:rPr>
      </w:pPr>
      <w:r w:rsidRPr="00DE3A6F">
        <w:rPr>
          <w:noProof/>
        </w:rPr>
        <w:t>This suggests that the recommendation to assess cyber</w:t>
      </w:r>
      <w:r w:rsidR="00963459" w:rsidRPr="00DE3A6F">
        <w:rPr>
          <w:noProof/>
        </w:rPr>
        <w:t>threats</w:t>
      </w:r>
      <w:r w:rsidRPr="00DE3A6F">
        <w:rPr>
          <w:noProof/>
        </w:rPr>
        <w:t xml:space="preserve"> and AI-related threats is only beginning to be reflected in national practice.</w:t>
      </w:r>
    </w:p>
    <w:p w14:paraId="52A4059B" w14:textId="31DD135F" w:rsidR="00153A79" w:rsidRPr="001D7BC2" w:rsidRDefault="00153A79" w:rsidP="001660CB">
      <w:pPr>
        <w:keepNext/>
        <w:rPr>
          <w:b/>
          <w:bCs/>
          <w:i/>
          <w:iCs/>
          <w:noProof/>
        </w:rPr>
      </w:pPr>
      <w:r w:rsidRPr="001D7BC2">
        <w:rPr>
          <w:b/>
          <w:bCs/>
          <w:i/>
          <w:iCs/>
          <w:noProof/>
        </w:rPr>
        <w:t>Future digitalisation priorities</w:t>
      </w:r>
    </w:p>
    <w:p w14:paraId="12B7350F" w14:textId="458D6967" w:rsidR="00A855CB" w:rsidRPr="00DE3A6F" w:rsidRDefault="29FE1153" w:rsidP="044E42F4">
      <w:pPr>
        <w:rPr>
          <w:noProof/>
        </w:rPr>
      </w:pPr>
      <w:r w:rsidRPr="00DE3A6F">
        <w:rPr>
          <w:noProof/>
        </w:rPr>
        <w:t xml:space="preserve">Member States intend to focus </w:t>
      </w:r>
      <w:r w:rsidR="00A855CB" w:rsidRPr="00DE3A6F">
        <w:rPr>
          <w:noProof/>
        </w:rPr>
        <w:t>on:</w:t>
      </w:r>
    </w:p>
    <w:p w14:paraId="65DAD8F8" w14:textId="7E9AA459" w:rsidR="00A855CB" w:rsidRPr="00DE3A6F" w:rsidRDefault="29FE1153" w:rsidP="004A2521">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stronger interoperability between systems</w:t>
      </w:r>
      <w:r w:rsidR="00A855CB" w:rsidRPr="00DE3A6F">
        <w:rPr>
          <w:rFonts w:ascii="Times New Roman" w:hAnsi="Times New Roman"/>
          <w:noProof/>
        </w:rPr>
        <w:t>;</w:t>
      </w:r>
    </w:p>
    <w:p w14:paraId="158A8E2E" w14:textId="53E5B246" w:rsidR="00A855CB" w:rsidRPr="00DE3A6F" w:rsidRDefault="29FE1153" w:rsidP="00A855CB">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 xml:space="preserve"> expanded use of </w:t>
      </w:r>
      <w:r w:rsidR="00B03DD1" w:rsidRPr="00DE3A6F">
        <w:rPr>
          <w:rFonts w:ascii="Times New Roman" w:hAnsi="Times New Roman"/>
          <w:noProof/>
        </w:rPr>
        <w:t>Arachne</w:t>
      </w:r>
      <w:r w:rsidRPr="00DE3A6F">
        <w:rPr>
          <w:rFonts w:ascii="Times New Roman" w:hAnsi="Times New Roman"/>
          <w:noProof/>
        </w:rPr>
        <w:t xml:space="preserve"> and </w:t>
      </w:r>
      <w:r w:rsidR="00963459" w:rsidRPr="00DE3A6F">
        <w:rPr>
          <w:rFonts w:ascii="Times New Roman" w:hAnsi="Times New Roman"/>
          <w:noProof/>
        </w:rPr>
        <w:t xml:space="preserve">the </w:t>
      </w:r>
      <w:r w:rsidRPr="00DE3A6F">
        <w:rPr>
          <w:rFonts w:ascii="Times New Roman" w:hAnsi="Times New Roman"/>
          <w:noProof/>
        </w:rPr>
        <w:t xml:space="preserve">future </w:t>
      </w:r>
      <w:r w:rsidR="00B03DD1" w:rsidRPr="00DE3A6F">
        <w:rPr>
          <w:rFonts w:ascii="Times New Roman" w:hAnsi="Times New Roman"/>
          <w:noProof/>
        </w:rPr>
        <w:t>Arachne</w:t>
      </w:r>
      <w:r w:rsidRPr="00DE3A6F">
        <w:rPr>
          <w:rFonts w:ascii="Times New Roman" w:hAnsi="Times New Roman"/>
          <w:noProof/>
        </w:rPr>
        <w:t>+</w:t>
      </w:r>
      <w:r w:rsidR="00A855CB" w:rsidRPr="00DE3A6F">
        <w:rPr>
          <w:rFonts w:ascii="Times New Roman" w:hAnsi="Times New Roman"/>
          <w:noProof/>
        </w:rPr>
        <w:t>;</w:t>
      </w:r>
    </w:p>
    <w:p w14:paraId="1BC3A722" w14:textId="481E1C4F" w:rsidR="00AE7043" w:rsidRPr="00DE3A6F" w:rsidRDefault="29FE1153" w:rsidP="00A855CB">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improved risk-analysis tools</w:t>
      </w:r>
      <w:r w:rsidR="00AE7043" w:rsidRPr="00DE3A6F">
        <w:rPr>
          <w:rFonts w:ascii="Times New Roman" w:hAnsi="Times New Roman"/>
          <w:noProof/>
        </w:rPr>
        <w:t>;</w:t>
      </w:r>
    </w:p>
    <w:p w14:paraId="082CC70A" w14:textId="4630F0D8" w:rsidR="00AE7043" w:rsidRPr="00DE3A6F" w:rsidRDefault="29FE1153" w:rsidP="00A855CB">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better data integration</w:t>
      </w:r>
      <w:r w:rsidR="00AE7043" w:rsidRPr="00DE3A6F">
        <w:rPr>
          <w:rFonts w:ascii="Times New Roman" w:hAnsi="Times New Roman"/>
          <w:noProof/>
        </w:rPr>
        <w:t>;</w:t>
      </w:r>
    </w:p>
    <w:p w14:paraId="2E4A8693" w14:textId="7E83AF97" w:rsidR="004A2521" w:rsidRPr="001D7BC2" w:rsidRDefault="29FE1153" w:rsidP="28D37C99">
      <w:pPr>
        <w:pStyle w:val="ListParagraph"/>
        <w:numPr>
          <w:ilvl w:val="0"/>
          <w:numId w:val="60"/>
        </w:numPr>
        <w:spacing w:after="120"/>
        <w:ind w:left="714" w:hanging="357"/>
        <w:jc w:val="both"/>
        <w:rPr>
          <w:rFonts w:ascii="Times New Roman" w:hAnsi="Times New Roman"/>
          <w:noProof/>
        </w:rPr>
      </w:pPr>
      <w:r w:rsidRPr="001D7BC2">
        <w:rPr>
          <w:rFonts w:ascii="Times New Roman" w:hAnsi="Times New Roman"/>
          <w:noProof/>
        </w:rPr>
        <w:t xml:space="preserve">possible use of AI </w:t>
      </w:r>
      <w:r w:rsidR="00AE7043" w:rsidRPr="001D7BC2">
        <w:rPr>
          <w:rFonts w:ascii="Times New Roman" w:hAnsi="Times New Roman"/>
          <w:noProof/>
        </w:rPr>
        <w:t xml:space="preserve">applications (e.g. </w:t>
      </w:r>
      <w:r w:rsidRPr="001D7BC2">
        <w:rPr>
          <w:rFonts w:ascii="Times New Roman" w:hAnsi="Times New Roman"/>
          <w:noProof/>
        </w:rPr>
        <w:t>for anomaly detection or complaint analysis</w:t>
      </w:r>
      <w:r w:rsidR="00AE7043" w:rsidRPr="001D7BC2">
        <w:rPr>
          <w:rFonts w:ascii="Times New Roman" w:hAnsi="Times New Roman"/>
          <w:noProof/>
        </w:rPr>
        <w:t>)</w:t>
      </w:r>
      <w:r w:rsidR="004A2521" w:rsidRPr="001D7BC2">
        <w:rPr>
          <w:rFonts w:ascii="Times New Roman" w:hAnsi="Times New Roman"/>
          <w:noProof/>
        </w:rPr>
        <w:t>;</w:t>
      </w:r>
      <w:r w:rsidRPr="001D7BC2">
        <w:rPr>
          <w:rFonts w:ascii="Times New Roman" w:hAnsi="Times New Roman"/>
          <w:noProof/>
        </w:rPr>
        <w:t xml:space="preserve"> and</w:t>
      </w:r>
    </w:p>
    <w:p w14:paraId="589DBBBF" w14:textId="1CF4413F" w:rsidR="31078278" w:rsidRPr="00DE3A6F" w:rsidRDefault="29FE1153" w:rsidP="004A2521">
      <w:pPr>
        <w:pStyle w:val="ListParagraph"/>
        <w:numPr>
          <w:ilvl w:val="0"/>
          <w:numId w:val="60"/>
        </w:numPr>
        <w:spacing w:after="120"/>
        <w:ind w:left="714" w:hanging="357"/>
        <w:jc w:val="both"/>
        <w:rPr>
          <w:rFonts w:ascii="Times New Roman" w:hAnsi="Times New Roman"/>
          <w:noProof/>
        </w:rPr>
      </w:pPr>
      <w:r w:rsidRPr="00DE3A6F">
        <w:rPr>
          <w:rFonts w:ascii="Times New Roman" w:hAnsi="Times New Roman"/>
          <w:noProof/>
        </w:rPr>
        <w:t>digital platforms to support transparency and case management.</w:t>
      </w:r>
    </w:p>
    <w:p w14:paraId="38698CBC" w14:textId="355D5D3F" w:rsidR="00667C9A" w:rsidRPr="00DE3A6F" w:rsidRDefault="00667C9A" w:rsidP="28D37C99">
      <w:pPr>
        <w:pStyle w:val="Caption"/>
        <w:keepNext/>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1D7BC2">
        <w:rPr>
          <w:noProof/>
        </w:rPr>
        <w:lastRenderedPageBreak/>
        <w:t xml:space="preserve">Snapshot </w:t>
      </w:r>
      <w:r w:rsidRPr="00DE3A6F">
        <w:rPr>
          <w:noProof/>
        </w:rPr>
        <w:fldChar w:fldCharType="begin"/>
      </w:r>
      <w:r w:rsidRPr="00DE3A6F">
        <w:rPr>
          <w:noProof/>
        </w:rPr>
        <w:instrText xml:space="preserve"> SEQ Snapshot \* ARABIC </w:instrText>
      </w:r>
      <w:r w:rsidRPr="00DE3A6F">
        <w:rPr>
          <w:noProof/>
        </w:rPr>
        <w:fldChar w:fldCharType="separate"/>
      </w:r>
      <w:r w:rsidR="00CA6005">
        <w:rPr>
          <w:noProof/>
        </w:rPr>
        <w:t>6</w:t>
      </w:r>
      <w:r w:rsidRPr="00DE3A6F">
        <w:rPr>
          <w:noProof/>
        </w:rPr>
        <w:fldChar w:fldCharType="end"/>
      </w:r>
      <w:r w:rsidRPr="001D7BC2">
        <w:rPr>
          <w:noProof/>
        </w:rPr>
        <w:t>: Best practices in digitalisation</w:t>
      </w:r>
    </w:p>
    <w:p w14:paraId="4448E475" w14:textId="77777777" w:rsidR="00667C9A" w:rsidRPr="00DE3A6F" w:rsidRDefault="00667C9A" w:rsidP="28D37C99">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1D7BC2">
        <w:rPr>
          <w:noProof/>
        </w:rPr>
        <w:t xml:space="preserve">Member States increasingly recognise </w:t>
      </w:r>
      <w:r w:rsidRPr="001D7BC2">
        <w:rPr>
          <w:b/>
          <w:bCs/>
          <w:noProof/>
        </w:rPr>
        <w:t>digitalisation as essential</w:t>
      </w:r>
      <w:r w:rsidRPr="001D7BC2">
        <w:rPr>
          <w:noProof/>
        </w:rPr>
        <w:t xml:space="preserve"> to anti-fraud policy, but </w:t>
      </w:r>
      <w:r w:rsidRPr="001D7BC2">
        <w:rPr>
          <w:b/>
          <w:bCs/>
          <w:noProof/>
        </w:rPr>
        <w:t>implementation remains uneven</w:t>
      </w:r>
      <w:r w:rsidRPr="001D7BC2">
        <w:rPr>
          <w:noProof/>
        </w:rPr>
        <w:t xml:space="preserve">, fragmented and hindered by interoperability issues, legal uncertainty and budget constraints. </w:t>
      </w:r>
    </w:p>
    <w:p w14:paraId="3B714661" w14:textId="3940160B" w:rsidR="00667C9A" w:rsidRPr="00DE3A6F" w:rsidRDefault="00667C9A" w:rsidP="00667C9A">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DE3A6F">
        <w:rPr>
          <w:noProof/>
        </w:rPr>
        <w:t xml:space="preserve">Most </w:t>
      </w:r>
      <w:r w:rsidR="00D76535" w:rsidRPr="00DE3A6F">
        <w:rPr>
          <w:noProof/>
        </w:rPr>
        <w:t xml:space="preserve">easily </w:t>
      </w:r>
      <w:r w:rsidRPr="00DE3A6F">
        <w:rPr>
          <w:noProof/>
        </w:rPr>
        <w:t>transferable best practices include:</w:t>
      </w:r>
    </w:p>
    <w:p w14:paraId="03A5C3F8" w14:textId="74792BCF" w:rsidR="00667C9A" w:rsidRPr="00D26859" w:rsidRDefault="00667C9A" w:rsidP="28D37C99">
      <w:pPr>
        <w:pStyle w:val="ListParagraph"/>
        <w:numPr>
          <w:ilvl w:val="0"/>
          <w:numId w:val="1"/>
        </w:numPr>
        <w:pBdr>
          <w:top w:val="single" w:sz="4" w:space="1" w:color="auto"/>
          <w:left w:val="single" w:sz="4" w:space="1" w:color="auto"/>
          <w:bottom w:val="single" w:sz="4" w:space="1" w:color="auto"/>
          <w:right w:val="single" w:sz="4" w:space="1" w:color="auto"/>
        </w:pBdr>
        <w:shd w:val="clear" w:color="auto" w:fill="DEEAF6" w:themeFill="accent1" w:themeFillTint="33"/>
        <w:spacing w:after="120"/>
        <w:ind w:left="357" w:hanging="357"/>
        <w:rPr>
          <w:rFonts w:ascii="Times New Roman" w:eastAsia="Times New Roman Bold" w:hAnsi="Times New Roman"/>
          <w:noProof/>
          <w:lang w:val="de-DE"/>
        </w:rPr>
      </w:pPr>
      <w:r w:rsidRPr="00D26859">
        <w:rPr>
          <w:rFonts w:ascii="Times New Roman" w:eastAsia="Times New Roman Bold" w:hAnsi="Times New Roman"/>
          <w:noProof/>
          <w:lang w:val="de-DE"/>
        </w:rPr>
        <w:t>embedding digitalisation in anti-fraud strategies</w:t>
      </w:r>
      <w:r w:rsidR="00D76535" w:rsidRPr="00D26859">
        <w:rPr>
          <w:rFonts w:ascii="Times New Roman" w:eastAsia="Times New Roman Bold" w:hAnsi="Times New Roman"/>
          <w:noProof/>
          <w:lang w:val="de-DE"/>
        </w:rPr>
        <w:t>;</w:t>
      </w:r>
    </w:p>
    <w:p w14:paraId="095BB493" w14:textId="6792A60C" w:rsidR="00667C9A" w:rsidRPr="00DE3A6F" w:rsidRDefault="00667C9A" w:rsidP="00667C9A">
      <w:pPr>
        <w:pStyle w:val="ListParagraph"/>
        <w:numPr>
          <w:ilvl w:val="0"/>
          <w:numId w:val="1"/>
        </w:numPr>
        <w:pBdr>
          <w:top w:val="single" w:sz="4" w:space="1" w:color="auto"/>
          <w:left w:val="single" w:sz="4" w:space="1" w:color="auto"/>
          <w:bottom w:val="single" w:sz="4" w:space="1" w:color="auto"/>
          <w:right w:val="single" w:sz="4" w:space="1" w:color="auto"/>
        </w:pBdr>
        <w:shd w:val="clear" w:color="auto" w:fill="DEEAF6" w:themeFill="accent1" w:themeFillTint="33"/>
        <w:spacing w:after="120"/>
        <w:ind w:left="357" w:hanging="357"/>
        <w:rPr>
          <w:rFonts w:ascii="Times New Roman" w:eastAsia="Times New Roman Bold" w:hAnsi="Times New Roman"/>
          <w:noProof/>
        </w:rPr>
      </w:pPr>
      <w:r w:rsidRPr="00DE3A6F">
        <w:rPr>
          <w:rFonts w:ascii="Times New Roman" w:eastAsia="Times New Roman Bold" w:hAnsi="Times New Roman"/>
          <w:noProof/>
        </w:rPr>
        <w:t>improving interoperability between national systems and EU tools</w:t>
      </w:r>
      <w:r w:rsidR="00032ECA" w:rsidRPr="00DE3A6F">
        <w:rPr>
          <w:rFonts w:ascii="Times New Roman" w:eastAsia="Times New Roman Bold" w:hAnsi="Times New Roman"/>
          <w:noProof/>
        </w:rPr>
        <w:t>;</w:t>
      </w:r>
    </w:p>
    <w:p w14:paraId="1E2B16B7" w14:textId="7FF91251" w:rsidR="00667C9A" w:rsidRPr="001D7BC2" w:rsidRDefault="00667C9A" w:rsidP="28D37C99">
      <w:pPr>
        <w:pStyle w:val="ListParagraph"/>
        <w:numPr>
          <w:ilvl w:val="0"/>
          <w:numId w:val="1"/>
        </w:numPr>
        <w:pBdr>
          <w:top w:val="single" w:sz="4" w:space="1" w:color="auto"/>
          <w:left w:val="single" w:sz="4" w:space="1" w:color="auto"/>
          <w:bottom w:val="single" w:sz="4" w:space="1" w:color="auto"/>
          <w:right w:val="single" w:sz="4" w:space="1" w:color="auto"/>
        </w:pBdr>
        <w:shd w:val="clear" w:color="auto" w:fill="DEEAF6" w:themeFill="accent1" w:themeFillTint="33"/>
        <w:spacing w:after="120"/>
        <w:ind w:left="357" w:hanging="357"/>
        <w:rPr>
          <w:rFonts w:ascii="Times New Roman" w:eastAsia="Times New Roman Bold" w:hAnsi="Times New Roman"/>
          <w:noProof/>
        </w:rPr>
      </w:pPr>
      <w:r w:rsidRPr="001D7BC2">
        <w:rPr>
          <w:rFonts w:ascii="Times New Roman" w:eastAsia="Times New Roman Bold" w:hAnsi="Times New Roman"/>
          <w:noProof/>
        </w:rPr>
        <w:t>deploying AI in a targeted, secure and risk-based manner</w:t>
      </w:r>
      <w:r w:rsidR="00032ECA" w:rsidRPr="001D7BC2">
        <w:rPr>
          <w:rFonts w:ascii="Times New Roman" w:eastAsia="Times New Roman Bold" w:hAnsi="Times New Roman"/>
          <w:noProof/>
        </w:rPr>
        <w:t>;</w:t>
      </w:r>
    </w:p>
    <w:p w14:paraId="76131D81" w14:textId="1140A637" w:rsidR="00667C9A" w:rsidRPr="00DE3A6F" w:rsidRDefault="00667C9A" w:rsidP="00667C9A">
      <w:pPr>
        <w:pStyle w:val="ListParagraph"/>
        <w:numPr>
          <w:ilvl w:val="0"/>
          <w:numId w:val="1"/>
        </w:numPr>
        <w:pBdr>
          <w:top w:val="single" w:sz="4" w:space="1" w:color="auto"/>
          <w:left w:val="single" w:sz="4" w:space="1" w:color="auto"/>
          <w:bottom w:val="single" w:sz="4" w:space="1" w:color="auto"/>
          <w:right w:val="single" w:sz="4" w:space="1" w:color="auto"/>
        </w:pBdr>
        <w:shd w:val="clear" w:color="auto" w:fill="DEEAF6" w:themeFill="accent1" w:themeFillTint="33"/>
        <w:spacing w:after="120"/>
        <w:ind w:left="357" w:hanging="357"/>
        <w:rPr>
          <w:rFonts w:ascii="Times New Roman" w:eastAsia="Times New Roman Bold" w:hAnsi="Times New Roman"/>
          <w:noProof/>
        </w:rPr>
      </w:pPr>
      <w:r w:rsidRPr="00DE3A6F">
        <w:rPr>
          <w:rFonts w:ascii="Times New Roman" w:eastAsia="Times New Roman Bold" w:hAnsi="Times New Roman"/>
          <w:noProof/>
        </w:rPr>
        <w:t>combining digital outputs with human analysis and operational follow-up</w:t>
      </w:r>
      <w:r w:rsidR="00032ECA" w:rsidRPr="00DE3A6F">
        <w:rPr>
          <w:rFonts w:ascii="Times New Roman" w:eastAsia="Times New Roman Bold" w:hAnsi="Times New Roman"/>
          <w:noProof/>
        </w:rPr>
        <w:t>;</w:t>
      </w:r>
    </w:p>
    <w:p w14:paraId="565FD273" w14:textId="783537F6" w:rsidR="00667C9A" w:rsidRPr="00DE3A6F" w:rsidRDefault="00667C9A" w:rsidP="00667C9A">
      <w:pPr>
        <w:pStyle w:val="ListParagraph"/>
        <w:numPr>
          <w:ilvl w:val="0"/>
          <w:numId w:val="1"/>
        </w:numPr>
        <w:pBdr>
          <w:top w:val="single" w:sz="4" w:space="1" w:color="auto"/>
          <w:left w:val="single" w:sz="4" w:space="1" w:color="auto"/>
          <w:bottom w:val="single" w:sz="4" w:space="1" w:color="auto"/>
          <w:right w:val="single" w:sz="4" w:space="1" w:color="auto"/>
        </w:pBdr>
        <w:shd w:val="clear" w:color="auto" w:fill="DEEAF6" w:themeFill="accent1" w:themeFillTint="33"/>
        <w:spacing w:after="120"/>
        <w:ind w:left="357" w:hanging="357"/>
        <w:rPr>
          <w:rFonts w:ascii="Times New Roman" w:eastAsia="Times New Roman Bold" w:hAnsi="Times New Roman"/>
          <w:noProof/>
        </w:rPr>
      </w:pPr>
      <w:r w:rsidRPr="00DE3A6F">
        <w:rPr>
          <w:rFonts w:ascii="Times New Roman" w:eastAsia="Times New Roman Bold" w:hAnsi="Times New Roman"/>
          <w:noProof/>
        </w:rPr>
        <w:t>clarifying legal and data protection frameworks</w:t>
      </w:r>
      <w:r w:rsidR="00032ECA" w:rsidRPr="00CA1602">
        <w:rPr>
          <w:rFonts w:ascii="Times New Roman" w:eastAsia="Times New Roman Bold" w:hAnsi="Times New Roman"/>
          <w:noProof/>
        </w:rPr>
        <w:t>;</w:t>
      </w:r>
      <w:r w:rsidRPr="00DE3A6F">
        <w:rPr>
          <w:rFonts w:ascii="Times New Roman" w:eastAsia="Times New Roman Bold" w:hAnsi="Times New Roman"/>
          <w:noProof/>
        </w:rPr>
        <w:t xml:space="preserve"> and </w:t>
      </w:r>
    </w:p>
    <w:p w14:paraId="351977E5" w14:textId="77777777" w:rsidR="00667C9A" w:rsidRPr="001D7BC2" w:rsidRDefault="00667C9A" w:rsidP="28D37C99">
      <w:pPr>
        <w:pStyle w:val="ListParagraph"/>
        <w:numPr>
          <w:ilvl w:val="0"/>
          <w:numId w:val="1"/>
        </w:numPr>
        <w:pBdr>
          <w:top w:val="single" w:sz="4" w:space="1" w:color="auto"/>
          <w:left w:val="single" w:sz="4" w:space="1" w:color="auto"/>
          <w:bottom w:val="single" w:sz="4" w:space="1" w:color="auto"/>
          <w:right w:val="single" w:sz="4" w:space="1" w:color="auto"/>
        </w:pBdr>
        <w:shd w:val="clear" w:color="auto" w:fill="DEEAF6" w:themeFill="accent1" w:themeFillTint="33"/>
        <w:spacing w:after="120"/>
        <w:ind w:left="357" w:hanging="357"/>
        <w:rPr>
          <w:rFonts w:ascii="Times New Roman" w:eastAsia="Times New Roman Bold" w:hAnsi="Times New Roman"/>
          <w:noProof/>
        </w:rPr>
      </w:pPr>
      <w:r w:rsidRPr="001D7BC2">
        <w:rPr>
          <w:rFonts w:ascii="Times New Roman" w:eastAsia="Times New Roman Bold" w:hAnsi="Times New Roman"/>
          <w:noProof/>
        </w:rPr>
        <w:t>investing in training and technical support.</w:t>
      </w:r>
    </w:p>
    <w:p w14:paraId="4BAC71EE" w14:textId="5BB089E0" w:rsidR="00667C9A" w:rsidRPr="00DE3A6F" w:rsidRDefault="00667C9A" w:rsidP="28D37C99">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1D7BC2">
        <w:rPr>
          <w:b/>
          <w:bCs/>
          <w:noProof/>
        </w:rPr>
        <w:t>Key takeaway</w:t>
      </w:r>
      <w:r w:rsidRPr="001D7BC2">
        <w:rPr>
          <w:i/>
          <w:iCs/>
          <w:noProof/>
        </w:rPr>
        <w:t>:</w:t>
      </w:r>
      <w:r w:rsidRPr="001D7BC2">
        <w:rPr>
          <w:b/>
          <w:bCs/>
          <w:i/>
          <w:iCs/>
          <w:noProof/>
        </w:rPr>
        <w:t xml:space="preserve"> </w:t>
      </w:r>
      <w:r w:rsidRPr="001D7BC2">
        <w:rPr>
          <w:noProof/>
        </w:rPr>
        <w:t xml:space="preserve">Digitalisation is most effective </w:t>
      </w:r>
      <w:r w:rsidR="00032ECA" w:rsidRPr="001D7BC2">
        <w:rPr>
          <w:noProof/>
        </w:rPr>
        <w:t xml:space="preserve">when </w:t>
      </w:r>
      <w:r w:rsidRPr="001D7BC2">
        <w:rPr>
          <w:noProof/>
        </w:rPr>
        <w:t xml:space="preserve">supported by: </w:t>
      </w:r>
      <w:r w:rsidR="00032ECA" w:rsidRPr="001D7BC2">
        <w:rPr>
          <w:noProof/>
        </w:rPr>
        <w:t xml:space="preserve">(i) </w:t>
      </w:r>
      <w:r w:rsidRPr="001D7BC2">
        <w:rPr>
          <w:noProof/>
        </w:rPr>
        <w:t xml:space="preserve">usable, high-quality data; </w:t>
      </w:r>
      <w:r w:rsidR="00A24917" w:rsidRPr="001D7BC2">
        <w:rPr>
          <w:noProof/>
        </w:rPr>
        <w:t xml:space="preserve">(ii) </w:t>
      </w:r>
      <w:r w:rsidRPr="001D7BC2">
        <w:rPr>
          <w:noProof/>
        </w:rPr>
        <w:t xml:space="preserve">interoperable systems; </w:t>
      </w:r>
      <w:r w:rsidR="00A24917" w:rsidRPr="001D7BC2">
        <w:rPr>
          <w:noProof/>
        </w:rPr>
        <w:t xml:space="preserve">(iii) </w:t>
      </w:r>
      <w:r w:rsidRPr="001D7BC2">
        <w:rPr>
          <w:noProof/>
        </w:rPr>
        <w:t xml:space="preserve">legal certainty; </w:t>
      </w:r>
      <w:r w:rsidR="00A24917" w:rsidRPr="001D7BC2">
        <w:rPr>
          <w:noProof/>
        </w:rPr>
        <w:t xml:space="preserve">(iv) </w:t>
      </w:r>
      <w:r w:rsidRPr="001D7BC2">
        <w:rPr>
          <w:noProof/>
        </w:rPr>
        <w:t xml:space="preserve">skilled staff; and </w:t>
      </w:r>
      <w:r w:rsidR="00A24917" w:rsidRPr="001D7BC2">
        <w:rPr>
          <w:noProof/>
        </w:rPr>
        <w:t xml:space="preserve">(v) </w:t>
      </w:r>
      <w:r w:rsidRPr="001D7BC2">
        <w:rPr>
          <w:noProof/>
        </w:rPr>
        <w:t>integration into daily control workflows</w:t>
      </w:r>
      <w:r w:rsidRPr="001D7BC2">
        <w:rPr>
          <w:b/>
          <w:bCs/>
          <w:i/>
          <w:iCs/>
          <w:noProof/>
        </w:rPr>
        <w:t>.</w:t>
      </w:r>
    </w:p>
    <w:p w14:paraId="5ECC81BE" w14:textId="2CB0CA1C" w:rsidR="2A5B39FF" w:rsidRPr="00DE3A6F" w:rsidRDefault="72F68BC3" w:rsidP="001660CB">
      <w:pPr>
        <w:pStyle w:val="Caption"/>
        <w:keepNext/>
        <w:rPr>
          <w:noProof/>
        </w:rPr>
      </w:pPr>
      <w:r w:rsidRPr="00DE3A6F">
        <w:rPr>
          <w:noProof/>
        </w:rPr>
        <w:t xml:space="preserve">Use of </w:t>
      </w:r>
      <w:r w:rsidR="00E5566C" w:rsidRPr="00CA1602">
        <w:rPr>
          <w:noProof/>
        </w:rPr>
        <w:t>Arachne</w:t>
      </w:r>
      <w:r w:rsidR="00A24917" w:rsidRPr="00CA1602">
        <w:rPr>
          <w:noProof/>
        </w:rPr>
        <w:t xml:space="preserve"> </w:t>
      </w:r>
      <w:r w:rsidRPr="00DE3A6F">
        <w:rPr>
          <w:noProof/>
        </w:rPr>
        <w:t>by the Member States – state of play</w:t>
      </w:r>
    </w:p>
    <w:p w14:paraId="4FE9F053" w14:textId="219F2189" w:rsidR="1BDF27F7" w:rsidRPr="00DE3A6F" w:rsidRDefault="00EB70AA" w:rsidP="044E42F4">
      <w:pPr>
        <w:rPr>
          <w:noProof/>
        </w:rPr>
      </w:pPr>
      <w:r w:rsidRPr="001D7BC2">
        <w:rPr>
          <w:noProof/>
        </w:rPr>
        <w:t xml:space="preserve">In 2024, </w:t>
      </w:r>
      <w:r w:rsidR="1BDF27F7" w:rsidRPr="001D7BC2">
        <w:rPr>
          <w:noProof/>
        </w:rPr>
        <w:t xml:space="preserve">22 Member States used </w:t>
      </w:r>
      <w:r w:rsidR="00E5566C" w:rsidRPr="00E5566C">
        <w:rPr>
          <w:noProof/>
        </w:rPr>
        <w:t>Arachne</w:t>
      </w:r>
      <w:r w:rsidR="1BDF27F7" w:rsidRPr="001D7BC2">
        <w:rPr>
          <w:noProof/>
        </w:rPr>
        <w:t xml:space="preserve"> as part of their anti-fraud strategies</w:t>
      </w:r>
      <w:r w:rsidR="00E42C5F" w:rsidRPr="001D7BC2">
        <w:rPr>
          <w:noProof/>
        </w:rPr>
        <w:t>;</w:t>
      </w:r>
      <w:r w:rsidR="1BDF27F7" w:rsidRPr="001D7BC2">
        <w:rPr>
          <w:noProof/>
        </w:rPr>
        <w:t xml:space="preserve"> </w:t>
      </w:r>
      <w:r w:rsidR="00E42C5F" w:rsidRPr="001D7BC2">
        <w:rPr>
          <w:noProof/>
        </w:rPr>
        <w:t xml:space="preserve">this increased </w:t>
      </w:r>
      <w:r w:rsidR="1BDF27F7" w:rsidRPr="001D7BC2">
        <w:rPr>
          <w:noProof/>
        </w:rPr>
        <w:t>slightly to 23</w:t>
      </w:r>
      <w:r w:rsidR="00313D55" w:rsidRPr="001D7BC2">
        <w:rPr>
          <w:noProof/>
        </w:rPr>
        <w:t xml:space="preserve"> in 2025</w:t>
      </w:r>
      <w:r w:rsidR="1BDF27F7" w:rsidRPr="001D7BC2">
        <w:rPr>
          <w:noProof/>
        </w:rPr>
        <w:t xml:space="preserve">. </w:t>
      </w:r>
      <w:r w:rsidR="00313D55" w:rsidRPr="001D7BC2">
        <w:rPr>
          <w:noProof/>
        </w:rPr>
        <w:t xml:space="preserve">However, </w:t>
      </w:r>
      <w:r w:rsidR="007A1D27" w:rsidRPr="001D7BC2">
        <w:rPr>
          <w:noProof/>
        </w:rPr>
        <w:t>usage varies significantly. The tool</w:t>
      </w:r>
      <w:r w:rsidR="1BDF27F7" w:rsidRPr="001D7BC2">
        <w:rPr>
          <w:noProof/>
        </w:rPr>
        <w:t xml:space="preserve"> is not simply </w:t>
      </w:r>
      <w:r w:rsidR="00A24917" w:rsidRPr="001D7BC2">
        <w:rPr>
          <w:noProof/>
        </w:rPr>
        <w:t>‘</w:t>
      </w:r>
      <w:r w:rsidR="1BDF27F7" w:rsidRPr="001D7BC2">
        <w:rPr>
          <w:noProof/>
        </w:rPr>
        <w:t>used</w:t>
      </w:r>
      <w:r w:rsidR="00A24917" w:rsidRPr="001D7BC2">
        <w:rPr>
          <w:noProof/>
        </w:rPr>
        <w:t>’</w:t>
      </w:r>
      <w:r w:rsidR="1BDF27F7" w:rsidRPr="001D7BC2">
        <w:rPr>
          <w:noProof/>
        </w:rPr>
        <w:t xml:space="preserve"> or </w:t>
      </w:r>
      <w:r w:rsidR="00A24917" w:rsidRPr="001D7BC2">
        <w:rPr>
          <w:noProof/>
        </w:rPr>
        <w:t>‘</w:t>
      </w:r>
      <w:r w:rsidR="1BDF27F7" w:rsidRPr="001D7BC2">
        <w:rPr>
          <w:noProof/>
        </w:rPr>
        <w:t>not used</w:t>
      </w:r>
      <w:r w:rsidR="00A24917" w:rsidRPr="001D7BC2">
        <w:rPr>
          <w:noProof/>
        </w:rPr>
        <w:t>’</w:t>
      </w:r>
      <w:r w:rsidR="00914C59" w:rsidRPr="001D7BC2">
        <w:rPr>
          <w:noProof/>
        </w:rPr>
        <w:t xml:space="preserve">, but often </w:t>
      </w:r>
      <w:r w:rsidR="1BDF27F7" w:rsidRPr="001D7BC2">
        <w:rPr>
          <w:b/>
          <w:bCs/>
          <w:noProof/>
        </w:rPr>
        <w:t>only partially integrated</w:t>
      </w:r>
      <w:r w:rsidR="00914C59" w:rsidRPr="001D7BC2">
        <w:rPr>
          <w:noProof/>
        </w:rPr>
        <w:t xml:space="preserve">. </w:t>
      </w:r>
      <w:r w:rsidR="00CC2717" w:rsidRPr="001D7BC2">
        <w:rPr>
          <w:noProof/>
        </w:rPr>
        <w:t>For example,</w:t>
      </w:r>
      <w:r w:rsidR="00CC2717" w:rsidRPr="001D7BC2">
        <w:rPr>
          <w:b/>
          <w:bCs/>
          <w:noProof/>
        </w:rPr>
        <w:t xml:space="preserve"> </w:t>
      </w:r>
      <w:r w:rsidR="1BDF27F7" w:rsidRPr="001D7BC2">
        <w:rPr>
          <w:noProof/>
        </w:rPr>
        <w:t>data may cover only certain funds</w:t>
      </w:r>
      <w:r w:rsidR="0048219C" w:rsidRPr="001D7BC2">
        <w:rPr>
          <w:noProof/>
        </w:rPr>
        <w:t>,</w:t>
      </w:r>
      <w:r w:rsidR="1BDF27F7" w:rsidRPr="001D7BC2">
        <w:rPr>
          <w:noProof/>
        </w:rPr>
        <w:t xml:space="preserve"> </w:t>
      </w:r>
      <w:r w:rsidR="00CC2717" w:rsidRPr="001D7BC2">
        <w:rPr>
          <w:noProof/>
        </w:rPr>
        <w:t>uploads may be manual</w:t>
      </w:r>
      <w:r w:rsidR="00882F31" w:rsidRPr="001D7BC2">
        <w:rPr>
          <w:noProof/>
        </w:rPr>
        <w:t xml:space="preserve"> </w:t>
      </w:r>
      <w:r w:rsidR="1BDF27F7" w:rsidRPr="001D7BC2">
        <w:rPr>
          <w:noProof/>
        </w:rPr>
        <w:t>or provided only to a limited extent. Th</w:t>
      </w:r>
      <w:r w:rsidR="008E001C" w:rsidRPr="001D7BC2">
        <w:rPr>
          <w:noProof/>
        </w:rPr>
        <w:t xml:space="preserve">us, while </w:t>
      </w:r>
      <w:r w:rsidR="1BDF27F7" w:rsidRPr="001D7BC2">
        <w:rPr>
          <w:noProof/>
        </w:rPr>
        <w:t xml:space="preserve">uptake </w:t>
      </w:r>
      <w:r w:rsidR="008E001C" w:rsidRPr="001D7BC2">
        <w:rPr>
          <w:noProof/>
        </w:rPr>
        <w:t xml:space="preserve">is broad, depth and quality of use </w:t>
      </w:r>
      <w:r w:rsidR="005C6D8F" w:rsidRPr="001D7BC2">
        <w:rPr>
          <w:noProof/>
        </w:rPr>
        <w:t>differ considerably</w:t>
      </w:r>
      <w:r w:rsidR="1BDF27F7" w:rsidRPr="001D7BC2">
        <w:rPr>
          <w:noProof/>
        </w:rPr>
        <w:t>.</w:t>
      </w:r>
    </w:p>
    <w:p w14:paraId="7396549F" w14:textId="66D967CE" w:rsidR="1BDF27F7" w:rsidRPr="00DE3A6F" w:rsidRDefault="0048219C" w:rsidP="044E42F4">
      <w:pPr>
        <w:rPr>
          <w:noProof/>
        </w:rPr>
      </w:pPr>
      <w:r w:rsidRPr="001D7BC2">
        <w:rPr>
          <w:noProof/>
        </w:rPr>
        <w:t>The r</w:t>
      </w:r>
      <w:r w:rsidR="1BDF27F7" w:rsidRPr="001D7BC2">
        <w:rPr>
          <w:noProof/>
        </w:rPr>
        <w:t>easons for partial implementation are</w:t>
      </w:r>
      <w:r w:rsidRPr="001D7BC2">
        <w:rPr>
          <w:noProof/>
        </w:rPr>
        <w:t>:</w:t>
      </w:r>
      <w:r w:rsidR="1BDF27F7" w:rsidRPr="001D7BC2">
        <w:rPr>
          <w:noProof/>
        </w:rPr>
        <w:t xml:space="preserve"> </w:t>
      </w:r>
      <w:r w:rsidRPr="001D7BC2">
        <w:rPr>
          <w:noProof/>
        </w:rPr>
        <w:t xml:space="preserve">(i) </w:t>
      </w:r>
      <w:r w:rsidR="1BDF27F7" w:rsidRPr="001D7BC2">
        <w:rPr>
          <w:noProof/>
        </w:rPr>
        <w:t xml:space="preserve">technical limitations (8 Member States), </w:t>
      </w:r>
      <w:r w:rsidR="007C3A52" w:rsidRPr="001D7BC2">
        <w:rPr>
          <w:noProof/>
        </w:rPr>
        <w:t xml:space="preserve">(ii) </w:t>
      </w:r>
      <w:r w:rsidR="1BDF27F7" w:rsidRPr="001D7BC2">
        <w:rPr>
          <w:noProof/>
        </w:rPr>
        <w:t xml:space="preserve">strategic decisions to provide only the minimum dataset (7 Member States), and </w:t>
      </w:r>
      <w:r w:rsidR="007C3A52" w:rsidRPr="001D7BC2">
        <w:rPr>
          <w:noProof/>
        </w:rPr>
        <w:t xml:space="preserve">(iii) </w:t>
      </w:r>
      <w:r w:rsidR="00E43187" w:rsidRPr="001D7BC2">
        <w:rPr>
          <w:noProof/>
        </w:rPr>
        <w:t xml:space="preserve"> </w:t>
      </w:r>
      <w:r w:rsidR="1BDF27F7" w:rsidRPr="001D7BC2">
        <w:rPr>
          <w:noProof/>
        </w:rPr>
        <w:t xml:space="preserve">egal constraints (6 Member States). This suggests that partial integration is often a </w:t>
      </w:r>
      <w:r w:rsidR="1BDF27F7" w:rsidRPr="001D7BC2">
        <w:rPr>
          <w:b/>
          <w:bCs/>
          <w:noProof/>
        </w:rPr>
        <w:t>pragmatic compromise</w:t>
      </w:r>
      <w:r w:rsidR="1BDF27F7" w:rsidRPr="001D7BC2">
        <w:rPr>
          <w:noProof/>
        </w:rPr>
        <w:t xml:space="preserve"> rather than a rejection of the tool itself.</w:t>
      </w:r>
    </w:p>
    <w:p w14:paraId="0063AF0B" w14:textId="607A6C02" w:rsidR="61469C2B" w:rsidRPr="00DE3A6F" w:rsidRDefault="00C12C78" w:rsidP="044E42F4">
      <w:pPr>
        <w:rPr>
          <w:noProof/>
        </w:rPr>
      </w:pPr>
      <w:r w:rsidRPr="001D7BC2">
        <w:rPr>
          <w:b/>
          <w:bCs/>
          <w:noProof/>
        </w:rPr>
        <w:t>Interoperability with</w:t>
      </w:r>
      <w:r w:rsidR="61469C2B" w:rsidRPr="001D7BC2">
        <w:rPr>
          <w:b/>
          <w:bCs/>
          <w:noProof/>
        </w:rPr>
        <w:t xml:space="preserve"> national data-analysis tools remains limited</w:t>
      </w:r>
      <w:r w:rsidR="61469C2B" w:rsidRPr="001D7BC2">
        <w:rPr>
          <w:noProof/>
        </w:rPr>
        <w:t xml:space="preserve">. Where </w:t>
      </w:r>
      <w:r w:rsidR="009A0872" w:rsidRPr="001D7BC2">
        <w:rPr>
          <w:noProof/>
        </w:rPr>
        <w:t>it</w:t>
      </w:r>
      <w:r w:rsidR="61469C2B" w:rsidRPr="001D7BC2">
        <w:rPr>
          <w:noProof/>
        </w:rPr>
        <w:t xml:space="preserve"> exists, interoperability is generally assessed as medium to high, but </w:t>
      </w:r>
      <w:r w:rsidR="009A0872" w:rsidRPr="001D7BC2">
        <w:rPr>
          <w:noProof/>
        </w:rPr>
        <w:t>few</w:t>
      </w:r>
      <w:r w:rsidR="61469C2B" w:rsidRPr="001D7BC2">
        <w:rPr>
          <w:noProof/>
        </w:rPr>
        <w:t xml:space="preserve"> Member States </w:t>
      </w:r>
      <w:r w:rsidR="009A0872" w:rsidRPr="001D7BC2">
        <w:rPr>
          <w:noProof/>
        </w:rPr>
        <w:t>have achieved it</w:t>
      </w:r>
      <w:r w:rsidR="61469C2B" w:rsidRPr="001D7BC2">
        <w:rPr>
          <w:noProof/>
        </w:rPr>
        <w:t xml:space="preserve">. In practice, many systems still rely on XML exports, manual uploads, or </w:t>
      </w:r>
      <w:r w:rsidR="00E72F62" w:rsidRPr="001D7BC2">
        <w:rPr>
          <w:noProof/>
        </w:rPr>
        <w:t xml:space="preserve">data </w:t>
      </w:r>
      <w:r w:rsidR="61469C2B" w:rsidRPr="001D7BC2">
        <w:rPr>
          <w:noProof/>
        </w:rPr>
        <w:t xml:space="preserve">extraction from national systems into </w:t>
      </w:r>
      <w:r w:rsidR="00E5566C" w:rsidRPr="00E5566C">
        <w:rPr>
          <w:noProof/>
        </w:rPr>
        <w:t>Arachne</w:t>
      </w:r>
      <w:r w:rsidR="61469C2B" w:rsidRPr="001D7BC2">
        <w:rPr>
          <w:noProof/>
        </w:rPr>
        <w:t>, rather than on automated interoperability.</w:t>
      </w:r>
    </w:p>
    <w:p w14:paraId="0601AE0B" w14:textId="7795695D" w:rsidR="7E7298D1" w:rsidRPr="00DE3A6F" w:rsidRDefault="72E9A90A" w:rsidP="28D37C99">
      <w:pPr>
        <w:pStyle w:val="Caption"/>
        <w:keepNext/>
        <w:pBdr>
          <w:top w:val="single" w:sz="4" w:space="4" w:color="auto"/>
          <w:left w:val="single" w:sz="4" w:space="4" w:color="auto"/>
          <w:bottom w:val="single" w:sz="4" w:space="4" w:color="auto"/>
          <w:right w:val="single" w:sz="4" w:space="4" w:color="auto"/>
        </w:pBdr>
        <w:shd w:val="clear" w:color="auto" w:fill="DEEAF6" w:themeFill="accent1" w:themeFillTint="33"/>
        <w:rPr>
          <w:noProof/>
        </w:rPr>
      </w:pPr>
      <w:r w:rsidRPr="001D7BC2">
        <w:rPr>
          <w:noProof/>
        </w:rPr>
        <w:t xml:space="preserve">Snapshot </w:t>
      </w:r>
      <w:r w:rsidRPr="00DE3A6F">
        <w:rPr>
          <w:noProof/>
        </w:rPr>
        <w:fldChar w:fldCharType="begin"/>
      </w:r>
      <w:r w:rsidRPr="00DE3A6F">
        <w:rPr>
          <w:noProof/>
        </w:rPr>
        <w:instrText xml:space="preserve"> SEQ Snapshot \* ARABIC </w:instrText>
      </w:r>
      <w:r w:rsidRPr="00DE3A6F">
        <w:rPr>
          <w:noProof/>
        </w:rPr>
        <w:fldChar w:fldCharType="separate"/>
      </w:r>
      <w:r w:rsidR="00CA6005">
        <w:rPr>
          <w:noProof/>
        </w:rPr>
        <w:t>7</w:t>
      </w:r>
      <w:r w:rsidRPr="00DE3A6F">
        <w:rPr>
          <w:noProof/>
        </w:rPr>
        <w:fldChar w:fldCharType="end"/>
      </w:r>
      <w:r w:rsidRPr="001D7BC2">
        <w:rPr>
          <w:noProof/>
        </w:rPr>
        <w:t xml:space="preserve">: </w:t>
      </w:r>
      <w:r w:rsidR="00DA69FC" w:rsidRPr="001D7BC2">
        <w:rPr>
          <w:noProof/>
        </w:rPr>
        <w:t>Barriers to</w:t>
      </w:r>
      <w:r w:rsidRPr="001D7BC2">
        <w:rPr>
          <w:noProof/>
        </w:rPr>
        <w:t xml:space="preserve"> digitalisation</w:t>
      </w:r>
    </w:p>
    <w:p w14:paraId="717CA984" w14:textId="3D70338F" w:rsidR="7E7298D1" w:rsidRPr="00DE3A6F" w:rsidRDefault="7E7298D1" w:rsidP="28D37C99">
      <w:pPr>
        <w:pBdr>
          <w:top w:val="single" w:sz="4" w:space="4" w:color="auto"/>
          <w:left w:val="single" w:sz="4" w:space="4" w:color="auto"/>
          <w:bottom w:val="single" w:sz="4" w:space="4" w:color="auto"/>
          <w:right w:val="single" w:sz="4" w:space="4" w:color="auto"/>
        </w:pBdr>
        <w:shd w:val="clear" w:color="auto" w:fill="DEEAF6" w:themeFill="accent1" w:themeFillTint="33"/>
        <w:rPr>
          <w:noProof/>
        </w:rPr>
      </w:pPr>
      <w:r w:rsidRPr="001D7BC2">
        <w:rPr>
          <w:noProof/>
        </w:rPr>
        <w:t xml:space="preserve">The </w:t>
      </w:r>
      <w:r w:rsidR="00E72F62" w:rsidRPr="001D7BC2">
        <w:rPr>
          <w:noProof/>
        </w:rPr>
        <w:t xml:space="preserve">2024 </w:t>
      </w:r>
      <w:r w:rsidRPr="001D7BC2">
        <w:rPr>
          <w:noProof/>
        </w:rPr>
        <w:t>analysis identified interoperability problems, legal barriers, and data</w:t>
      </w:r>
      <w:r w:rsidR="00AD42F5" w:rsidRPr="001D7BC2">
        <w:rPr>
          <w:noProof/>
        </w:rPr>
        <w:t>-</w:t>
      </w:r>
      <w:r w:rsidRPr="001D7BC2">
        <w:rPr>
          <w:noProof/>
        </w:rPr>
        <w:t xml:space="preserve">protection or security concerns as the main obstacles to digitalisation. This year’s </w:t>
      </w:r>
      <w:r w:rsidR="00AD42F5" w:rsidRPr="001D7BC2">
        <w:rPr>
          <w:noProof/>
        </w:rPr>
        <w:t xml:space="preserve">responses </w:t>
      </w:r>
      <w:r w:rsidRPr="001D7BC2">
        <w:rPr>
          <w:noProof/>
        </w:rPr>
        <w:t>confirm the</w:t>
      </w:r>
      <w:r w:rsidR="008E6F92" w:rsidRPr="001D7BC2">
        <w:rPr>
          <w:noProof/>
        </w:rPr>
        <w:t>se findings, with the three</w:t>
      </w:r>
      <w:r w:rsidRPr="001D7BC2">
        <w:rPr>
          <w:noProof/>
        </w:rPr>
        <w:t xml:space="preserve"> most significant barriers </w:t>
      </w:r>
      <w:r w:rsidR="007A2102" w:rsidRPr="001D7BC2">
        <w:rPr>
          <w:noProof/>
        </w:rPr>
        <w:t xml:space="preserve">being </w:t>
      </w:r>
      <w:r w:rsidRPr="001D7BC2">
        <w:rPr>
          <w:noProof/>
        </w:rPr>
        <w:t>interoperability challenges (19 Member States), budget constraints (16 Member States), and data</w:t>
      </w:r>
      <w:r w:rsidR="00E43187" w:rsidRPr="001D7BC2">
        <w:rPr>
          <w:noProof/>
        </w:rPr>
        <w:t xml:space="preserve"> </w:t>
      </w:r>
      <w:r w:rsidRPr="001D7BC2">
        <w:rPr>
          <w:noProof/>
        </w:rPr>
        <w:t>protection concerns or other legal issues (12 Member States).</w:t>
      </w:r>
    </w:p>
    <w:p w14:paraId="2C77F814" w14:textId="1476DA1B" w:rsidR="6B5AD880" w:rsidRPr="00DE3A6F" w:rsidRDefault="6B5AD880" w:rsidP="28D37C99">
      <w:pPr>
        <w:pBdr>
          <w:top w:val="single" w:sz="4" w:space="4" w:color="auto"/>
          <w:left w:val="single" w:sz="4" w:space="4" w:color="auto"/>
          <w:bottom w:val="single" w:sz="4" w:space="4" w:color="auto"/>
          <w:right w:val="single" w:sz="4" w:space="4" w:color="auto"/>
        </w:pBdr>
        <w:shd w:val="clear" w:color="auto" w:fill="DEEAF6" w:themeFill="accent1" w:themeFillTint="33"/>
        <w:rPr>
          <w:noProof/>
        </w:rPr>
      </w:pPr>
      <w:r w:rsidRPr="001D7BC2">
        <w:rPr>
          <w:noProof/>
        </w:rPr>
        <w:t xml:space="preserve">These </w:t>
      </w:r>
      <w:r w:rsidR="007A2102" w:rsidRPr="001D7BC2">
        <w:rPr>
          <w:noProof/>
        </w:rPr>
        <w:t>results</w:t>
      </w:r>
      <w:r w:rsidR="001870E9" w:rsidRPr="001D7BC2">
        <w:rPr>
          <w:noProof/>
        </w:rPr>
        <w:t xml:space="preserve"> indicate that</w:t>
      </w:r>
      <w:r w:rsidRPr="001D7BC2">
        <w:rPr>
          <w:noProof/>
        </w:rPr>
        <w:t xml:space="preserve"> the </w:t>
      </w:r>
      <w:r w:rsidR="001870E9" w:rsidRPr="001D7BC2">
        <w:rPr>
          <w:noProof/>
        </w:rPr>
        <w:t xml:space="preserve">primary </w:t>
      </w:r>
      <w:r w:rsidRPr="001D7BC2">
        <w:rPr>
          <w:noProof/>
        </w:rPr>
        <w:t xml:space="preserve">obstacles are </w:t>
      </w:r>
      <w:r w:rsidRPr="001D7BC2">
        <w:rPr>
          <w:b/>
          <w:bCs/>
          <w:noProof/>
        </w:rPr>
        <w:t>structural and organisational</w:t>
      </w:r>
      <w:r w:rsidRPr="001D7BC2">
        <w:rPr>
          <w:noProof/>
        </w:rPr>
        <w:t xml:space="preserve">, rather than conceptual. </w:t>
      </w:r>
      <w:r w:rsidR="001870E9" w:rsidRPr="001D7BC2">
        <w:rPr>
          <w:noProof/>
        </w:rPr>
        <w:t>Q</w:t>
      </w:r>
      <w:r w:rsidRPr="001D7BC2">
        <w:rPr>
          <w:noProof/>
        </w:rPr>
        <w:t xml:space="preserve">ualitative </w:t>
      </w:r>
      <w:r w:rsidR="001870E9" w:rsidRPr="001D7BC2">
        <w:rPr>
          <w:noProof/>
        </w:rPr>
        <w:t xml:space="preserve">responses </w:t>
      </w:r>
      <w:r w:rsidR="00E43187" w:rsidRPr="001D7BC2">
        <w:rPr>
          <w:noProof/>
        </w:rPr>
        <w:t>confirm</w:t>
      </w:r>
      <w:r w:rsidRPr="001D7BC2">
        <w:rPr>
          <w:noProof/>
        </w:rPr>
        <w:t xml:space="preserve"> this conclusion</w:t>
      </w:r>
      <w:r w:rsidR="00056F33" w:rsidRPr="001D7BC2">
        <w:rPr>
          <w:noProof/>
        </w:rPr>
        <w:t>, highlighting</w:t>
      </w:r>
      <w:r w:rsidR="00DB1D0C" w:rsidRPr="001D7BC2">
        <w:rPr>
          <w:noProof/>
        </w:rPr>
        <w:t>:</w:t>
      </w:r>
      <w:r w:rsidR="00056F33" w:rsidRPr="001D7BC2">
        <w:rPr>
          <w:noProof/>
        </w:rPr>
        <w:t xml:space="preserve"> </w:t>
      </w:r>
      <w:r w:rsidR="00E43187" w:rsidRPr="001D7BC2">
        <w:rPr>
          <w:noProof/>
        </w:rPr>
        <w:t xml:space="preserve">(i) </w:t>
      </w:r>
      <w:r w:rsidR="00056F33" w:rsidRPr="001D7BC2">
        <w:rPr>
          <w:noProof/>
        </w:rPr>
        <w:t>poor</w:t>
      </w:r>
      <w:r w:rsidRPr="001D7BC2">
        <w:rPr>
          <w:noProof/>
        </w:rPr>
        <w:t xml:space="preserve"> system</w:t>
      </w:r>
      <w:r w:rsidR="00056F33" w:rsidRPr="001D7BC2">
        <w:rPr>
          <w:noProof/>
        </w:rPr>
        <w:t xml:space="preserve"> compatibility</w:t>
      </w:r>
      <w:r w:rsidR="00DB1D0C" w:rsidRPr="001D7BC2">
        <w:rPr>
          <w:noProof/>
        </w:rPr>
        <w:t>;</w:t>
      </w:r>
      <w:r w:rsidRPr="001D7BC2">
        <w:rPr>
          <w:noProof/>
        </w:rPr>
        <w:t xml:space="preserve"> </w:t>
      </w:r>
      <w:r w:rsidR="00E43187" w:rsidRPr="001D7BC2">
        <w:rPr>
          <w:noProof/>
        </w:rPr>
        <w:t xml:space="preserve">(ii) </w:t>
      </w:r>
      <w:r w:rsidRPr="001D7BC2">
        <w:rPr>
          <w:noProof/>
        </w:rPr>
        <w:t>uneven data quality and access</w:t>
      </w:r>
      <w:r w:rsidR="00DB1D0C" w:rsidRPr="001D7BC2">
        <w:rPr>
          <w:noProof/>
        </w:rPr>
        <w:t>;</w:t>
      </w:r>
      <w:r w:rsidRPr="001D7BC2">
        <w:rPr>
          <w:noProof/>
        </w:rPr>
        <w:t xml:space="preserve"> </w:t>
      </w:r>
      <w:r w:rsidR="00115EA5" w:rsidRPr="001D7BC2">
        <w:rPr>
          <w:noProof/>
        </w:rPr>
        <w:t xml:space="preserve">(iii) </w:t>
      </w:r>
      <w:r w:rsidRPr="001D7BC2">
        <w:rPr>
          <w:noProof/>
        </w:rPr>
        <w:t>fragmented institutional arrangements</w:t>
      </w:r>
      <w:r w:rsidR="00D27438" w:rsidRPr="001D7BC2">
        <w:rPr>
          <w:noProof/>
        </w:rPr>
        <w:t xml:space="preserve"> </w:t>
      </w:r>
      <w:r w:rsidRPr="001D7BC2">
        <w:rPr>
          <w:noProof/>
        </w:rPr>
        <w:t>slow</w:t>
      </w:r>
      <w:r w:rsidR="00D27438" w:rsidRPr="001D7BC2">
        <w:rPr>
          <w:noProof/>
        </w:rPr>
        <w:t>ing</w:t>
      </w:r>
      <w:r w:rsidRPr="001D7BC2">
        <w:rPr>
          <w:noProof/>
        </w:rPr>
        <w:t xml:space="preserve"> digital progress</w:t>
      </w:r>
      <w:r w:rsidR="00DB1D0C" w:rsidRPr="001D7BC2">
        <w:rPr>
          <w:noProof/>
        </w:rPr>
        <w:t>;</w:t>
      </w:r>
      <w:r w:rsidRPr="001D7BC2">
        <w:rPr>
          <w:noProof/>
        </w:rPr>
        <w:t xml:space="preserve"> </w:t>
      </w:r>
      <w:r w:rsidR="00115EA5" w:rsidRPr="001D7BC2">
        <w:rPr>
          <w:noProof/>
        </w:rPr>
        <w:t xml:space="preserve">(iv) </w:t>
      </w:r>
      <w:r w:rsidRPr="001D7BC2">
        <w:rPr>
          <w:noProof/>
        </w:rPr>
        <w:t xml:space="preserve">legal and privacy frameworks </w:t>
      </w:r>
      <w:r w:rsidR="00DB1D0C" w:rsidRPr="001D7BC2">
        <w:rPr>
          <w:noProof/>
        </w:rPr>
        <w:t xml:space="preserve">complicating </w:t>
      </w:r>
      <w:r w:rsidRPr="001D7BC2">
        <w:rPr>
          <w:noProof/>
        </w:rPr>
        <w:t>automated data use</w:t>
      </w:r>
      <w:r w:rsidR="00DB1D0C" w:rsidRPr="001D7BC2">
        <w:rPr>
          <w:noProof/>
        </w:rPr>
        <w:t>;</w:t>
      </w:r>
      <w:r w:rsidRPr="001D7BC2">
        <w:rPr>
          <w:noProof/>
        </w:rPr>
        <w:t xml:space="preserve"> and </w:t>
      </w:r>
      <w:r w:rsidR="00115EA5" w:rsidRPr="001D7BC2">
        <w:rPr>
          <w:noProof/>
        </w:rPr>
        <w:t xml:space="preserve">(v) </w:t>
      </w:r>
      <w:r w:rsidRPr="001D7BC2">
        <w:rPr>
          <w:noProof/>
        </w:rPr>
        <w:t xml:space="preserve">rigid and costly </w:t>
      </w:r>
      <w:r w:rsidR="00DB1D0C" w:rsidRPr="001D7BC2">
        <w:rPr>
          <w:noProof/>
        </w:rPr>
        <w:t>legacy applications</w:t>
      </w:r>
      <w:r w:rsidRPr="001D7BC2">
        <w:rPr>
          <w:noProof/>
        </w:rPr>
        <w:t>.</w:t>
      </w:r>
    </w:p>
    <w:p w14:paraId="77B8A303" w14:textId="2E99F987" w:rsidR="6B5AD880" w:rsidRPr="00DE3A6F" w:rsidRDefault="6B5AD880" w:rsidP="28D37C99">
      <w:pPr>
        <w:pBdr>
          <w:top w:val="single" w:sz="4" w:space="4" w:color="auto"/>
          <w:left w:val="single" w:sz="4" w:space="4" w:color="auto"/>
          <w:bottom w:val="single" w:sz="4" w:space="4" w:color="auto"/>
          <w:right w:val="single" w:sz="4" w:space="4" w:color="auto"/>
        </w:pBdr>
        <w:shd w:val="clear" w:color="auto" w:fill="DEEAF6" w:themeFill="accent1" w:themeFillTint="33"/>
        <w:rPr>
          <w:noProof/>
        </w:rPr>
      </w:pPr>
      <w:r w:rsidRPr="001D7BC2">
        <w:rPr>
          <w:noProof/>
        </w:rPr>
        <w:t>Member States that are more advanced in this area emphasised the need for interoperability, common data standards, and stronger support from the Commission and OLAF.</w:t>
      </w:r>
    </w:p>
    <w:p w14:paraId="1A507002" w14:textId="15C23BCE" w:rsidR="00186CF7" w:rsidRPr="00DE3A6F" w:rsidRDefault="3C5A45B6" w:rsidP="352E379C">
      <w:pPr>
        <w:pStyle w:val="Heading2"/>
        <w:rPr>
          <w:noProof/>
        </w:rPr>
      </w:pPr>
      <w:bookmarkStart w:id="55" w:name="_Toc202011328"/>
      <w:bookmarkStart w:id="56" w:name="_Toc234447066"/>
      <w:r w:rsidRPr="001D7BC2">
        <w:rPr>
          <w:noProof/>
        </w:rPr>
        <w:lastRenderedPageBreak/>
        <w:t xml:space="preserve">Implementation of the </w:t>
      </w:r>
      <w:r w:rsidR="467DAB55" w:rsidRPr="001D7BC2">
        <w:rPr>
          <w:noProof/>
        </w:rPr>
        <w:t xml:space="preserve">EU </w:t>
      </w:r>
      <w:r w:rsidRPr="001D7BC2">
        <w:rPr>
          <w:noProof/>
        </w:rPr>
        <w:t>anti-fraud programme</w:t>
      </w:r>
      <w:bookmarkEnd w:id="55"/>
      <w:bookmarkEnd w:id="56"/>
    </w:p>
    <w:p w14:paraId="4D152299" w14:textId="482FDA42" w:rsidR="4AD16110" w:rsidRPr="00DE3A6F" w:rsidRDefault="050E8FC2" w:rsidP="00EB2A79">
      <w:pPr>
        <w:rPr>
          <w:noProof/>
        </w:rPr>
      </w:pPr>
      <w:r w:rsidRPr="001D7BC2">
        <w:rPr>
          <w:noProof/>
        </w:rPr>
        <w:t>The Union anti-fraud programme (UAFP), with a</w:t>
      </w:r>
      <w:r w:rsidR="00F51E80" w:rsidRPr="001D7BC2">
        <w:rPr>
          <w:noProof/>
        </w:rPr>
        <w:t xml:space="preserve"> </w:t>
      </w:r>
      <w:r w:rsidRPr="001D7BC2">
        <w:rPr>
          <w:noProof/>
        </w:rPr>
        <w:t>budget</w:t>
      </w:r>
      <w:r w:rsidR="6F5CCE33" w:rsidRPr="001D7BC2">
        <w:rPr>
          <w:noProof/>
        </w:rPr>
        <w:t xml:space="preserve"> </w:t>
      </w:r>
      <w:r w:rsidR="7CD60109" w:rsidRPr="00DE241B">
        <w:rPr>
          <w:noProof/>
        </w:rPr>
        <w:t xml:space="preserve">of </w:t>
      </w:r>
      <w:r w:rsidR="00052CD2" w:rsidRPr="00DE241B">
        <w:rPr>
          <w:noProof/>
        </w:rPr>
        <w:t>EUR </w:t>
      </w:r>
      <w:r w:rsidRPr="00DE241B">
        <w:rPr>
          <w:noProof/>
        </w:rPr>
        <w:t>181</w:t>
      </w:r>
      <w:r w:rsidR="37C1086F" w:rsidRPr="00DE241B">
        <w:rPr>
          <w:noProof/>
        </w:rPr>
        <w:t>.</w:t>
      </w:r>
      <w:r w:rsidR="003619F2" w:rsidRPr="00DE241B">
        <w:rPr>
          <w:noProof/>
        </w:rPr>
        <w:t xml:space="preserve">7 </w:t>
      </w:r>
      <w:r w:rsidRPr="00DE241B">
        <w:rPr>
          <w:noProof/>
        </w:rPr>
        <w:t xml:space="preserve">million for the </w:t>
      </w:r>
      <w:r w:rsidR="003619F2" w:rsidRPr="00DE241B">
        <w:rPr>
          <w:noProof/>
        </w:rPr>
        <w:t xml:space="preserve">2021-2027 </w:t>
      </w:r>
      <w:r w:rsidRPr="00DE241B">
        <w:rPr>
          <w:noProof/>
        </w:rPr>
        <w:t xml:space="preserve">programming period, serves as a strategic financial instrument designed to </w:t>
      </w:r>
      <w:r w:rsidR="00580EF8" w:rsidRPr="00DE241B">
        <w:rPr>
          <w:noProof/>
        </w:rPr>
        <w:t xml:space="preserve">increase </w:t>
      </w:r>
      <w:r w:rsidRPr="00DE241B">
        <w:rPr>
          <w:noProof/>
        </w:rPr>
        <w:t xml:space="preserve">the integrity of the </w:t>
      </w:r>
      <w:r w:rsidR="00580EF8" w:rsidRPr="00DE241B">
        <w:rPr>
          <w:noProof/>
        </w:rPr>
        <w:t xml:space="preserve">EU’s </w:t>
      </w:r>
      <w:r w:rsidRPr="00DE241B">
        <w:rPr>
          <w:noProof/>
        </w:rPr>
        <w:t>budget through its three components</w:t>
      </w:r>
      <w:r w:rsidR="005F57EC" w:rsidRPr="00DE241B">
        <w:rPr>
          <w:noProof/>
        </w:rPr>
        <w:t> (</w:t>
      </w:r>
      <w:r w:rsidR="005F57EC" w:rsidRPr="001D7BC2">
        <w:rPr>
          <w:rStyle w:val="FootnoteReference"/>
          <w:noProof/>
        </w:rPr>
        <w:footnoteReference w:id="48"/>
      </w:r>
      <w:r w:rsidR="005F57EC" w:rsidRPr="001D7BC2">
        <w:rPr>
          <w:noProof/>
        </w:rPr>
        <w:t>)</w:t>
      </w:r>
      <w:r w:rsidRPr="001D7BC2">
        <w:rPr>
          <w:noProof/>
        </w:rPr>
        <w:t>:</w:t>
      </w:r>
    </w:p>
    <w:p w14:paraId="3EB381C5" w14:textId="6ED5035F" w:rsidR="4AD16110" w:rsidRPr="00DE3A6F" w:rsidRDefault="4AD16110" w:rsidP="044E42F4">
      <w:pPr>
        <w:spacing w:after="0"/>
        <w:rPr>
          <w:noProof/>
        </w:rPr>
      </w:pPr>
      <w:r w:rsidRPr="001D7BC2">
        <w:rPr>
          <w:noProof/>
        </w:rPr>
        <w:t>(i) protection of the EU’s financial interests by Member States</w:t>
      </w:r>
      <w:r w:rsidR="6D9E45C0" w:rsidRPr="001D7BC2">
        <w:rPr>
          <w:noProof/>
        </w:rPr>
        <w:t xml:space="preserve"> (‘anti-fraud measures’)</w:t>
      </w:r>
      <w:r w:rsidRPr="001D7BC2">
        <w:rPr>
          <w:noProof/>
        </w:rPr>
        <w:t xml:space="preserve">; </w:t>
      </w:r>
    </w:p>
    <w:p w14:paraId="4FDD35E6" w14:textId="7CEF34D7" w:rsidR="4AD16110" w:rsidRPr="00DE3A6F" w:rsidRDefault="4AD16110" w:rsidP="044E42F4">
      <w:pPr>
        <w:spacing w:after="0"/>
        <w:rPr>
          <w:noProof/>
        </w:rPr>
      </w:pPr>
      <w:r w:rsidRPr="001D7BC2">
        <w:rPr>
          <w:noProof/>
        </w:rPr>
        <w:t xml:space="preserve">(ii) organisation of mutual administrative assistance and cooperation in customs and agricultural matters (Anti-Fraud Information System – AFIS); and </w:t>
      </w:r>
    </w:p>
    <w:p w14:paraId="08265C6A" w14:textId="738E0C78" w:rsidR="4AD16110" w:rsidRPr="00DE3A6F" w:rsidRDefault="4AD16110" w:rsidP="00EB2A79">
      <w:pPr>
        <w:rPr>
          <w:noProof/>
        </w:rPr>
      </w:pPr>
      <w:r w:rsidRPr="00DE3A6F">
        <w:rPr>
          <w:noProof/>
          <w:szCs w:val="22"/>
        </w:rPr>
        <w:t>(iii) development and maintenance of the IMS for the reporting of irregularities by Member States.</w:t>
      </w:r>
    </w:p>
    <w:p w14:paraId="1370462E" w14:textId="623DCFB3" w:rsidR="4AD16110" w:rsidRPr="00DE3A6F" w:rsidRDefault="4AD16110" w:rsidP="00EB2A79">
      <w:pPr>
        <w:rPr>
          <w:noProof/>
        </w:rPr>
      </w:pPr>
      <w:r w:rsidRPr="001D7BC2">
        <w:rPr>
          <w:noProof/>
        </w:rPr>
        <w:t xml:space="preserve">The 2025 </w:t>
      </w:r>
      <w:r w:rsidR="00052CD2" w:rsidRPr="001D7BC2">
        <w:rPr>
          <w:noProof/>
        </w:rPr>
        <w:t xml:space="preserve">financing decision </w:t>
      </w:r>
      <w:r w:rsidRPr="001D7BC2">
        <w:rPr>
          <w:noProof/>
        </w:rPr>
        <w:t xml:space="preserve">allocated </w:t>
      </w:r>
      <w:r w:rsidR="00052CD2" w:rsidRPr="001D7BC2">
        <w:rPr>
          <w:noProof/>
        </w:rPr>
        <w:t>EUR </w:t>
      </w:r>
      <w:r w:rsidRPr="001D7BC2">
        <w:rPr>
          <w:noProof/>
        </w:rPr>
        <w:t xml:space="preserve">17.6 million to the first component, </w:t>
      </w:r>
      <w:r w:rsidR="00052CD2" w:rsidRPr="001D7BC2">
        <w:rPr>
          <w:noProof/>
        </w:rPr>
        <w:t>EUR </w:t>
      </w:r>
      <w:r w:rsidRPr="001D7BC2">
        <w:rPr>
          <w:noProof/>
        </w:rPr>
        <w:t xml:space="preserve">8.7 million to the AFIS component and over </w:t>
      </w:r>
      <w:r w:rsidR="00052CD2" w:rsidRPr="001D7BC2">
        <w:rPr>
          <w:noProof/>
        </w:rPr>
        <w:t>EUR </w:t>
      </w:r>
      <w:r w:rsidRPr="001D7BC2">
        <w:rPr>
          <w:noProof/>
        </w:rPr>
        <w:t xml:space="preserve">1 million to the IMS component. The available funds for 2025 were successfully implemented using the various financing instruments available, such as grants and procurement. </w:t>
      </w:r>
    </w:p>
    <w:p w14:paraId="7F868155" w14:textId="2E81B77C" w:rsidR="4AD16110" w:rsidRPr="00DE3A6F" w:rsidRDefault="61699D67" w:rsidP="00EB2A79">
      <w:pPr>
        <w:rPr>
          <w:noProof/>
        </w:rPr>
      </w:pPr>
      <w:r w:rsidRPr="001D7BC2">
        <w:rPr>
          <w:noProof/>
        </w:rPr>
        <w:t xml:space="preserve">For the first component, the </w:t>
      </w:r>
      <w:r w:rsidR="00D67D90" w:rsidRPr="001D7BC2">
        <w:rPr>
          <w:noProof/>
        </w:rPr>
        <w:t>focus</w:t>
      </w:r>
      <w:r w:rsidRPr="001D7BC2">
        <w:rPr>
          <w:noProof/>
        </w:rPr>
        <w:t xml:space="preserve"> was on financing projects (</w:t>
      </w:r>
      <w:r w:rsidR="00D67D90" w:rsidRPr="001D7BC2">
        <w:rPr>
          <w:noProof/>
        </w:rPr>
        <w:t>through</w:t>
      </w:r>
      <w:r w:rsidRPr="001D7BC2">
        <w:rPr>
          <w:noProof/>
        </w:rPr>
        <w:t xml:space="preserve"> grants) linked to the expenditure side of the EU budget and on digitalisation, IT development and the integration of AI in the fight against fraud</w:t>
      </w:r>
      <w:r w:rsidR="73B03323" w:rsidRPr="001D7BC2">
        <w:rPr>
          <w:noProof/>
        </w:rPr>
        <w:t xml:space="preserve"> by Member States</w:t>
      </w:r>
      <w:r w:rsidRPr="001D7BC2">
        <w:rPr>
          <w:noProof/>
        </w:rPr>
        <w:t xml:space="preserve">. The two calls for proposals that were launched in 2025 (with a total budget of </w:t>
      </w:r>
      <w:r w:rsidR="00D67D90" w:rsidRPr="001D7BC2">
        <w:rPr>
          <w:noProof/>
        </w:rPr>
        <w:t>EUR </w:t>
      </w:r>
      <w:r w:rsidRPr="001D7BC2">
        <w:rPr>
          <w:noProof/>
        </w:rPr>
        <w:t xml:space="preserve">12.4 million) saw a high demand for financing (over four times higher than the available budget) and participation by most Member States (151 applications from 16 Member States and </w:t>
      </w:r>
      <w:r w:rsidR="003065A8" w:rsidRPr="001D7BC2">
        <w:rPr>
          <w:noProof/>
        </w:rPr>
        <w:t xml:space="preserve">2 </w:t>
      </w:r>
      <w:r w:rsidRPr="001D7BC2">
        <w:rPr>
          <w:noProof/>
        </w:rPr>
        <w:t>applications from</w:t>
      </w:r>
      <w:r w:rsidR="4AD16110" w:rsidRPr="001D7BC2">
        <w:rPr>
          <w:noProof/>
        </w:rPr>
        <w:t xml:space="preserve"> </w:t>
      </w:r>
      <w:r w:rsidRPr="001D7BC2">
        <w:rPr>
          <w:noProof/>
        </w:rPr>
        <w:t>Ukraine, the only third country associated to the programme</w:t>
      </w:r>
      <w:r w:rsidR="0F67BB56" w:rsidRPr="001D7BC2">
        <w:rPr>
          <w:noProof/>
        </w:rPr>
        <w:t xml:space="preserve"> so far</w:t>
      </w:r>
      <w:r w:rsidRPr="001D7BC2">
        <w:rPr>
          <w:noProof/>
        </w:rPr>
        <w:t xml:space="preserve">). Notably, around 25% of all received proposals targeted the financing of data analytics technology and IT tools. </w:t>
      </w:r>
    </w:p>
    <w:p w14:paraId="30958193" w14:textId="2297E38F" w:rsidR="4AD16110" w:rsidRPr="00DE3A6F" w:rsidRDefault="61699D67" w:rsidP="00EB2A79">
      <w:pPr>
        <w:rPr>
          <w:noProof/>
        </w:rPr>
      </w:pPr>
      <w:r w:rsidRPr="001D7BC2">
        <w:rPr>
          <w:noProof/>
        </w:rPr>
        <w:t xml:space="preserve">Procured activities under </w:t>
      </w:r>
      <w:r w:rsidR="71B63630" w:rsidRPr="001D7BC2">
        <w:rPr>
          <w:noProof/>
        </w:rPr>
        <w:t xml:space="preserve">the </w:t>
      </w:r>
      <w:r w:rsidRPr="001D7BC2">
        <w:rPr>
          <w:noProof/>
        </w:rPr>
        <w:t>2025 budget</w:t>
      </w:r>
      <w:r w:rsidR="0BBE933D" w:rsidRPr="001D7BC2">
        <w:rPr>
          <w:noProof/>
        </w:rPr>
        <w:t xml:space="preserve"> of the programme</w:t>
      </w:r>
      <w:r w:rsidR="00FE723B" w:rsidRPr="001D7BC2">
        <w:rPr>
          <w:noProof/>
        </w:rPr>
        <w:t>,</w:t>
      </w:r>
      <w:r w:rsidR="0BBE933D" w:rsidRPr="001D7BC2">
        <w:rPr>
          <w:noProof/>
        </w:rPr>
        <w:t xml:space="preserve"> </w:t>
      </w:r>
      <w:r w:rsidRPr="001D7BC2">
        <w:rPr>
          <w:noProof/>
        </w:rPr>
        <w:t xml:space="preserve">totalling around </w:t>
      </w:r>
      <w:r w:rsidR="00FE723B" w:rsidRPr="001D7BC2">
        <w:rPr>
          <w:noProof/>
        </w:rPr>
        <w:t>EUR </w:t>
      </w:r>
      <w:r w:rsidRPr="001D7BC2">
        <w:rPr>
          <w:noProof/>
        </w:rPr>
        <w:t>3.9 million</w:t>
      </w:r>
      <w:r w:rsidR="00FE723B" w:rsidRPr="001D7BC2">
        <w:rPr>
          <w:noProof/>
        </w:rPr>
        <w:t>,</w:t>
      </w:r>
      <w:r w:rsidRPr="001D7BC2">
        <w:rPr>
          <w:noProof/>
        </w:rPr>
        <w:t xml:space="preserve"> focused on enhancing the technical capabilities of Member State authorities. Key deliverables included specialised anti-fraud conferences, digital forensic analyst training, and the provision of </w:t>
      </w:r>
      <w:r w:rsidR="5A1ED09B" w:rsidRPr="001D7BC2">
        <w:rPr>
          <w:noProof/>
        </w:rPr>
        <w:t xml:space="preserve">access to data from </w:t>
      </w:r>
      <w:r w:rsidRPr="001D7BC2">
        <w:rPr>
          <w:noProof/>
        </w:rPr>
        <w:t xml:space="preserve">commercial databases and </w:t>
      </w:r>
      <w:r w:rsidR="159EBE24" w:rsidRPr="001D7BC2">
        <w:rPr>
          <w:noProof/>
        </w:rPr>
        <w:t xml:space="preserve">to </w:t>
      </w:r>
      <w:r w:rsidRPr="001D7BC2">
        <w:rPr>
          <w:noProof/>
        </w:rPr>
        <w:t>customs analysis tools.</w:t>
      </w:r>
      <w:r w:rsidR="4F65C2F9" w:rsidRPr="001D7BC2">
        <w:rPr>
          <w:noProof/>
        </w:rPr>
        <w:t xml:space="preserve"> </w:t>
      </w:r>
    </w:p>
    <w:p w14:paraId="614F4FF5" w14:textId="77777777" w:rsidR="00D875A7" w:rsidRPr="00DE3A6F" w:rsidRDefault="00D875A7">
      <w:pPr>
        <w:spacing w:after="0" w:line="240" w:lineRule="auto"/>
        <w:jc w:val="left"/>
        <w:rPr>
          <w:b/>
          <w:smallCaps/>
          <w:noProof/>
          <w:sz w:val="26"/>
        </w:rPr>
      </w:pPr>
      <w:r w:rsidRPr="00DE3A6F">
        <w:rPr>
          <w:noProof/>
        </w:rPr>
        <w:br w:type="page"/>
      </w:r>
    </w:p>
    <w:p w14:paraId="0605798B" w14:textId="1635D449" w:rsidR="0F333FA0" w:rsidRPr="00DE3A6F" w:rsidRDefault="0F333FA0" w:rsidP="044E42F4">
      <w:pPr>
        <w:pStyle w:val="Heading1"/>
        <w:rPr>
          <w:noProof/>
        </w:rPr>
      </w:pPr>
      <w:bookmarkStart w:id="57" w:name="_Toc234447067"/>
      <w:r w:rsidRPr="001D7BC2">
        <w:rPr>
          <w:noProof/>
        </w:rPr>
        <w:lastRenderedPageBreak/>
        <w:t>A holistic view of the fight against fraud affecting the EU’s financial interests</w:t>
      </w:r>
      <w:bookmarkEnd w:id="57"/>
    </w:p>
    <w:p w14:paraId="3A852271" w14:textId="22F0268D" w:rsidR="00EF139F" w:rsidRPr="00DE3A6F" w:rsidRDefault="66C8FC97" w:rsidP="00EF139F">
      <w:pPr>
        <w:rPr>
          <w:noProof/>
        </w:rPr>
      </w:pPr>
      <w:hyperlink w:anchor="_Methodological_approach" w:history="1">
        <w:r w:rsidRPr="001D7BC2">
          <w:rPr>
            <w:rStyle w:val="Hyperlink"/>
            <w:noProof/>
          </w:rPr>
          <w:t>Section 1.2</w:t>
        </w:r>
      </w:hyperlink>
      <w:r w:rsidRPr="001D7BC2">
        <w:rPr>
          <w:noProof/>
        </w:rPr>
        <w:t xml:space="preserve"> </w:t>
      </w:r>
      <w:r w:rsidR="00BD7A4E" w:rsidRPr="001D7BC2">
        <w:rPr>
          <w:noProof/>
        </w:rPr>
        <w:t xml:space="preserve">outlined </w:t>
      </w:r>
      <w:r w:rsidRPr="001D7BC2">
        <w:rPr>
          <w:noProof/>
        </w:rPr>
        <w:t xml:space="preserve">the </w:t>
      </w:r>
      <w:r w:rsidRPr="001D7BC2">
        <w:rPr>
          <w:b/>
          <w:bCs/>
          <w:noProof/>
        </w:rPr>
        <w:t>anti-fraud cycle</w:t>
      </w:r>
      <w:r w:rsidRPr="001D7BC2">
        <w:rPr>
          <w:noProof/>
        </w:rPr>
        <w:t xml:space="preserve"> and the importance </w:t>
      </w:r>
      <w:r w:rsidR="00B24958" w:rsidRPr="001D7BC2">
        <w:rPr>
          <w:noProof/>
        </w:rPr>
        <w:t>of</w:t>
      </w:r>
      <w:r w:rsidRPr="001D7BC2">
        <w:rPr>
          <w:noProof/>
        </w:rPr>
        <w:t xml:space="preserve"> address</w:t>
      </w:r>
      <w:r w:rsidR="00B24958" w:rsidRPr="001D7BC2">
        <w:rPr>
          <w:noProof/>
        </w:rPr>
        <w:t>ing</w:t>
      </w:r>
      <w:r w:rsidRPr="001D7BC2">
        <w:rPr>
          <w:noProof/>
        </w:rPr>
        <w:t xml:space="preserve"> its four stages </w:t>
      </w:r>
      <w:r w:rsidR="47BB6C4F" w:rsidRPr="001D7BC2">
        <w:rPr>
          <w:noProof/>
        </w:rPr>
        <w:t>to ensure an adequate protection of the EU’s financial interests. This section builds on new analyse</w:t>
      </w:r>
      <w:r w:rsidR="2BA72929" w:rsidRPr="001D7BC2">
        <w:rPr>
          <w:noProof/>
        </w:rPr>
        <w:t>s</w:t>
      </w:r>
      <w:r w:rsidR="47BB6C4F" w:rsidRPr="001D7BC2">
        <w:rPr>
          <w:noProof/>
        </w:rPr>
        <w:t xml:space="preserve"> and data to present </w:t>
      </w:r>
      <w:r w:rsidR="47BB6C4F" w:rsidRPr="001D7BC2">
        <w:rPr>
          <w:b/>
          <w:bCs/>
          <w:noProof/>
        </w:rPr>
        <w:t>specific indicator</w:t>
      </w:r>
      <w:r w:rsidR="009B1816" w:rsidRPr="001D7BC2">
        <w:rPr>
          <w:b/>
          <w:bCs/>
          <w:noProof/>
        </w:rPr>
        <w:t>s</w:t>
      </w:r>
      <w:r w:rsidR="47BB6C4F" w:rsidRPr="001D7BC2">
        <w:rPr>
          <w:noProof/>
        </w:rPr>
        <w:t xml:space="preserve"> </w:t>
      </w:r>
      <w:r w:rsidR="00B24958" w:rsidRPr="001D7BC2">
        <w:rPr>
          <w:noProof/>
        </w:rPr>
        <w:t xml:space="preserve">for measuring </w:t>
      </w:r>
      <w:r w:rsidR="47BB6C4F" w:rsidRPr="001D7BC2">
        <w:rPr>
          <w:noProof/>
        </w:rPr>
        <w:t xml:space="preserve">the results of the </w:t>
      </w:r>
      <w:r w:rsidR="00791AD2" w:rsidRPr="001D7BC2">
        <w:rPr>
          <w:noProof/>
        </w:rPr>
        <w:t xml:space="preserve">measures </w:t>
      </w:r>
      <w:r w:rsidR="00B24958" w:rsidRPr="001D7BC2">
        <w:rPr>
          <w:noProof/>
        </w:rPr>
        <w:t xml:space="preserve">taken by </w:t>
      </w:r>
      <w:r w:rsidR="47BB6C4F" w:rsidRPr="001D7BC2">
        <w:rPr>
          <w:noProof/>
        </w:rPr>
        <w:t xml:space="preserve">AFA </w:t>
      </w:r>
      <w:r w:rsidR="007354E9" w:rsidRPr="001D7BC2">
        <w:rPr>
          <w:noProof/>
        </w:rPr>
        <w:t xml:space="preserve">actors </w:t>
      </w:r>
      <w:r w:rsidR="6BBD50A3" w:rsidRPr="001D7BC2">
        <w:rPr>
          <w:noProof/>
        </w:rPr>
        <w:t xml:space="preserve">at </w:t>
      </w:r>
      <w:r w:rsidR="007354E9" w:rsidRPr="001D7BC2">
        <w:rPr>
          <w:noProof/>
        </w:rPr>
        <w:t xml:space="preserve">both </w:t>
      </w:r>
      <w:r w:rsidR="6BBD50A3" w:rsidRPr="001D7BC2">
        <w:rPr>
          <w:noProof/>
        </w:rPr>
        <w:t>EU and national level.</w:t>
      </w:r>
    </w:p>
    <w:p w14:paraId="4AFAD10C" w14:textId="7F21ABEB" w:rsidR="00C417C9" w:rsidRPr="00DE3A6F" w:rsidRDefault="007354E9" w:rsidP="00EF139F">
      <w:pPr>
        <w:rPr>
          <w:noProof/>
        </w:rPr>
      </w:pPr>
      <w:r w:rsidRPr="001D7BC2">
        <w:rPr>
          <w:noProof/>
        </w:rPr>
        <w:t>It begins with</w:t>
      </w:r>
      <w:r w:rsidR="00F7383F" w:rsidRPr="001D7BC2">
        <w:rPr>
          <w:noProof/>
        </w:rPr>
        <w:t xml:space="preserve"> an </w:t>
      </w:r>
      <w:r w:rsidR="00F7383F" w:rsidRPr="001D7BC2">
        <w:rPr>
          <w:b/>
          <w:bCs/>
          <w:noProof/>
        </w:rPr>
        <w:t>overall assessment</w:t>
      </w:r>
      <w:r w:rsidR="00F7383F" w:rsidRPr="001D7BC2">
        <w:rPr>
          <w:noProof/>
        </w:rPr>
        <w:t xml:space="preserve"> of the </w:t>
      </w:r>
      <w:r w:rsidRPr="001D7BC2">
        <w:rPr>
          <w:noProof/>
        </w:rPr>
        <w:t xml:space="preserve">different </w:t>
      </w:r>
      <w:r w:rsidR="00F7383F" w:rsidRPr="001D7BC2">
        <w:rPr>
          <w:noProof/>
        </w:rPr>
        <w:t>stages of the anti-fraud cycle</w:t>
      </w:r>
      <w:r w:rsidR="00896881" w:rsidRPr="001D7BC2">
        <w:rPr>
          <w:noProof/>
        </w:rPr>
        <w:t xml:space="preserve">, </w:t>
      </w:r>
      <w:r w:rsidRPr="001D7BC2">
        <w:rPr>
          <w:noProof/>
        </w:rPr>
        <w:t>providing a comprehensive</w:t>
      </w:r>
      <w:r w:rsidR="00F159FE" w:rsidRPr="001D7BC2">
        <w:rPr>
          <w:noProof/>
        </w:rPr>
        <w:t xml:space="preserve"> overview of the protection of the EU financial interests. </w:t>
      </w:r>
      <w:r w:rsidR="002F6E60" w:rsidRPr="001D7BC2">
        <w:rPr>
          <w:noProof/>
        </w:rPr>
        <w:t xml:space="preserve">The second part of the section offers a </w:t>
      </w:r>
      <w:r w:rsidR="002F6E60" w:rsidRPr="001D7BC2">
        <w:rPr>
          <w:b/>
          <w:bCs/>
          <w:noProof/>
        </w:rPr>
        <w:t>narrative analysis</w:t>
      </w:r>
      <w:r w:rsidR="002F6E60" w:rsidRPr="001D7BC2">
        <w:rPr>
          <w:noProof/>
        </w:rPr>
        <w:t xml:space="preserve"> relat</w:t>
      </w:r>
      <w:r w:rsidR="00332BCF" w:rsidRPr="001D7BC2">
        <w:rPr>
          <w:noProof/>
        </w:rPr>
        <w:t>ing</w:t>
      </w:r>
      <w:r w:rsidR="002F6E60" w:rsidRPr="001D7BC2">
        <w:rPr>
          <w:noProof/>
        </w:rPr>
        <w:t xml:space="preserve"> to the </w:t>
      </w:r>
      <w:r w:rsidR="00FA0896" w:rsidRPr="001D7BC2">
        <w:rPr>
          <w:noProof/>
        </w:rPr>
        <w:t xml:space="preserve">various </w:t>
      </w:r>
      <w:r w:rsidR="00332BCF" w:rsidRPr="001D7BC2">
        <w:rPr>
          <w:noProof/>
        </w:rPr>
        <w:t xml:space="preserve">EU </w:t>
      </w:r>
      <w:r w:rsidR="002F6E60" w:rsidRPr="001D7BC2">
        <w:rPr>
          <w:noProof/>
        </w:rPr>
        <w:t>budget areas</w:t>
      </w:r>
      <w:r w:rsidR="00B407DA" w:rsidRPr="001D7BC2">
        <w:rPr>
          <w:noProof/>
        </w:rPr>
        <w:t>.</w:t>
      </w:r>
    </w:p>
    <w:p w14:paraId="2564CAE7" w14:textId="3ADFE8A1" w:rsidR="0046214A" w:rsidRPr="00DE3A6F" w:rsidRDefault="00594B97" w:rsidP="00B0161B">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Methodological note </w:t>
      </w:r>
      <w:r w:rsidR="006B685B" w:rsidRPr="00DE3A6F">
        <w:rPr>
          <w:noProof/>
        </w:rPr>
        <w:fldChar w:fldCharType="begin"/>
      </w:r>
      <w:r w:rsidR="006B685B" w:rsidRPr="00DE3A6F">
        <w:rPr>
          <w:noProof/>
        </w:rPr>
        <w:instrText xml:space="preserve"> SEQ Methodological_note \* ARABIC </w:instrText>
      </w:r>
      <w:r w:rsidR="006B685B" w:rsidRPr="00DE3A6F">
        <w:rPr>
          <w:noProof/>
        </w:rPr>
        <w:fldChar w:fldCharType="separate"/>
      </w:r>
      <w:r w:rsidR="006B685B" w:rsidRPr="00DE3A6F">
        <w:rPr>
          <w:noProof/>
        </w:rPr>
        <w:t>1</w:t>
      </w:r>
      <w:r w:rsidR="006B685B" w:rsidRPr="00DE3A6F">
        <w:rPr>
          <w:noProof/>
        </w:rPr>
        <w:fldChar w:fldCharType="end"/>
      </w:r>
      <w:r w:rsidR="00961235" w:rsidRPr="00DE3A6F">
        <w:rPr>
          <w:noProof/>
        </w:rPr>
        <w:t>: Data availability to cover all indicators</w:t>
      </w:r>
    </w:p>
    <w:p w14:paraId="4BAB3E2E" w14:textId="7203C4B7" w:rsidR="00961235" w:rsidRPr="00DE3A6F" w:rsidRDefault="00824AEA"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1D7BC2">
        <w:rPr>
          <w:noProof/>
        </w:rPr>
        <w:t xml:space="preserve">In line with </w:t>
      </w:r>
      <w:r w:rsidR="00A219DC" w:rsidRPr="001D7BC2">
        <w:rPr>
          <w:noProof/>
        </w:rPr>
        <w:t>the</w:t>
      </w:r>
      <w:r w:rsidR="00380747" w:rsidRPr="001D7BC2">
        <w:rPr>
          <w:noProof/>
        </w:rPr>
        <w:t xml:space="preserve"> holistic approach</w:t>
      </w:r>
      <w:r w:rsidR="00663172" w:rsidRPr="001D7BC2">
        <w:rPr>
          <w:noProof/>
        </w:rPr>
        <w:t>,</w:t>
      </w:r>
      <w:r w:rsidR="00380747" w:rsidRPr="001D7BC2">
        <w:rPr>
          <w:noProof/>
        </w:rPr>
        <w:t xml:space="preserve"> </w:t>
      </w:r>
      <w:r w:rsidR="00663172" w:rsidRPr="001D7BC2">
        <w:rPr>
          <w:noProof/>
        </w:rPr>
        <w:t xml:space="preserve">intended </w:t>
      </w:r>
      <w:r w:rsidR="00380747" w:rsidRPr="001D7BC2">
        <w:rPr>
          <w:noProof/>
        </w:rPr>
        <w:t xml:space="preserve">to cover </w:t>
      </w:r>
      <w:r w:rsidR="00902163" w:rsidRPr="001D7BC2">
        <w:rPr>
          <w:noProof/>
        </w:rPr>
        <w:t>the entire</w:t>
      </w:r>
      <w:r w:rsidR="00380747" w:rsidRPr="001D7BC2">
        <w:rPr>
          <w:noProof/>
        </w:rPr>
        <w:t xml:space="preserve"> anti-fraud cycle</w:t>
      </w:r>
      <w:r w:rsidR="00961235" w:rsidRPr="001D7BC2">
        <w:rPr>
          <w:noProof/>
        </w:rPr>
        <w:t>, the Commission aim</w:t>
      </w:r>
      <w:r w:rsidR="007C1B58" w:rsidRPr="001D7BC2">
        <w:rPr>
          <w:noProof/>
        </w:rPr>
        <w:t>s</w:t>
      </w:r>
      <w:r w:rsidR="00961235" w:rsidRPr="001D7BC2">
        <w:rPr>
          <w:noProof/>
        </w:rPr>
        <w:t xml:space="preserve"> </w:t>
      </w:r>
      <w:r w:rsidR="007C1B58" w:rsidRPr="001D7BC2">
        <w:rPr>
          <w:noProof/>
        </w:rPr>
        <w:t>t</w:t>
      </w:r>
      <w:r w:rsidR="00A86A02" w:rsidRPr="001D7BC2">
        <w:rPr>
          <w:noProof/>
        </w:rPr>
        <w:t>o</w:t>
      </w:r>
      <w:r w:rsidR="007C1B58" w:rsidRPr="001D7BC2">
        <w:rPr>
          <w:noProof/>
        </w:rPr>
        <w:t xml:space="preserve"> </w:t>
      </w:r>
      <w:r w:rsidR="008622B8" w:rsidRPr="001D7BC2">
        <w:rPr>
          <w:noProof/>
        </w:rPr>
        <w:t>present</w:t>
      </w:r>
      <w:r w:rsidR="00A86A02" w:rsidRPr="001D7BC2">
        <w:rPr>
          <w:noProof/>
        </w:rPr>
        <w:t xml:space="preserve"> specific metrics to assess </w:t>
      </w:r>
      <w:r w:rsidR="00A10406" w:rsidRPr="001D7BC2">
        <w:rPr>
          <w:noProof/>
        </w:rPr>
        <w:t xml:space="preserve">the impact of </w:t>
      </w:r>
      <w:r w:rsidR="001016A5" w:rsidRPr="001D7BC2">
        <w:rPr>
          <w:noProof/>
        </w:rPr>
        <w:t xml:space="preserve">different </w:t>
      </w:r>
      <w:r w:rsidR="00A10406" w:rsidRPr="001D7BC2">
        <w:rPr>
          <w:noProof/>
        </w:rPr>
        <w:t xml:space="preserve">actors and </w:t>
      </w:r>
      <w:r w:rsidR="001016A5" w:rsidRPr="001D7BC2">
        <w:rPr>
          <w:noProof/>
        </w:rPr>
        <w:t xml:space="preserve">track </w:t>
      </w:r>
      <w:r w:rsidR="00A10406" w:rsidRPr="001D7BC2">
        <w:rPr>
          <w:noProof/>
        </w:rPr>
        <w:t xml:space="preserve">progress. This year’s report </w:t>
      </w:r>
      <w:r w:rsidR="001016A5" w:rsidRPr="001D7BC2">
        <w:rPr>
          <w:noProof/>
        </w:rPr>
        <w:t xml:space="preserve">marks </w:t>
      </w:r>
      <w:r w:rsidR="00A10406" w:rsidRPr="001D7BC2">
        <w:rPr>
          <w:noProof/>
        </w:rPr>
        <w:t xml:space="preserve">a </w:t>
      </w:r>
      <w:r w:rsidR="00A10406" w:rsidRPr="001D7BC2">
        <w:rPr>
          <w:b/>
          <w:bCs/>
          <w:noProof/>
        </w:rPr>
        <w:t xml:space="preserve">first </w:t>
      </w:r>
      <w:r w:rsidR="001016A5" w:rsidRPr="001D7BC2">
        <w:rPr>
          <w:b/>
          <w:bCs/>
          <w:noProof/>
        </w:rPr>
        <w:t>step</w:t>
      </w:r>
      <w:r w:rsidR="001016A5" w:rsidRPr="001D7BC2">
        <w:rPr>
          <w:noProof/>
        </w:rPr>
        <w:t xml:space="preserve"> </w:t>
      </w:r>
      <w:r w:rsidR="00A10406" w:rsidRPr="001D7BC2">
        <w:rPr>
          <w:noProof/>
        </w:rPr>
        <w:t xml:space="preserve">in this </w:t>
      </w:r>
      <w:r w:rsidR="001016A5" w:rsidRPr="001D7BC2">
        <w:rPr>
          <w:noProof/>
        </w:rPr>
        <w:t xml:space="preserve">direction </w:t>
      </w:r>
      <w:r w:rsidR="001D1F99" w:rsidRPr="001D7BC2">
        <w:rPr>
          <w:noProof/>
        </w:rPr>
        <w:t xml:space="preserve">and </w:t>
      </w:r>
      <w:r w:rsidR="00E0749B" w:rsidRPr="001D7BC2">
        <w:rPr>
          <w:noProof/>
        </w:rPr>
        <w:t xml:space="preserve">helps </w:t>
      </w:r>
      <w:r w:rsidR="001D1F99" w:rsidRPr="001D7BC2">
        <w:rPr>
          <w:noProof/>
        </w:rPr>
        <w:t xml:space="preserve">identify </w:t>
      </w:r>
      <w:r w:rsidR="001D1F99" w:rsidRPr="001D7BC2">
        <w:rPr>
          <w:b/>
          <w:bCs/>
          <w:noProof/>
        </w:rPr>
        <w:t>data needs and gaps</w:t>
      </w:r>
      <w:r w:rsidR="00B0161B" w:rsidRPr="001D7BC2">
        <w:rPr>
          <w:noProof/>
        </w:rPr>
        <w:t>.</w:t>
      </w:r>
    </w:p>
    <w:p w14:paraId="75C96CFD" w14:textId="64E01982" w:rsidR="00BD22E5" w:rsidRPr="00DE3A6F" w:rsidRDefault="522857CD" w:rsidP="0A00D70D">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T</w:t>
      </w:r>
      <w:r w:rsidR="147A0A91" w:rsidRPr="00DE3A6F">
        <w:rPr>
          <w:noProof/>
        </w:rPr>
        <w:t>he subsections below</w:t>
      </w:r>
      <w:r w:rsidRPr="00DE3A6F">
        <w:rPr>
          <w:noProof/>
        </w:rPr>
        <w:t xml:space="preserve"> do not follow the traditional </w:t>
      </w:r>
      <w:r w:rsidR="2590E636" w:rsidRPr="00DE3A6F">
        <w:rPr>
          <w:noProof/>
        </w:rPr>
        <w:t xml:space="preserve">sequence </w:t>
      </w:r>
      <w:r w:rsidR="1815DD96" w:rsidRPr="00DE3A6F">
        <w:rPr>
          <w:noProof/>
        </w:rPr>
        <w:t xml:space="preserve">of the </w:t>
      </w:r>
      <w:r w:rsidR="300582A9" w:rsidRPr="00DE3A6F">
        <w:rPr>
          <w:noProof/>
        </w:rPr>
        <w:t>anti-fraud</w:t>
      </w:r>
      <w:r w:rsidR="1815DD96" w:rsidRPr="00DE3A6F">
        <w:rPr>
          <w:noProof/>
        </w:rPr>
        <w:t xml:space="preserve"> cycle</w:t>
      </w:r>
      <w:r w:rsidR="6986A747" w:rsidRPr="00DE3A6F">
        <w:rPr>
          <w:noProof/>
        </w:rPr>
        <w:t xml:space="preserve"> (</w:t>
      </w:r>
      <w:r w:rsidR="5387B318" w:rsidRPr="00DE3A6F">
        <w:rPr>
          <w:noProof/>
        </w:rPr>
        <w:t>prevention</w:t>
      </w:r>
      <w:r w:rsidR="6986A747" w:rsidRPr="00DE3A6F">
        <w:rPr>
          <w:noProof/>
        </w:rPr>
        <w:t>, detection, investigation and prosecution, recovery and sanctioning)</w:t>
      </w:r>
      <w:r w:rsidR="08D36189" w:rsidRPr="00DE3A6F">
        <w:rPr>
          <w:noProof/>
        </w:rPr>
        <w:t xml:space="preserve">, </w:t>
      </w:r>
      <w:r w:rsidR="1BC4B29D" w:rsidRPr="00DE3A6F">
        <w:rPr>
          <w:noProof/>
        </w:rPr>
        <w:t xml:space="preserve">as </w:t>
      </w:r>
      <w:r w:rsidR="08D36189" w:rsidRPr="00DE3A6F">
        <w:rPr>
          <w:b/>
          <w:bCs/>
          <w:noProof/>
        </w:rPr>
        <w:t>no data</w:t>
      </w:r>
      <w:r w:rsidR="08D36189" w:rsidRPr="00DE3A6F">
        <w:rPr>
          <w:noProof/>
        </w:rPr>
        <w:t xml:space="preserve"> </w:t>
      </w:r>
      <w:r w:rsidR="08D36189" w:rsidRPr="00DE3A6F">
        <w:rPr>
          <w:b/>
          <w:bCs/>
          <w:noProof/>
        </w:rPr>
        <w:t>exist</w:t>
      </w:r>
      <w:r w:rsidR="08D36189" w:rsidRPr="00DE3A6F">
        <w:rPr>
          <w:noProof/>
        </w:rPr>
        <w:t xml:space="preserve"> </w:t>
      </w:r>
      <w:r w:rsidR="120F8D61" w:rsidRPr="00DE3A6F">
        <w:rPr>
          <w:noProof/>
        </w:rPr>
        <w:t xml:space="preserve">on </w:t>
      </w:r>
      <w:r w:rsidR="08D36189" w:rsidRPr="00DE3A6F">
        <w:rPr>
          <w:b/>
          <w:bCs/>
          <w:noProof/>
        </w:rPr>
        <w:t>‘pure’ prevention</w:t>
      </w:r>
      <w:r w:rsidR="4A4E65AF" w:rsidRPr="00DE3A6F">
        <w:rPr>
          <w:noProof/>
        </w:rPr>
        <w:t xml:space="preserve">. The </w:t>
      </w:r>
      <w:r w:rsidR="120F8D61" w:rsidRPr="00DE3A6F">
        <w:rPr>
          <w:noProof/>
        </w:rPr>
        <w:t xml:space="preserve">available </w:t>
      </w:r>
      <w:r w:rsidR="4A4E65AF" w:rsidRPr="00DE3A6F">
        <w:rPr>
          <w:noProof/>
        </w:rPr>
        <w:t xml:space="preserve">data </w:t>
      </w:r>
      <w:r w:rsidR="36C694C4" w:rsidRPr="00DE3A6F">
        <w:rPr>
          <w:noProof/>
        </w:rPr>
        <w:t xml:space="preserve">instead </w:t>
      </w:r>
      <w:r w:rsidR="4A4E65AF" w:rsidRPr="00DE3A6F">
        <w:rPr>
          <w:noProof/>
        </w:rPr>
        <w:t xml:space="preserve">allow </w:t>
      </w:r>
      <w:r w:rsidR="085D5BBE" w:rsidRPr="00DE3A6F">
        <w:rPr>
          <w:noProof/>
        </w:rPr>
        <w:t>‘</w:t>
      </w:r>
      <w:r w:rsidR="085D5BBE" w:rsidRPr="00DE3A6F">
        <w:rPr>
          <w:b/>
          <w:bCs/>
          <w:noProof/>
        </w:rPr>
        <w:t>early detection</w:t>
      </w:r>
      <w:r w:rsidR="085D5BBE" w:rsidRPr="00DE3A6F">
        <w:rPr>
          <w:noProof/>
        </w:rPr>
        <w:t>’</w:t>
      </w:r>
      <w:r w:rsidR="00663172" w:rsidRPr="00CA1602">
        <w:rPr>
          <w:noProof/>
        </w:rPr>
        <w:t xml:space="preserve"> to be measured</w:t>
      </w:r>
      <w:r w:rsidR="36C694C4" w:rsidRPr="00DE3A6F">
        <w:rPr>
          <w:noProof/>
        </w:rPr>
        <w:t>,</w:t>
      </w:r>
      <w:r w:rsidR="3FD01AE9" w:rsidRPr="00DE3A6F">
        <w:rPr>
          <w:noProof/>
        </w:rPr>
        <w:t xml:space="preserve"> </w:t>
      </w:r>
      <w:r w:rsidR="36C694C4" w:rsidRPr="00DE3A6F">
        <w:rPr>
          <w:noProof/>
        </w:rPr>
        <w:t xml:space="preserve">which is therefore </w:t>
      </w:r>
      <w:r w:rsidR="61795E88" w:rsidRPr="00DE3A6F">
        <w:rPr>
          <w:noProof/>
        </w:rPr>
        <w:t>presented after</w:t>
      </w:r>
      <w:r w:rsidR="3FD01AE9" w:rsidRPr="00DE3A6F">
        <w:rPr>
          <w:noProof/>
        </w:rPr>
        <w:t xml:space="preserve"> the ‘</w:t>
      </w:r>
      <w:r w:rsidR="3FD01AE9" w:rsidRPr="00DE3A6F">
        <w:rPr>
          <w:b/>
          <w:bCs/>
          <w:noProof/>
        </w:rPr>
        <w:t>detection’</w:t>
      </w:r>
      <w:r w:rsidR="5CAAE384" w:rsidRPr="00DE3A6F">
        <w:rPr>
          <w:noProof/>
        </w:rPr>
        <w:t xml:space="preserve"> stage</w:t>
      </w:r>
      <w:r w:rsidR="3FD01AE9" w:rsidRPr="00DE3A6F">
        <w:rPr>
          <w:noProof/>
        </w:rPr>
        <w:t>.</w:t>
      </w:r>
    </w:p>
    <w:p w14:paraId="1C017B7A" w14:textId="6CFFBA0A" w:rsidR="009E650A" w:rsidRPr="00DE3A6F" w:rsidRDefault="2A2BAC40" w:rsidP="0E7E2D8C">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A second </w:t>
      </w:r>
      <w:r w:rsidR="0066690D" w:rsidRPr="00DE3A6F">
        <w:rPr>
          <w:noProof/>
        </w:rPr>
        <w:t xml:space="preserve">consideration </w:t>
      </w:r>
      <w:r w:rsidRPr="00DE3A6F">
        <w:rPr>
          <w:noProof/>
        </w:rPr>
        <w:t xml:space="preserve">is </w:t>
      </w:r>
      <w:r w:rsidR="085CF777" w:rsidRPr="00DE3A6F">
        <w:rPr>
          <w:noProof/>
        </w:rPr>
        <w:t xml:space="preserve">that </w:t>
      </w:r>
      <w:r w:rsidR="0278888C" w:rsidRPr="00DE3A6F">
        <w:rPr>
          <w:noProof/>
        </w:rPr>
        <w:t xml:space="preserve">data or analyses do not cover </w:t>
      </w:r>
      <w:r w:rsidR="466E6A09" w:rsidRPr="00DE3A6F">
        <w:rPr>
          <w:noProof/>
        </w:rPr>
        <w:t xml:space="preserve">all budgetary areas </w:t>
      </w:r>
      <w:r w:rsidR="0066690D" w:rsidRPr="00DE3A6F">
        <w:rPr>
          <w:noProof/>
        </w:rPr>
        <w:t>uniformly. C</w:t>
      </w:r>
      <w:r w:rsidR="466E6A09" w:rsidRPr="00DE3A6F">
        <w:rPr>
          <w:noProof/>
        </w:rPr>
        <w:t xml:space="preserve">onsequently, </w:t>
      </w:r>
      <w:r w:rsidR="2297F801" w:rsidRPr="00DE3A6F">
        <w:rPr>
          <w:noProof/>
        </w:rPr>
        <w:t xml:space="preserve">the </w:t>
      </w:r>
      <w:r w:rsidR="00E93FB8" w:rsidRPr="00DE3A6F">
        <w:rPr>
          <w:noProof/>
        </w:rPr>
        <w:t xml:space="preserve">level of </w:t>
      </w:r>
      <w:r w:rsidR="00E93FB8" w:rsidRPr="00DE3A6F">
        <w:rPr>
          <w:b/>
          <w:bCs/>
          <w:noProof/>
        </w:rPr>
        <w:t>granularity</w:t>
      </w:r>
      <w:r w:rsidR="00E93FB8" w:rsidRPr="00DE3A6F">
        <w:rPr>
          <w:noProof/>
        </w:rPr>
        <w:t xml:space="preserve"> </w:t>
      </w:r>
      <w:r w:rsidR="00C7012F" w:rsidRPr="00DE3A6F">
        <w:rPr>
          <w:noProof/>
        </w:rPr>
        <w:t xml:space="preserve">in the data and analysis may vary across </w:t>
      </w:r>
      <w:r w:rsidR="2297F801" w:rsidRPr="00DE3A6F">
        <w:rPr>
          <w:noProof/>
        </w:rPr>
        <w:t>subsections.</w:t>
      </w:r>
    </w:p>
    <w:p w14:paraId="36B66F04" w14:textId="4B057D7F" w:rsidR="008A261E" w:rsidRPr="00DE3A6F" w:rsidRDefault="008A261E" w:rsidP="008A261E">
      <w:pPr>
        <w:pStyle w:val="Heading2"/>
        <w:ind w:left="1440" w:hanging="1440"/>
        <w:rPr>
          <w:noProof/>
        </w:rPr>
      </w:pPr>
      <w:bookmarkStart w:id="58" w:name="_The_protection_of"/>
      <w:bookmarkStart w:id="59" w:name="_Toc234447068"/>
      <w:bookmarkEnd w:id="58"/>
      <w:r w:rsidRPr="001D7BC2">
        <w:rPr>
          <w:noProof/>
        </w:rPr>
        <w:t>The protection of the EU’s financial interests through the anti-fraud cycle</w:t>
      </w:r>
      <w:bookmarkEnd w:id="59"/>
    </w:p>
    <w:p w14:paraId="41E5AE7A" w14:textId="11571AE7" w:rsidR="00DC489A" w:rsidRPr="00DE3A6F" w:rsidRDefault="00907907" w:rsidP="00F43E85">
      <w:pPr>
        <w:pStyle w:val="Heading3"/>
        <w:rPr>
          <w:noProof/>
        </w:rPr>
      </w:pPr>
      <w:bookmarkStart w:id="60" w:name="_Toc234447069"/>
      <w:r w:rsidRPr="00DE3A6F">
        <w:rPr>
          <w:noProof/>
        </w:rPr>
        <w:t>Detection</w:t>
      </w:r>
      <w:bookmarkEnd w:id="60"/>
    </w:p>
    <w:p w14:paraId="4607017E" w14:textId="57551E3D" w:rsidR="00CD65CC" w:rsidRPr="00DE3A6F" w:rsidRDefault="15466749" w:rsidP="00C6311E">
      <w:pPr>
        <w:rPr>
          <w:noProof/>
        </w:rPr>
      </w:pPr>
      <w:r w:rsidRPr="001D7BC2">
        <w:rPr>
          <w:noProof/>
        </w:rPr>
        <w:t xml:space="preserve">The </w:t>
      </w:r>
      <w:r w:rsidR="00BE7E47" w:rsidRPr="001D7BC2">
        <w:rPr>
          <w:noProof/>
        </w:rPr>
        <w:t xml:space="preserve">ability </w:t>
      </w:r>
      <w:r w:rsidRPr="001D7BC2">
        <w:rPr>
          <w:noProof/>
        </w:rPr>
        <w:t>of management and control system</w:t>
      </w:r>
      <w:r w:rsidR="5048331E" w:rsidRPr="001D7BC2">
        <w:rPr>
          <w:noProof/>
        </w:rPr>
        <w:t>s</w:t>
      </w:r>
      <w:r w:rsidR="6465B319" w:rsidRPr="001D7BC2">
        <w:rPr>
          <w:noProof/>
        </w:rPr>
        <w:t xml:space="preserve"> to detect </w:t>
      </w:r>
      <w:r w:rsidR="6465B319" w:rsidRPr="001D7BC2">
        <w:rPr>
          <w:b/>
          <w:bCs/>
          <w:noProof/>
        </w:rPr>
        <w:t>irregularities and fraud</w:t>
      </w:r>
      <w:r w:rsidR="6465B319" w:rsidRPr="001D7BC2">
        <w:rPr>
          <w:noProof/>
        </w:rPr>
        <w:t xml:space="preserve"> affecting the EU’s financial interests is </w:t>
      </w:r>
      <w:r w:rsidR="00F7612A" w:rsidRPr="001D7BC2">
        <w:rPr>
          <w:noProof/>
        </w:rPr>
        <w:t xml:space="preserve">crucial </w:t>
      </w:r>
      <w:r w:rsidR="6465B319" w:rsidRPr="001D7BC2">
        <w:rPr>
          <w:noProof/>
        </w:rPr>
        <w:t>to ensur</w:t>
      </w:r>
      <w:r w:rsidR="3816CA41" w:rsidRPr="001D7BC2">
        <w:rPr>
          <w:noProof/>
        </w:rPr>
        <w:t>ing</w:t>
      </w:r>
      <w:r w:rsidR="6465B319" w:rsidRPr="001D7BC2">
        <w:rPr>
          <w:noProof/>
        </w:rPr>
        <w:t xml:space="preserve"> an adequate level of protection</w:t>
      </w:r>
      <w:r w:rsidR="349DDDB8" w:rsidRPr="001D7BC2">
        <w:rPr>
          <w:noProof/>
        </w:rPr>
        <w:t xml:space="preserve">. Detection </w:t>
      </w:r>
      <w:r w:rsidR="00D10C96" w:rsidRPr="001D7BC2">
        <w:rPr>
          <w:noProof/>
        </w:rPr>
        <w:t xml:space="preserve">enables </w:t>
      </w:r>
      <w:r w:rsidR="349DDDB8" w:rsidRPr="001D7BC2">
        <w:rPr>
          <w:noProof/>
        </w:rPr>
        <w:t xml:space="preserve">necessary </w:t>
      </w:r>
      <w:r w:rsidR="001721E8" w:rsidRPr="001D7BC2">
        <w:rPr>
          <w:noProof/>
        </w:rPr>
        <w:t>follow-</w:t>
      </w:r>
      <w:r w:rsidR="006A3CD1" w:rsidRPr="001D7BC2">
        <w:rPr>
          <w:noProof/>
        </w:rPr>
        <w:t>up measures</w:t>
      </w:r>
      <w:r w:rsidR="001721E8" w:rsidRPr="001D7BC2">
        <w:rPr>
          <w:noProof/>
        </w:rPr>
        <w:t>, including</w:t>
      </w:r>
      <w:r w:rsidR="6EAE9B75" w:rsidRPr="001D7BC2">
        <w:rPr>
          <w:noProof/>
        </w:rPr>
        <w:t xml:space="preserve"> </w:t>
      </w:r>
      <w:r w:rsidR="00AC0E80" w:rsidRPr="001D7BC2">
        <w:rPr>
          <w:noProof/>
        </w:rPr>
        <w:t xml:space="preserve">referring </w:t>
      </w:r>
      <w:r w:rsidR="7737FB6C" w:rsidRPr="001D7BC2">
        <w:rPr>
          <w:noProof/>
        </w:rPr>
        <w:t>susp</w:t>
      </w:r>
      <w:r w:rsidR="1683AC27" w:rsidRPr="001D7BC2">
        <w:rPr>
          <w:noProof/>
        </w:rPr>
        <w:t>e</w:t>
      </w:r>
      <w:r w:rsidR="7737FB6C" w:rsidRPr="001D7BC2">
        <w:rPr>
          <w:noProof/>
        </w:rPr>
        <w:t>c</w:t>
      </w:r>
      <w:r w:rsidR="00AC0E80" w:rsidRPr="001D7BC2">
        <w:rPr>
          <w:noProof/>
        </w:rPr>
        <w:t>ted</w:t>
      </w:r>
      <w:r w:rsidR="7737FB6C" w:rsidRPr="001D7BC2">
        <w:rPr>
          <w:noProof/>
        </w:rPr>
        <w:t xml:space="preserve"> fraud</w:t>
      </w:r>
      <w:r w:rsidR="00AC0E80" w:rsidRPr="001D7BC2">
        <w:rPr>
          <w:noProof/>
        </w:rPr>
        <w:t xml:space="preserve"> cases </w:t>
      </w:r>
      <w:r w:rsidR="7737FB6C" w:rsidRPr="001D7BC2">
        <w:rPr>
          <w:noProof/>
        </w:rPr>
        <w:t xml:space="preserve">to the competent authorities </w:t>
      </w:r>
      <w:r w:rsidR="1FE9EAD5" w:rsidRPr="001D7BC2">
        <w:rPr>
          <w:noProof/>
        </w:rPr>
        <w:t xml:space="preserve">(prosecution services and law enforcement) </w:t>
      </w:r>
      <w:r w:rsidR="0036148D" w:rsidRPr="001D7BC2">
        <w:rPr>
          <w:noProof/>
        </w:rPr>
        <w:t>and</w:t>
      </w:r>
      <w:r w:rsidR="04E44C5D" w:rsidRPr="001D7BC2">
        <w:rPr>
          <w:noProof/>
        </w:rPr>
        <w:t xml:space="preserve"> </w:t>
      </w:r>
      <w:r w:rsidR="00D77863" w:rsidRPr="001D7BC2">
        <w:rPr>
          <w:noProof/>
        </w:rPr>
        <w:t xml:space="preserve">initiating </w:t>
      </w:r>
      <w:r w:rsidR="2F636A9C" w:rsidRPr="001D7BC2">
        <w:rPr>
          <w:noProof/>
        </w:rPr>
        <w:t xml:space="preserve">administrative procedures </w:t>
      </w:r>
      <w:r w:rsidR="0064280F" w:rsidRPr="001D7BC2">
        <w:rPr>
          <w:noProof/>
        </w:rPr>
        <w:t xml:space="preserve">to </w:t>
      </w:r>
      <w:r w:rsidR="27C73E03" w:rsidRPr="001D7BC2">
        <w:rPr>
          <w:noProof/>
        </w:rPr>
        <w:t>est</w:t>
      </w:r>
      <w:r w:rsidR="79CFAFF8" w:rsidRPr="001D7BC2">
        <w:rPr>
          <w:noProof/>
        </w:rPr>
        <w:t>a</w:t>
      </w:r>
      <w:r w:rsidR="27C73E03" w:rsidRPr="001D7BC2">
        <w:rPr>
          <w:noProof/>
        </w:rPr>
        <w:t xml:space="preserve">blish amounts </w:t>
      </w:r>
      <w:r w:rsidR="0ACAD008" w:rsidRPr="001D7BC2">
        <w:rPr>
          <w:noProof/>
        </w:rPr>
        <w:t>for financial corrections or recoveries</w:t>
      </w:r>
      <w:r w:rsidR="6A7C73A0" w:rsidRPr="001D7BC2">
        <w:rPr>
          <w:noProof/>
        </w:rPr>
        <w:t>.</w:t>
      </w:r>
    </w:p>
    <w:p w14:paraId="0F6E0A72" w14:textId="38C4BA7C" w:rsidR="00CD65CC" w:rsidRPr="00DE3A6F" w:rsidRDefault="06353FF4" w:rsidP="0E7E2D8C">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Methodological note </w:t>
      </w:r>
      <w:r w:rsidR="6494EC1E" w:rsidRPr="00DE3A6F">
        <w:rPr>
          <w:noProof/>
        </w:rPr>
        <w:fldChar w:fldCharType="begin"/>
      </w:r>
      <w:r w:rsidR="6494EC1E" w:rsidRPr="00DE3A6F">
        <w:rPr>
          <w:noProof/>
        </w:rPr>
        <w:instrText xml:space="preserve"> SEQ Methodological_note \* ARABIC </w:instrText>
      </w:r>
      <w:r w:rsidR="6494EC1E" w:rsidRPr="00DE3A6F">
        <w:rPr>
          <w:noProof/>
        </w:rPr>
        <w:fldChar w:fldCharType="separate"/>
      </w:r>
      <w:r w:rsidR="6494EC1E" w:rsidRPr="00DE3A6F">
        <w:rPr>
          <w:noProof/>
        </w:rPr>
        <w:t>2</w:t>
      </w:r>
      <w:r w:rsidR="6494EC1E" w:rsidRPr="00DE3A6F">
        <w:rPr>
          <w:noProof/>
        </w:rPr>
        <w:fldChar w:fldCharType="end"/>
      </w:r>
      <w:r w:rsidRPr="00DE3A6F">
        <w:rPr>
          <w:noProof/>
        </w:rPr>
        <w:t xml:space="preserve">: </w:t>
      </w:r>
      <w:r w:rsidR="00824E0C" w:rsidRPr="00DE3A6F">
        <w:rPr>
          <w:noProof/>
        </w:rPr>
        <w:t>Defining and measuring detection</w:t>
      </w:r>
    </w:p>
    <w:p w14:paraId="5123A213" w14:textId="08ADBCCB" w:rsidR="00CD65CC" w:rsidRPr="00DE3A6F" w:rsidRDefault="00824E0C" w:rsidP="0E7E2D8C">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Sector-specific </w:t>
      </w:r>
      <w:r w:rsidR="32E1F557" w:rsidRPr="00DE3A6F">
        <w:rPr>
          <w:noProof/>
        </w:rPr>
        <w:t xml:space="preserve">regulations </w:t>
      </w:r>
      <w:r w:rsidRPr="00DE3A6F">
        <w:rPr>
          <w:noProof/>
        </w:rPr>
        <w:t xml:space="preserve">require </w:t>
      </w:r>
      <w:r w:rsidR="32E1F557" w:rsidRPr="00DE3A6F">
        <w:rPr>
          <w:noProof/>
        </w:rPr>
        <w:t xml:space="preserve">national authorities </w:t>
      </w:r>
      <w:r w:rsidR="001A022A" w:rsidRPr="00DE3A6F">
        <w:rPr>
          <w:noProof/>
        </w:rPr>
        <w:t>(</w:t>
      </w:r>
      <w:r w:rsidR="32E1F557" w:rsidRPr="00DE3A6F">
        <w:rPr>
          <w:noProof/>
        </w:rPr>
        <w:t xml:space="preserve">in </w:t>
      </w:r>
      <w:r w:rsidR="3E6C14B4" w:rsidRPr="00DE3A6F">
        <w:rPr>
          <w:noProof/>
        </w:rPr>
        <w:t>customs, shared management and pre-accession</w:t>
      </w:r>
      <w:r w:rsidR="001A022A" w:rsidRPr="00DE3A6F">
        <w:rPr>
          <w:noProof/>
        </w:rPr>
        <w:t>)</w:t>
      </w:r>
      <w:r w:rsidR="00674C6F" w:rsidRPr="00DE3A6F">
        <w:rPr>
          <w:noProof/>
        </w:rPr>
        <w:t xml:space="preserve"> to report to the Commission </w:t>
      </w:r>
      <w:r w:rsidR="575789B6" w:rsidRPr="00DE3A6F">
        <w:rPr>
          <w:noProof/>
        </w:rPr>
        <w:t>‘</w:t>
      </w:r>
      <w:r w:rsidR="4649BB05" w:rsidRPr="00DE3A6F">
        <w:rPr>
          <w:noProof/>
        </w:rPr>
        <w:t>irregularit</w:t>
      </w:r>
      <w:r w:rsidR="4C78A4BF" w:rsidRPr="00DE3A6F">
        <w:rPr>
          <w:noProof/>
        </w:rPr>
        <w:t>ies</w:t>
      </w:r>
      <w:r w:rsidR="4649BB05" w:rsidRPr="00DE3A6F">
        <w:rPr>
          <w:noProof/>
        </w:rPr>
        <w:t xml:space="preserve"> </w:t>
      </w:r>
      <w:r w:rsidR="4C78A4BF" w:rsidRPr="00DE3A6F">
        <w:rPr>
          <w:noProof/>
        </w:rPr>
        <w:t>that have been the subject of a first written assessment by a competent authority, either administrative or judicial, which has concluded on the basis of specific facts that an irregularity has been committed</w:t>
      </w:r>
      <w:r w:rsidR="575789B6" w:rsidRPr="00DE3A6F">
        <w:rPr>
          <w:noProof/>
        </w:rPr>
        <w:t>’</w:t>
      </w:r>
      <w:r w:rsidR="71339986" w:rsidRPr="00DE3A6F">
        <w:rPr>
          <w:noProof/>
        </w:rPr>
        <w:t xml:space="preserve"> and ‘irregularities that give rise to the initiation of administrative or judicial proceedings at national level in order to establish the presence of fraud or other criminal offences</w:t>
      </w:r>
      <w:r w:rsidR="43BD59D1" w:rsidRPr="00DE3A6F">
        <w:rPr>
          <w:noProof/>
        </w:rPr>
        <w:t xml:space="preserve"> […]’(</w:t>
      </w:r>
      <w:r w:rsidR="00381A96" w:rsidRPr="00DE3A6F">
        <w:rPr>
          <w:rStyle w:val="FootnoteReference"/>
          <w:noProof/>
        </w:rPr>
        <w:footnoteReference w:id="49"/>
      </w:r>
      <w:r w:rsidR="43BD59D1" w:rsidRPr="00DE3A6F">
        <w:rPr>
          <w:noProof/>
        </w:rPr>
        <w:t>)</w:t>
      </w:r>
      <w:r w:rsidR="5A993289" w:rsidRPr="00DE3A6F">
        <w:rPr>
          <w:noProof/>
        </w:rPr>
        <w:t>.</w:t>
      </w:r>
    </w:p>
    <w:p w14:paraId="08C3F6E6" w14:textId="7C570E95" w:rsidR="00DF2ECA" w:rsidRPr="00DE3A6F" w:rsidRDefault="1903CC43" w:rsidP="0E7E2D8C">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Data </w:t>
      </w:r>
      <w:r w:rsidR="00AA0FE1" w:rsidRPr="00DE3A6F">
        <w:rPr>
          <w:noProof/>
        </w:rPr>
        <w:t xml:space="preserve">on </w:t>
      </w:r>
      <w:r w:rsidRPr="00DE3A6F">
        <w:rPr>
          <w:noProof/>
        </w:rPr>
        <w:t>detected irregularities (</w:t>
      </w:r>
      <w:r w:rsidR="00AA0FE1" w:rsidRPr="00DE3A6F">
        <w:rPr>
          <w:noProof/>
        </w:rPr>
        <w:t xml:space="preserve">both </w:t>
      </w:r>
      <w:r w:rsidRPr="00DE3A6F">
        <w:rPr>
          <w:noProof/>
        </w:rPr>
        <w:t xml:space="preserve">fraudulent and non-fraudulent) </w:t>
      </w:r>
      <w:r w:rsidR="0421E1FF" w:rsidRPr="00DE3A6F">
        <w:rPr>
          <w:noProof/>
        </w:rPr>
        <w:t>are reported by national authorities via IMS and OWNRES.</w:t>
      </w:r>
      <w:r w:rsidR="6B06DC78" w:rsidRPr="00DE3A6F">
        <w:rPr>
          <w:noProof/>
        </w:rPr>
        <w:t xml:space="preserve"> They do not capture </w:t>
      </w:r>
      <w:r w:rsidR="00B02C2D" w:rsidRPr="00CA1602">
        <w:rPr>
          <w:b/>
          <w:bCs/>
          <w:noProof/>
        </w:rPr>
        <w:t>all</w:t>
      </w:r>
      <w:r w:rsidR="6B06DC78" w:rsidRPr="00DE3A6F">
        <w:rPr>
          <w:b/>
          <w:bCs/>
          <w:noProof/>
        </w:rPr>
        <w:t xml:space="preserve"> detection</w:t>
      </w:r>
      <w:r w:rsidR="6B06DC78" w:rsidRPr="00DE3A6F">
        <w:rPr>
          <w:noProof/>
        </w:rPr>
        <w:t xml:space="preserve"> activities </w:t>
      </w:r>
      <w:r w:rsidR="742F50A1" w:rsidRPr="00DE3A6F">
        <w:rPr>
          <w:noProof/>
        </w:rPr>
        <w:t>because of specific derogations</w:t>
      </w:r>
      <w:r w:rsidR="1F3D9D75" w:rsidRPr="00DE3A6F">
        <w:rPr>
          <w:noProof/>
        </w:rPr>
        <w:t xml:space="preserve"> in the sectoral regulations</w:t>
      </w:r>
      <w:r w:rsidR="15BB6F33" w:rsidRPr="00DE3A6F">
        <w:rPr>
          <w:noProof/>
        </w:rPr>
        <w:t> (</w:t>
      </w:r>
      <w:r w:rsidR="00D46182" w:rsidRPr="00DE3A6F">
        <w:rPr>
          <w:rStyle w:val="FootnoteReference"/>
          <w:noProof/>
        </w:rPr>
        <w:footnoteReference w:id="50"/>
      </w:r>
      <w:r w:rsidR="26D88461" w:rsidRPr="00DE3A6F">
        <w:rPr>
          <w:noProof/>
        </w:rPr>
        <w:t>).</w:t>
      </w:r>
    </w:p>
    <w:p w14:paraId="273B0563" w14:textId="32D755F4" w:rsidR="00BE7E7A" w:rsidRPr="00DE3A6F" w:rsidRDefault="003D6423" w:rsidP="00BE7E7A">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lastRenderedPageBreak/>
        <w:t xml:space="preserve">Furthermore, </w:t>
      </w:r>
      <w:r w:rsidR="00670274" w:rsidRPr="00DE3A6F">
        <w:rPr>
          <w:noProof/>
        </w:rPr>
        <w:t xml:space="preserve">detected cases in </w:t>
      </w:r>
      <w:r w:rsidR="0028611D" w:rsidRPr="00DE3A6F">
        <w:rPr>
          <w:noProof/>
        </w:rPr>
        <w:t xml:space="preserve">relation to the </w:t>
      </w:r>
      <w:r w:rsidR="00BE7E7A" w:rsidRPr="00DE3A6F">
        <w:rPr>
          <w:noProof/>
        </w:rPr>
        <w:t xml:space="preserve">RRF </w:t>
      </w:r>
      <w:r w:rsidR="0028611D" w:rsidRPr="00DE3A6F">
        <w:rPr>
          <w:noProof/>
        </w:rPr>
        <w:t xml:space="preserve">and VAT-fraud are not </w:t>
      </w:r>
      <w:r w:rsidR="00EA54F2" w:rsidRPr="00DE3A6F">
        <w:rPr>
          <w:noProof/>
        </w:rPr>
        <w:t>subject to</w:t>
      </w:r>
      <w:r w:rsidR="0028611D" w:rsidRPr="00DE3A6F">
        <w:rPr>
          <w:noProof/>
        </w:rPr>
        <w:t xml:space="preserve"> mandatory reporting </w:t>
      </w:r>
      <w:r w:rsidR="00057162">
        <w:rPr>
          <w:noProof/>
        </w:rPr>
        <w:t>to the Commission</w:t>
      </w:r>
      <w:r w:rsidR="00892F99" w:rsidRPr="00892F99">
        <w:rPr>
          <w:noProof/>
        </w:rPr>
        <w:t> (</w:t>
      </w:r>
      <w:r w:rsidR="00892F99">
        <w:rPr>
          <w:rStyle w:val="FootnoteReference"/>
          <w:noProof/>
        </w:rPr>
        <w:footnoteReference w:id="51"/>
      </w:r>
      <w:r w:rsidR="00892F99">
        <w:rPr>
          <w:noProof/>
        </w:rPr>
        <w:t xml:space="preserve">) </w:t>
      </w:r>
      <w:r w:rsidR="00EA54F2" w:rsidRPr="00DE3A6F">
        <w:rPr>
          <w:noProof/>
        </w:rPr>
        <w:t xml:space="preserve">(see </w:t>
      </w:r>
      <w:r w:rsidR="000B669F" w:rsidRPr="00CA1602">
        <w:rPr>
          <w:noProof/>
        </w:rPr>
        <w:t xml:space="preserve">Sections </w:t>
      </w:r>
      <w:hyperlink w:anchor="_Recovery_and_Resilience" w:history="1">
        <w:r w:rsidR="0097658B" w:rsidRPr="00CA1602">
          <w:rPr>
            <w:rStyle w:val="Hyperlink"/>
            <w:noProof/>
          </w:rPr>
          <w:t>3.2.3</w:t>
        </w:r>
      </w:hyperlink>
      <w:r w:rsidR="0097658B" w:rsidRPr="00DE3A6F">
        <w:rPr>
          <w:noProof/>
        </w:rPr>
        <w:t xml:space="preserve"> and </w:t>
      </w:r>
      <w:hyperlink w:anchor="_Organised_crime" w:history="1">
        <w:r w:rsidR="0097658B" w:rsidRPr="00CA1602">
          <w:rPr>
            <w:rStyle w:val="Hyperlink"/>
            <w:noProof/>
          </w:rPr>
          <w:t>3.3.1</w:t>
        </w:r>
      </w:hyperlink>
      <w:r w:rsidR="0097658B" w:rsidRPr="00DE3A6F">
        <w:rPr>
          <w:noProof/>
        </w:rPr>
        <w:t>)</w:t>
      </w:r>
      <w:r w:rsidR="00BE7E7A" w:rsidRPr="00DE3A6F">
        <w:rPr>
          <w:noProof/>
        </w:rPr>
        <w:t xml:space="preserve">. </w:t>
      </w:r>
    </w:p>
    <w:p w14:paraId="3FCDE980" w14:textId="25AA5CAB" w:rsidR="009954D0" w:rsidRPr="00DE3A6F" w:rsidRDefault="00A51EA0" w:rsidP="00C6311E">
      <w:pPr>
        <w:rPr>
          <w:noProof/>
        </w:rPr>
      </w:pPr>
      <w:r w:rsidRPr="001D7BC2">
        <w:rPr>
          <w:noProof/>
        </w:rPr>
        <w:t xml:space="preserve">In 2025, a </w:t>
      </w:r>
      <w:r w:rsidR="2C657ADA" w:rsidRPr="001D7BC2">
        <w:rPr>
          <w:noProof/>
        </w:rPr>
        <w:t xml:space="preserve">total of </w:t>
      </w:r>
      <w:r w:rsidR="0022478E" w:rsidRPr="001D7BC2">
        <w:rPr>
          <w:noProof/>
        </w:rPr>
        <w:t xml:space="preserve">13 010 </w:t>
      </w:r>
      <w:r w:rsidR="2C657ADA" w:rsidRPr="001D7BC2">
        <w:rPr>
          <w:noProof/>
        </w:rPr>
        <w:t>irregularities</w:t>
      </w:r>
      <w:r w:rsidR="61D21F15" w:rsidRPr="001D7BC2">
        <w:rPr>
          <w:noProof/>
        </w:rPr>
        <w:t xml:space="preserve"> (both fraudulent and non-fraudulent)</w:t>
      </w:r>
      <w:r w:rsidR="2C657ADA" w:rsidRPr="001D7BC2">
        <w:rPr>
          <w:noProof/>
        </w:rPr>
        <w:t xml:space="preserve">, </w:t>
      </w:r>
      <w:r w:rsidR="0B238144" w:rsidRPr="001D7BC2">
        <w:rPr>
          <w:noProof/>
        </w:rPr>
        <w:t xml:space="preserve">amounting to </w:t>
      </w:r>
      <w:r w:rsidR="2C657ADA" w:rsidRPr="001D7BC2">
        <w:rPr>
          <w:noProof/>
        </w:rPr>
        <w:t>EUR</w:t>
      </w:r>
      <w:r w:rsidR="6F787310" w:rsidRPr="001D7BC2">
        <w:rPr>
          <w:noProof/>
        </w:rPr>
        <w:t> </w:t>
      </w:r>
      <w:r w:rsidR="61D21F15" w:rsidRPr="001D7BC2">
        <w:rPr>
          <w:noProof/>
        </w:rPr>
        <w:t>2</w:t>
      </w:r>
      <w:r w:rsidR="2C657ADA" w:rsidRPr="001D7BC2">
        <w:rPr>
          <w:noProof/>
        </w:rPr>
        <w:t>.</w:t>
      </w:r>
      <w:r w:rsidR="00066C2D" w:rsidRPr="001D7BC2">
        <w:rPr>
          <w:noProof/>
        </w:rPr>
        <w:t xml:space="preserve">1 </w:t>
      </w:r>
      <w:r w:rsidR="2C657ADA" w:rsidRPr="001D7BC2">
        <w:rPr>
          <w:noProof/>
        </w:rPr>
        <w:t>billion</w:t>
      </w:r>
      <w:r w:rsidR="00B53228">
        <w:rPr>
          <w:noProof/>
        </w:rPr>
        <w:t xml:space="preserve"> were recorded</w:t>
      </w:r>
      <w:r w:rsidR="250C9C85" w:rsidRPr="001D7BC2">
        <w:rPr>
          <w:noProof/>
        </w:rPr>
        <w:t> (</w:t>
      </w:r>
      <w:r w:rsidR="005316EA" w:rsidRPr="001D7BC2">
        <w:rPr>
          <w:rStyle w:val="FootnoteReference"/>
          <w:noProof/>
        </w:rPr>
        <w:footnoteReference w:id="52"/>
      </w:r>
      <w:r w:rsidR="250C9C85" w:rsidRPr="001D7BC2">
        <w:rPr>
          <w:noProof/>
        </w:rPr>
        <w:t>)</w:t>
      </w:r>
      <w:r w:rsidR="2C657ADA" w:rsidRPr="001D7BC2">
        <w:rPr>
          <w:noProof/>
        </w:rPr>
        <w:t xml:space="preserve">. </w:t>
      </w:r>
      <w:r w:rsidR="00B227DC" w:rsidRPr="001D7BC2">
        <w:rPr>
          <w:noProof/>
        </w:rPr>
        <w:t xml:space="preserve">Compared with 2024, this represents </w:t>
      </w:r>
      <w:r w:rsidR="2C657ADA" w:rsidRPr="001D7BC2">
        <w:rPr>
          <w:noProof/>
        </w:rPr>
        <w:t xml:space="preserve">a slight </w:t>
      </w:r>
      <w:r w:rsidR="41F4F46B" w:rsidRPr="001D7BC2">
        <w:rPr>
          <w:noProof/>
        </w:rPr>
        <w:t>de</w:t>
      </w:r>
      <w:r w:rsidR="2C657ADA" w:rsidRPr="001D7BC2">
        <w:rPr>
          <w:noProof/>
        </w:rPr>
        <w:t>crease</w:t>
      </w:r>
      <w:r w:rsidR="0B238144" w:rsidRPr="001D7BC2">
        <w:rPr>
          <w:noProof/>
        </w:rPr>
        <w:t xml:space="preserve"> in </w:t>
      </w:r>
      <w:r w:rsidR="41F4F46B" w:rsidRPr="001D7BC2">
        <w:rPr>
          <w:noProof/>
        </w:rPr>
        <w:t xml:space="preserve">the number of </w:t>
      </w:r>
      <w:r w:rsidR="0B238144" w:rsidRPr="001D7BC2">
        <w:rPr>
          <w:noProof/>
        </w:rPr>
        <w:t>reported irregularities</w:t>
      </w:r>
      <w:r w:rsidR="2C657ADA" w:rsidRPr="001D7BC2">
        <w:rPr>
          <w:noProof/>
        </w:rPr>
        <w:t xml:space="preserve"> (</w:t>
      </w:r>
      <w:r w:rsidR="41F4F46B" w:rsidRPr="001D7BC2">
        <w:rPr>
          <w:noProof/>
        </w:rPr>
        <w:t>-</w:t>
      </w:r>
      <w:r w:rsidR="00766A7B" w:rsidRPr="001D7BC2">
        <w:rPr>
          <w:noProof/>
        </w:rPr>
        <w:t>7.6</w:t>
      </w:r>
      <w:r w:rsidR="2C657ADA" w:rsidRPr="001D7BC2">
        <w:rPr>
          <w:noProof/>
        </w:rPr>
        <w:t>%)</w:t>
      </w:r>
      <w:r w:rsidR="19D0B026" w:rsidRPr="001D7BC2">
        <w:rPr>
          <w:noProof/>
        </w:rPr>
        <w:t>, while the</w:t>
      </w:r>
      <w:r w:rsidR="2C657ADA" w:rsidRPr="001D7BC2">
        <w:rPr>
          <w:noProof/>
        </w:rPr>
        <w:t xml:space="preserve"> related </w:t>
      </w:r>
      <w:r w:rsidR="442E8431" w:rsidRPr="001D7BC2">
        <w:rPr>
          <w:noProof/>
        </w:rPr>
        <w:t xml:space="preserve">irregular </w:t>
      </w:r>
      <w:r w:rsidR="2C657ADA" w:rsidRPr="001D7BC2">
        <w:rPr>
          <w:noProof/>
        </w:rPr>
        <w:t xml:space="preserve">amounts </w:t>
      </w:r>
      <w:r w:rsidR="19D0B026" w:rsidRPr="001D7BC2">
        <w:rPr>
          <w:noProof/>
        </w:rPr>
        <w:t xml:space="preserve">increased </w:t>
      </w:r>
      <w:r w:rsidR="2C657ADA" w:rsidRPr="001D7BC2">
        <w:rPr>
          <w:noProof/>
        </w:rPr>
        <w:t>(</w:t>
      </w:r>
      <w:r w:rsidR="19D0B026" w:rsidRPr="001D7BC2">
        <w:rPr>
          <w:noProof/>
        </w:rPr>
        <w:t>+1</w:t>
      </w:r>
      <w:r w:rsidR="0152C672" w:rsidRPr="001D7BC2">
        <w:rPr>
          <w:noProof/>
        </w:rPr>
        <w:t>2</w:t>
      </w:r>
      <w:r w:rsidR="6FFA85DF" w:rsidRPr="001D7BC2">
        <w:rPr>
          <w:noProof/>
        </w:rPr>
        <w:t>.</w:t>
      </w:r>
      <w:r w:rsidR="00766A7B" w:rsidRPr="001D7BC2">
        <w:rPr>
          <w:noProof/>
        </w:rPr>
        <w:t>8</w:t>
      </w:r>
      <w:r w:rsidR="2C657ADA" w:rsidRPr="001D7BC2">
        <w:rPr>
          <w:noProof/>
        </w:rPr>
        <w:t>%)</w:t>
      </w:r>
      <w:r w:rsidR="19D0B026" w:rsidRPr="001D7BC2">
        <w:rPr>
          <w:noProof/>
        </w:rPr>
        <w:t> (</w:t>
      </w:r>
      <w:r w:rsidR="00BD0F1E" w:rsidRPr="001D7BC2">
        <w:rPr>
          <w:rStyle w:val="FootnoteReference"/>
          <w:noProof/>
        </w:rPr>
        <w:footnoteReference w:id="53"/>
      </w:r>
      <w:r w:rsidR="19D0B026" w:rsidRPr="001D7BC2">
        <w:rPr>
          <w:noProof/>
        </w:rPr>
        <w:t>)</w:t>
      </w:r>
      <w:r w:rsidR="2C657ADA" w:rsidRPr="001D7BC2">
        <w:rPr>
          <w:noProof/>
        </w:rPr>
        <w:t>.</w:t>
      </w:r>
      <w:r w:rsidR="13BCAF86" w:rsidRPr="001D7BC2">
        <w:rPr>
          <w:noProof/>
        </w:rPr>
        <w:t xml:space="preserve"> </w:t>
      </w:r>
      <w:r w:rsidR="05685A40" w:rsidRPr="001D7BC2">
        <w:rPr>
          <w:noProof/>
        </w:rPr>
        <w:t xml:space="preserve">The number of fraudulent irregularities </w:t>
      </w:r>
      <w:r w:rsidR="707D37C7" w:rsidRPr="001D7BC2">
        <w:rPr>
          <w:noProof/>
        </w:rPr>
        <w:t xml:space="preserve">remained </w:t>
      </w:r>
      <w:r w:rsidR="16791B51" w:rsidRPr="001D7BC2">
        <w:rPr>
          <w:noProof/>
        </w:rPr>
        <w:t xml:space="preserve">relatively </w:t>
      </w:r>
      <w:r w:rsidR="707D37C7" w:rsidRPr="001D7BC2">
        <w:rPr>
          <w:noProof/>
        </w:rPr>
        <w:t xml:space="preserve">stable </w:t>
      </w:r>
      <w:r w:rsidR="4AC9EA65" w:rsidRPr="001D7BC2">
        <w:rPr>
          <w:noProof/>
        </w:rPr>
        <w:t xml:space="preserve">between 2020 and </w:t>
      </w:r>
      <w:r w:rsidR="0036148D" w:rsidRPr="001D7BC2">
        <w:rPr>
          <w:noProof/>
        </w:rPr>
        <w:t>2023 but</w:t>
      </w:r>
      <w:r w:rsidR="4AC9EA65" w:rsidRPr="001D7BC2">
        <w:rPr>
          <w:noProof/>
        </w:rPr>
        <w:t xml:space="preserve"> significantly increased in 2024 to </w:t>
      </w:r>
      <w:r w:rsidR="05685A40" w:rsidRPr="001D7BC2">
        <w:rPr>
          <w:noProof/>
        </w:rPr>
        <w:t>1 </w:t>
      </w:r>
      <w:r w:rsidR="001975BE" w:rsidRPr="001D7BC2">
        <w:rPr>
          <w:noProof/>
        </w:rPr>
        <w:t xml:space="preserve">456 </w:t>
      </w:r>
      <w:r w:rsidR="00F41349" w:rsidRPr="001D7BC2">
        <w:rPr>
          <w:noProof/>
        </w:rPr>
        <w:t xml:space="preserve">and fell </w:t>
      </w:r>
      <w:r w:rsidR="006B4526" w:rsidRPr="001D7BC2">
        <w:rPr>
          <w:noProof/>
        </w:rPr>
        <w:t xml:space="preserve">to </w:t>
      </w:r>
      <w:r w:rsidR="001975BE" w:rsidRPr="001D7BC2">
        <w:rPr>
          <w:noProof/>
        </w:rPr>
        <w:t xml:space="preserve">986 </w:t>
      </w:r>
      <w:r w:rsidR="006B4526" w:rsidRPr="001D7BC2">
        <w:rPr>
          <w:noProof/>
        </w:rPr>
        <w:t xml:space="preserve">in 2025 </w:t>
      </w:r>
      <w:r w:rsidR="6D76DA68" w:rsidRPr="001D7BC2">
        <w:rPr>
          <w:noProof/>
        </w:rPr>
        <w:t>(</w:t>
      </w:r>
      <w:r w:rsidR="00BF0161" w:rsidRPr="001D7BC2">
        <w:rPr>
          <w:noProof/>
        </w:rPr>
        <w:t>-</w:t>
      </w:r>
      <w:r w:rsidR="0021553A" w:rsidRPr="001D7BC2">
        <w:rPr>
          <w:noProof/>
        </w:rPr>
        <w:t>32</w:t>
      </w:r>
      <w:r w:rsidR="6D76DA68" w:rsidRPr="001D7BC2">
        <w:rPr>
          <w:noProof/>
        </w:rPr>
        <w:t xml:space="preserve">% </w:t>
      </w:r>
      <w:r w:rsidR="1746A577" w:rsidRPr="001D7BC2">
        <w:rPr>
          <w:noProof/>
        </w:rPr>
        <w:t>on</w:t>
      </w:r>
      <w:r w:rsidR="6D76DA68" w:rsidRPr="001D7BC2">
        <w:rPr>
          <w:noProof/>
        </w:rPr>
        <w:t xml:space="preserve"> 202</w:t>
      </w:r>
      <w:r w:rsidR="00BF0161" w:rsidRPr="001D7BC2">
        <w:rPr>
          <w:noProof/>
        </w:rPr>
        <w:t>4</w:t>
      </w:r>
      <w:r w:rsidR="6D76DA68" w:rsidRPr="001D7BC2">
        <w:rPr>
          <w:noProof/>
        </w:rPr>
        <w:t>)</w:t>
      </w:r>
      <w:r w:rsidR="05685A40" w:rsidRPr="001D7BC2">
        <w:rPr>
          <w:noProof/>
        </w:rPr>
        <w:t xml:space="preserve">. </w:t>
      </w:r>
      <w:r w:rsidR="1D531585" w:rsidRPr="001D7BC2">
        <w:rPr>
          <w:noProof/>
        </w:rPr>
        <w:t xml:space="preserve">This represents </w:t>
      </w:r>
      <w:r w:rsidR="00E97A98" w:rsidRPr="001D7BC2">
        <w:rPr>
          <w:noProof/>
        </w:rPr>
        <w:t>7.6</w:t>
      </w:r>
      <w:r w:rsidR="1D531585" w:rsidRPr="001D7BC2">
        <w:rPr>
          <w:noProof/>
        </w:rPr>
        <w:t xml:space="preserve">% of the total number of reported irregularities. </w:t>
      </w:r>
      <w:r w:rsidR="05685A40" w:rsidRPr="001D7BC2">
        <w:rPr>
          <w:noProof/>
        </w:rPr>
        <w:t>The</w:t>
      </w:r>
      <w:r w:rsidR="00F41349" w:rsidRPr="001D7BC2">
        <w:rPr>
          <w:noProof/>
        </w:rPr>
        <w:t xml:space="preserve">re was </w:t>
      </w:r>
      <w:r w:rsidR="00B20C5B" w:rsidRPr="001D7BC2">
        <w:rPr>
          <w:noProof/>
        </w:rPr>
        <w:t>more variation in the</w:t>
      </w:r>
      <w:r w:rsidR="05685A40" w:rsidRPr="001D7BC2">
        <w:rPr>
          <w:noProof/>
        </w:rPr>
        <w:t xml:space="preserve"> financial amounts linked to th</w:t>
      </w:r>
      <w:r w:rsidR="707D37C7" w:rsidRPr="001D7BC2">
        <w:rPr>
          <w:noProof/>
        </w:rPr>
        <w:t>e</w:t>
      </w:r>
      <w:r w:rsidR="05685A40" w:rsidRPr="001D7BC2">
        <w:rPr>
          <w:noProof/>
        </w:rPr>
        <w:t xml:space="preserve">se cases due to a </w:t>
      </w:r>
      <w:r w:rsidR="00B20C5B" w:rsidRPr="001D7BC2">
        <w:rPr>
          <w:noProof/>
        </w:rPr>
        <w:t xml:space="preserve">few </w:t>
      </w:r>
      <w:r w:rsidR="05685A40" w:rsidRPr="001D7BC2">
        <w:rPr>
          <w:noProof/>
        </w:rPr>
        <w:t>individual cases with high financial impact</w:t>
      </w:r>
      <w:r w:rsidR="00B67B49" w:rsidRPr="001D7BC2">
        <w:rPr>
          <w:noProof/>
        </w:rPr>
        <w:t xml:space="preserve">. The figure fell </w:t>
      </w:r>
      <w:r w:rsidR="1AA6ABB8" w:rsidRPr="001D7BC2">
        <w:rPr>
          <w:noProof/>
        </w:rPr>
        <w:t>to EUR </w:t>
      </w:r>
      <w:r w:rsidR="004440D0" w:rsidRPr="001D7BC2">
        <w:rPr>
          <w:noProof/>
        </w:rPr>
        <w:t>274</w:t>
      </w:r>
      <w:r w:rsidR="2AA12788" w:rsidRPr="001D7BC2">
        <w:rPr>
          <w:noProof/>
        </w:rPr>
        <w:t>.</w:t>
      </w:r>
      <w:r w:rsidR="004440D0" w:rsidRPr="001D7BC2">
        <w:rPr>
          <w:noProof/>
        </w:rPr>
        <w:t>3</w:t>
      </w:r>
      <w:r w:rsidR="4E2B59DE" w:rsidRPr="001D7BC2">
        <w:rPr>
          <w:noProof/>
        </w:rPr>
        <w:t xml:space="preserve"> </w:t>
      </w:r>
      <w:r w:rsidR="1AA6ABB8" w:rsidRPr="001D7BC2">
        <w:rPr>
          <w:noProof/>
        </w:rPr>
        <w:t>million</w:t>
      </w:r>
      <w:r w:rsidR="5D64F2C1" w:rsidRPr="001D7BC2">
        <w:rPr>
          <w:noProof/>
        </w:rPr>
        <w:t xml:space="preserve"> in 202</w:t>
      </w:r>
      <w:r w:rsidR="004E3B28" w:rsidRPr="001D7BC2">
        <w:rPr>
          <w:noProof/>
        </w:rPr>
        <w:t>5</w:t>
      </w:r>
      <w:r w:rsidR="1AA6ABB8" w:rsidRPr="001D7BC2">
        <w:rPr>
          <w:noProof/>
        </w:rPr>
        <w:t xml:space="preserve"> </w:t>
      </w:r>
      <w:r w:rsidR="00FD4C65" w:rsidRPr="001D7BC2">
        <w:rPr>
          <w:noProof/>
        </w:rPr>
        <w:t>(-</w:t>
      </w:r>
      <w:r w:rsidR="00AF5D35" w:rsidRPr="001D7BC2">
        <w:rPr>
          <w:noProof/>
        </w:rPr>
        <w:t>49</w:t>
      </w:r>
      <w:r w:rsidR="711B432D" w:rsidRPr="001D7BC2">
        <w:rPr>
          <w:noProof/>
        </w:rPr>
        <w:t>.</w:t>
      </w:r>
      <w:r w:rsidR="00AF5D35" w:rsidRPr="001D7BC2">
        <w:rPr>
          <w:noProof/>
        </w:rPr>
        <w:t>2</w:t>
      </w:r>
      <w:r w:rsidR="1AA6ABB8" w:rsidRPr="001D7BC2">
        <w:rPr>
          <w:noProof/>
        </w:rPr>
        <w:t xml:space="preserve">% </w:t>
      </w:r>
      <w:r w:rsidR="1746A577" w:rsidRPr="001D7BC2">
        <w:rPr>
          <w:noProof/>
        </w:rPr>
        <w:t>on</w:t>
      </w:r>
      <w:r w:rsidR="1AA6ABB8" w:rsidRPr="001D7BC2">
        <w:rPr>
          <w:noProof/>
        </w:rPr>
        <w:t xml:space="preserve"> 202</w:t>
      </w:r>
      <w:r w:rsidR="00FD4C65" w:rsidRPr="001D7BC2">
        <w:rPr>
          <w:noProof/>
        </w:rPr>
        <w:t>4</w:t>
      </w:r>
      <w:r w:rsidR="1AA6ABB8" w:rsidRPr="001D7BC2">
        <w:rPr>
          <w:noProof/>
        </w:rPr>
        <w:t>)</w:t>
      </w:r>
      <w:r w:rsidR="00B67B49" w:rsidRPr="001D7BC2">
        <w:rPr>
          <w:noProof/>
        </w:rPr>
        <w:t>,</w:t>
      </w:r>
      <w:r w:rsidR="3524EB84" w:rsidRPr="001D7BC2">
        <w:rPr>
          <w:noProof/>
        </w:rPr>
        <w:t xml:space="preserve"> confirming the volatility of this indicator</w:t>
      </w:r>
      <w:r w:rsidR="05685A40" w:rsidRPr="001D7BC2">
        <w:rPr>
          <w:noProof/>
        </w:rPr>
        <w:t xml:space="preserve">. </w:t>
      </w:r>
    </w:p>
    <w:p w14:paraId="58C9F2F6" w14:textId="2976EF8F" w:rsidR="00960D07" w:rsidRPr="00DE3A6F" w:rsidRDefault="00C634A0" w:rsidP="00DE4696">
      <w:pPr>
        <w:pStyle w:val="Caption"/>
        <w:keepNext/>
        <w:rPr>
          <w:noProof/>
        </w:rPr>
      </w:pPr>
      <w:r w:rsidRPr="00DE3A6F">
        <w:rPr>
          <w:noProof/>
        </w:rPr>
        <w:t xml:space="preserve">Figure </w:t>
      </w:r>
      <w:r w:rsidRPr="00DE3A6F">
        <w:rPr>
          <w:noProof/>
        </w:rPr>
        <w:fldChar w:fldCharType="begin"/>
      </w:r>
      <w:r w:rsidRPr="00DE3A6F">
        <w:rPr>
          <w:noProof/>
        </w:rPr>
        <w:instrText xml:space="preserve"> SEQ Figure \* ARABIC </w:instrText>
      </w:r>
      <w:r w:rsidRPr="00DE3A6F">
        <w:rPr>
          <w:noProof/>
        </w:rPr>
        <w:fldChar w:fldCharType="separate"/>
      </w:r>
      <w:r w:rsidR="00BC2232">
        <w:rPr>
          <w:noProof/>
        </w:rPr>
        <w:t>9</w:t>
      </w:r>
      <w:r w:rsidRPr="00DE3A6F">
        <w:rPr>
          <w:noProof/>
        </w:rPr>
        <w:fldChar w:fldCharType="end"/>
      </w:r>
      <w:r w:rsidRPr="00DE3A6F">
        <w:rPr>
          <w:bCs/>
          <w:iCs/>
          <w:noProof/>
        </w:rPr>
        <w:t xml:space="preserve">: </w:t>
      </w:r>
      <w:r w:rsidR="004939FD">
        <w:rPr>
          <w:bCs/>
          <w:iCs/>
          <w:noProof/>
        </w:rPr>
        <w:t>I</w:t>
      </w:r>
      <w:r w:rsidR="004939FD" w:rsidRPr="00DE3A6F">
        <w:rPr>
          <w:bCs/>
          <w:iCs/>
          <w:noProof/>
        </w:rPr>
        <w:t xml:space="preserve">rregularities </w:t>
      </w:r>
      <w:r w:rsidR="004939FD">
        <w:rPr>
          <w:bCs/>
          <w:iCs/>
          <w:noProof/>
        </w:rPr>
        <w:t xml:space="preserve">reported </w:t>
      </w:r>
      <w:r w:rsidR="00960D07" w:rsidRPr="00DE3A6F">
        <w:rPr>
          <w:bCs/>
          <w:iCs/>
          <w:noProof/>
        </w:rPr>
        <w:t>and related financial amounts – 2021-2025 (OWNRES, IMS and the Commission’s accounting system)</w:t>
      </w:r>
    </w:p>
    <w:p w14:paraId="7DD7372F" w14:textId="39C4B296" w:rsidR="001424CE" w:rsidRPr="00DE3A6F" w:rsidRDefault="00077AF8" w:rsidP="00C6311E">
      <w:pPr>
        <w:rPr>
          <w:noProof/>
        </w:rPr>
      </w:pPr>
      <w:r>
        <w:rPr>
          <w:noProof/>
        </w:rPr>
        <w:drawing>
          <wp:inline distT="0" distB="0" distL="0" distR="0" wp14:anchorId="4A03E54E" wp14:editId="648C0E76">
            <wp:extent cx="5472430" cy="3159125"/>
            <wp:effectExtent l="0" t="0" r="13970" b="3175"/>
            <wp:docPr id="548256798" name="Chart 1" descr="The figure represents a chart displaying the number of fraudulent and non fraudulent irregularities reported from 2021 to 2025 and their related financial amounts. The number of reported cases is on the primary axis and the irregular amounts are displayed as secondary axis.&#10;Fradulent cases: 1077 in 2021, 1129 in 2022, 1101 in 2023, 1456 in 2024 and 986 in 2025.&#10;Financial amounts linked to fraudulent cases: EUR 357.3 million in 2021, EUR 267.1 million in 2022, EUR 236.2 in 2023, EUR 540.4 in 2024 and EUR 274.3 in 2025.&#10;Non-fraudulent cases: 11283 in 2021, 11989 in 2022, 12752 in 2023, 12625 in 2024 and 12024 in 2025.&#10;Financial amounts linked to non-fraudulent irregularities: EUR 1.2 billion in 2021, EUR 1.4 billion in 2022, EUR 1.3 billion in 2023, EUR 1.3 billion in 2024 and EUR 1.8 billion in 2025.">
              <a:extLst xmlns:a="http://schemas.openxmlformats.org/drawingml/2006/main">
                <a:ext uri="{FF2B5EF4-FFF2-40B4-BE49-F238E27FC236}">
                  <a16:creationId xmlns:a16="http://schemas.microsoft.com/office/drawing/2014/main" id="{216341A4-6961-D5AB-5AE3-738C66C85A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2EA3822" w14:textId="314C55FB" w:rsidR="004739A2" w:rsidRPr="00DE3A6F" w:rsidRDefault="008E7B8F" w:rsidP="00C6311E">
      <w:pPr>
        <w:rPr>
          <w:noProof/>
        </w:rPr>
        <w:sectPr w:rsidR="004739A2" w:rsidRPr="00DE3A6F" w:rsidSect="00EA6E77">
          <w:headerReference w:type="even" r:id="rId48"/>
          <w:headerReference w:type="default" r:id="rId49"/>
          <w:footerReference w:type="even" r:id="rId50"/>
          <w:footerReference w:type="default" r:id="rId51"/>
          <w:headerReference w:type="first" r:id="rId52"/>
          <w:footerReference w:type="first" r:id="rId53"/>
          <w:type w:val="continuous"/>
          <w:pgSz w:w="11906" w:h="16838"/>
          <w:pgMar w:top="1020" w:right="1701" w:bottom="1020" w:left="1587" w:header="601" w:footer="1077" w:gutter="0"/>
          <w:cols w:space="720"/>
          <w:titlePg/>
          <w:docGrid w:linePitch="326"/>
        </w:sectPr>
      </w:pPr>
      <w:r w:rsidRPr="001D7BC2">
        <w:rPr>
          <w:noProof/>
        </w:rPr>
        <w:t>By contrast,</w:t>
      </w:r>
      <w:r w:rsidR="00B458F0" w:rsidRPr="001D7BC2">
        <w:rPr>
          <w:noProof/>
        </w:rPr>
        <w:t xml:space="preserve"> </w:t>
      </w:r>
      <w:r w:rsidR="51F78365" w:rsidRPr="001D7BC2">
        <w:rPr>
          <w:noProof/>
        </w:rPr>
        <w:t xml:space="preserve">non-fraudulent irregularities </w:t>
      </w:r>
      <w:r w:rsidR="2AED5DE2" w:rsidRPr="001D7BC2">
        <w:rPr>
          <w:noProof/>
        </w:rPr>
        <w:t>followed a</w:t>
      </w:r>
      <w:r w:rsidR="23A9535C" w:rsidRPr="001D7BC2">
        <w:rPr>
          <w:noProof/>
        </w:rPr>
        <w:t>n upward</w:t>
      </w:r>
      <w:r w:rsidR="2AED5DE2" w:rsidRPr="001D7BC2">
        <w:rPr>
          <w:noProof/>
        </w:rPr>
        <w:t xml:space="preserve"> trend from 2020 to 2023, in line with the expected spending programme cycle</w:t>
      </w:r>
      <w:r w:rsidR="00B458F0" w:rsidRPr="001D7BC2">
        <w:rPr>
          <w:noProof/>
        </w:rPr>
        <w:t>s</w:t>
      </w:r>
      <w:r w:rsidR="23A9535C" w:rsidRPr="001D7BC2">
        <w:rPr>
          <w:noProof/>
        </w:rPr>
        <w:t>.</w:t>
      </w:r>
      <w:r w:rsidR="2AED5DE2" w:rsidRPr="001D7BC2">
        <w:rPr>
          <w:noProof/>
        </w:rPr>
        <w:t xml:space="preserve"> </w:t>
      </w:r>
      <w:r w:rsidR="00FC2D08" w:rsidRPr="001D7BC2">
        <w:rPr>
          <w:noProof/>
        </w:rPr>
        <w:t xml:space="preserve">After </w:t>
      </w:r>
      <w:r w:rsidR="0036148D" w:rsidRPr="001D7BC2">
        <w:rPr>
          <w:noProof/>
        </w:rPr>
        <w:t>stabilising</w:t>
      </w:r>
      <w:r w:rsidR="00FC2D08" w:rsidRPr="001D7BC2">
        <w:rPr>
          <w:noProof/>
        </w:rPr>
        <w:t xml:space="preserve"> in </w:t>
      </w:r>
      <w:r w:rsidR="51F78365" w:rsidRPr="001D7BC2">
        <w:rPr>
          <w:noProof/>
        </w:rPr>
        <w:t>202</w:t>
      </w:r>
      <w:r w:rsidR="2AED5DE2" w:rsidRPr="001D7BC2">
        <w:rPr>
          <w:noProof/>
        </w:rPr>
        <w:t xml:space="preserve">4, </w:t>
      </w:r>
      <w:r w:rsidR="00FC2D08" w:rsidRPr="001D7BC2">
        <w:rPr>
          <w:noProof/>
        </w:rPr>
        <w:t xml:space="preserve">the number </w:t>
      </w:r>
      <w:r w:rsidR="00F46464" w:rsidRPr="001D7BC2">
        <w:rPr>
          <w:noProof/>
        </w:rPr>
        <w:t xml:space="preserve">of these irregularities </w:t>
      </w:r>
      <w:r w:rsidR="00FC2D08" w:rsidRPr="001D7BC2">
        <w:rPr>
          <w:noProof/>
        </w:rPr>
        <w:t xml:space="preserve">decreased </w:t>
      </w:r>
      <w:r w:rsidR="08EAA08F" w:rsidRPr="001D7BC2">
        <w:rPr>
          <w:noProof/>
        </w:rPr>
        <w:t>slight</w:t>
      </w:r>
      <w:r w:rsidR="00FC2D08" w:rsidRPr="001D7BC2">
        <w:rPr>
          <w:noProof/>
        </w:rPr>
        <w:t>ly</w:t>
      </w:r>
      <w:r w:rsidR="08EAA08F" w:rsidRPr="001D7BC2">
        <w:rPr>
          <w:noProof/>
        </w:rPr>
        <w:t xml:space="preserve"> in 2025 </w:t>
      </w:r>
      <w:r w:rsidR="51F78365" w:rsidRPr="001D7BC2">
        <w:rPr>
          <w:noProof/>
        </w:rPr>
        <w:t xml:space="preserve">with </w:t>
      </w:r>
      <w:r w:rsidR="00FC2D08" w:rsidRPr="001D7BC2">
        <w:rPr>
          <w:noProof/>
        </w:rPr>
        <w:t>12 024</w:t>
      </w:r>
      <w:r w:rsidR="2BF0A597" w:rsidRPr="001D7BC2">
        <w:rPr>
          <w:noProof/>
        </w:rPr>
        <w:t xml:space="preserve"> </w:t>
      </w:r>
      <w:r w:rsidR="004F2BDA" w:rsidRPr="001D7BC2">
        <w:rPr>
          <w:noProof/>
        </w:rPr>
        <w:t>cases</w:t>
      </w:r>
      <w:r w:rsidR="51F78365" w:rsidRPr="001D7BC2">
        <w:rPr>
          <w:noProof/>
        </w:rPr>
        <w:t xml:space="preserve"> </w:t>
      </w:r>
      <w:r w:rsidR="2AED5DE2" w:rsidRPr="001D7BC2">
        <w:rPr>
          <w:noProof/>
        </w:rPr>
        <w:t>reported</w:t>
      </w:r>
      <w:r w:rsidR="2EBD41AE" w:rsidRPr="001D7BC2">
        <w:rPr>
          <w:noProof/>
        </w:rPr>
        <w:t xml:space="preserve"> (-</w:t>
      </w:r>
      <w:r w:rsidR="004F2BDA" w:rsidRPr="001D7BC2">
        <w:rPr>
          <w:noProof/>
        </w:rPr>
        <w:t>4</w:t>
      </w:r>
      <w:r w:rsidR="7FF58B49" w:rsidRPr="001D7BC2">
        <w:rPr>
          <w:noProof/>
        </w:rPr>
        <w:t>.</w:t>
      </w:r>
      <w:r w:rsidR="004F2BDA" w:rsidRPr="001D7BC2">
        <w:rPr>
          <w:noProof/>
        </w:rPr>
        <w:t>8</w:t>
      </w:r>
      <w:r w:rsidR="2EBD41AE" w:rsidRPr="001D7BC2">
        <w:rPr>
          <w:noProof/>
        </w:rPr>
        <w:t xml:space="preserve">% </w:t>
      </w:r>
      <w:r w:rsidR="23A9535C" w:rsidRPr="001D7BC2">
        <w:rPr>
          <w:noProof/>
        </w:rPr>
        <w:t>on</w:t>
      </w:r>
      <w:r w:rsidR="2EBD41AE" w:rsidRPr="001D7BC2">
        <w:rPr>
          <w:noProof/>
        </w:rPr>
        <w:t xml:space="preserve"> 202</w:t>
      </w:r>
      <w:r w:rsidR="7FF58B49" w:rsidRPr="001D7BC2">
        <w:rPr>
          <w:noProof/>
        </w:rPr>
        <w:t>4</w:t>
      </w:r>
      <w:r w:rsidR="2EBD41AE" w:rsidRPr="001D7BC2">
        <w:rPr>
          <w:noProof/>
        </w:rPr>
        <w:t>)</w:t>
      </w:r>
      <w:r w:rsidR="004F2BDA" w:rsidRPr="001D7BC2">
        <w:rPr>
          <w:noProof/>
        </w:rPr>
        <w:t>. However</w:t>
      </w:r>
      <w:r w:rsidR="715431EB" w:rsidRPr="001D7BC2">
        <w:rPr>
          <w:noProof/>
        </w:rPr>
        <w:t>,</w:t>
      </w:r>
      <w:r w:rsidR="1FFDE794" w:rsidRPr="001D7BC2">
        <w:rPr>
          <w:noProof/>
        </w:rPr>
        <w:t xml:space="preserve"> </w:t>
      </w:r>
      <w:r w:rsidR="30D5479C" w:rsidRPr="001D7BC2">
        <w:rPr>
          <w:noProof/>
        </w:rPr>
        <w:t xml:space="preserve">the </w:t>
      </w:r>
      <w:r w:rsidR="48501406" w:rsidRPr="001D7BC2">
        <w:rPr>
          <w:noProof/>
        </w:rPr>
        <w:t>financial amount</w:t>
      </w:r>
      <w:r w:rsidR="30D5479C" w:rsidRPr="001D7BC2">
        <w:rPr>
          <w:noProof/>
        </w:rPr>
        <w:t>s</w:t>
      </w:r>
      <w:r w:rsidR="48501406" w:rsidRPr="001D7BC2">
        <w:rPr>
          <w:noProof/>
        </w:rPr>
        <w:t xml:space="preserve"> </w:t>
      </w:r>
      <w:r w:rsidR="00470E22" w:rsidRPr="001D7BC2">
        <w:rPr>
          <w:noProof/>
        </w:rPr>
        <w:t xml:space="preserve">involved </w:t>
      </w:r>
      <w:r w:rsidR="30D5479C" w:rsidRPr="001D7BC2">
        <w:rPr>
          <w:noProof/>
        </w:rPr>
        <w:t xml:space="preserve">increased to </w:t>
      </w:r>
      <w:r w:rsidR="51F78365" w:rsidRPr="001D7BC2">
        <w:rPr>
          <w:noProof/>
        </w:rPr>
        <w:t>EUR</w:t>
      </w:r>
      <w:r w:rsidR="75407E84" w:rsidRPr="001D7BC2">
        <w:rPr>
          <w:noProof/>
        </w:rPr>
        <w:t> </w:t>
      </w:r>
      <w:r w:rsidR="51F78365" w:rsidRPr="001D7BC2">
        <w:rPr>
          <w:noProof/>
        </w:rPr>
        <w:t>1.</w:t>
      </w:r>
      <w:r w:rsidR="00470E22" w:rsidRPr="001D7BC2">
        <w:rPr>
          <w:noProof/>
        </w:rPr>
        <w:t xml:space="preserve">82 </w:t>
      </w:r>
      <w:r w:rsidR="51F78365" w:rsidRPr="001D7BC2">
        <w:rPr>
          <w:noProof/>
        </w:rPr>
        <w:t>billion</w:t>
      </w:r>
      <w:r w:rsidR="1FFDE794" w:rsidRPr="001D7BC2">
        <w:rPr>
          <w:noProof/>
        </w:rPr>
        <w:t xml:space="preserve"> </w:t>
      </w:r>
      <w:r w:rsidR="2EBD41AE" w:rsidRPr="001D7BC2">
        <w:rPr>
          <w:noProof/>
        </w:rPr>
        <w:t>(</w:t>
      </w:r>
      <w:r w:rsidR="30D5479C" w:rsidRPr="001D7BC2">
        <w:rPr>
          <w:noProof/>
        </w:rPr>
        <w:t>+</w:t>
      </w:r>
      <w:r w:rsidR="00470E22" w:rsidRPr="001D7BC2">
        <w:rPr>
          <w:noProof/>
        </w:rPr>
        <w:t>38</w:t>
      </w:r>
      <w:r w:rsidR="2EBD41AE" w:rsidRPr="001D7BC2">
        <w:rPr>
          <w:noProof/>
        </w:rPr>
        <w:t>.</w:t>
      </w:r>
      <w:r w:rsidR="00470E22" w:rsidRPr="001D7BC2">
        <w:rPr>
          <w:noProof/>
        </w:rPr>
        <w:t>2</w:t>
      </w:r>
      <w:r w:rsidR="2EBD41AE" w:rsidRPr="001D7BC2">
        <w:rPr>
          <w:noProof/>
        </w:rPr>
        <w:t>%</w:t>
      </w:r>
      <w:r w:rsidR="715431EB" w:rsidRPr="001D7BC2">
        <w:rPr>
          <w:noProof/>
        </w:rPr>
        <w:t xml:space="preserve"> </w:t>
      </w:r>
      <w:r w:rsidR="23A9535C" w:rsidRPr="001D7BC2">
        <w:rPr>
          <w:noProof/>
        </w:rPr>
        <w:t>on</w:t>
      </w:r>
      <w:r w:rsidR="715431EB" w:rsidRPr="001D7BC2">
        <w:rPr>
          <w:noProof/>
        </w:rPr>
        <w:t xml:space="preserve"> 202</w:t>
      </w:r>
      <w:r w:rsidR="46DA4FA7" w:rsidRPr="001D7BC2">
        <w:rPr>
          <w:noProof/>
        </w:rPr>
        <w:t>4</w:t>
      </w:r>
      <w:r w:rsidR="1FFDE794" w:rsidRPr="001D7BC2">
        <w:rPr>
          <w:noProof/>
        </w:rPr>
        <w:t>)</w:t>
      </w:r>
      <w:r w:rsidR="51F78365" w:rsidRPr="001D7BC2">
        <w:rPr>
          <w:noProof/>
        </w:rPr>
        <w:t>.</w:t>
      </w:r>
      <w:r w:rsidR="2EBD41AE" w:rsidRPr="001D7BC2">
        <w:rPr>
          <w:noProof/>
        </w:rPr>
        <w:t xml:space="preserve"> Compared </w:t>
      </w:r>
      <w:r w:rsidR="381D89A1" w:rsidRPr="001D7BC2">
        <w:rPr>
          <w:noProof/>
        </w:rPr>
        <w:t xml:space="preserve">to the </w:t>
      </w:r>
      <w:r w:rsidR="23A9535C" w:rsidRPr="001D7BC2">
        <w:rPr>
          <w:noProof/>
        </w:rPr>
        <w:t>average for</w:t>
      </w:r>
      <w:r w:rsidR="2EBD41AE" w:rsidRPr="001D7BC2">
        <w:rPr>
          <w:noProof/>
        </w:rPr>
        <w:t xml:space="preserve"> the last five years, the number of non-fraudulent irregularities reported in </w:t>
      </w:r>
      <w:r w:rsidR="00A36E01" w:rsidRPr="001D7BC2">
        <w:rPr>
          <w:noProof/>
        </w:rPr>
        <w:t xml:space="preserve">2025 </w:t>
      </w:r>
      <w:r w:rsidR="2EBD41AE" w:rsidRPr="001D7BC2">
        <w:rPr>
          <w:noProof/>
        </w:rPr>
        <w:t xml:space="preserve">was </w:t>
      </w:r>
      <w:r w:rsidR="00C11814" w:rsidRPr="001D7BC2">
        <w:rPr>
          <w:noProof/>
        </w:rPr>
        <w:t>1</w:t>
      </w:r>
      <w:r w:rsidR="2EBD41AE" w:rsidRPr="001D7BC2">
        <w:rPr>
          <w:noProof/>
        </w:rPr>
        <w:t xml:space="preserve">% </w:t>
      </w:r>
      <w:r w:rsidR="00C11814" w:rsidRPr="001D7BC2">
        <w:rPr>
          <w:noProof/>
        </w:rPr>
        <w:t>lower</w:t>
      </w:r>
      <w:r w:rsidR="2EBD41AE" w:rsidRPr="001D7BC2">
        <w:rPr>
          <w:noProof/>
        </w:rPr>
        <w:t xml:space="preserve">, while the financial value </w:t>
      </w:r>
      <w:r w:rsidR="0036148D" w:rsidRPr="001D7BC2">
        <w:rPr>
          <w:noProof/>
        </w:rPr>
        <w:t>was</w:t>
      </w:r>
      <w:r w:rsidR="00C11814" w:rsidRPr="001D7BC2">
        <w:rPr>
          <w:noProof/>
        </w:rPr>
        <w:t xml:space="preserve"> 28.2% higher</w:t>
      </w:r>
      <w:r w:rsidR="2EBD41AE" w:rsidRPr="001D7BC2">
        <w:rPr>
          <w:noProof/>
        </w:rPr>
        <w:t xml:space="preserve">. </w:t>
      </w:r>
    </w:p>
    <w:p w14:paraId="5983AE9D" w14:textId="57FB3984" w:rsidR="00EA6E77" w:rsidRPr="00DE3A6F" w:rsidRDefault="00EA6E77" w:rsidP="00C6311E">
      <w:pPr>
        <w:rPr>
          <w:noProof/>
        </w:rPr>
      </w:pPr>
    </w:p>
    <w:p w14:paraId="6696BD23" w14:textId="678AE2F8" w:rsidR="00642FF2" w:rsidRPr="00DE3A6F" w:rsidRDefault="002072F7" w:rsidP="00BF051B">
      <w:pPr>
        <w:pStyle w:val="Caption"/>
        <w:keepNext/>
        <w:rPr>
          <w:noProof/>
        </w:rPr>
      </w:pPr>
      <w:r w:rsidRPr="00DE3A6F">
        <w:rPr>
          <w:noProof/>
        </w:rPr>
        <w:t xml:space="preserve">Figure </w:t>
      </w:r>
      <w:r w:rsidR="00063FCB" w:rsidRPr="00DE3A6F">
        <w:rPr>
          <w:noProof/>
        </w:rPr>
        <w:fldChar w:fldCharType="begin"/>
      </w:r>
      <w:r w:rsidR="00063FCB" w:rsidRPr="00DE3A6F">
        <w:rPr>
          <w:noProof/>
        </w:rPr>
        <w:instrText xml:space="preserve"> SEQ Figure \* ARABIC </w:instrText>
      </w:r>
      <w:r w:rsidR="00063FCB" w:rsidRPr="00DE3A6F">
        <w:rPr>
          <w:noProof/>
        </w:rPr>
        <w:fldChar w:fldCharType="separate"/>
      </w:r>
      <w:r w:rsidR="00850C71">
        <w:rPr>
          <w:noProof/>
        </w:rPr>
        <w:t>10</w:t>
      </w:r>
      <w:r w:rsidR="00063FCB" w:rsidRPr="00DE3A6F">
        <w:rPr>
          <w:noProof/>
        </w:rPr>
        <w:fldChar w:fldCharType="end"/>
      </w:r>
      <w:r w:rsidR="2C7E20FF" w:rsidRPr="00DE3A6F">
        <w:rPr>
          <w:noProof/>
        </w:rPr>
        <w:t>: Summary indicators for detection</w:t>
      </w:r>
      <w:r w:rsidR="210C410F" w:rsidRPr="00DE3A6F">
        <w:rPr>
          <w:noProof/>
        </w:rPr>
        <w:t xml:space="preserve"> - 2025</w:t>
      </w:r>
    </w:p>
    <w:tbl>
      <w:tblPr>
        <w:tblW w:w="14851" w:type="dxa"/>
        <w:tblLook w:val="04A0" w:firstRow="1" w:lastRow="0" w:firstColumn="1" w:lastColumn="0" w:noHBand="0" w:noVBand="1"/>
      </w:tblPr>
      <w:tblGrid>
        <w:gridCol w:w="4815"/>
        <w:gridCol w:w="858"/>
        <w:gridCol w:w="985"/>
        <w:gridCol w:w="939"/>
        <w:gridCol w:w="10"/>
        <w:gridCol w:w="711"/>
        <w:gridCol w:w="918"/>
        <w:gridCol w:w="939"/>
        <w:gridCol w:w="939"/>
        <w:gridCol w:w="1048"/>
        <w:gridCol w:w="18"/>
        <w:gridCol w:w="840"/>
        <w:gridCol w:w="918"/>
        <w:gridCol w:w="939"/>
        <w:gridCol w:w="15"/>
        <w:gridCol w:w="10"/>
      </w:tblGrid>
      <w:tr w:rsidR="00BF051B" w:rsidRPr="00BF051B" w14:paraId="4DF2768D" w14:textId="77777777" w:rsidTr="00335898">
        <w:trPr>
          <w:trHeight w:val="375"/>
        </w:trPr>
        <w:tc>
          <w:tcPr>
            <w:tcW w:w="14851" w:type="dxa"/>
            <w:gridSpan w:val="16"/>
            <w:tcBorders>
              <w:top w:val="single" w:sz="4" w:space="0" w:color="auto"/>
              <w:left w:val="single" w:sz="4" w:space="0" w:color="auto"/>
              <w:bottom w:val="single" w:sz="4" w:space="0" w:color="auto"/>
              <w:right w:val="single" w:sz="4" w:space="0" w:color="000000"/>
            </w:tcBorders>
            <w:shd w:val="clear" w:color="000000" w:fill="4D93D9"/>
            <w:noWrap/>
            <w:vAlign w:val="bottom"/>
            <w:hideMark/>
          </w:tcPr>
          <w:p w14:paraId="31B027C5" w14:textId="77777777" w:rsidR="00BF051B" w:rsidRPr="00BF051B" w:rsidRDefault="00BF051B" w:rsidP="00BF051B">
            <w:pPr>
              <w:spacing w:after="0" w:line="240" w:lineRule="auto"/>
              <w:jc w:val="center"/>
              <w:rPr>
                <w:rFonts w:ascii="Aptos Narrow" w:hAnsi="Aptos Narrow"/>
                <w:b/>
                <w:bCs/>
                <w:noProof/>
                <w:color w:val="000000"/>
                <w:sz w:val="28"/>
                <w:szCs w:val="28"/>
                <w:lang w:val="en-IE" w:eastAsia="en-IE"/>
              </w:rPr>
            </w:pPr>
            <w:r w:rsidRPr="00BF051B">
              <w:rPr>
                <w:rFonts w:ascii="Aptos Narrow" w:hAnsi="Aptos Narrow"/>
                <w:b/>
                <w:bCs/>
                <w:noProof/>
                <w:color w:val="000000"/>
                <w:sz w:val="28"/>
                <w:szCs w:val="28"/>
                <w:lang w:val="en-IE" w:eastAsia="en-IE"/>
              </w:rPr>
              <w:t>Cases detected and reported - 2025</w:t>
            </w:r>
          </w:p>
        </w:tc>
      </w:tr>
      <w:tr w:rsidR="00BF051B" w:rsidRPr="00BF051B" w14:paraId="2D5F3515" w14:textId="77777777" w:rsidTr="00335898">
        <w:trPr>
          <w:trHeight w:val="315"/>
        </w:trPr>
        <w:tc>
          <w:tcPr>
            <w:tcW w:w="4815" w:type="dxa"/>
            <w:vMerge w:val="restart"/>
            <w:tcBorders>
              <w:top w:val="nil"/>
              <w:left w:val="single" w:sz="4" w:space="0" w:color="auto"/>
              <w:bottom w:val="nil"/>
              <w:right w:val="single" w:sz="4" w:space="0" w:color="auto"/>
            </w:tcBorders>
            <w:shd w:val="clear" w:color="000000" w:fill="A6C9EC"/>
            <w:noWrap/>
            <w:vAlign w:val="bottom"/>
            <w:hideMark/>
          </w:tcPr>
          <w:p w14:paraId="69BACBB9" w14:textId="77777777" w:rsidR="00BF051B" w:rsidRPr="00BF051B" w:rsidRDefault="00BF051B" w:rsidP="00BF051B">
            <w:pPr>
              <w:spacing w:after="0" w:line="240" w:lineRule="auto"/>
              <w:jc w:val="center"/>
              <w:rPr>
                <w:rFonts w:ascii="Aptos Narrow" w:hAnsi="Aptos Narrow"/>
                <w:b/>
                <w:bCs/>
                <w:noProof/>
                <w:color w:val="000000"/>
                <w:sz w:val="24"/>
                <w:szCs w:val="24"/>
                <w:lang w:val="en-IE" w:eastAsia="en-IE"/>
              </w:rPr>
            </w:pPr>
            <w:r w:rsidRPr="00BF051B">
              <w:rPr>
                <w:rFonts w:ascii="Aptos Narrow" w:hAnsi="Aptos Narrow"/>
                <w:b/>
                <w:bCs/>
                <w:noProof/>
                <w:color w:val="000000"/>
                <w:sz w:val="24"/>
                <w:szCs w:val="24"/>
                <w:lang w:val="en-IE" w:eastAsia="en-IE"/>
              </w:rPr>
              <w:t>Budgetary sector</w:t>
            </w:r>
          </w:p>
        </w:tc>
        <w:tc>
          <w:tcPr>
            <w:tcW w:w="2792" w:type="dxa"/>
            <w:gridSpan w:val="4"/>
            <w:tcBorders>
              <w:top w:val="nil"/>
              <w:left w:val="nil"/>
              <w:bottom w:val="single" w:sz="4" w:space="0" w:color="auto"/>
              <w:right w:val="single" w:sz="4" w:space="0" w:color="auto"/>
            </w:tcBorders>
            <w:shd w:val="clear" w:color="000000" w:fill="A6C9EC"/>
            <w:noWrap/>
            <w:vAlign w:val="bottom"/>
            <w:hideMark/>
          </w:tcPr>
          <w:p w14:paraId="3E266381" w14:textId="77777777" w:rsidR="00BF051B" w:rsidRPr="00BF051B" w:rsidRDefault="00BF051B" w:rsidP="00BF051B">
            <w:pPr>
              <w:spacing w:after="0" w:line="240" w:lineRule="auto"/>
              <w:jc w:val="center"/>
              <w:rPr>
                <w:rFonts w:ascii="Aptos Narrow" w:hAnsi="Aptos Narrow"/>
                <w:b/>
                <w:bCs/>
                <w:noProof/>
                <w:color w:val="000000"/>
                <w:sz w:val="24"/>
                <w:szCs w:val="24"/>
                <w:lang w:val="en-IE" w:eastAsia="en-IE"/>
              </w:rPr>
            </w:pPr>
            <w:r w:rsidRPr="00BF051B">
              <w:rPr>
                <w:rFonts w:ascii="Aptos Narrow" w:hAnsi="Aptos Narrow"/>
                <w:b/>
                <w:bCs/>
                <w:noProof/>
                <w:color w:val="000000"/>
                <w:sz w:val="24"/>
                <w:szCs w:val="24"/>
                <w:lang w:val="en-IE" w:eastAsia="en-IE"/>
              </w:rPr>
              <w:t>Total irregularities</w:t>
            </w:r>
          </w:p>
        </w:tc>
        <w:tc>
          <w:tcPr>
            <w:tcW w:w="4573" w:type="dxa"/>
            <w:gridSpan w:val="6"/>
            <w:tcBorders>
              <w:top w:val="nil"/>
              <w:left w:val="nil"/>
              <w:bottom w:val="single" w:sz="4" w:space="0" w:color="auto"/>
              <w:right w:val="single" w:sz="4" w:space="0" w:color="auto"/>
            </w:tcBorders>
            <w:shd w:val="clear" w:color="000000" w:fill="A6C9EC"/>
            <w:noWrap/>
            <w:vAlign w:val="bottom"/>
            <w:hideMark/>
          </w:tcPr>
          <w:p w14:paraId="61C429E6" w14:textId="77777777" w:rsidR="00BF051B" w:rsidRPr="00BF051B" w:rsidRDefault="00BF051B" w:rsidP="00BF051B">
            <w:pPr>
              <w:spacing w:after="0" w:line="240" w:lineRule="auto"/>
              <w:jc w:val="center"/>
              <w:rPr>
                <w:rFonts w:ascii="Aptos Narrow" w:hAnsi="Aptos Narrow"/>
                <w:b/>
                <w:bCs/>
                <w:noProof/>
                <w:color w:val="000000"/>
                <w:sz w:val="24"/>
                <w:szCs w:val="24"/>
                <w:lang w:val="en-IE" w:eastAsia="en-IE"/>
              </w:rPr>
            </w:pPr>
            <w:r w:rsidRPr="00BF051B">
              <w:rPr>
                <w:rFonts w:ascii="Aptos Narrow" w:hAnsi="Aptos Narrow"/>
                <w:b/>
                <w:bCs/>
                <w:noProof/>
                <w:color w:val="000000"/>
                <w:sz w:val="24"/>
                <w:szCs w:val="24"/>
                <w:lang w:val="en-IE" w:eastAsia="en-IE"/>
              </w:rPr>
              <w:t>Fraudulent irregularities</w:t>
            </w:r>
          </w:p>
        </w:tc>
        <w:tc>
          <w:tcPr>
            <w:tcW w:w="2671" w:type="dxa"/>
            <w:gridSpan w:val="5"/>
            <w:tcBorders>
              <w:top w:val="nil"/>
              <w:left w:val="nil"/>
              <w:bottom w:val="single" w:sz="4" w:space="0" w:color="auto"/>
              <w:right w:val="single" w:sz="4" w:space="0" w:color="auto"/>
            </w:tcBorders>
            <w:shd w:val="clear" w:color="000000" w:fill="A6C9EC"/>
            <w:noWrap/>
            <w:vAlign w:val="bottom"/>
            <w:hideMark/>
          </w:tcPr>
          <w:p w14:paraId="3D8834D2" w14:textId="77777777" w:rsidR="00BF051B" w:rsidRPr="00BF051B" w:rsidRDefault="00BF051B" w:rsidP="00BF051B">
            <w:pPr>
              <w:spacing w:after="0" w:line="240" w:lineRule="auto"/>
              <w:jc w:val="center"/>
              <w:rPr>
                <w:rFonts w:ascii="Aptos Narrow" w:hAnsi="Aptos Narrow"/>
                <w:b/>
                <w:bCs/>
                <w:noProof/>
                <w:color w:val="000000"/>
                <w:sz w:val="24"/>
                <w:szCs w:val="24"/>
                <w:lang w:val="en-IE" w:eastAsia="en-IE"/>
              </w:rPr>
            </w:pPr>
            <w:r w:rsidRPr="00BF051B">
              <w:rPr>
                <w:rFonts w:ascii="Aptos Narrow" w:hAnsi="Aptos Narrow"/>
                <w:b/>
                <w:bCs/>
                <w:noProof/>
                <w:color w:val="000000"/>
                <w:sz w:val="24"/>
                <w:szCs w:val="24"/>
                <w:lang w:val="en-IE" w:eastAsia="en-IE"/>
              </w:rPr>
              <w:t>Non-fraudulent irregularities</w:t>
            </w:r>
          </w:p>
        </w:tc>
      </w:tr>
      <w:tr w:rsidR="00BC534D" w:rsidRPr="00BF051B" w14:paraId="01E60952" w14:textId="77777777" w:rsidTr="00335898">
        <w:trPr>
          <w:gridAfter w:val="2"/>
          <w:wAfter w:w="25" w:type="dxa"/>
          <w:trHeight w:val="300"/>
        </w:trPr>
        <w:tc>
          <w:tcPr>
            <w:tcW w:w="4815" w:type="dxa"/>
            <w:vMerge/>
            <w:tcBorders>
              <w:top w:val="nil"/>
              <w:left w:val="single" w:sz="4" w:space="0" w:color="auto"/>
              <w:bottom w:val="nil"/>
              <w:right w:val="single" w:sz="4" w:space="0" w:color="auto"/>
            </w:tcBorders>
            <w:vAlign w:val="center"/>
            <w:hideMark/>
          </w:tcPr>
          <w:p w14:paraId="38842379" w14:textId="77777777" w:rsidR="00BF051B" w:rsidRPr="00BF051B" w:rsidRDefault="00BF051B" w:rsidP="00BF051B">
            <w:pPr>
              <w:spacing w:after="0" w:line="240" w:lineRule="auto"/>
              <w:jc w:val="left"/>
              <w:rPr>
                <w:rFonts w:ascii="Aptos Narrow" w:hAnsi="Aptos Narrow"/>
                <w:b/>
                <w:bCs/>
                <w:noProof/>
                <w:color w:val="000000"/>
                <w:sz w:val="24"/>
                <w:szCs w:val="24"/>
                <w:lang w:val="en-IE" w:eastAsia="en-IE"/>
              </w:rPr>
            </w:pPr>
          </w:p>
        </w:tc>
        <w:tc>
          <w:tcPr>
            <w:tcW w:w="858" w:type="dxa"/>
            <w:tcBorders>
              <w:top w:val="nil"/>
              <w:left w:val="nil"/>
              <w:bottom w:val="single" w:sz="4" w:space="0" w:color="auto"/>
              <w:right w:val="single" w:sz="4" w:space="0" w:color="auto"/>
            </w:tcBorders>
            <w:shd w:val="clear" w:color="000000" w:fill="DAE9F8"/>
            <w:noWrap/>
            <w:vAlign w:val="bottom"/>
            <w:hideMark/>
          </w:tcPr>
          <w:p w14:paraId="40519F51"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N</w:t>
            </w:r>
          </w:p>
        </w:tc>
        <w:tc>
          <w:tcPr>
            <w:tcW w:w="985" w:type="dxa"/>
            <w:tcBorders>
              <w:top w:val="nil"/>
              <w:left w:val="nil"/>
              <w:bottom w:val="single" w:sz="4" w:space="0" w:color="auto"/>
              <w:right w:val="single" w:sz="4" w:space="0" w:color="auto"/>
            </w:tcBorders>
            <w:shd w:val="clear" w:color="000000" w:fill="DAE9F8"/>
            <w:noWrap/>
            <w:vAlign w:val="bottom"/>
            <w:hideMark/>
          </w:tcPr>
          <w:p w14:paraId="1659AF69"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EUR (million)</w:t>
            </w:r>
          </w:p>
        </w:tc>
        <w:tc>
          <w:tcPr>
            <w:tcW w:w="939" w:type="dxa"/>
            <w:tcBorders>
              <w:top w:val="nil"/>
              <w:left w:val="nil"/>
              <w:bottom w:val="single" w:sz="4" w:space="0" w:color="auto"/>
              <w:right w:val="single" w:sz="4" w:space="0" w:color="auto"/>
            </w:tcBorders>
            <w:shd w:val="clear" w:color="000000" w:fill="DAE9F8"/>
            <w:noWrap/>
            <w:vAlign w:val="bottom"/>
            <w:hideMark/>
          </w:tcPr>
          <w:p w14:paraId="09AAFF7A"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TDR</w:t>
            </w:r>
          </w:p>
        </w:tc>
        <w:tc>
          <w:tcPr>
            <w:tcW w:w="721" w:type="dxa"/>
            <w:gridSpan w:val="2"/>
            <w:tcBorders>
              <w:top w:val="nil"/>
              <w:left w:val="nil"/>
              <w:bottom w:val="single" w:sz="4" w:space="0" w:color="auto"/>
              <w:right w:val="single" w:sz="4" w:space="0" w:color="auto"/>
            </w:tcBorders>
            <w:shd w:val="clear" w:color="000000" w:fill="DAE9F8"/>
            <w:noWrap/>
            <w:vAlign w:val="bottom"/>
            <w:hideMark/>
          </w:tcPr>
          <w:p w14:paraId="0017A4DF"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N</w:t>
            </w:r>
          </w:p>
        </w:tc>
        <w:tc>
          <w:tcPr>
            <w:tcW w:w="918" w:type="dxa"/>
            <w:tcBorders>
              <w:top w:val="nil"/>
              <w:left w:val="nil"/>
              <w:bottom w:val="single" w:sz="4" w:space="0" w:color="auto"/>
              <w:right w:val="single" w:sz="4" w:space="0" w:color="auto"/>
            </w:tcBorders>
            <w:shd w:val="clear" w:color="000000" w:fill="DAE9F8"/>
            <w:noWrap/>
            <w:vAlign w:val="bottom"/>
            <w:hideMark/>
          </w:tcPr>
          <w:p w14:paraId="261C9F4F"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EUR (million)</w:t>
            </w:r>
          </w:p>
        </w:tc>
        <w:tc>
          <w:tcPr>
            <w:tcW w:w="939" w:type="dxa"/>
            <w:tcBorders>
              <w:top w:val="nil"/>
              <w:left w:val="nil"/>
              <w:bottom w:val="single" w:sz="4" w:space="0" w:color="auto"/>
              <w:right w:val="single" w:sz="4" w:space="0" w:color="auto"/>
            </w:tcBorders>
            <w:shd w:val="clear" w:color="000000" w:fill="DAE9F8"/>
            <w:noWrap/>
            <w:vAlign w:val="bottom"/>
            <w:hideMark/>
          </w:tcPr>
          <w:p w14:paraId="33185831"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FFL</w:t>
            </w:r>
          </w:p>
        </w:tc>
        <w:tc>
          <w:tcPr>
            <w:tcW w:w="939" w:type="dxa"/>
            <w:tcBorders>
              <w:top w:val="nil"/>
              <w:left w:val="nil"/>
              <w:bottom w:val="single" w:sz="4" w:space="0" w:color="auto"/>
              <w:right w:val="single" w:sz="4" w:space="0" w:color="auto"/>
            </w:tcBorders>
            <w:shd w:val="clear" w:color="000000" w:fill="DAE9F8"/>
            <w:noWrap/>
            <w:vAlign w:val="bottom"/>
            <w:hideMark/>
          </w:tcPr>
          <w:p w14:paraId="47FC23A5"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FAL</w:t>
            </w:r>
          </w:p>
        </w:tc>
        <w:tc>
          <w:tcPr>
            <w:tcW w:w="1048" w:type="dxa"/>
            <w:tcBorders>
              <w:top w:val="nil"/>
              <w:left w:val="nil"/>
              <w:bottom w:val="single" w:sz="4" w:space="0" w:color="auto"/>
              <w:right w:val="single" w:sz="4" w:space="0" w:color="auto"/>
            </w:tcBorders>
            <w:shd w:val="clear" w:color="000000" w:fill="DAE9F8"/>
            <w:noWrap/>
            <w:vAlign w:val="bottom"/>
            <w:hideMark/>
          </w:tcPr>
          <w:p w14:paraId="2EF05499"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FDR</w:t>
            </w:r>
          </w:p>
        </w:tc>
        <w:tc>
          <w:tcPr>
            <w:tcW w:w="858" w:type="dxa"/>
            <w:gridSpan w:val="2"/>
            <w:tcBorders>
              <w:top w:val="nil"/>
              <w:left w:val="nil"/>
              <w:bottom w:val="single" w:sz="4" w:space="0" w:color="auto"/>
              <w:right w:val="single" w:sz="4" w:space="0" w:color="auto"/>
            </w:tcBorders>
            <w:shd w:val="clear" w:color="000000" w:fill="DAE9F8"/>
            <w:noWrap/>
            <w:vAlign w:val="bottom"/>
            <w:hideMark/>
          </w:tcPr>
          <w:p w14:paraId="54EA3B63"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N</w:t>
            </w:r>
          </w:p>
        </w:tc>
        <w:tc>
          <w:tcPr>
            <w:tcW w:w="867" w:type="dxa"/>
            <w:tcBorders>
              <w:top w:val="nil"/>
              <w:left w:val="nil"/>
              <w:bottom w:val="single" w:sz="4" w:space="0" w:color="auto"/>
              <w:right w:val="single" w:sz="4" w:space="0" w:color="auto"/>
            </w:tcBorders>
            <w:shd w:val="clear" w:color="000000" w:fill="DAE9F8"/>
            <w:noWrap/>
            <w:vAlign w:val="bottom"/>
            <w:hideMark/>
          </w:tcPr>
          <w:p w14:paraId="38F51B95"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EUR (million)</w:t>
            </w:r>
          </w:p>
        </w:tc>
        <w:tc>
          <w:tcPr>
            <w:tcW w:w="939" w:type="dxa"/>
            <w:tcBorders>
              <w:top w:val="nil"/>
              <w:left w:val="nil"/>
              <w:bottom w:val="single" w:sz="4" w:space="0" w:color="auto"/>
              <w:right w:val="single" w:sz="4" w:space="0" w:color="auto"/>
            </w:tcBorders>
            <w:shd w:val="clear" w:color="000000" w:fill="DAE9F8"/>
            <w:noWrap/>
            <w:vAlign w:val="bottom"/>
            <w:hideMark/>
          </w:tcPr>
          <w:p w14:paraId="2E2FFC12" w14:textId="77777777" w:rsidR="00BF051B" w:rsidRPr="00BF051B" w:rsidRDefault="00BF051B" w:rsidP="00BF051B">
            <w:pPr>
              <w:spacing w:after="0" w:line="240" w:lineRule="auto"/>
              <w:jc w:val="center"/>
              <w:rPr>
                <w:rFonts w:ascii="Aptos Narrow" w:hAnsi="Aptos Narrow"/>
                <w:b/>
                <w:bCs/>
                <w:noProof/>
                <w:color w:val="000000"/>
                <w:sz w:val="20"/>
                <w:lang w:val="en-IE" w:eastAsia="en-IE"/>
              </w:rPr>
            </w:pPr>
            <w:r w:rsidRPr="00BF051B">
              <w:rPr>
                <w:rFonts w:ascii="Aptos Narrow" w:hAnsi="Aptos Narrow"/>
                <w:b/>
                <w:bCs/>
                <w:noProof/>
                <w:color w:val="000000"/>
                <w:sz w:val="20"/>
                <w:lang w:val="en-IE" w:eastAsia="en-IE"/>
              </w:rPr>
              <w:t>IDR</w:t>
            </w:r>
          </w:p>
        </w:tc>
      </w:tr>
      <w:tr w:rsidR="00BF051B" w:rsidRPr="00BF051B" w14:paraId="1FFCF1CA" w14:textId="77777777" w:rsidTr="00335898">
        <w:trPr>
          <w:gridAfter w:val="2"/>
          <w:wAfter w:w="25" w:type="dxa"/>
          <w:trHeight w:val="300"/>
        </w:trPr>
        <w:tc>
          <w:tcPr>
            <w:tcW w:w="4815" w:type="dxa"/>
            <w:tcBorders>
              <w:top w:val="nil"/>
              <w:left w:val="single" w:sz="4" w:space="0" w:color="auto"/>
              <w:bottom w:val="nil"/>
              <w:right w:val="single" w:sz="4" w:space="0" w:color="auto"/>
            </w:tcBorders>
            <w:shd w:val="clear" w:color="000000" w:fill="F1A983"/>
            <w:noWrap/>
            <w:vAlign w:val="bottom"/>
            <w:hideMark/>
          </w:tcPr>
          <w:p w14:paraId="71004CE7" w14:textId="77777777" w:rsidR="00BF051B" w:rsidRPr="00BF051B" w:rsidRDefault="00BF051B" w:rsidP="00BF051B">
            <w:pPr>
              <w:spacing w:after="0" w:line="240" w:lineRule="auto"/>
              <w:jc w:val="left"/>
              <w:rPr>
                <w:rFonts w:ascii="Aptos Narrow" w:hAnsi="Aptos Narrow"/>
                <w:b/>
                <w:bCs/>
                <w:noProof/>
                <w:color w:val="000000"/>
                <w:szCs w:val="22"/>
                <w:lang w:val="en-IE" w:eastAsia="en-IE"/>
              </w:rPr>
            </w:pPr>
            <w:r w:rsidRPr="00BF051B">
              <w:rPr>
                <w:rFonts w:ascii="Aptos Narrow" w:hAnsi="Aptos Narrow"/>
                <w:b/>
                <w:bCs/>
                <w:noProof/>
                <w:color w:val="000000"/>
                <w:szCs w:val="22"/>
                <w:lang w:val="en-IE" w:eastAsia="en-IE"/>
              </w:rPr>
              <w:t>Revenue (TOR)</w:t>
            </w:r>
          </w:p>
        </w:tc>
        <w:tc>
          <w:tcPr>
            <w:tcW w:w="858" w:type="dxa"/>
            <w:tcBorders>
              <w:top w:val="nil"/>
              <w:left w:val="nil"/>
              <w:bottom w:val="nil"/>
              <w:right w:val="nil"/>
            </w:tcBorders>
            <w:shd w:val="clear" w:color="000000" w:fill="F1A983"/>
            <w:noWrap/>
            <w:vAlign w:val="bottom"/>
            <w:hideMark/>
          </w:tcPr>
          <w:p w14:paraId="33932A04" w14:textId="442CE9F1"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4</w:t>
            </w:r>
            <w:r w:rsidR="00380A20">
              <w:rPr>
                <w:rFonts w:ascii="Aptos Narrow" w:hAnsi="Aptos Narrow"/>
                <w:noProof/>
                <w:color w:val="000000"/>
                <w:szCs w:val="22"/>
                <w:lang w:val="en-IE" w:eastAsia="en-IE"/>
              </w:rPr>
              <w:t> </w:t>
            </w:r>
            <w:r w:rsidRPr="00BF051B">
              <w:rPr>
                <w:rFonts w:ascii="Aptos Narrow" w:hAnsi="Aptos Narrow"/>
                <w:noProof/>
                <w:color w:val="000000"/>
                <w:szCs w:val="22"/>
                <w:lang w:val="en-IE" w:eastAsia="en-IE"/>
              </w:rPr>
              <w:t>390</w:t>
            </w:r>
          </w:p>
        </w:tc>
        <w:tc>
          <w:tcPr>
            <w:tcW w:w="985" w:type="dxa"/>
            <w:tcBorders>
              <w:top w:val="nil"/>
              <w:left w:val="single" w:sz="4" w:space="0" w:color="auto"/>
              <w:bottom w:val="nil"/>
              <w:right w:val="single" w:sz="4" w:space="0" w:color="auto"/>
            </w:tcBorders>
            <w:shd w:val="clear" w:color="000000" w:fill="F1A983"/>
            <w:noWrap/>
            <w:vAlign w:val="bottom"/>
            <w:hideMark/>
          </w:tcPr>
          <w:p w14:paraId="2FBF9BD1"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824.7</w:t>
            </w:r>
          </w:p>
        </w:tc>
        <w:tc>
          <w:tcPr>
            <w:tcW w:w="939" w:type="dxa"/>
            <w:tcBorders>
              <w:top w:val="nil"/>
              <w:left w:val="nil"/>
              <w:bottom w:val="nil"/>
              <w:right w:val="single" w:sz="4" w:space="0" w:color="auto"/>
            </w:tcBorders>
            <w:shd w:val="clear" w:color="000000" w:fill="FFFFFF"/>
            <w:noWrap/>
            <w:vAlign w:val="bottom"/>
            <w:hideMark/>
          </w:tcPr>
          <w:p w14:paraId="64C97BE3"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2.68%</w:t>
            </w:r>
          </w:p>
        </w:tc>
        <w:tc>
          <w:tcPr>
            <w:tcW w:w="721" w:type="dxa"/>
            <w:gridSpan w:val="2"/>
            <w:tcBorders>
              <w:top w:val="nil"/>
              <w:left w:val="nil"/>
              <w:bottom w:val="nil"/>
              <w:right w:val="single" w:sz="4" w:space="0" w:color="auto"/>
            </w:tcBorders>
            <w:shd w:val="clear" w:color="000000" w:fill="F1A983"/>
            <w:noWrap/>
            <w:vAlign w:val="bottom"/>
            <w:hideMark/>
          </w:tcPr>
          <w:p w14:paraId="20A2A0F0"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285</w:t>
            </w:r>
          </w:p>
        </w:tc>
        <w:tc>
          <w:tcPr>
            <w:tcW w:w="918" w:type="dxa"/>
            <w:tcBorders>
              <w:top w:val="nil"/>
              <w:left w:val="nil"/>
              <w:bottom w:val="nil"/>
              <w:right w:val="single" w:sz="4" w:space="0" w:color="auto"/>
            </w:tcBorders>
            <w:shd w:val="clear" w:color="000000" w:fill="F1A983"/>
            <w:noWrap/>
            <w:vAlign w:val="bottom"/>
            <w:hideMark/>
          </w:tcPr>
          <w:p w14:paraId="1A04D921"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85.4</w:t>
            </w:r>
          </w:p>
        </w:tc>
        <w:tc>
          <w:tcPr>
            <w:tcW w:w="939" w:type="dxa"/>
            <w:tcBorders>
              <w:top w:val="nil"/>
              <w:left w:val="nil"/>
              <w:bottom w:val="nil"/>
              <w:right w:val="single" w:sz="4" w:space="0" w:color="auto"/>
            </w:tcBorders>
            <w:shd w:val="clear" w:color="000000" w:fill="FFFFFF"/>
            <w:noWrap/>
            <w:vAlign w:val="bottom"/>
            <w:hideMark/>
          </w:tcPr>
          <w:p w14:paraId="470A7478"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6.5%</w:t>
            </w:r>
          </w:p>
        </w:tc>
        <w:tc>
          <w:tcPr>
            <w:tcW w:w="939" w:type="dxa"/>
            <w:tcBorders>
              <w:top w:val="nil"/>
              <w:left w:val="nil"/>
              <w:bottom w:val="nil"/>
              <w:right w:val="single" w:sz="4" w:space="0" w:color="auto"/>
            </w:tcBorders>
            <w:shd w:val="clear" w:color="000000" w:fill="FFFFFF"/>
            <w:noWrap/>
            <w:vAlign w:val="bottom"/>
            <w:hideMark/>
          </w:tcPr>
          <w:p w14:paraId="7723033F"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10.4%</w:t>
            </w:r>
          </w:p>
        </w:tc>
        <w:tc>
          <w:tcPr>
            <w:tcW w:w="1048" w:type="dxa"/>
            <w:tcBorders>
              <w:top w:val="nil"/>
              <w:left w:val="nil"/>
              <w:bottom w:val="nil"/>
              <w:right w:val="single" w:sz="4" w:space="0" w:color="auto"/>
            </w:tcBorders>
            <w:shd w:val="clear" w:color="000000" w:fill="FFFFFF"/>
            <w:noWrap/>
            <w:vAlign w:val="bottom"/>
            <w:hideMark/>
          </w:tcPr>
          <w:p w14:paraId="1540780F"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0.28%</w:t>
            </w:r>
          </w:p>
        </w:tc>
        <w:tc>
          <w:tcPr>
            <w:tcW w:w="858" w:type="dxa"/>
            <w:gridSpan w:val="2"/>
            <w:tcBorders>
              <w:top w:val="nil"/>
              <w:left w:val="nil"/>
              <w:bottom w:val="nil"/>
              <w:right w:val="single" w:sz="4" w:space="0" w:color="auto"/>
            </w:tcBorders>
            <w:shd w:val="clear" w:color="000000" w:fill="F1A983"/>
            <w:noWrap/>
            <w:vAlign w:val="bottom"/>
            <w:hideMark/>
          </w:tcPr>
          <w:p w14:paraId="654A87C7" w14:textId="45872922"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4</w:t>
            </w:r>
            <w:r w:rsidR="00380A20">
              <w:rPr>
                <w:rFonts w:ascii="Aptos Narrow" w:hAnsi="Aptos Narrow"/>
                <w:noProof/>
                <w:color w:val="000000"/>
                <w:szCs w:val="22"/>
                <w:lang w:val="en-IE" w:eastAsia="en-IE"/>
              </w:rPr>
              <w:t> </w:t>
            </w:r>
            <w:r w:rsidRPr="00BF051B">
              <w:rPr>
                <w:rFonts w:ascii="Aptos Narrow" w:hAnsi="Aptos Narrow"/>
                <w:noProof/>
                <w:color w:val="000000"/>
                <w:szCs w:val="22"/>
                <w:lang w:val="en-IE" w:eastAsia="en-IE"/>
              </w:rPr>
              <w:t>105</w:t>
            </w:r>
          </w:p>
        </w:tc>
        <w:tc>
          <w:tcPr>
            <w:tcW w:w="867" w:type="dxa"/>
            <w:tcBorders>
              <w:top w:val="nil"/>
              <w:left w:val="nil"/>
              <w:bottom w:val="nil"/>
              <w:right w:val="single" w:sz="4" w:space="0" w:color="auto"/>
            </w:tcBorders>
            <w:shd w:val="clear" w:color="000000" w:fill="F1A983"/>
            <w:noWrap/>
            <w:vAlign w:val="bottom"/>
            <w:hideMark/>
          </w:tcPr>
          <w:p w14:paraId="7747BD33"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739.3</w:t>
            </w:r>
          </w:p>
        </w:tc>
        <w:tc>
          <w:tcPr>
            <w:tcW w:w="939" w:type="dxa"/>
            <w:tcBorders>
              <w:top w:val="nil"/>
              <w:left w:val="nil"/>
              <w:bottom w:val="nil"/>
              <w:right w:val="single" w:sz="4" w:space="0" w:color="auto"/>
            </w:tcBorders>
            <w:shd w:val="clear" w:color="000000" w:fill="FFFFFF"/>
            <w:noWrap/>
            <w:vAlign w:val="bottom"/>
            <w:hideMark/>
          </w:tcPr>
          <w:p w14:paraId="16323A8D"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2.41%</w:t>
            </w:r>
          </w:p>
        </w:tc>
      </w:tr>
      <w:tr w:rsidR="00AD1F7D" w:rsidRPr="00BF051B" w14:paraId="4A387E24" w14:textId="77777777" w:rsidTr="00335898">
        <w:trPr>
          <w:gridAfter w:val="2"/>
          <w:wAfter w:w="25" w:type="dxa"/>
          <w:trHeight w:val="300"/>
        </w:trPr>
        <w:tc>
          <w:tcPr>
            <w:tcW w:w="4815" w:type="dxa"/>
            <w:tcBorders>
              <w:top w:val="nil"/>
              <w:left w:val="single" w:sz="4" w:space="0" w:color="auto"/>
              <w:bottom w:val="nil"/>
              <w:right w:val="single" w:sz="4" w:space="0" w:color="auto"/>
            </w:tcBorders>
            <w:noWrap/>
            <w:vAlign w:val="bottom"/>
            <w:hideMark/>
          </w:tcPr>
          <w:p w14:paraId="45D49F8F" w14:textId="77777777" w:rsidR="00BF051B" w:rsidRPr="00BF051B" w:rsidRDefault="00BF051B" w:rsidP="00BF051B">
            <w:pPr>
              <w:spacing w:after="0" w:line="240" w:lineRule="auto"/>
              <w:jc w:val="left"/>
              <w:rPr>
                <w:rFonts w:ascii="Aptos Narrow" w:hAnsi="Aptos Narrow"/>
                <w:b/>
                <w:bCs/>
                <w:noProof/>
                <w:color w:val="000000"/>
                <w:szCs w:val="22"/>
                <w:lang w:val="en-IE" w:eastAsia="en-IE"/>
              </w:rPr>
            </w:pPr>
            <w:r w:rsidRPr="00BF051B">
              <w:rPr>
                <w:rFonts w:ascii="Aptos Narrow" w:hAnsi="Aptos Narrow"/>
                <w:b/>
                <w:bCs/>
                <w:noProof/>
                <w:color w:val="000000"/>
                <w:szCs w:val="22"/>
                <w:lang w:val="en-IE" w:eastAsia="en-IE"/>
              </w:rPr>
              <w:t>Expenditure</w:t>
            </w:r>
          </w:p>
        </w:tc>
        <w:tc>
          <w:tcPr>
            <w:tcW w:w="858" w:type="dxa"/>
            <w:tcBorders>
              <w:top w:val="nil"/>
              <w:left w:val="nil"/>
              <w:bottom w:val="nil"/>
              <w:right w:val="nil"/>
            </w:tcBorders>
            <w:noWrap/>
            <w:vAlign w:val="bottom"/>
            <w:hideMark/>
          </w:tcPr>
          <w:p w14:paraId="08FA0E3D" w14:textId="0F5CC1D5"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8</w:t>
            </w:r>
            <w:r w:rsidR="00380A20">
              <w:rPr>
                <w:rFonts w:ascii="Aptos Narrow" w:hAnsi="Aptos Narrow"/>
                <w:noProof/>
                <w:color w:val="000000"/>
                <w:szCs w:val="22"/>
                <w:lang w:val="en-IE" w:eastAsia="en-IE"/>
              </w:rPr>
              <w:t> </w:t>
            </w:r>
            <w:r w:rsidRPr="00BF051B">
              <w:rPr>
                <w:rFonts w:ascii="Aptos Narrow" w:hAnsi="Aptos Narrow"/>
                <w:noProof/>
                <w:color w:val="000000"/>
                <w:szCs w:val="22"/>
                <w:lang w:val="en-IE" w:eastAsia="en-IE"/>
              </w:rPr>
              <w:t>620</w:t>
            </w:r>
          </w:p>
        </w:tc>
        <w:tc>
          <w:tcPr>
            <w:tcW w:w="985" w:type="dxa"/>
            <w:tcBorders>
              <w:top w:val="nil"/>
              <w:left w:val="single" w:sz="4" w:space="0" w:color="auto"/>
              <w:bottom w:val="nil"/>
              <w:right w:val="single" w:sz="4" w:space="0" w:color="auto"/>
            </w:tcBorders>
            <w:noWrap/>
            <w:vAlign w:val="bottom"/>
            <w:hideMark/>
          </w:tcPr>
          <w:p w14:paraId="7C00F31A" w14:textId="79B5475E"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1</w:t>
            </w:r>
            <w:r w:rsidR="003A567C">
              <w:rPr>
                <w:rFonts w:ascii="Aptos Narrow" w:hAnsi="Aptos Narrow"/>
                <w:noProof/>
                <w:color w:val="000000"/>
                <w:szCs w:val="22"/>
                <w:lang w:val="en-IE" w:eastAsia="en-IE"/>
              </w:rPr>
              <w:t> </w:t>
            </w:r>
            <w:r w:rsidRPr="00BF051B">
              <w:rPr>
                <w:rFonts w:ascii="Aptos Narrow" w:hAnsi="Aptos Narrow"/>
                <w:noProof/>
                <w:color w:val="000000"/>
                <w:szCs w:val="22"/>
                <w:lang w:val="en-IE" w:eastAsia="en-IE"/>
              </w:rPr>
              <w:t>271.1</w:t>
            </w:r>
          </w:p>
        </w:tc>
        <w:tc>
          <w:tcPr>
            <w:tcW w:w="939" w:type="dxa"/>
            <w:tcBorders>
              <w:top w:val="nil"/>
              <w:left w:val="nil"/>
              <w:bottom w:val="nil"/>
              <w:right w:val="single" w:sz="4" w:space="0" w:color="auto"/>
            </w:tcBorders>
            <w:shd w:val="clear" w:color="000000" w:fill="FFFFFF"/>
            <w:noWrap/>
            <w:vAlign w:val="bottom"/>
            <w:hideMark/>
          </w:tcPr>
          <w:p w14:paraId="4B7B2E72"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0.72%</w:t>
            </w:r>
          </w:p>
        </w:tc>
        <w:tc>
          <w:tcPr>
            <w:tcW w:w="721" w:type="dxa"/>
            <w:gridSpan w:val="2"/>
            <w:tcBorders>
              <w:top w:val="nil"/>
              <w:left w:val="nil"/>
              <w:bottom w:val="nil"/>
              <w:right w:val="single" w:sz="4" w:space="0" w:color="auto"/>
            </w:tcBorders>
            <w:noWrap/>
            <w:vAlign w:val="bottom"/>
            <w:hideMark/>
          </w:tcPr>
          <w:p w14:paraId="4FB1AAF2"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701</w:t>
            </w:r>
          </w:p>
        </w:tc>
        <w:tc>
          <w:tcPr>
            <w:tcW w:w="918" w:type="dxa"/>
            <w:tcBorders>
              <w:top w:val="nil"/>
              <w:left w:val="nil"/>
              <w:bottom w:val="nil"/>
              <w:right w:val="single" w:sz="4" w:space="0" w:color="auto"/>
            </w:tcBorders>
            <w:noWrap/>
            <w:vAlign w:val="bottom"/>
            <w:hideMark/>
          </w:tcPr>
          <w:p w14:paraId="6DF7F674"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188.8</w:t>
            </w:r>
          </w:p>
        </w:tc>
        <w:tc>
          <w:tcPr>
            <w:tcW w:w="939" w:type="dxa"/>
            <w:tcBorders>
              <w:top w:val="nil"/>
              <w:left w:val="nil"/>
              <w:bottom w:val="nil"/>
              <w:right w:val="single" w:sz="4" w:space="0" w:color="auto"/>
            </w:tcBorders>
            <w:shd w:val="clear" w:color="000000" w:fill="FFFFFF"/>
            <w:noWrap/>
            <w:vAlign w:val="bottom"/>
            <w:hideMark/>
          </w:tcPr>
          <w:p w14:paraId="5CB6B999"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8.1%</w:t>
            </w:r>
          </w:p>
        </w:tc>
        <w:tc>
          <w:tcPr>
            <w:tcW w:w="939" w:type="dxa"/>
            <w:tcBorders>
              <w:top w:val="nil"/>
              <w:left w:val="nil"/>
              <w:bottom w:val="nil"/>
              <w:right w:val="single" w:sz="4" w:space="0" w:color="auto"/>
            </w:tcBorders>
            <w:shd w:val="clear" w:color="000000" w:fill="FFFFFF"/>
            <w:noWrap/>
            <w:vAlign w:val="bottom"/>
            <w:hideMark/>
          </w:tcPr>
          <w:p w14:paraId="68FB0D5A"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14.9%</w:t>
            </w:r>
          </w:p>
        </w:tc>
        <w:tc>
          <w:tcPr>
            <w:tcW w:w="1048" w:type="dxa"/>
            <w:tcBorders>
              <w:top w:val="nil"/>
              <w:left w:val="nil"/>
              <w:bottom w:val="nil"/>
              <w:right w:val="single" w:sz="4" w:space="0" w:color="auto"/>
            </w:tcBorders>
            <w:shd w:val="clear" w:color="000000" w:fill="FFFFFF"/>
            <w:noWrap/>
            <w:vAlign w:val="bottom"/>
            <w:hideMark/>
          </w:tcPr>
          <w:p w14:paraId="023C2FAF"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0.11%</w:t>
            </w:r>
          </w:p>
        </w:tc>
        <w:tc>
          <w:tcPr>
            <w:tcW w:w="858" w:type="dxa"/>
            <w:gridSpan w:val="2"/>
            <w:tcBorders>
              <w:top w:val="nil"/>
              <w:left w:val="nil"/>
              <w:bottom w:val="nil"/>
              <w:right w:val="single" w:sz="4" w:space="0" w:color="auto"/>
            </w:tcBorders>
            <w:noWrap/>
            <w:vAlign w:val="bottom"/>
            <w:hideMark/>
          </w:tcPr>
          <w:p w14:paraId="59FDF4F6" w14:textId="54294BB8"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7</w:t>
            </w:r>
            <w:r w:rsidR="003A567C">
              <w:rPr>
                <w:rFonts w:ascii="Aptos Narrow" w:hAnsi="Aptos Narrow"/>
                <w:noProof/>
                <w:color w:val="000000"/>
                <w:szCs w:val="22"/>
                <w:lang w:val="en-IE" w:eastAsia="en-IE"/>
              </w:rPr>
              <w:t> </w:t>
            </w:r>
            <w:r w:rsidRPr="00BF051B">
              <w:rPr>
                <w:rFonts w:ascii="Aptos Narrow" w:hAnsi="Aptos Narrow"/>
                <w:noProof/>
                <w:color w:val="000000"/>
                <w:szCs w:val="22"/>
                <w:lang w:val="en-IE" w:eastAsia="en-IE"/>
              </w:rPr>
              <w:t>919</w:t>
            </w:r>
          </w:p>
        </w:tc>
        <w:tc>
          <w:tcPr>
            <w:tcW w:w="867" w:type="dxa"/>
            <w:tcBorders>
              <w:top w:val="nil"/>
              <w:left w:val="nil"/>
              <w:bottom w:val="nil"/>
              <w:right w:val="single" w:sz="4" w:space="0" w:color="auto"/>
            </w:tcBorders>
            <w:noWrap/>
            <w:vAlign w:val="bottom"/>
            <w:hideMark/>
          </w:tcPr>
          <w:p w14:paraId="7EAB5789" w14:textId="7F3BC3A6"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1</w:t>
            </w:r>
            <w:r w:rsidR="003A567C">
              <w:rPr>
                <w:rFonts w:ascii="Aptos Narrow" w:hAnsi="Aptos Narrow"/>
                <w:noProof/>
                <w:color w:val="000000"/>
                <w:szCs w:val="22"/>
                <w:lang w:val="en-IE" w:eastAsia="en-IE"/>
              </w:rPr>
              <w:t> </w:t>
            </w:r>
            <w:r w:rsidRPr="00BF051B">
              <w:rPr>
                <w:rFonts w:ascii="Aptos Narrow" w:hAnsi="Aptos Narrow"/>
                <w:noProof/>
                <w:color w:val="000000"/>
                <w:szCs w:val="22"/>
                <w:lang w:val="en-IE" w:eastAsia="en-IE"/>
              </w:rPr>
              <w:t>082.3</w:t>
            </w:r>
          </w:p>
        </w:tc>
        <w:tc>
          <w:tcPr>
            <w:tcW w:w="939" w:type="dxa"/>
            <w:tcBorders>
              <w:top w:val="nil"/>
              <w:left w:val="nil"/>
              <w:bottom w:val="nil"/>
              <w:right w:val="single" w:sz="4" w:space="0" w:color="auto"/>
            </w:tcBorders>
            <w:shd w:val="clear" w:color="000000" w:fill="FFFFFF"/>
            <w:noWrap/>
            <w:vAlign w:val="bottom"/>
            <w:hideMark/>
          </w:tcPr>
          <w:p w14:paraId="0E4A0F45" w14:textId="77777777" w:rsidR="00BF051B" w:rsidRPr="00BF051B" w:rsidRDefault="00BF051B" w:rsidP="00BF051B">
            <w:pPr>
              <w:spacing w:after="0" w:line="240" w:lineRule="auto"/>
              <w:jc w:val="right"/>
              <w:rPr>
                <w:rFonts w:ascii="Aptos Narrow" w:hAnsi="Aptos Narrow"/>
                <w:noProof/>
                <w:color w:val="000000"/>
                <w:szCs w:val="22"/>
                <w:lang w:val="en-IE" w:eastAsia="en-IE"/>
              </w:rPr>
            </w:pPr>
            <w:r w:rsidRPr="00BF051B">
              <w:rPr>
                <w:rFonts w:ascii="Aptos Narrow" w:hAnsi="Aptos Narrow"/>
                <w:noProof/>
                <w:color w:val="000000"/>
                <w:szCs w:val="22"/>
                <w:lang w:val="en-IE" w:eastAsia="en-IE"/>
              </w:rPr>
              <w:t>0.61%</w:t>
            </w:r>
          </w:p>
        </w:tc>
      </w:tr>
      <w:tr w:rsidR="00BF051B" w:rsidRPr="003A567C" w14:paraId="7988C4C5" w14:textId="77777777" w:rsidTr="00335898">
        <w:trPr>
          <w:gridAfter w:val="2"/>
          <w:wAfter w:w="25" w:type="dxa"/>
          <w:trHeight w:val="300"/>
        </w:trPr>
        <w:tc>
          <w:tcPr>
            <w:tcW w:w="4815" w:type="dxa"/>
            <w:tcBorders>
              <w:top w:val="nil"/>
              <w:left w:val="single" w:sz="4" w:space="0" w:color="auto"/>
              <w:bottom w:val="nil"/>
              <w:right w:val="single" w:sz="4" w:space="0" w:color="auto"/>
            </w:tcBorders>
            <w:shd w:val="clear" w:color="000000" w:fill="D9D9D9"/>
            <w:noWrap/>
            <w:vAlign w:val="bottom"/>
            <w:hideMark/>
          </w:tcPr>
          <w:p w14:paraId="744C0E21" w14:textId="77777777" w:rsidR="00BF051B" w:rsidRPr="003A567C" w:rsidRDefault="00BF051B" w:rsidP="00BF051B">
            <w:pPr>
              <w:spacing w:after="0" w:line="240" w:lineRule="auto"/>
              <w:ind w:firstLineChars="100" w:firstLine="181"/>
              <w:jc w:val="left"/>
              <w:rPr>
                <w:rFonts w:ascii="Aptos Narrow" w:hAnsi="Aptos Narrow"/>
                <w:b/>
                <w:bCs/>
                <w:noProof/>
                <w:color w:val="000000"/>
                <w:sz w:val="18"/>
                <w:szCs w:val="18"/>
                <w:lang w:val="en-IE" w:eastAsia="en-IE"/>
              </w:rPr>
            </w:pPr>
            <w:r w:rsidRPr="003A567C">
              <w:rPr>
                <w:rFonts w:ascii="Aptos Narrow" w:hAnsi="Aptos Narrow"/>
                <w:b/>
                <w:bCs/>
                <w:noProof/>
                <w:color w:val="000000"/>
                <w:sz w:val="18"/>
                <w:szCs w:val="18"/>
                <w:lang w:val="en-IE" w:eastAsia="en-IE"/>
              </w:rPr>
              <w:t>Shared management</w:t>
            </w:r>
          </w:p>
        </w:tc>
        <w:tc>
          <w:tcPr>
            <w:tcW w:w="858" w:type="dxa"/>
            <w:tcBorders>
              <w:top w:val="nil"/>
              <w:left w:val="nil"/>
              <w:bottom w:val="nil"/>
              <w:right w:val="nil"/>
            </w:tcBorders>
            <w:shd w:val="clear" w:color="000000" w:fill="D9D9D9"/>
            <w:noWrap/>
            <w:vAlign w:val="bottom"/>
            <w:hideMark/>
          </w:tcPr>
          <w:p w14:paraId="24C70D23" w14:textId="1634485D"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7</w:t>
            </w:r>
            <w:r w:rsidR="003A567C">
              <w:rPr>
                <w:rFonts w:ascii="Aptos Narrow" w:hAnsi="Aptos Narrow"/>
                <w:noProof/>
                <w:color w:val="000000"/>
                <w:sz w:val="18"/>
                <w:szCs w:val="18"/>
                <w:lang w:val="en-IE" w:eastAsia="en-IE"/>
              </w:rPr>
              <w:t> </w:t>
            </w:r>
            <w:r w:rsidRPr="003A567C">
              <w:rPr>
                <w:rFonts w:ascii="Aptos Narrow" w:hAnsi="Aptos Narrow"/>
                <w:noProof/>
                <w:color w:val="000000"/>
                <w:sz w:val="18"/>
                <w:szCs w:val="18"/>
                <w:lang w:val="en-IE" w:eastAsia="en-IE"/>
              </w:rPr>
              <w:t>821</w:t>
            </w:r>
          </w:p>
        </w:tc>
        <w:tc>
          <w:tcPr>
            <w:tcW w:w="985" w:type="dxa"/>
            <w:tcBorders>
              <w:top w:val="nil"/>
              <w:left w:val="single" w:sz="4" w:space="0" w:color="auto"/>
              <w:bottom w:val="nil"/>
              <w:right w:val="single" w:sz="4" w:space="0" w:color="auto"/>
            </w:tcBorders>
            <w:shd w:val="clear" w:color="000000" w:fill="D9D9D9"/>
            <w:noWrap/>
            <w:vAlign w:val="bottom"/>
            <w:hideMark/>
          </w:tcPr>
          <w:p w14:paraId="034FC904" w14:textId="27E2BE3F"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1</w:t>
            </w:r>
            <w:r w:rsidR="003A567C">
              <w:rPr>
                <w:rFonts w:ascii="Aptos Narrow" w:hAnsi="Aptos Narrow"/>
                <w:noProof/>
                <w:color w:val="000000"/>
                <w:sz w:val="18"/>
                <w:szCs w:val="18"/>
                <w:lang w:val="en-IE" w:eastAsia="en-IE"/>
              </w:rPr>
              <w:t> </w:t>
            </w:r>
            <w:r w:rsidRPr="003A567C">
              <w:rPr>
                <w:rFonts w:ascii="Aptos Narrow" w:hAnsi="Aptos Narrow"/>
                <w:noProof/>
                <w:color w:val="000000"/>
                <w:sz w:val="18"/>
                <w:szCs w:val="18"/>
                <w:lang w:val="en-IE" w:eastAsia="en-IE"/>
              </w:rPr>
              <w:t>174</w:t>
            </w:r>
          </w:p>
        </w:tc>
        <w:tc>
          <w:tcPr>
            <w:tcW w:w="939" w:type="dxa"/>
            <w:tcBorders>
              <w:top w:val="nil"/>
              <w:left w:val="nil"/>
              <w:bottom w:val="nil"/>
              <w:right w:val="single" w:sz="4" w:space="0" w:color="auto"/>
            </w:tcBorders>
            <w:shd w:val="clear" w:color="000000" w:fill="FFFFFF"/>
            <w:noWrap/>
            <w:vAlign w:val="bottom"/>
            <w:hideMark/>
          </w:tcPr>
          <w:p w14:paraId="26DF5501"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0.90%</w:t>
            </w:r>
          </w:p>
        </w:tc>
        <w:tc>
          <w:tcPr>
            <w:tcW w:w="721" w:type="dxa"/>
            <w:gridSpan w:val="2"/>
            <w:tcBorders>
              <w:top w:val="nil"/>
              <w:left w:val="nil"/>
              <w:bottom w:val="nil"/>
              <w:right w:val="single" w:sz="4" w:space="0" w:color="auto"/>
            </w:tcBorders>
            <w:shd w:val="clear" w:color="000000" w:fill="D9D9D9"/>
            <w:noWrap/>
            <w:vAlign w:val="bottom"/>
            <w:hideMark/>
          </w:tcPr>
          <w:p w14:paraId="60CCC3D5"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640</w:t>
            </w:r>
          </w:p>
        </w:tc>
        <w:tc>
          <w:tcPr>
            <w:tcW w:w="918" w:type="dxa"/>
            <w:tcBorders>
              <w:top w:val="nil"/>
              <w:left w:val="nil"/>
              <w:bottom w:val="nil"/>
              <w:right w:val="single" w:sz="4" w:space="0" w:color="auto"/>
            </w:tcBorders>
            <w:shd w:val="clear" w:color="000000" w:fill="D9D9D9"/>
            <w:noWrap/>
            <w:vAlign w:val="bottom"/>
            <w:hideMark/>
          </w:tcPr>
          <w:p w14:paraId="2A81A343"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183</w:t>
            </w:r>
          </w:p>
        </w:tc>
        <w:tc>
          <w:tcPr>
            <w:tcW w:w="939" w:type="dxa"/>
            <w:tcBorders>
              <w:top w:val="nil"/>
              <w:left w:val="nil"/>
              <w:bottom w:val="nil"/>
              <w:right w:val="single" w:sz="4" w:space="0" w:color="auto"/>
            </w:tcBorders>
            <w:shd w:val="clear" w:color="000000" w:fill="FFFFFF"/>
            <w:noWrap/>
            <w:vAlign w:val="bottom"/>
            <w:hideMark/>
          </w:tcPr>
          <w:p w14:paraId="4A6115DC"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8.2%</w:t>
            </w:r>
          </w:p>
        </w:tc>
        <w:tc>
          <w:tcPr>
            <w:tcW w:w="939" w:type="dxa"/>
            <w:tcBorders>
              <w:top w:val="nil"/>
              <w:left w:val="nil"/>
              <w:bottom w:val="nil"/>
              <w:right w:val="single" w:sz="4" w:space="0" w:color="auto"/>
            </w:tcBorders>
            <w:shd w:val="clear" w:color="000000" w:fill="FFFFFF"/>
            <w:noWrap/>
            <w:vAlign w:val="bottom"/>
            <w:hideMark/>
          </w:tcPr>
          <w:p w14:paraId="09906E92"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15.6%</w:t>
            </w:r>
          </w:p>
        </w:tc>
        <w:tc>
          <w:tcPr>
            <w:tcW w:w="1048" w:type="dxa"/>
            <w:tcBorders>
              <w:top w:val="nil"/>
              <w:left w:val="nil"/>
              <w:bottom w:val="nil"/>
              <w:right w:val="single" w:sz="4" w:space="0" w:color="auto"/>
            </w:tcBorders>
            <w:shd w:val="clear" w:color="000000" w:fill="FFFFFF"/>
            <w:noWrap/>
            <w:vAlign w:val="bottom"/>
            <w:hideMark/>
          </w:tcPr>
          <w:p w14:paraId="04EE7BC2"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0.14%</w:t>
            </w:r>
          </w:p>
        </w:tc>
        <w:tc>
          <w:tcPr>
            <w:tcW w:w="858" w:type="dxa"/>
            <w:gridSpan w:val="2"/>
            <w:tcBorders>
              <w:top w:val="nil"/>
              <w:left w:val="nil"/>
              <w:bottom w:val="nil"/>
              <w:right w:val="single" w:sz="4" w:space="0" w:color="auto"/>
            </w:tcBorders>
            <w:shd w:val="clear" w:color="000000" w:fill="D9D9D9"/>
            <w:noWrap/>
            <w:vAlign w:val="bottom"/>
            <w:hideMark/>
          </w:tcPr>
          <w:p w14:paraId="4C0E751A" w14:textId="38AD96B6"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7</w:t>
            </w:r>
            <w:r w:rsidR="003A567C">
              <w:rPr>
                <w:rFonts w:ascii="Aptos Narrow" w:hAnsi="Aptos Narrow"/>
                <w:noProof/>
                <w:color w:val="000000"/>
                <w:sz w:val="18"/>
                <w:szCs w:val="18"/>
                <w:lang w:val="en-IE" w:eastAsia="en-IE"/>
              </w:rPr>
              <w:t> </w:t>
            </w:r>
            <w:r w:rsidRPr="003A567C">
              <w:rPr>
                <w:rFonts w:ascii="Aptos Narrow" w:hAnsi="Aptos Narrow"/>
                <w:noProof/>
                <w:color w:val="000000"/>
                <w:sz w:val="18"/>
                <w:szCs w:val="18"/>
                <w:lang w:val="en-IE" w:eastAsia="en-IE"/>
              </w:rPr>
              <w:t>181</w:t>
            </w:r>
          </w:p>
        </w:tc>
        <w:tc>
          <w:tcPr>
            <w:tcW w:w="867" w:type="dxa"/>
            <w:tcBorders>
              <w:top w:val="nil"/>
              <w:left w:val="nil"/>
              <w:bottom w:val="nil"/>
              <w:right w:val="single" w:sz="4" w:space="0" w:color="auto"/>
            </w:tcBorders>
            <w:shd w:val="clear" w:color="000000" w:fill="D9D9D9"/>
            <w:noWrap/>
            <w:vAlign w:val="bottom"/>
            <w:hideMark/>
          </w:tcPr>
          <w:p w14:paraId="61AF460D"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991</w:t>
            </w:r>
          </w:p>
        </w:tc>
        <w:tc>
          <w:tcPr>
            <w:tcW w:w="939" w:type="dxa"/>
            <w:tcBorders>
              <w:top w:val="nil"/>
              <w:left w:val="nil"/>
              <w:bottom w:val="nil"/>
              <w:right w:val="single" w:sz="4" w:space="0" w:color="auto"/>
            </w:tcBorders>
            <w:shd w:val="clear" w:color="000000" w:fill="FFFFFF"/>
            <w:noWrap/>
            <w:vAlign w:val="bottom"/>
            <w:hideMark/>
          </w:tcPr>
          <w:p w14:paraId="1C1F583C"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0.76%</w:t>
            </w:r>
          </w:p>
        </w:tc>
      </w:tr>
      <w:tr w:rsidR="00BF051B" w:rsidRPr="003A567C" w14:paraId="544FD43B" w14:textId="77777777" w:rsidTr="00335898">
        <w:trPr>
          <w:gridAfter w:val="2"/>
          <w:wAfter w:w="25" w:type="dxa"/>
          <w:trHeight w:val="300"/>
        </w:trPr>
        <w:tc>
          <w:tcPr>
            <w:tcW w:w="4815" w:type="dxa"/>
            <w:tcBorders>
              <w:top w:val="nil"/>
              <w:left w:val="single" w:sz="4" w:space="0" w:color="auto"/>
              <w:bottom w:val="nil"/>
              <w:right w:val="single" w:sz="4" w:space="0" w:color="auto"/>
            </w:tcBorders>
            <w:shd w:val="clear" w:color="000000" w:fill="D9D9D9"/>
            <w:noWrap/>
            <w:vAlign w:val="bottom"/>
            <w:hideMark/>
          </w:tcPr>
          <w:p w14:paraId="0EF1A4A4" w14:textId="77777777" w:rsidR="00BF051B" w:rsidRPr="003A567C" w:rsidRDefault="00BF051B" w:rsidP="00BF051B">
            <w:pPr>
              <w:spacing w:after="0" w:line="240" w:lineRule="auto"/>
              <w:ind w:firstLineChars="200" w:firstLine="36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Agriculture</w:t>
            </w:r>
          </w:p>
        </w:tc>
        <w:tc>
          <w:tcPr>
            <w:tcW w:w="858" w:type="dxa"/>
            <w:tcBorders>
              <w:top w:val="nil"/>
              <w:left w:val="nil"/>
              <w:bottom w:val="nil"/>
              <w:right w:val="nil"/>
            </w:tcBorders>
            <w:shd w:val="clear" w:color="000000" w:fill="D9D9D9"/>
            <w:noWrap/>
            <w:vAlign w:val="bottom"/>
            <w:hideMark/>
          </w:tcPr>
          <w:p w14:paraId="6745F0C8" w14:textId="7E5F1D92"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4</w:t>
            </w:r>
            <w:r w:rsidR="003A567C">
              <w:rPr>
                <w:rFonts w:ascii="Aptos Narrow" w:hAnsi="Aptos Narrow"/>
                <w:i/>
                <w:iCs/>
                <w:noProof/>
                <w:color w:val="000000"/>
                <w:sz w:val="18"/>
                <w:szCs w:val="18"/>
                <w:lang w:val="en-IE" w:eastAsia="en-IE"/>
              </w:rPr>
              <w:t> </w:t>
            </w:r>
            <w:r w:rsidRPr="003A567C">
              <w:rPr>
                <w:rFonts w:ascii="Aptos Narrow" w:hAnsi="Aptos Narrow"/>
                <w:i/>
                <w:iCs/>
                <w:noProof/>
                <w:color w:val="000000"/>
                <w:sz w:val="18"/>
                <w:szCs w:val="18"/>
                <w:lang w:val="en-IE" w:eastAsia="en-IE"/>
              </w:rPr>
              <w:t>272</w:t>
            </w:r>
          </w:p>
        </w:tc>
        <w:tc>
          <w:tcPr>
            <w:tcW w:w="985" w:type="dxa"/>
            <w:tcBorders>
              <w:top w:val="nil"/>
              <w:left w:val="single" w:sz="4" w:space="0" w:color="auto"/>
              <w:bottom w:val="nil"/>
              <w:right w:val="single" w:sz="4" w:space="0" w:color="auto"/>
            </w:tcBorders>
            <w:shd w:val="clear" w:color="000000" w:fill="D9D9D9"/>
            <w:noWrap/>
            <w:vAlign w:val="bottom"/>
            <w:hideMark/>
          </w:tcPr>
          <w:p w14:paraId="01331442"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264.5</w:t>
            </w:r>
          </w:p>
        </w:tc>
        <w:tc>
          <w:tcPr>
            <w:tcW w:w="939" w:type="dxa"/>
            <w:tcBorders>
              <w:top w:val="nil"/>
              <w:left w:val="nil"/>
              <w:bottom w:val="nil"/>
              <w:right w:val="single" w:sz="4" w:space="0" w:color="auto"/>
            </w:tcBorders>
            <w:shd w:val="clear" w:color="000000" w:fill="FFFFFF"/>
            <w:noWrap/>
            <w:vAlign w:val="bottom"/>
            <w:hideMark/>
          </w:tcPr>
          <w:p w14:paraId="1F9CD529"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0.46%</w:t>
            </w:r>
          </w:p>
        </w:tc>
        <w:tc>
          <w:tcPr>
            <w:tcW w:w="721" w:type="dxa"/>
            <w:gridSpan w:val="2"/>
            <w:tcBorders>
              <w:top w:val="nil"/>
              <w:left w:val="nil"/>
              <w:bottom w:val="nil"/>
              <w:right w:val="single" w:sz="4" w:space="0" w:color="auto"/>
            </w:tcBorders>
            <w:shd w:val="clear" w:color="000000" w:fill="D9D9D9"/>
            <w:noWrap/>
            <w:vAlign w:val="bottom"/>
            <w:hideMark/>
          </w:tcPr>
          <w:p w14:paraId="5EAA4DAD"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295</w:t>
            </w:r>
          </w:p>
        </w:tc>
        <w:tc>
          <w:tcPr>
            <w:tcW w:w="918" w:type="dxa"/>
            <w:tcBorders>
              <w:top w:val="nil"/>
              <w:left w:val="nil"/>
              <w:bottom w:val="nil"/>
              <w:right w:val="single" w:sz="4" w:space="0" w:color="auto"/>
            </w:tcBorders>
            <w:shd w:val="clear" w:color="000000" w:fill="D9D9D9"/>
            <w:noWrap/>
            <w:vAlign w:val="bottom"/>
            <w:hideMark/>
          </w:tcPr>
          <w:p w14:paraId="4672CBA3"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21.8</w:t>
            </w:r>
          </w:p>
        </w:tc>
        <w:tc>
          <w:tcPr>
            <w:tcW w:w="939" w:type="dxa"/>
            <w:tcBorders>
              <w:top w:val="nil"/>
              <w:left w:val="nil"/>
              <w:bottom w:val="nil"/>
              <w:right w:val="single" w:sz="4" w:space="0" w:color="auto"/>
            </w:tcBorders>
            <w:shd w:val="clear" w:color="000000" w:fill="FFFFFF"/>
            <w:noWrap/>
            <w:vAlign w:val="bottom"/>
            <w:hideMark/>
          </w:tcPr>
          <w:p w14:paraId="3CFB1005"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6.9%</w:t>
            </w:r>
          </w:p>
        </w:tc>
        <w:tc>
          <w:tcPr>
            <w:tcW w:w="939" w:type="dxa"/>
            <w:tcBorders>
              <w:top w:val="nil"/>
              <w:left w:val="nil"/>
              <w:bottom w:val="nil"/>
              <w:right w:val="single" w:sz="4" w:space="0" w:color="auto"/>
            </w:tcBorders>
            <w:shd w:val="clear" w:color="000000" w:fill="FFFFFF"/>
            <w:noWrap/>
            <w:vAlign w:val="bottom"/>
            <w:hideMark/>
          </w:tcPr>
          <w:p w14:paraId="06A26790"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8.2%</w:t>
            </w:r>
          </w:p>
        </w:tc>
        <w:tc>
          <w:tcPr>
            <w:tcW w:w="1048" w:type="dxa"/>
            <w:tcBorders>
              <w:top w:val="nil"/>
              <w:left w:val="nil"/>
              <w:bottom w:val="nil"/>
              <w:right w:val="single" w:sz="4" w:space="0" w:color="auto"/>
            </w:tcBorders>
            <w:shd w:val="clear" w:color="000000" w:fill="FFFFFF"/>
            <w:noWrap/>
            <w:vAlign w:val="bottom"/>
            <w:hideMark/>
          </w:tcPr>
          <w:p w14:paraId="1F6BA754"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0.04%</w:t>
            </w:r>
          </w:p>
        </w:tc>
        <w:tc>
          <w:tcPr>
            <w:tcW w:w="858" w:type="dxa"/>
            <w:gridSpan w:val="2"/>
            <w:tcBorders>
              <w:top w:val="nil"/>
              <w:left w:val="nil"/>
              <w:bottom w:val="nil"/>
              <w:right w:val="single" w:sz="4" w:space="0" w:color="auto"/>
            </w:tcBorders>
            <w:shd w:val="clear" w:color="000000" w:fill="D9D9D9"/>
            <w:noWrap/>
            <w:vAlign w:val="bottom"/>
            <w:hideMark/>
          </w:tcPr>
          <w:p w14:paraId="7FFEF4D7" w14:textId="3786A68C"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3</w:t>
            </w:r>
            <w:r w:rsidR="003A567C">
              <w:rPr>
                <w:rFonts w:ascii="Aptos Narrow" w:hAnsi="Aptos Narrow"/>
                <w:i/>
                <w:iCs/>
                <w:noProof/>
                <w:color w:val="000000"/>
                <w:sz w:val="18"/>
                <w:szCs w:val="18"/>
                <w:lang w:val="en-IE" w:eastAsia="en-IE"/>
              </w:rPr>
              <w:t> </w:t>
            </w:r>
            <w:r w:rsidRPr="003A567C">
              <w:rPr>
                <w:rFonts w:ascii="Aptos Narrow" w:hAnsi="Aptos Narrow"/>
                <w:i/>
                <w:iCs/>
                <w:noProof/>
                <w:color w:val="000000"/>
                <w:sz w:val="18"/>
                <w:szCs w:val="18"/>
                <w:lang w:val="en-IE" w:eastAsia="en-IE"/>
              </w:rPr>
              <w:t>977</w:t>
            </w:r>
          </w:p>
        </w:tc>
        <w:tc>
          <w:tcPr>
            <w:tcW w:w="867" w:type="dxa"/>
            <w:tcBorders>
              <w:top w:val="nil"/>
              <w:left w:val="nil"/>
              <w:bottom w:val="nil"/>
              <w:right w:val="single" w:sz="4" w:space="0" w:color="auto"/>
            </w:tcBorders>
            <w:shd w:val="clear" w:color="000000" w:fill="D9D9D9"/>
            <w:noWrap/>
            <w:vAlign w:val="bottom"/>
            <w:hideMark/>
          </w:tcPr>
          <w:p w14:paraId="7303C633"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242.7</w:t>
            </w:r>
          </w:p>
        </w:tc>
        <w:tc>
          <w:tcPr>
            <w:tcW w:w="939" w:type="dxa"/>
            <w:tcBorders>
              <w:top w:val="nil"/>
              <w:left w:val="nil"/>
              <w:bottom w:val="nil"/>
              <w:right w:val="single" w:sz="4" w:space="0" w:color="auto"/>
            </w:tcBorders>
            <w:shd w:val="clear" w:color="000000" w:fill="FFFFFF"/>
            <w:noWrap/>
            <w:vAlign w:val="bottom"/>
            <w:hideMark/>
          </w:tcPr>
          <w:p w14:paraId="72D79A85"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0.42%</w:t>
            </w:r>
          </w:p>
        </w:tc>
      </w:tr>
      <w:tr w:rsidR="00BF051B" w:rsidRPr="003A567C" w14:paraId="47D5D6E3" w14:textId="77777777" w:rsidTr="00335898">
        <w:trPr>
          <w:gridAfter w:val="2"/>
          <w:wAfter w:w="25" w:type="dxa"/>
          <w:trHeight w:val="300"/>
        </w:trPr>
        <w:tc>
          <w:tcPr>
            <w:tcW w:w="4815" w:type="dxa"/>
            <w:tcBorders>
              <w:top w:val="nil"/>
              <w:left w:val="single" w:sz="4" w:space="0" w:color="auto"/>
              <w:bottom w:val="nil"/>
              <w:right w:val="single" w:sz="4" w:space="0" w:color="auto"/>
            </w:tcBorders>
            <w:shd w:val="clear" w:color="000000" w:fill="D9D9D9"/>
            <w:noWrap/>
            <w:vAlign w:val="bottom"/>
            <w:hideMark/>
          </w:tcPr>
          <w:p w14:paraId="158DB547" w14:textId="77777777" w:rsidR="00BF051B" w:rsidRPr="003A567C" w:rsidRDefault="00BF051B" w:rsidP="00BF051B">
            <w:pPr>
              <w:spacing w:after="0" w:line="240" w:lineRule="auto"/>
              <w:ind w:firstLineChars="200" w:firstLine="36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Cohesion and Fisheries</w:t>
            </w:r>
          </w:p>
        </w:tc>
        <w:tc>
          <w:tcPr>
            <w:tcW w:w="858" w:type="dxa"/>
            <w:tcBorders>
              <w:top w:val="nil"/>
              <w:left w:val="nil"/>
              <w:bottom w:val="nil"/>
              <w:right w:val="nil"/>
            </w:tcBorders>
            <w:shd w:val="clear" w:color="000000" w:fill="D9D9D9"/>
            <w:noWrap/>
            <w:vAlign w:val="bottom"/>
            <w:hideMark/>
          </w:tcPr>
          <w:p w14:paraId="78701019" w14:textId="57721BB9"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3</w:t>
            </w:r>
            <w:r w:rsidR="003A567C">
              <w:rPr>
                <w:rFonts w:ascii="Aptos Narrow" w:hAnsi="Aptos Narrow"/>
                <w:i/>
                <w:iCs/>
                <w:noProof/>
                <w:color w:val="000000"/>
                <w:sz w:val="18"/>
                <w:szCs w:val="18"/>
                <w:lang w:val="en-IE" w:eastAsia="en-IE"/>
              </w:rPr>
              <w:t> </w:t>
            </w:r>
            <w:r w:rsidRPr="003A567C">
              <w:rPr>
                <w:rFonts w:ascii="Aptos Narrow" w:hAnsi="Aptos Narrow"/>
                <w:i/>
                <w:iCs/>
                <w:noProof/>
                <w:color w:val="000000"/>
                <w:sz w:val="18"/>
                <w:szCs w:val="18"/>
                <w:lang w:val="en-IE" w:eastAsia="en-IE"/>
              </w:rPr>
              <w:t>489</w:t>
            </w:r>
          </w:p>
        </w:tc>
        <w:tc>
          <w:tcPr>
            <w:tcW w:w="985" w:type="dxa"/>
            <w:tcBorders>
              <w:top w:val="nil"/>
              <w:left w:val="single" w:sz="4" w:space="0" w:color="auto"/>
              <w:bottom w:val="nil"/>
              <w:right w:val="single" w:sz="4" w:space="0" w:color="auto"/>
            </w:tcBorders>
            <w:shd w:val="clear" w:color="000000" w:fill="D9D9D9"/>
            <w:noWrap/>
            <w:vAlign w:val="bottom"/>
            <w:hideMark/>
          </w:tcPr>
          <w:p w14:paraId="7E268ED5"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899.2</w:t>
            </w:r>
          </w:p>
        </w:tc>
        <w:tc>
          <w:tcPr>
            <w:tcW w:w="939" w:type="dxa"/>
            <w:tcBorders>
              <w:top w:val="nil"/>
              <w:left w:val="nil"/>
              <w:bottom w:val="nil"/>
              <w:right w:val="single" w:sz="4" w:space="0" w:color="auto"/>
            </w:tcBorders>
            <w:shd w:val="clear" w:color="000000" w:fill="FFFFFF"/>
            <w:noWrap/>
            <w:vAlign w:val="bottom"/>
            <w:hideMark/>
          </w:tcPr>
          <w:p w14:paraId="2842760B"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1.37%</w:t>
            </w:r>
          </w:p>
        </w:tc>
        <w:tc>
          <w:tcPr>
            <w:tcW w:w="721" w:type="dxa"/>
            <w:gridSpan w:val="2"/>
            <w:tcBorders>
              <w:top w:val="nil"/>
              <w:left w:val="nil"/>
              <w:bottom w:val="nil"/>
              <w:right w:val="single" w:sz="4" w:space="0" w:color="auto"/>
            </w:tcBorders>
            <w:shd w:val="clear" w:color="000000" w:fill="D9D9D9"/>
            <w:noWrap/>
            <w:vAlign w:val="bottom"/>
            <w:hideMark/>
          </w:tcPr>
          <w:p w14:paraId="18B756CB"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337</w:t>
            </w:r>
          </w:p>
        </w:tc>
        <w:tc>
          <w:tcPr>
            <w:tcW w:w="918" w:type="dxa"/>
            <w:tcBorders>
              <w:top w:val="nil"/>
              <w:left w:val="nil"/>
              <w:bottom w:val="nil"/>
              <w:right w:val="single" w:sz="4" w:space="0" w:color="auto"/>
            </w:tcBorders>
            <w:shd w:val="clear" w:color="000000" w:fill="D9D9D9"/>
            <w:noWrap/>
            <w:vAlign w:val="bottom"/>
            <w:hideMark/>
          </w:tcPr>
          <w:p w14:paraId="4C897892"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160.6</w:t>
            </w:r>
          </w:p>
        </w:tc>
        <w:tc>
          <w:tcPr>
            <w:tcW w:w="939" w:type="dxa"/>
            <w:tcBorders>
              <w:top w:val="nil"/>
              <w:left w:val="nil"/>
              <w:bottom w:val="nil"/>
              <w:right w:val="single" w:sz="4" w:space="0" w:color="auto"/>
            </w:tcBorders>
            <w:shd w:val="clear" w:color="000000" w:fill="FFFFFF"/>
            <w:noWrap/>
            <w:vAlign w:val="bottom"/>
            <w:hideMark/>
          </w:tcPr>
          <w:p w14:paraId="50E3562D"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9.7%</w:t>
            </w:r>
          </w:p>
        </w:tc>
        <w:tc>
          <w:tcPr>
            <w:tcW w:w="939" w:type="dxa"/>
            <w:tcBorders>
              <w:top w:val="nil"/>
              <w:left w:val="nil"/>
              <w:bottom w:val="nil"/>
              <w:right w:val="single" w:sz="4" w:space="0" w:color="auto"/>
            </w:tcBorders>
            <w:shd w:val="clear" w:color="000000" w:fill="FFFFFF"/>
            <w:noWrap/>
            <w:vAlign w:val="bottom"/>
            <w:hideMark/>
          </w:tcPr>
          <w:p w14:paraId="3C6DCDB8"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17.9%</w:t>
            </w:r>
          </w:p>
        </w:tc>
        <w:tc>
          <w:tcPr>
            <w:tcW w:w="1048" w:type="dxa"/>
            <w:tcBorders>
              <w:top w:val="nil"/>
              <w:left w:val="nil"/>
              <w:bottom w:val="nil"/>
              <w:right w:val="single" w:sz="4" w:space="0" w:color="auto"/>
            </w:tcBorders>
            <w:shd w:val="clear" w:color="000000" w:fill="FFFFFF"/>
            <w:noWrap/>
            <w:vAlign w:val="bottom"/>
            <w:hideMark/>
          </w:tcPr>
          <w:p w14:paraId="5B79EFB9"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0.24%</w:t>
            </w:r>
          </w:p>
        </w:tc>
        <w:tc>
          <w:tcPr>
            <w:tcW w:w="858" w:type="dxa"/>
            <w:gridSpan w:val="2"/>
            <w:tcBorders>
              <w:top w:val="nil"/>
              <w:left w:val="nil"/>
              <w:bottom w:val="nil"/>
              <w:right w:val="single" w:sz="4" w:space="0" w:color="auto"/>
            </w:tcBorders>
            <w:shd w:val="clear" w:color="000000" w:fill="D9D9D9"/>
            <w:noWrap/>
            <w:vAlign w:val="bottom"/>
            <w:hideMark/>
          </w:tcPr>
          <w:p w14:paraId="6FEE6AEA" w14:textId="0D1DF5C3"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3</w:t>
            </w:r>
            <w:r w:rsidR="003A567C">
              <w:rPr>
                <w:rFonts w:ascii="Aptos Narrow" w:hAnsi="Aptos Narrow"/>
                <w:i/>
                <w:iCs/>
                <w:noProof/>
                <w:color w:val="000000"/>
                <w:sz w:val="18"/>
                <w:szCs w:val="18"/>
                <w:lang w:val="en-IE" w:eastAsia="en-IE"/>
              </w:rPr>
              <w:t> </w:t>
            </w:r>
            <w:r w:rsidRPr="003A567C">
              <w:rPr>
                <w:rFonts w:ascii="Aptos Narrow" w:hAnsi="Aptos Narrow"/>
                <w:i/>
                <w:iCs/>
                <w:noProof/>
                <w:color w:val="000000"/>
                <w:sz w:val="18"/>
                <w:szCs w:val="18"/>
                <w:lang w:val="en-IE" w:eastAsia="en-IE"/>
              </w:rPr>
              <w:t>152</w:t>
            </w:r>
          </w:p>
        </w:tc>
        <w:tc>
          <w:tcPr>
            <w:tcW w:w="867" w:type="dxa"/>
            <w:tcBorders>
              <w:top w:val="nil"/>
              <w:left w:val="nil"/>
              <w:bottom w:val="nil"/>
              <w:right w:val="single" w:sz="4" w:space="0" w:color="auto"/>
            </w:tcBorders>
            <w:shd w:val="clear" w:color="000000" w:fill="D9D9D9"/>
            <w:noWrap/>
            <w:vAlign w:val="bottom"/>
            <w:hideMark/>
          </w:tcPr>
          <w:p w14:paraId="288883A0"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738.6</w:t>
            </w:r>
          </w:p>
        </w:tc>
        <w:tc>
          <w:tcPr>
            <w:tcW w:w="939" w:type="dxa"/>
            <w:tcBorders>
              <w:top w:val="nil"/>
              <w:left w:val="nil"/>
              <w:bottom w:val="nil"/>
              <w:right w:val="single" w:sz="4" w:space="0" w:color="auto"/>
            </w:tcBorders>
            <w:shd w:val="clear" w:color="000000" w:fill="FFFFFF"/>
            <w:noWrap/>
            <w:vAlign w:val="bottom"/>
            <w:hideMark/>
          </w:tcPr>
          <w:p w14:paraId="182E6B44"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1.13%</w:t>
            </w:r>
          </w:p>
        </w:tc>
      </w:tr>
      <w:tr w:rsidR="00BF051B" w:rsidRPr="003A567C" w14:paraId="04F525BC" w14:textId="77777777" w:rsidTr="00335898">
        <w:trPr>
          <w:gridAfter w:val="2"/>
          <w:wAfter w:w="25" w:type="dxa"/>
          <w:trHeight w:val="300"/>
        </w:trPr>
        <w:tc>
          <w:tcPr>
            <w:tcW w:w="4815" w:type="dxa"/>
            <w:tcBorders>
              <w:top w:val="nil"/>
              <w:left w:val="single" w:sz="4" w:space="0" w:color="auto"/>
              <w:bottom w:val="nil"/>
              <w:right w:val="single" w:sz="4" w:space="0" w:color="auto"/>
            </w:tcBorders>
            <w:shd w:val="clear" w:color="000000" w:fill="D9D9D9"/>
            <w:noWrap/>
            <w:vAlign w:val="bottom"/>
            <w:hideMark/>
          </w:tcPr>
          <w:p w14:paraId="71A18B5E" w14:textId="77777777" w:rsidR="00BF051B" w:rsidRPr="003A567C" w:rsidRDefault="00BF051B" w:rsidP="00BF051B">
            <w:pPr>
              <w:spacing w:after="0" w:line="240" w:lineRule="auto"/>
              <w:ind w:firstLineChars="200" w:firstLine="36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Other shared management</w:t>
            </w:r>
          </w:p>
        </w:tc>
        <w:tc>
          <w:tcPr>
            <w:tcW w:w="858" w:type="dxa"/>
            <w:tcBorders>
              <w:top w:val="nil"/>
              <w:left w:val="nil"/>
              <w:bottom w:val="nil"/>
              <w:right w:val="nil"/>
            </w:tcBorders>
            <w:shd w:val="clear" w:color="000000" w:fill="D9D9D9"/>
            <w:noWrap/>
            <w:vAlign w:val="bottom"/>
            <w:hideMark/>
          </w:tcPr>
          <w:p w14:paraId="5D6C8B3C"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60</w:t>
            </w:r>
          </w:p>
        </w:tc>
        <w:tc>
          <w:tcPr>
            <w:tcW w:w="985" w:type="dxa"/>
            <w:tcBorders>
              <w:top w:val="nil"/>
              <w:left w:val="single" w:sz="4" w:space="0" w:color="auto"/>
              <w:bottom w:val="nil"/>
              <w:right w:val="single" w:sz="4" w:space="0" w:color="auto"/>
            </w:tcBorders>
            <w:shd w:val="clear" w:color="000000" w:fill="D9D9D9"/>
            <w:noWrap/>
            <w:vAlign w:val="bottom"/>
            <w:hideMark/>
          </w:tcPr>
          <w:p w14:paraId="282660D4"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10.1</w:t>
            </w:r>
          </w:p>
        </w:tc>
        <w:tc>
          <w:tcPr>
            <w:tcW w:w="939" w:type="dxa"/>
            <w:tcBorders>
              <w:top w:val="nil"/>
              <w:left w:val="nil"/>
              <w:bottom w:val="nil"/>
              <w:right w:val="single" w:sz="4" w:space="0" w:color="auto"/>
            </w:tcBorders>
            <w:shd w:val="clear" w:color="000000" w:fill="FFFFFF"/>
            <w:noWrap/>
            <w:vAlign w:val="bottom"/>
            <w:hideMark/>
          </w:tcPr>
          <w:p w14:paraId="635D6B4C"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0.13%</w:t>
            </w:r>
          </w:p>
        </w:tc>
        <w:tc>
          <w:tcPr>
            <w:tcW w:w="721" w:type="dxa"/>
            <w:gridSpan w:val="2"/>
            <w:tcBorders>
              <w:top w:val="nil"/>
              <w:left w:val="nil"/>
              <w:bottom w:val="nil"/>
              <w:right w:val="single" w:sz="4" w:space="0" w:color="auto"/>
            </w:tcBorders>
            <w:shd w:val="clear" w:color="000000" w:fill="D9D9D9"/>
            <w:noWrap/>
            <w:vAlign w:val="bottom"/>
            <w:hideMark/>
          </w:tcPr>
          <w:p w14:paraId="11EA2AFD"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8</w:t>
            </w:r>
          </w:p>
        </w:tc>
        <w:tc>
          <w:tcPr>
            <w:tcW w:w="918" w:type="dxa"/>
            <w:tcBorders>
              <w:top w:val="nil"/>
              <w:left w:val="nil"/>
              <w:bottom w:val="nil"/>
              <w:right w:val="single" w:sz="4" w:space="0" w:color="auto"/>
            </w:tcBorders>
            <w:shd w:val="clear" w:color="000000" w:fill="D9D9D9"/>
            <w:noWrap/>
            <w:vAlign w:val="bottom"/>
            <w:hideMark/>
          </w:tcPr>
          <w:p w14:paraId="5F7FE05C"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0.3</w:t>
            </w:r>
          </w:p>
        </w:tc>
        <w:tc>
          <w:tcPr>
            <w:tcW w:w="939" w:type="dxa"/>
            <w:tcBorders>
              <w:top w:val="nil"/>
              <w:left w:val="nil"/>
              <w:bottom w:val="nil"/>
              <w:right w:val="single" w:sz="4" w:space="0" w:color="auto"/>
            </w:tcBorders>
            <w:shd w:val="clear" w:color="000000" w:fill="FFFFFF"/>
            <w:noWrap/>
            <w:vAlign w:val="bottom"/>
            <w:hideMark/>
          </w:tcPr>
          <w:p w14:paraId="47CF08F5"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13.3%</w:t>
            </w:r>
          </w:p>
        </w:tc>
        <w:tc>
          <w:tcPr>
            <w:tcW w:w="939" w:type="dxa"/>
            <w:tcBorders>
              <w:top w:val="nil"/>
              <w:left w:val="nil"/>
              <w:bottom w:val="nil"/>
              <w:right w:val="single" w:sz="4" w:space="0" w:color="auto"/>
            </w:tcBorders>
            <w:shd w:val="clear" w:color="000000" w:fill="FFFFFF"/>
            <w:noWrap/>
            <w:vAlign w:val="bottom"/>
            <w:hideMark/>
          </w:tcPr>
          <w:p w14:paraId="6C97692E"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3.2%</w:t>
            </w:r>
          </w:p>
        </w:tc>
        <w:tc>
          <w:tcPr>
            <w:tcW w:w="1048" w:type="dxa"/>
            <w:tcBorders>
              <w:top w:val="nil"/>
              <w:left w:val="nil"/>
              <w:bottom w:val="nil"/>
              <w:right w:val="single" w:sz="4" w:space="0" w:color="auto"/>
            </w:tcBorders>
            <w:shd w:val="clear" w:color="000000" w:fill="FFFFFF"/>
            <w:noWrap/>
            <w:vAlign w:val="bottom"/>
            <w:hideMark/>
          </w:tcPr>
          <w:p w14:paraId="07AB032C"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0.004%</w:t>
            </w:r>
          </w:p>
        </w:tc>
        <w:tc>
          <w:tcPr>
            <w:tcW w:w="858" w:type="dxa"/>
            <w:gridSpan w:val="2"/>
            <w:tcBorders>
              <w:top w:val="nil"/>
              <w:left w:val="nil"/>
              <w:bottom w:val="nil"/>
              <w:right w:val="single" w:sz="4" w:space="0" w:color="auto"/>
            </w:tcBorders>
            <w:shd w:val="clear" w:color="000000" w:fill="D9D9D9"/>
            <w:noWrap/>
            <w:vAlign w:val="bottom"/>
            <w:hideMark/>
          </w:tcPr>
          <w:p w14:paraId="46A57365"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52</w:t>
            </w:r>
          </w:p>
        </w:tc>
        <w:tc>
          <w:tcPr>
            <w:tcW w:w="867" w:type="dxa"/>
            <w:tcBorders>
              <w:top w:val="nil"/>
              <w:left w:val="nil"/>
              <w:bottom w:val="nil"/>
              <w:right w:val="single" w:sz="4" w:space="0" w:color="auto"/>
            </w:tcBorders>
            <w:shd w:val="clear" w:color="000000" w:fill="D9D9D9"/>
            <w:noWrap/>
            <w:vAlign w:val="bottom"/>
            <w:hideMark/>
          </w:tcPr>
          <w:p w14:paraId="5448BD4F"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9.8</w:t>
            </w:r>
          </w:p>
        </w:tc>
        <w:tc>
          <w:tcPr>
            <w:tcW w:w="939" w:type="dxa"/>
            <w:tcBorders>
              <w:top w:val="nil"/>
              <w:left w:val="nil"/>
              <w:bottom w:val="nil"/>
              <w:right w:val="single" w:sz="4" w:space="0" w:color="auto"/>
            </w:tcBorders>
            <w:shd w:val="clear" w:color="000000" w:fill="FFFFFF"/>
            <w:noWrap/>
            <w:vAlign w:val="bottom"/>
            <w:hideMark/>
          </w:tcPr>
          <w:p w14:paraId="059374D1" w14:textId="77777777" w:rsidR="00BF051B" w:rsidRPr="003A567C" w:rsidRDefault="00BF051B" w:rsidP="00BF051B">
            <w:pPr>
              <w:spacing w:after="0" w:line="240" w:lineRule="auto"/>
              <w:ind w:firstLineChars="100" w:firstLine="180"/>
              <w:jc w:val="left"/>
              <w:rPr>
                <w:rFonts w:ascii="Aptos Narrow" w:hAnsi="Aptos Narrow"/>
                <w:i/>
                <w:iCs/>
                <w:noProof/>
                <w:color w:val="000000"/>
                <w:sz w:val="18"/>
                <w:szCs w:val="18"/>
                <w:lang w:val="en-IE" w:eastAsia="en-IE"/>
              </w:rPr>
            </w:pPr>
            <w:r w:rsidRPr="003A567C">
              <w:rPr>
                <w:rFonts w:ascii="Aptos Narrow" w:hAnsi="Aptos Narrow"/>
                <w:i/>
                <w:iCs/>
                <w:noProof/>
                <w:color w:val="000000"/>
                <w:sz w:val="18"/>
                <w:szCs w:val="18"/>
                <w:lang w:val="en-IE" w:eastAsia="en-IE"/>
              </w:rPr>
              <w:t>0.13%</w:t>
            </w:r>
          </w:p>
        </w:tc>
      </w:tr>
      <w:tr w:rsidR="00BF051B" w:rsidRPr="003A567C" w14:paraId="66E5C477" w14:textId="77777777" w:rsidTr="00335898">
        <w:trPr>
          <w:gridAfter w:val="2"/>
          <w:wAfter w:w="25" w:type="dxa"/>
          <w:trHeight w:val="300"/>
        </w:trPr>
        <w:tc>
          <w:tcPr>
            <w:tcW w:w="4815" w:type="dxa"/>
            <w:tcBorders>
              <w:top w:val="nil"/>
              <w:left w:val="single" w:sz="4" w:space="0" w:color="auto"/>
              <w:bottom w:val="nil"/>
              <w:right w:val="single" w:sz="4" w:space="0" w:color="auto"/>
            </w:tcBorders>
            <w:shd w:val="clear" w:color="000000" w:fill="D9D9D9"/>
            <w:noWrap/>
            <w:vAlign w:val="bottom"/>
            <w:hideMark/>
          </w:tcPr>
          <w:p w14:paraId="4BB54C6D" w14:textId="77777777" w:rsidR="00BF051B" w:rsidRPr="003A567C" w:rsidRDefault="00BF051B" w:rsidP="00BF051B">
            <w:pPr>
              <w:spacing w:after="0" w:line="240" w:lineRule="auto"/>
              <w:ind w:firstLineChars="100" w:firstLine="181"/>
              <w:jc w:val="left"/>
              <w:rPr>
                <w:rFonts w:ascii="Aptos Narrow" w:hAnsi="Aptos Narrow"/>
                <w:b/>
                <w:bCs/>
                <w:noProof/>
                <w:color w:val="000000"/>
                <w:sz w:val="18"/>
                <w:szCs w:val="18"/>
                <w:lang w:val="en-IE" w:eastAsia="en-IE"/>
              </w:rPr>
            </w:pPr>
            <w:r w:rsidRPr="003A567C">
              <w:rPr>
                <w:rFonts w:ascii="Aptos Narrow" w:hAnsi="Aptos Narrow"/>
                <w:b/>
                <w:bCs/>
                <w:noProof/>
                <w:color w:val="000000"/>
                <w:sz w:val="18"/>
                <w:szCs w:val="18"/>
                <w:lang w:val="en-IE" w:eastAsia="en-IE"/>
              </w:rPr>
              <w:t>Indirect management - Neighbourhood and the World</w:t>
            </w:r>
          </w:p>
        </w:tc>
        <w:tc>
          <w:tcPr>
            <w:tcW w:w="858" w:type="dxa"/>
            <w:tcBorders>
              <w:top w:val="nil"/>
              <w:left w:val="nil"/>
              <w:bottom w:val="nil"/>
              <w:right w:val="nil"/>
            </w:tcBorders>
            <w:shd w:val="clear" w:color="000000" w:fill="D9D9D9"/>
            <w:noWrap/>
            <w:vAlign w:val="bottom"/>
            <w:hideMark/>
          </w:tcPr>
          <w:p w14:paraId="0541D51B"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358</w:t>
            </w:r>
          </w:p>
        </w:tc>
        <w:tc>
          <w:tcPr>
            <w:tcW w:w="985" w:type="dxa"/>
            <w:tcBorders>
              <w:top w:val="nil"/>
              <w:left w:val="single" w:sz="4" w:space="0" w:color="auto"/>
              <w:bottom w:val="nil"/>
              <w:right w:val="single" w:sz="4" w:space="0" w:color="auto"/>
            </w:tcBorders>
            <w:shd w:val="clear" w:color="000000" w:fill="D9D9D9"/>
            <w:noWrap/>
            <w:vAlign w:val="bottom"/>
            <w:hideMark/>
          </w:tcPr>
          <w:p w14:paraId="499928AD"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11.0</w:t>
            </w:r>
          </w:p>
        </w:tc>
        <w:tc>
          <w:tcPr>
            <w:tcW w:w="939" w:type="dxa"/>
            <w:tcBorders>
              <w:top w:val="nil"/>
              <w:left w:val="nil"/>
              <w:bottom w:val="nil"/>
              <w:right w:val="single" w:sz="4" w:space="0" w:color="auto"/>
            </w:tcBorders>
            <w:shd w:val="clear" w:color="000000" w:fill="FFFFFF"/>
            <w:noWrap/>
            <w:vAlign w:val="bottom"/>
            <w:hideMark/>
          </w:tcPr>
          <w:p w14:paraId="13BA53B6"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0.07%</w:t>
            </w:r>
          </w:p>
        </w:tc>
        <w:tc>
          <w:tcPr>
            <w:tcW w:w="721" w:type="dxa"/>
            <w:gridSpan w:val="2"/>
            <w:tcBorders>
              <w:top w:val="nil"/>
              <w:left w:val="nil"/>
              <w:bottom w:val="nil"/>
              <w:right w:val="single" w:sz="4" w:space="0" w:color="auto"/>
            </w:tcBorders>
            <w:shd w:val="clear" w:color="000000" w:fill="D9D9D9"/>
            <w:noWrap/>
            <w:vAlign w:val="bottom"/>
            <w:hideMark/>
          </w:tcPr>
          <w:p w14:paraId="6E2A1EF1"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29</w:t>
            </w:r>
          </w:p>
        </w:tc>
        <w:tc>
          <w:tcPr>
            <w:tcW w:w="918" w:type="dxa"/>
            <w:tcBorders>
              <w:top w:val="nil"/>
              <w:left w:val="nil"/>
              <w:bottom w:val="nil"/>
              <w:right w:val="single" w:sz="4" w:space="0" w:color="auto"/>
            </w:tcBorders>
            <w:shd w:val="clear" w:color="000000" w:fill="D9D9D9"/>
            <w:noWrap/>
            <w:vAlign w:val="bottom"/>
            <w:hideMark/>
          </w:tcPr>
          <w:p w14:paraId="60F1FBBC"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0.6</w:t>
            </w:r>
          </w:p>
        </w:tc>
        <w:tc>
          <w:tcPr>
            <w:tcW w:w="939" w:type="dxa"/>
            <w:tcBorders>
              <w:top w:val="nil"/>
              <w:left w:val="nil"/>
              <w:bottom w:val="nil"/>
              <w:right w:val="single" w:sz="4" w:space="0" w:color="auto"/>
            </w:tcBorders>
            <w:shd w:val="clear" w:color="000000" w:fill="FFFFFF"/>
            <w:noWrap/>
            <w:vAlign w:val="bottom"/>
            <w:hideMark/>
          </w:tcPr>
          <w:p w14:paraId="3E5342A0"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8.1%</w:t>
            </w:r>
          </w:p>
        </w:tc>
        <w:tc>
          <w:tcPr>
            <w:tcW w:w="939" w:type="dxa"/>
            <w:tcBorders>
              <w:top w:val="nil"/>
              <w:left w:val="nil"/>
              <w:bottom w:val="nil"/>
              <w:right w:val="single" w:sz="4" w:space="0" w:color="auto"/>
            </w:tcBorders>
            <w:shd w:val="clear" w:color="000000" w:fill="FFFFFF"/>
            <w:noWrap/>
            <w:vAlign w:val="bottom"/>
            <w:hideMark/>
          </w:tcPr>
          <w:p w14:paraId="1B2FBA1C"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5.4%</w:t>
            </w:r>
          </w:p>
        </w:tc>
        <w:tc>
          <w:tcPr>
            <w:tcW w:w="1048" w:type="dxa"/>
            <w:tcBorders>
              <w:top w:val="nil"/>
              <w:left w:val="nil"/>
              <w:bottom w:val="nil"/>
              <w:right w:val="single" w:sz="4" w:space="0" w:color="auto"/>
            </w:tcBorders>
            <w:shd w:val="clear" w:color="000000" w:fill="FFFFFF"/>
            <w:noWrap/>
            <w:vAlign w:val="bottom"/>
            <w:hideMark/>
          </w:tcPr>
          <w:p w14:paraId="110390AD"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0.00%</w:t>
            </w:r>
          </w:p>
        </w:tc>
        <w:tc>
          <w:tcPr>
            <w:tcW w:w="858" w:type="dxa"/>
            <w:gridSpan w:val="2"/>
            <w:tcBorders>
              <w:top w:val="nil"/>
              <w:left w:val="nil"/>
              <w:bottom w:val="nil"/>
              <w:right w:val="single" w:sz="4" w:space="0" w:color="auto"/>
            </w:tcBorders>
            <w:shd w:val="clear" w:color="000000" w:fill="D9D9D9"/>
            <w:noWrap/>
            <w:vAlign w:val="bottom"/>
            <w:hideMark/>
          </w:tcPr>
          <w:p w14:paraId="50D201C8"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329</w:t>
            </w:r>
          </w:p>
        </w:tc>
        <w:tc>
          <w:tcPr>
            <w:tcW w:w="867" w:type="dxa"/>
            <w:tcBorders>
              <w:top w:val="nil"/>
              <w:left w:val="nil"/>
              <w:bottom w:val="nil"/>
              <w:right w:val="single" w:sz="4" w:space="0" w:color="auto"/>
            </w:tcBorders>
            <w:shd w:val="clear" w:color="000000" w:fill="D9D9D9"/>
            <w:noWrap/>
            <w:vAlign w:val="bottom"/>
            <w:hideMark/>
          </w:tcPr>
          <w:p w14:paraId="239B33B1"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10.4</w:t>
            </w:r>
          </w:p>
        </w:tc>
        <w:tc>
          <w:tcPr>
            <w:tcW w:w="939" w:type="dxa"/>
            <w:tcBorders>
              <w:top w:val="nil"/>
              <w:left w:val="nil"/>
              <w:bottom w:val="nil"/>
              <w:right w:val="single" w:sz="4" w:space="0" w:color="auto"/>
            </w:tcBorders>
            <w:shd w:val="clear" w:color="000000" w:fill="FFFFFF"/>
            <w:noWrap/>
            <w:vAlign w:val="bottom"/>
            <w:hideMark/>
          </w:tcPr>
          <w:p w14:paraId="141AE592"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0.06%</w:t>
            </w:r>
          </w:p>
        </w:tc>
      </w:tr>
      <w:tr w:rsidR="00BF051B" w:rsidRPr="003A567C" w14:paraId="537CD88E" w14:textId="77777777" w:rsidTr="00335898">
        <w:trPr>
          <w:gridAfter w:val="2"/>
          <w:wAfter w:w="25" w:type="dxa"/>
          <w:trHeight w:val="300"/>
        </w:trPr>
        <w:tc>
          <w:tcPr>
            <w:tcW w:w="4815" w:type="dxa"/>
            <w:tcBorders>
              <w:top w:val="nil"/>
              <w:left w:val="single" w:sz="4" w:space="0" w:color="auto"/>
              <w:bottom w:val="single" w:sz="4" w:space="0" w:color="auto"/>
              <w:right w:val="single" w:sz="4" w:space="0" w:color="auto"/>
            </w:tcBorders>
            <w:shd w:val="clear" w:color="000000" w:fill="92D050"/>
            <w:noWrap/>
            <w:vAlign w:val="bottom"/>
            <w:hideMark/>
          </w:tcPr>
          <w:p w14:paraId="17AEEC70" w14:textId="77777777" w:rsidR="00BF051B" w:rsidRPr="003A567C" w:rsidRDefault="00BF051B" w:rsidP="00BF051B">
            <w:pPr>
              <w:spacing w:after="0" w:line="240" w:lineRule="auto"/>
              <w:ind w:firstLineChars="100" w:firstLine="181"/>
              <w:jc w:val="left"/>
              <w:rPr>
                <w:rFonts w:ascii="Aptos Narrow" w:hAnsi="Aptos Narrow"/>
                <w:b/>
                <w:bCs/>
                <w:noProof/>
                <w:color w:val="000000"/>
                <w:sz w:val="18"/>
                <w:szCs w:val="18"/>
                <w:lang w:val="en-IE" w:eastAsia="en-IE"/>
              </w:rPr>
            </w:pPr>
            <w:r w:rsidRPr="003A567C">
              <w:rPr>
                <w:rFonts w:ascii="Aptos Narrow" w:hAnsi="Aptos Narrow"/>
                <w:b/>
                <w:bCs/>
                <w:noProof/>
                <w:color w:val="000000"/>
                <w:sz w:val="18"/>
                <w:szCs w:val="18"/>
                <w:lang w:val="en-IE" w:eastAsia="en-IE"/>
              </w:rPr>
              <w:t>Direct expenditure</w:t>
            </w:r>
          </w:p>
        </w:tc>
        <w:tc>
          <w:tcPr>
            <w:tcW w:w="858" w:type="dxa"/>
            <w:tcBorders>
              <w:top w:val="nil"/>
              <w:left w:val="nil"/>
              <w:bottom w:val="single" w:sz="4" w:space="0" w:color="auto"/>
              <w:right w:val="nil"/>
            </w:tcBorders>
            <w:shd w:val="clear" w:color="000000" w:fill="92D050"/>
            <w:noWrap/>
            <w:vAlign w:val="bottom"/>
            <w:hideMark/>
          </w:tcPr>
          <w:p w14:paraId="2CB14B0C"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441</w:t>
            </w:r>
          </w:p>
        </w:tc>
        <w:tc>
          <w:tcPr>
            <w:tcW w:w="985" w:type="dxa"/>
            <w:tcBorders>
              <w:top w:val="nil"/>
              <w:left w:val="single" w:sz="4" w:space="0" w:color="auto"/>
              <w:bottom w:val="single" w:sz="4" w:space="0" w:color="auto"/>
              <w:right w:val="single" w:sz="4" w:space="0" w:color="auto"/>
            </w:tcBorders>
            <w:shd w:val="clear" w:color="000000" w:fill="92D050"/>
            <w:noWrap/>
            <w:vAlign w:val="bottom"/>
            <w:hideMark/>
          </w:tcPr>
          <w:p w14:paraId="2898D457"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86.3</w:t>
            </w:r>
          </w:p>
        </w:tc>
        <w:tc>
          <w:tcPr>
            <w:tcW w:w="939" w:type="dxa"/>
            <w:tcBorders>
              <w:top w:val="nil"/>
              <w:left w:val="nil"/>
              <w:bottom w:val="single" w:sz="4" w:space="0" w:color="auto"/>
              <w:right w:val="single" w:sz="4" w:space="0" w:color="auto"/>
            </w:tcBorders>
            <w:shd w:val="clear" w:color="000000" w:fill="FFFFFF"/>
            <w:noWrap/>
            <w:vAlign w:val="bottom"/>
            <w:hideMark/>
          </w:tcPr>
          <w:p w14:paraId="0A16E44D"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0.28%</w:t>
            </w:r>
          </w:p>
        </w:tc>
        <w:tc>
          <w:tcPr>
            <w:tcW w:w="721" w:type="dxa"/>
            <w:gridSpan w:val="2"/>
            <w:tcBorders>
              <w:top w:val="nil"/>
              <w:left w:val="nil"/>
              <w:bottom w:val="single" w:sz="4" w:space="0" w:color="auto"/>
              <w:right w:val="single" w:sz="4" w:space="0" w:color="auto"/>
            </w:tcBorders>
            <w:shd w:val="clear" w:color="000000" w:fill="92D050"/>
            <w:noWrap/>
            <w:vAlign w:val="bottom"/>
            <w:hideMark/>
          </w:tcPr>
          <w:p w14:paraId="2B411785"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32</w:t>
            </w:r>
          </w:p>
        </w:tc>
        <w:tc>
          <w:tcPr>
            <w:tcW w:w="918" w:type="dxa"/>
            <w:tcBorders>
              <w:top w:val="nil"/>
              <w:left w:val="nil"/>
              <w:bottom w:val="single" w:sz="4" w:space="0" w:color="auto"/>
              <w:right w:val="single" w:sz="4" w:space="0" w:color="auto"/>
            </w:tcBorders>
            <w:shd w:val="clear" w:color="000000" w:fill="92D050"/>
            <w:noWrap/>
            <w:vAlign w:val="bottom"/>
            <w:hideMark/>
          </w:tcPr>
          <w:p w14:paraId="7B300FF8"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5.5</w:t>
            </w:r>
          </w:p>
        </w:tc>
        <w:tc>
          <w:tcPr>
            <w:tcW w:w="939" w:type="dxa"/>
            <w:tcBorders>
              <w:top w:val="nil"/>
              <w:left w:val="nil"/>
              <w:bottom w:val="single" w:sz="4" w:space="0" w:color="auto"/>
              <w:right w:val="single" w:sz="4" w:space="0" w:color="auto"/>
            </w:tcBorders>
            <w:shd w:val="clear" w:color="000000" w:fill="FFFFFF"/>
            <w:noWrap/>
            <w:vAlign w:val="bottom"/>
            <w:hideMark/>
          </w:tcPr>
          <w:p w14:paraId="7DE1A84F"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7.3%</w:t>
            </w:r>
          </w:p>
        </w:tc>
        <w:tc>
          <w:tcPr>
            <w:tcW w:w="939" w:type="dxa"/>
            <w:tcBorders>
              <w:top w:val="nil"/>
              <w:left w:val="nil"/>
              <w:bottom w:val="single" w:sz="4" w:space="0" w:color="auto"/>
              <w:right w:val="single" w:sz="4" w:space="0" w:color="auto"/>
            </w:tcBorders>
            <w:shd w:val="clear" w:color="000000" w:fill="FFFFFF"/>
            <w:noWrap/>
            <w:vAlign w:val="bottom"/>
            <w:hideMark/>
          </w:tcPr>
          <w:p w14:paraId="5502CB6B"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6.4%</w:t>
            </w:r>
          </w:p>
        </w:tc>
        <w:tc>
          <w:tcPr>
            <w:tcW w:w="1048" w:type="dxa"/>
            <w:tcBorders>
              <w:top w:val="nil"/>
              <w:left w:val="nil"/>
              <w:bottom w:val="single" w:sz="4" w:space="0" w:color="auto"/>
              <w:right w:val="single" w:sz="4" w:space="0" w:color="auto"/>
            </w:tcBorders>
            <w:shd w:val="clear" w:color="000000" w:fill="FFFFFF"/>
            <w:noWrap/>
            <w:vAlign w:val="bottom"/>
            <w:hideMark/>
          </w:tcPr>
          <w:p w14:paraId="6742B74A"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0.02%</w:t>
            </w:r>
          </w:p>
        </w:tc>
        <w:tc>
          <w:tcPr>
            <w:tcW w:w="858" w:type="dxa"/>
            <w:gridSpan w:val="2"/>
            <w:tcBorders>
              <w:top w:val="nil"/>
              <w:left w:val="nil"/>
              <w:bottom w:val="single" w:sz="4" w:space="0" w:color="auto"/>
              <w:right w:val="single" w:sz="4" w:space="0" w:color="auto"/>
            </w:tcBorders>
            <w:shd w:val="clear" w:color="000000" w:fill="92D050"/>
            <w:noWrap/>
            <w:vAlign w:val="bottom"/>
            <w:hideMark/>
          </w:tcPr>
          <w:p w14:paraId="057E6F8C"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409</w:t>
            </w:r>
          </w:p>
        </w:tc>
        <w:tc>
          <w:tcPr>
            <w:tcW w:w="867" w:type="dxa"/>
            <w:tcBorders>
              <w:top w:val="nil"/>
              <w:left w:val="nil"/>
              <w:bottom w:val="single" w:sz="4" w:space="0" w:color="auto"/>
              <w:right w:val="single" w:sz="4" w:space="0" w:color="auto"/>
            </w:tcBorders>
            <w:shd w:val="clear" w:color="000000" w:fill="92D050"/>
            <w:noWrap/>
            <w:vAlign w:val="bottom"/>
            <w:hideMark/>
          </w:tcPr>
          <w:p w14:paraId="5E8A0348"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80.8</w:t>
            </w:r>
          </w:p>
        </w:tc>
        <w:tc>
          <w:tcPr>
            <w:tcW w:w="939" w:type="dxa"/>
            <w:tcBorders>
              <w:top w:val="nil"/>
              <w:left w:val="nil"/>
              <w:bottom w:val="single" w:sz="4" w:space="0" w:color="auto"/>
              <w:right w:val="single" w:sz="4" w:space="0" w:color="auto"/>
            </w:tcBorders>
            <w:shd w:val="clear" w:color="000000" w:fill="FFFFFF"/>
            <w:noWrap/>
            <w:vAlign w:val="bottom"/>
            <w:hideMark/>
          </w:tcPr>
          <w:p w14:paraId="6FACCE8D" w14:textId="77777777" w:rsidR="00BF051B" w:rsidRPr="003A567C" w:rsidRDefault="00BF051B" w:rsidP="00BF051B">
            <w:pPr>
              <w:spacing w:after="0" w:line="240" w:lineRule="auto"/>
              <w:jc w:val="righ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0.26%</w:t>
            </w:r>
          </w:p>
        </w:tc>
      </w:tr>
      <w:tr w:rsidR="00BF051B" w:rsidRPr="003A567C" w14:paraId="6742B157" w14:textId="77777777" w:rsidTr="00335898">
        <w:trPr>
          <w:gridAfter w:val="2"/>
          <w:wAfter w:w="25" w:type="dxa"/>
          <w:trHeight w:val="300"/>
        </w:trPr>
        <w:tc>
          <w:tcPr>
            <w:tcW w:w="4815" w:type="dxa"/>
            <w:tcBorders>
              <w:top w:val="nil"/>
              <w:left w:val="single" w:sz="4" w:space="0" w:color="auto"/>
              <w:bottom w:val="nil"/>
              <w:right w:val="nil"/>
            </w:tcBorders>
            <w:shd w:val="clear" w:color="000000" w:fill="FFFFFF"/>
            <w:noWrap/>
            <w:vAlign w:val="bottom"/>
            <w:hideMark/>
          </w:tcPr>
          <w:p w14:paraId="778C97A0"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858" w:type="dxa"/>
            <w:tcBorders>
              <w:top w:val="nil"/>
              <w:left w:val="nil"/>
              <w:bottom w:val="nil"/>
              <w:right w:val="nil"/>
            </w:tcBorders>
            <w:shd w:val="clear" w:color="000000" w:fill="FFFFFF"/>
            <w:noWrap/>
            <w:vAlign w:val="bottom"/>
            <w:hideMark/>
          </w:tcPr>
          <w:p w14:paraId="67A1BF5F"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985" w:type="dxa"/>
            <w:tcBorders>
              <w:top w:val="nil"/>
              <w:left w:val="nil"/>
              <w:bottom w:val="nil"/>
              <w:right w:val="nil"/>
            </w:tcBorders>
            <w:shd w:val="clear" w:color="000000" w:fill="FFFFFF"/>
            <w:noWrap/>
            <w:vAlign w:val="bottom"/>
            <w:hideMark/>
          </w:tcPr>
          <w:p w14:paraId="43378F3B"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939" w:type="dxa"/>
            <w:tcBorders>
              <w:top w:val="nil"/>
              <w:left w:val="nil"/>
              <w:bottom w:val="nil"/>
              <w:right w:val="nil"/>
            </w:tcBorders>
            <w:shd w:val="clear" w:color="000000" w:fill="FFFFFF"/>
            <w:noWrap/>
            <w:vAlign w:val="bottom"/>
            <w:hideMark/>
          </w:tcPr>
          <w:p w14:paraId="457E9D9B"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721" w:type="dxa"/>
            <w:gridSpan w:val="2"/>
            <w:tcBorders>
              <w:top w:val="nil"/>
              <w:left w:val="nil"/>
              <w:bottom w:val="nil"/>
              <w:right w:val="nil"/>
            </w:tcBorders>
            <w:shd w:val="clear" w:color="000000" w:fill="FFFFFF"/>
            <w:noWrap/>
            <w:vAlign w:val="bottom"/>
            <w:hideMark/>
          </w:tcPr>
          <w:p w14:paraId="25710E9D"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918" w:type="dxa"/>
            <w:tcBorders>
              <w:top w:val="nil"/>
              <w:left w:val="nil"/>
              <w:bottom w:val="nil"/>
              <w:right w:val="nil"/>
            </w:tcBorders>
            <w:shd w:val="clear" w:color="000000" w:fill="FFFFFF"/>
            <w:noWrap/>
            <w:vAlign w:val="bottom"/>
            <w:hideMark/>
          </w:tcPr>
          <w:p w14:paraId="7D4A6590"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939" w:type="dxa"/>
            <w:tcBorders>
              <w:top w:val="nil"/>
              <w:left w:val="nil"/>
              <w:bottom w:val="nil"/>
              <w:right w:val="nil"/>
            </w:tcBorders>
            <w:shd w:val="clear" w:color="000000" w:fill="FFFFFF"/>
            <w:noWrap/>
            <w:vAlign w:val="bottom"/>
            <w:hideMark/>
          </w:tcPr>
          <w:p w14:paraId="2A273EEC"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939" w:type="dxa"/>
            <w:tcBorders>
              <w:top w:val="nil"/>
              <w:left w:val="nil"/>
              <w:bottom w:val="nil"/>
              <w:right w:val="nil"/>
            </w:tcBorders>
            <w:shd w:val="clear" w:color="000000" w:fill="FFFFFF"/>
            <w:noWrap/>
            <w:vAlign w:val="bottom"/>
            <w:hideMark/>
          </w:tcPr>
          <w:p w14:paraId="3EA5B615"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1048" w:type="dxa"/>
            <w:tcBorders>
              <w:top w:val="nil"/>
              <w:left w:val="nil"/>
              <w:bottom w:val="nil"/>
              <w:right w:val="nil"/>
            </w:tcBorders>
            <w:shd w:val="clear" w:color="000000" w:fill="FFFFFF"/>
            <w:noWrap/>
            <w:vAlign w:val="bottom"/>
            <w:hideMark/>
          </w:tcPr>
          <w:p w14:paraId="76470F01"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858" w:type="dxa"/>
            <w:gridSpan w:val="2"/>
            <w:tcBorders>
              <w:top w:val="nil"/>
              <w:left w:val="nil"/>
              <w:bottom w:val="nil"/>
              <w:right w:val="nil"/>
            </w:tcBorders>
            <w:shd w:val="clear" w:color="000000" w:fill="FFFFFF"/>
            <w:noWrap/>
            <w:vAlign w:val="bottom"/>
            <w:hideMark/>
          </w:tcPr>
          <w:p w14:paraId="1F178F3A"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867" w:type="dxa"/>
            <w:tcBorders>
              <w:top w:val="nil"/>
              <w:left w:val="nil"/>
              <w:bottom w:val="nil"/>
              <w:right w:val="nil"/>
            </w:tcBorders>
            <w:shd w:val="clear" w:color="000000" w:fill="FFFFFF"/>
            <w:noWrap/>
            <w:vAlign w:val="bottom"/>
            <w:hideMark/>
          </w:tcPr>
          <w:p w14:paraId="65DE7344"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c>
          <w:tcPr>
            <w:tcW w:w="939" w:type="dxa"/>
            <w:tcBorders>
              <w:top w:val="nil"/>
              <w:left w:val="nil"/>
              <w:bottom w:val="nil"/>
              <w:right w:val="single" w:sz="4" w:space="0" w:color="auto"/>
            </w:tcBorders>
            <w:shd w:val="clear" w:color="000000" w:fill="FFFFFF"/>
            <w:noWrap/>
            <w:vAlign w:val="bottom"/>
            <w:hideMark/>
          </w:tcPr>
          <w:p w14:paraId="21F8F7AF" w14:textId="77777777" w:rsidR="00BF051B" w:rsidRPr="003A567C" w:rsidRDefault="00BF051B" w:rsidP="00BF051B">
            <w:pPr>
              <w:spacing w:after="0" w:line="240" w:lineRule="auto"/>
              <w:jc w:val="left"/>
              <w:rPr>
                <w:rFonts w:ascii="Aptos Narrow" w:hAnsi="Aptos Narrow"/>
                <w:noProof/>
                <w:color w:val="000000"/>
                <w:sz w:val="18"/>
                <w:szCs w:val="18"/>
                <w:lang w:val="en-IE" w:eastAsia="en-IE"/>
              </w:rPr>
            </w:pPr>
            <w:r w:rsidRPr="003A567C">
              <w:rPr>
                <w:rFonts w:ascii="Aptos Narrow" w:hAnsi="Aptos Narrow"/>
                <w:noProof/>
                <w:color w:val="000000"/>
                <w:sz w:val="18"/>
                <w:szCs w:val="18"/>
                <w:lang w:val="en-IE" w:eastAsia="en-IE"/>
              </w:rPr>
              <w:t> </w:t>
            </w:r>
          </w:p>
        </w:tc>
      </w:tr>
      <w:tr w:rsidR="000D7470" w:rsidRPr="00BF051B" w14:paraId="35650E11" w14:textId="77777777" w:rsidTr="00335898">
        <w:trPr>
          <w:gridAfter w:val="1"/>
          <w:wAfter w:w="10" w:type="dxa"/>
          <w:trHeight w:val="375"/>
        </w:trPr>
        <w:tc>
          <w:tcPr>
            <w:tcW w:w="5673" w:type="dxa"/>
            <w:gridSpan w:val="2"/>
            <w:tcBorders>
              <w:top w:val="single" w:sz="4" w:space="0" w:color="auto"/>
              <w:left w:val="single" w:sz="4" w:space="0" w:color="auto"/>
              <w:bottom w:val="single" w:sz="4" w:space="0" w:color="auto"/>
              <w:right w:val="single" w:sz="4" w:space="0" w:color="000000"/>
            </w:tcBorders>
            <w:noWrap/>
            <w:vAlign w:val="bottom"/>
            <w:hideMark/>
          </w:tcPr>
          <w:p w14:paraId="049A3C5D" w14:textId="77777777" w:rsidR="00BF051B" w:rsidRPr="00BF051B" w:rsidRDefault="00BF051B" w:rsidP="00BF051B">
            <w:pPr>
              <w:spacing w:after="0" w:line="240" w:lineRule="auto"/>
              <w:jc w:val="center"/>
              <w:rPr>
                <w:rFonts w:ascii="Aptos Narrow" w:hAnsi="Aptos Narrow"/>
                <w:b/>
                <w:bCs/>
                <w:noProof/>
                <w:color w:val="000000"/>
                <w:sz w:val="28"/>
                <w:szCs w:val="28"/>
                <w:lang w:val="en-IE" w:eastAsia="en-IE"/>
              </w:rPr>
            </w:pPr>
            <w:r w:rsidRPr="00BF051B">
              <w:rPr>
                <w:rFonts w:ascii="Aptos Narrow" w:hAnsi="Aptos Narrow"/>
                <w:b/>
                <w:bCs/>
                <w:noProof/>
                <w:color w:val="000000"/>
                <w:sz w:val="28"/>
                <w:szCs w:val="28"/>
                <w:lang w:val="en-IE" w:eastAsia="en-IE"/>
              </w:rPr>
              <w:t>Data sources</w:t>
            </w:r>
          </w:p>
        </w:tc>
        <w:tc>
          <w:tcPr>
            <w:tcW w:w="985" w:type="dxa"/>
            <w:tcBorders>
              <w:top w:val="nil"/>
              <w:left w:val="nil"/>
              <w:bottom w:val="nil"/>
              <w:right w:val="nil"/>
            </w:tcBorders>
            <w:shd w:val="clear" w:color="000000" w:fill="FFFFFF"/>
            <w:noWrap/>
            <w:vAlign w:val="bottom"/>
            <w:hideMark/>
          </w:tcPr>
          <w:p w14:paraId="2C0A6286" w14:textId="77777777"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 </w:t>
            </w:r>
          </w:p>
        </w:tc>
        <w:tc>
          <w:tcPr>
            <w:tcW w:w="8183" w:type="dxa"/>
            <w:gridSpan w:val="12"/>
            <w:tcBorders>
              <w:top w:val="nil"/>
              <w:left w:val="nil"/>
              <w:bottom w:val="single" w:sz="4" w:space="0" w:color="000000"/>
              <w:right w:val="single" w:sz="4" w:space="0" w:color="000000"/>
            </w:tcBorders>
            <w:vAlign w:val="bottom"/>
            <w:hideMark/>
          </w:tcPr>
          <w:p w14:paraId="25728500" w14:textId="56322BA5"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NB: TDR, FDR and IDR are calculated on the relevant commitment appropriations as indicated in the overview table of the MFF ceilings of the 2025 budget published on OJ L 2025/31, 27.2.2025, p. 14. For the full description and definition of the various indicators, see section 1.2, Figure 2.</w:t>
            </w:r>
          </w:p>
        </w:tc>
      </w:tr>
      <w:tr w:rsidR="00BF051B" w:rsidRPr="00BF051B" w14:paraId="34F16229" w14:textId="77777777" w:rsidTr="00335898">
        <w:trPr>
          <w:gridAfter w:val="1"/>
          <w:wAfter w:w="10" w:type="dxa"/>
          <w:trHeight w:val="300"/>
        </w:trPr>
        <w:tc>
          <w:tcPr>
            <w:tcW w:w="4815" w:type="dxa"/>
            <w:tcBorders>
              <w:top w:val="nil"/>
              <w:left w:val="single" w:sz="4" w:space="0" w:color="auto"/>
              <w:bottom w:val="nil"/>
              <w:right w:val="nil"/>
            </w:tcBorders>
            <w:shd w:val="clear" w:color="000000" w:fill="FFFFFF"/>
            <w:noWrap/>
            <w:vAlign w:val="bottom"/>
            <w:hideMark/>
          </w:tcPr>
          <w:p w14:paraId="00D97D71" w14:textId="77777777" w:rsidR="00BF051B" w:rsidRPr="00BF051B" w:rsidRDefault="00BF051B" w:rsidP="00BF051B">
            <w:pPr>
              <w:spacing w:after="0" w:line="240" w:lineRule="auto"/>
              <w:jc w:val="left"/>
              <w:rPr>
                <w:rFonts w:ascii="Aptos Narrow" w:hAnsi="Aptos Narrow"/>
                <w:b/>
                <w:bCs/>
                <w:noProof/>
                <w:color w:val="000000"/>
                <w:szCs w:val="22"/>
                <w:lang w:val="en-IE" w:eastAsia="en-IE"/>
              </w:rPr>
            </w:pPr>
            <w:r w:rsidRPr="00BF051B">
              <w:rPr>
                <w:rFonts w:ascii="Aptos Narrow" w:hAnsi="Aptos Narrow"/>
                <w:b/>
                <w:bCs/>
                <w:noProof/>
                <w:color w:val="000000"/>
                <w:szCs w:val="22"/>
                <w:lang w:val="en-IE" w:eastAsia="en-IE"/>
              </w:rPr>
              <w:t>Data from OWNRES</w:t>
            </w:r>
          </w:p>
        </w:tc>
        <w:tc>
          <w:tcPr>
            <w:tcW w:w="858" w:type="dxa"/>
            <w:tcBorders>
              <w:top w:val="nil"/>
              <w:left w:val="nil"/>
              <w:bottom w:val="nil"/>
              <w:right w:val="single" w:sz="4" w:space="0" w:color="auto"/>
            </w:tcBorders>
            <w:shd w:val="clear" w:color="000000" w:fill="F1A983"/>
            <w:noWrap/>
            <w:vAlign w:val="bottom"/>
            <w:hideMark/>
          </w:tcPr>
          <w:p w14:paraId="32AE14AB" w14:textId="77777777"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 </w:t>
            </w:r>
          </w:p>
        </w:tc>
        <w:tc>
          <w:tcPr>
            <w:tcW w:w="985" w:type="dxa"/>
            <w:tcBorders>
              <w:top w:val="nil"/>
              <w:left w:val="nil"/>
              <w:bottom w:val="nil"/>
              <w:right w:val="nil"/>
            </w:tcBorders>
            <w:shd w:val="clear" w:color="000000" w:fill="FFFFFF"/>
            <w:noWrap/>
            <w:vAlign w:val="bottom"/>
            <w:hideMark/>
          </w:tcPr>
          <w:p w14:paraId="5B5BBBF0" w14:textId="77777777"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 </w:t>
            </w:r>
          </w:p>
        </w:tc>
        <w:tc>
          <w:tcPr>
            <w:tcW w:w="8183" w:type="dxa"/>
            <w:gridSpan w:val="12"/>
            <w:vMerge w:val="restart"/>
            <w:tcBorders>
              <w:top w:val="nil"/>
              <w:left w:val="nil"/>
              <w:bottom w:val="nil"/>
              <w:right w:val="nil"/>
            </w:tcBorders>
            <w:vAlign w:val="center"/>
            <w:hideMark/>
          </w:tcPr>
          <w:p w14:paraId="6945C708" w14:textId="77777777" w:rsidR="00BF051B" w:rsidRPr="00BF051B" w:rsidRDefault="00BF051B" w:rsidP="00BF051B">
            <w:pPr>
              <w:spacing w:after="0" w:line="240" w:lineRule="auto"/>
              <w:jc w:val="left"/>
              <w:rPr>
                <w:rFonts w:ascii="Aptos Narrow" w:hAnsi="Aptos Narrow"/>
                <w:noProof/>
                <w:color w:val="000000"/>
                <w:szCs w:val="22"/>
                <w:lang w:val="en-IE" w:eastAsia="en-IE"/>
              </w:rPr>
            </w:pPr>
          </w:p>
        </w:tc>
      </w:tr>
      <w:tr w:rsidR="00BF051B" w:rsidRPr="00BF051B" w14:paraId="0F92C8FA" w14:textId="77777777" w:rsidTr="00335898">
        <w:trPr>
          <w:gridAfter w:val="1"/>
          <w:wAfter w:w="10" w:type="dxa"/>
          <w:trHeight w:val="300"/>
        </w:trPr>
        <w:tc>
          <w:tcPr>
            <w:tcW w:w="4815" w:type="dxa"/>
            <w:tcBorders>
              <w:top w:val="nil"/>
              <w:left w:val="single" w:sz="4" w:space="0" w:color="auto"/>
              <w:bottom w:val="nil"/>
              <w:right w:val="nil"/>
            </w:tcBorders>
            <w:shd w:val="clear" w:color="000000" w:fill="FFFFFF"/>
            <w:noWrap/>
            <w:vAlign w:val="bottom"/>
            <w:hideMark/>
          </w:tcPr>
          <w:p w14:paraId="2B4F9A15" w14:textId="77777777" w:rsidR="00BF051B" w:rsidRPr="00BF051B" w:rsidRDefault="00BF051B" w:rsidP="00BF051B">
            <w:pPr>
              <w:spacing w:after="0" w:line="240" w:lineRule="auto"/>
              <w:jc w:val="left"/>
              <w:rPr>
                <w:rFonts w:ascii="Aptos Narrow" w:hAnsi="Aptos Narrow"/>
                <w:b/>
                <w:bCs/>
                <w:noProof/>
                <w:color w:val="000000"/>
                <w:szCs w:val="22"/>
                <w:lang w:val="en-IE" w:eastAsia="en-IE"/>
              </w:rPr>
            </w:pPr>
            <w:r w:rsidRPr="00BF051B">
              <w:rPr>
                <w:rFonts w:ascii="Aptos Narrow" w:hAnsi="Aptos Narrow"/>
                <w:b/>
                <w:bCs/>
                <w:noProof/>
                <w:color w:val="000000"/>
                <w:szCs w:val="22"/>
                <w:lang w:val="en-IE" w:eastAsia="en-IE"/>
              </w:rPr>
              <w:t>Data from IMS</w:t>
            </w:r>
          </w:p>
        </w:tc>
        <w:tc>
          <w:tcPr>
            <w:tcW w:w="858" w:type="dxa"/>
            <w:tcBorders>
              <w:top w:val="nil"/>
              <w:left w:val="nil"/>
              <w:bottom w:val="nil"/>
              <w:right w:val="single" w:sz="4" w:space="0" w:color="auto"/>
            </w:tcBorders>
            <w:shd w:val="clear" w:color="000000" w:fill="D9D9D9"/>
            <w:noWrap/>
            <w:vAlign w:val="bottom"/>
            <w:hideMark/>
          </w:tcPr>
          <w:p w14:paraId="27D6F3A5" w14:textId="77777777"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 </w:t>
            </w:r>
          </w:p>
        </w:tc>
        <w:tc>
          <w:tcPr>
            <w:tcW w:w="985" w:type="dxa"/>
            <w:tcBorders>
              <w:top w:val="nil"/>
              <w:left w:val="nil"/>
              <w:bottom w:val="nil"/>
              <w:right w:val="nil"/>
            </w:tcBorders>
            <w:shd w:val="clear" w:color="000000" w:fill="FFFFFF"/>
            <w:noWrap/>
            <w:vAlign w:val="bottom"/>
            <w:hideMark/>
          </w:tcPr>
          <w:p w14:paraId="7C4DB683" w14:textId="77777777"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 </w:t>
            </w:r>
          </w:p>
        </w:tc>
        <w:tc>
          <w:tcPr>
            <w:tcW w:w="8183" w:type="dxa"/>
            <w:gridSpan w:val="12"/>
            <w:vMerge/>
            <w:tcBorders>
              <w:top w:val="nil"/>
              <w:left w:val="nil"/>
              <w:bottom w:val="nil"/>
              <w:right w:val="nil"/>
            </w:tcBorders>
            <w:vAlign w:val="center"/>
            <w:hideMark/>
          </w:tcPr>
          <w:p w14:paraId="4C5FBAEC" w14:textId="77777777" w:rsidR="00BF051B" w:rsidRPr="00BF051B" w:rsidRDefault="00BF051B" w:rsidP="00BF051B">
            <w:pPr>
              <w:spacing w:after="0" w:line="240" w:lineRule="auto"/>
              <w:jc w:val="left"/>
              <w:rPr>
                <w:rFonts w:ascii="Aptos Narrow" w:hAnsi="Aptos Narrow"/>
                <w:noProof/>
                <w:color w:val="000000"/>
                <w:szCs w:val="22"/>
                <w:lang w:val="en-IE" w:eastAsia="en-IE"/>
              </w:rPr>
            </w:pPr>
          </w:p>
        </w:tc>
      </w:tr>
      <w:tr w:rsidR="00BF051B" w:rsidRPr="00BF051B" w14:paraId="26006ED8" w14:textId="77777777" w:rsidTr="007D4D03">
        <w:trPr>
          <w:gridAfter w:val="1"/>
          <w:wAfter w:w="10" w:type="dxa"/>
          <w:trHeight w:val="274"/>
        </w:trPr>
        <w:tc>
          <w:tcPr>
            <w:tcW w:w="4815" w:type="dxa"/>
            <w:tcBorders>
              <w:top w:val="nil"/>
              <w:left w:val="single" w:sz="4" w:space="0" w:color="auto"/>
              <w:bottom w:val="single" w:sz="4" w:space="0" w:color="auto"/>
              <w:right w:val="nil"/>
            </w:tcBorders>
            <w:shd w:val="clear" w:color="000000" w:fill="FFFFFF"/>
            <w:vAlign w:val="bottom"/>
            <w:hideMark/>
          </w:tcPr>
          <w:p w14:paraId="0D34DF1D" w14:textId="77777777" w:rsidR="00BF051B" w:rsidRPr="00BF051B" w:rsidRDefault="00BF051B" w:rsidP="00BF051B">
            <w:pPr>
              <w:spacing w:after="0" w:line="240" w:lineRule="auto"/>
              <w:jc w:val="left"/>
              <w:rPr>
                <w:rFonts w:ascii="Aptos Narrow" w:hAnsi="Aptos Narrow"/>
                <w:b/>
                <w:bCs/>
                <w:noProof/>
                <w:color w:val="000000"/>
                <w:szCs w:val="22"/>
                <w:lang w:val="en-IE" w:eastAsia="en-IE"/>
              </w:rPr>
            </w:pPr>
            <w:r w:rsidRPr="00BF051B">
              <w:rPr>
                <w:rFonts w:ascii="Aptos Narrow" w:hAnsi="Aptos Narrow"/>
                <w:b/>
                <w:bCs/>
                <w:noProof/>
                <w:color w:val="000000"/>
                <w:szCs w:val="22"/>
                <w:lang w:val="en-IE" w:eastAsia="en-IE"/>
              </w:rPr>
              <w:t>Data from the Commission's accounting system</w:t>
            </w:r>
          </w:p>
        </w:tc>
        <w:tc>
          <w:tcPr>
            <w:tcW w:w="858" w:type="dxa"/>
            <w:tcBorders>
              <w:top w:val="nil"/>
              <w:left w:val="nil"/>
              <w:bottom w:val="single" w:sz="4" w:space="0" w:color="auto"/>
              <w:right w:val="single" w:sz="4" w:space="0" w:color="auto"/>
            </w:tcBorders>
            <w:shd w:val="clear" w:color="000000" w:fill="92D050"/>
            <w:noWrap/>
            <w:vAlign w:val="bottom"/>
            <w:hideMark/>
          </w:tcPr>
          <w:p w14:paraId="4060092B" w14:textId="77777777"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 </w:t>
            </w:r>
          </w:p>
        </w:tc>
        <w:tc>
          <w:tcPr>
            <w:tcW w:w="985" w:type="dxa"/>
            <w:tcBorders>
              <w:top w:val="nil"/>
              <w:left w:val="nil"/>
              <w:bottom w:val="single" w:sz="4" w:space="0" w:color="auto"/>
              <w:right w:val="nil"/>
            </w:tcBorders>
            <w:shd w:val="clear" w:color="000000" w:fill="FFFFFF"/>
            <w:noWrap/>
            <w:vAlign w:val="bottom"/>
            <w:hideMark/>
          </w:tcPr>
          <w:p w14:paraId="3F4C81D9" w14:textId="77777777" w:rsidR="00BF051B" w:rsidRPr="00BF051B" w:rsidRDefault="00BF051B" w:rsidP="00BF051B">
            <w:pPr>
              <w:spacing w:after="0" w:line="240" w:lineRule="auto"/>
              <w:jc w:val="left"/>
              <w:rPr>
                <w:rFonts w:ascii="Aptos Narrow" w:hAnsi="Aptos Narrow"/>
                <w:noProof/>
                <w:color w:val="000000"/>
                <w:szCs w:val="22"/>
                <w:lang w:val="en-IE" w:eastAsia="en-IE"/>
              </w:rPr>
            </w:pPr>
            <w:r w:rsidRPr="00BF051B">
              <w:rPr>
                <w:rFonts w:ascii="Aptos Narrow" w:hAnsi="Aptos Narrow"/>
                <w:noProof/>
                <w:color w:val="000000"/>
                <w:szCs w:val="22"/>
                <w:lang w:val="en-IE" w:eastAsia="en-IE"/>
              </w:rPr>
              <w:t> </w:t>
            </w:r>
          </w:p>
        </w:tc>
        <w:tc>
          <w:tcPr>
            <w:tcW w:w="8183" w:type="dxa"/>
            <w:gridSpan w:val="12"/>
            <w:vMerge/>
            <w:tcBorders>
              <w:top w:val="nil"/>
              <w:left w:val="nil"/>
              <w:bottom w:val="single" w:sz="4" w:space="0" w:color="auto"/>
              <w:right w:val="nil"/>
            </w:tcBorders>
            <w:vAlign w:val="center"/>
            <w:hideMark/>
          </w:tcPr>
          <w:p w14:paraId="751E49C1" w14:textId="77777777" w:rsidR="00BF051B" w:rsidRPr="00BF051B" w:rsidRDefault="00BF051B" w:rsidP="00BF051B">
            <w:pPr>
              <w:spacing w:after="0" w:line="240" w:lineRule="auto"/>
              <w:jc w:val="left"/>
              <w:rPr>
                <w:rFonts w:ascii="Aptos Narrow" w:hAnsi="Aptos Narrow"/>
                <w:noProof/>
                <w:color w:val="000000"/>
                <w:szCs w:val="22"/>
                <w:lang w:val="en-IE" w:eastAsia="en-IE"/>
              </w:rPr>
            </w:pPr>
          </w:p>
        </w:tc>
      </w:tr>
    </w:tbl>
    <w:p w14:paraId="0A0616CF" w14:textId="7FA1E4FC" w:rsidR="00356C63" w:rsidRPr="00DE3A6F" w:rsidRDefault="00356C63" w:rsidP="0E7E2D8C">
      <w:pPr>
        <w:keepNext/>
        <w:rPr>
          <w:b/>
          <w:bCs/>
          <w:i/>
          <w:iCs/>
          <w:noProof/>
        </w:rPr>
      </w:pPr>
    </w:p>
    <w:p w14:paraId="49A09779" w14:textId="77777777" w:rsidR="00356C63" w:rsidRPr="00DE3A6F" w:rsidRDefault="00356C63" w:rsidP="00EA6E77">
      <w:pPr>
        <w:pStyle w:val="Caption"/>
        <w:rPr>
          <w:i w:val="0"/>
          <w:iCs/>
          <w:noProof/>
        </w:rPr>
        <w:sectPr w:rsidR="00356C63" w:rsidRPr="00DE3A6F" w:rsidSect="00850C71">
          <w:pgSz w:w="16838" w:h="11906" w:orient="landscape"/>
          <w:pgMar w:top="1587" w:right="1020" w:bottom="1701" w:left="1020" w:header="601" w:footer="1077" w:gutter="0"/>
          <w:cols w:space="720"/>
          <w:docGrid w:linePitch="326"/>
        </w:sectPr>
      </w:pPr>
    </w:p>
    <w:p w14:paraId="1995D927" w14:textId="3FDAFA01" w:rsidR="00B401D7" w:rsidRPr="00DE3A6F" w:rsidRDefault="00B401D7" w:rsidP="00B401D7">
      <w:pPr>
        <w:shd w:val="clear" w:color="auto" w:fill="FFFFFF" w:themeFill="background1"/>
        <w:rPr>
          <w:noProof/>
        </w:rPr>
      </w:pPr>
      <w:r w:rsidRPr="00596DDD">
        <w:rPr>
          <w:noProof/>
        </w:rPr>
        <w:lastRenderedPageBreak/>
        <w:t xml:space="preserve">EU investigative bodies also contribute to the detection efforts shown in </w:t>
      </w:r>
      <w:r w:rsidRPr="00596DDD">
        <w:rPr>
          <w:b/>
          <w:bCs/>
          <w:noProof/>
        </w:rPr>
        <w:t>Figures 10 and 11</w:t>
      </w:r>
      <w:r w:rsidRPr="00596DDD">
        <w:rPr>
          <w:noProof/>
        </w:rPr>
        <w:t xml:space="preserve">. They rely on reports and information from third parties (public or private) to initiate their investigations but can also open </w:t>
      </w:r>
      <w:r w:rsidR="00F84F59" w:rsidRPr="00596DDD">
        <w:rPr>
          <w:noProof/>
        </w:rPr>
        <w:t xml:space="preserve">investigations </w:t>
      </w:r>
      <w:r w:rsidRPr="00596DDD">
        <w:rPr>
          <w:noProof/>
        </w:rPr>
        <w:t xml:space="preserve">on </w:t>
      </w:r>
      <w:r w:rsidR="00F84F59" w:rsidRPr="00596DDD">
        <w:rPr>
          <w:noProof/>
        </w:rPr>
        <w:t xml:space="preserve">their </w:t>
      </w:r>
      <w:r w:rsidRPr="00596DDD">
        <w:rPr>
          <w:noProof/>
        </w:rPr>
        <w:t xml:space="preserve">own initiative. This </w:t>
      </w:r>
      <w:r w:rsidR="00F47511" w:rsidRPr="00596DDD">
        <w:rPr>
          <w:noProof/>
        </w:rPr>
        <w:t xml:space="preserve">was also the practice </w:t>
      </w:r>
      <w:r w:rsidRPr="00596DDD">
        <w:rPr>
          <w:noProof/>
        </w:rPr>
        <w:t>before the EPPO</w:t>
      </w:r>
      <w:r w:rsidR="00535441" w:rsidRPr="00596DDD">
        <w:rPr>
          <w:noProof/>
        </w:rPr>
        <w:t xml:space="preserve"> began to operate</w:t>
      </w:r>
      <w:r w:rsidRPr="00596DDD">
        <w:rPr>
          <w:noProof/>
        </w:rPr>
        <w:t xml:space="preserve">, when national prosecution services and law enforcement were the addressees of </w:t>
      </w:r>
      <w:r w:rsidR="00535441" w:rsidRPr="00596DDD">
        <w:rPr>
          <w:noProof/>
        </w:rPr>
        <w:t>these</w:t>
      </w:r>
      <w:r w:rsidRPr="00596DDD">
        <w:rPr>
          <w:noProof/>
        </w:rPr>
        <w:t xml:space="preserve"> reports and information. </w:t>
      </w:r>
    </w:p>
    <w:p w14:paraId="2EC6E953" w14:textId="6814DE5F" w:rsidR="00EA6E77" w:rsidRPr="00DE3A6F" w:rsidRDefault="003E6494" w:rsidP="00EA6E77">
      <w:pPr>
        <w:pStyle w:val="Caption"/>
        <w:rPr>
          <w:noProof/>
        </w:rPr>
      </w:pPr>
      <w:r w:rsidRPr="00DE3A6F">
        <w:rPr>
          <w:noProof/>
        </w:rPr>
        <w:t xml:space="preserve">Figure </w:t>
      </w:r>
      <w:r w:rsidR="00B66713" w:rsidRPr="00DE3A6F">
        <w:rPr>
          <w:noProof/>
        </w:rPr>
        <w:fldChar w:fldCharType="begin"/>
      </w:r>
      <w:r w:rsidR="00B66713" w:rsidRPr="00DE3A6F">
        <w:rPr>
          <w:noProof/>
        </w:rPr>
        <w:instrText xml:space="preserve"> SEQ Figure \* ARABIC </w:instrText>
      </w:r>
      <w:r w:rsidR="00B66713" w:rsidRPr="00DE3A6F">
        <w:rPr>
          <w:noProof/>
        </w:rPr>
        <w:fldChar w:fldCharType="separate"/>
      </w:r>
      <w:r w:rsidR="00BF051B">
        <w:rPr>
          <w:noProof/>
        </w:rPr>
        <w:t>11</w:t>
      </w:r>
      <w:r w:rsidR="00B66713" w:rsidRPr="00DE3A6F">
        <w:rPr>
          <w:noProof/>
        </w:rPr>
        <w:fldChar w:fldCharType="end"/>
      </w:r>
      <w:r w:rsidR="002140D6" w:rsidRPr="00DE3A6F">
        <w:rPr>
          <w:noProof/>
        </w:rPr>
        <w:t xml:space="preserve">: </w:t>
      </w:r>
      <w:r w:rsidR="00C3007A" w:rsidRPr="00CA1602">
        <w:rPr>
          <w:noProof/>
        </w:rPr>
        <w:t xml:space="preserve">Investigations </w:t>
      </w:r>
      <w:r w:rsidR="002140D6" w:rsidRPr="00DE3A6F">
        <w:rPr>
          <w:noProof/>
        </w:rPr>
        <w:t xml:space="preserve">opened by EU bodies </w:t>
      </w:r>
      <w:r w:rsidR="00490FC3" w:rsidRPr="00CA1602">
        <w:rPr>
          <w:noProof/>
        </w:rPr>
        <w:t>in 2025</w:t>
      </w:r>
      <w:r w:rsidR="00DB7B74" w:rsidRPr="00CA1602">
        <w:rPr>
          <w:noProof/>
        </w:rPr>
        <w:t xml:space="preserve"> </w:t>
      </w:r>
      <w:r w:rsidR="00B20BF5" w:rsidRPr="00DE3A6F">
        <w:rPr>
          <w:noProof/>
        </w:rPr>
        <w:t xml:space="preserve">by </w:t>
      </w:r>
      <w:r w:rsidR="00DB7B74" w:rsidRPr="00CA1602">
        <w:rPr>
          <w:noProof/>
        </w:rPr>
        <w:t xml:space="preserve">budgetary </w:t>
      </w:r>
      <w:r w:rsidR="00596DDD">
        <w:rPr>
          <w:noProof/>
        </w:rPr>
        <w:t>sector</w:t>
      </w:r>
    </w:p>
    <w:tbl>
      <w:tblPr>
        <w:tblW w:w="8587" w:type="dxa"/>
        <w:tblCellMar>
          <w:left w:w="0" w:type="dxa"/>
          <w:right w:w="0" w:type="dxa"/>
        </w:tblCellMar>
        <w:tblLook w:val="04A0" w:firstRow="1" w:lastRow="0" w:firstColumn="1" w:lastColumn="0" w:noHBand="0" w:noVBand="1"/>
      </w:tblPr>
      <w:tblGrid>
        <w:gridCol w:w="4248"/>
        <w:gridCol w:w="1956"/>
        <w:gridCol w:w="2383"/>
      </w:tblGrid>
      <w:tr w:rsidR="000D2D3D" w:rsidRPr="00CA1602" w14:paraId="0B71927F" w14:textId="77777777" w:rsidTr="00014E8E">
        <w:trPr>
          <w:trHeight w:val="315"/>
        </w:trPr>
        <w:tc>
          <w:tcPr>
            <w:tcW w:w="4248" w:type="dxa"/>
            <w:vMerge w:val="restart"/>
            <w:tcBorders>
              <w:top w:val="single" w:sz="4" w:space="0" w:color="auto"/>
              <w:left w:val="single" w:sz="4" w:space="0" w:color="auto"/>
              <w:bottom w:val="nil"/>
              <w:right w:val="nil"/>
            </w:tcBorders>
            <w:shd w:val="clear" w:color="000000" w:fill="4D93D9"/>
            <w:noWrap/>
            <w:tcMar>
              <w:top w:w="15" w:type="dxa"/>
              <w:left w:w="15" w:type="dxa"/>
              <w:bottom w:w="0" w:type="dxa"/>
              <w:right w:w="15" w:type="dxa"/>
            </w:tcMar>
            <w:vAlign w:val="bottom"/>
            <w:hideMark/>
          </w:tcPr>
          <w:p w14:paraId="6B9CAF84" w14:textId="77777777" w:rsidR="000D2D3D" w:rsidRPr="00DE3A6F" w:rsidRDefault="000D2D3D">
            <w:pPr>
              <w:spacing w:after="0" w:line="240" w:lineRule="auto"/>
              <w:jc w:val="left"/>
              <w:rPr>
                <w:rFonts w:ascii="Aptos Narrow" w:hAnsi="Aptos Narrow"/>
                <w:b/>
                <w:bCs/>
                <w:noProof/>
                <w:color w:val="FFFFFF"/>
                <w:sz w:val="24"/>
              </w:rPr>
            </w:pPr>
            <w:r w:rsidRPr="00DE3A6F">
              <w:rPr>
                <w:rFonts w:ascii="Aptos Narrow" w:hAnsi="Aptos Narrow"/>
                <w:b/>
                <w:bCs/>
                <w:noProof/>
                <w:color w:val="FFFFFF"/>
              </w:rPr>
              <w:t>Budgetary Sector</w:t>
            </w:r>
          </w:p>
        </w:tc>
        <w:tc>
          <w:tcPr>
            <w:tcW w:w="4339" w:type="dxa"/>
            <w:gridSpan w:val="2"/>
            <w:tcBorders>
              <w:top w:val="single" w:sz="4" w:space="0" w:color="auto"/>
              <w:left w:val="nil"/>
              <w:bottom w:val="nil"/>
              <w:right w:val="single" w:sz="4" w:space="0" w:color="000000"/>
            </w:tcBorders>
            <w:shd w:val="clear" w:color="000000" w:fill="4D93D9"/>
            <w:tcMar>
              <w:top w:w="15" w:type="dxa"/>
              <w:left w:w="15" w:type="dxa"/>
              <w:bottom w:w="0" w:type="dxa"/>
              <w:right w:w="15" w:type="dxa"/>
            </w:tcMar>
            <w:vAlign w:val="center"/>
            <w:hideMark/>
          </w:tcPr>
          <w:p w14:paraId="75063D7B" w14:textId="77777777" w:rsidR="000D2D3D" w:rsidRPr="00DE3A6F" w:rsidRDefault="000D2D3D">
            <w:pPr>
              <w:jc w:val="center"/>
              <w:rPr>
                <w:rFonts w:ascii="Aptos Narrow" w:hAnsi="Aptos Narrow"/>
                <w:b/>
                <w:bCs/>
                <w:noProof/>
                <w:color w:val="FFFFFF"/>
              </w:rPr>
            </w:pPr>
            <w:r w:rsidRPr="00DE3A6F">
              <w:rPr>
                <w:rFonts w:ascii="Aptos Narrow" w:hAnsi="Aptos Narrow"/>
                <w:b/>
                <w:bCs/>
                <w:noProof/>
                <w:color w:val="FFFFFF"/>
              </w:rPr>
              <w:t>Investigations opened in 2025</w:t>
            </w:r>
          </w:p>
        </w:tc>
      </w:tr>
      <w:tr w:rsidR="000D2D3D" w:rsidRPr="00CA1602" w14:paraId="081D61BC" w14:textId="77777777" w:rsidTr="00014E8E">
        <w:trPr>
          <w:trHeight w:val="300"/>
        </w:trPr>
        <w:tc>
          <w:tcPr>
            <w:tcW w:w="4248" w:type="dxa"/>
            <w:vMerge/>
            <w:tcBorders>
              <w:top w:val="single" w:sz="4" w:space="0" w:color="auto"/>
              <w:left w:val="single" w:sz="4" w:space="0" w:color="auto"/>
              <w:bottom w:val="nil"/>
              <w:right w:val="nil"/>
            </w:tcBorders>
            <w:vAlign w:val="center"/>
            <w:hideMark/>
          </w:tcPr>
          <w:p w14:paraId="1F0DBA87" w14:textId="77777777" w:rsidR="000D2D3D" w:rsidRPr="00CA1602" w:rsidRDefault="000D2D3D">
            <w:pPr>
              <w:rPr>
                <w:rFonts w:ascii="Aptos Narrow" w:hAnsi="Aptos Narrow"/>
                <w:b/>
                <w:bCs/>
                <w:noProof/>
                <w:color w:val="FFFFFF"/>
                <w:sz w:val="24"/>
                <w:szCs w:val="24"/>
              </w:rPr>
            </w:pPr>
          </w:p>
        </w:tc>
        <w:tc>
          <w:tcPr>
            <w:tcW w:w="0" w:type="auto"/>
            <w:tcBorders>
              <w:top w:val="nil"/>
              <w:left w:val="nil"/>
              <w:bottom w:val="nil"/>
              <w:right w:val="nil"/>
            </w:tcBorders>
            <w:shd w:val="clear" w:color="000000" w:fill="A6C9EC"/>
            <w:noWrap/>
            <w:tcMar>
              <w:top w:w="15" w:type="dxa"/>
              <w:left w:w="15" w:type="dxa"/>
              <w:bottom w:w="0" w:type="dxa"/>
              <w:right w:w="15" w:type="dxa"/>
            </w:tcMar>
            <w:vAlign w:val="bottom"/>
            <w:hideMark/>
          </w:tcPr>
          <w:p w14:paraId="6CB97CD8" w14:textId="77777777" w:rsidR="000D2D3D" w:rsidRPr="00DE3A6F" w:rsidRDefault="000D2D3D">
            <w:pPr>
              <w:jc w:val="center"/>
              <w:rPr>
                <w:rFonts w:ascii="Aptos Narrow" w:hAnsi="Aptos Narrow"/>
                <w:b/>
                <w:bCs/>
                <w:noProof/>
                <w:color w:val="000000"/>
                <w:szCs w:val="22"/>
              </w:rPr>
            </w:pPr>
            <w:r w:rsidRPr="00DE3A6F">
              <w:rPr>
                <w:rFonts w:ascii="Aptos Narrow" w:hAnsi="Aptos Narrow"/>
                <w:b/>
                <w:bCs/>
                <w:noProof/>
                <w:color w:val="000000"/>
                <w:szCs w:val="22"/>
              </w:rPr>
              <w:t>OLAF*</w:t>
            </w:r>
          </w:p>
        </w:tc>
        <w:tc>
          <w:tcPr>
            <w:tcW w:w="0" w:type="auto"/>
            <w:tcBorders>
              <w:top w:val="nil"/>
              <w:left w:val="nil"/>
              <w:bottom w:val="nil"/>
              <w:right w:val="single" w:sz="4" w:space="0" w:color="auto"/>
            </w:tcBorders>
            <w:shd w:val="clear" w:color="000000" w:fill="A6C9EC"/>
            <w:noWrap/>
            <w:tcMar>
              <w:top w:w="15" w:type="dxa"/>
              <w:left w:w="15" w:type="dxa"/>
              <w:bottom w:w="0" w:type="dxa"/>
              <w:right w:w="15" w:type="dxa"/>
            </w:tcMar>
            <w:vAlign w:val="bottom"/>
            <w:hideMark/>
          </w:tcPr>
          <w:p w14:paraId="22F76654" w14:textId="77777777" w:rsidR="000D2D3D" w:rsidRPr="00DE3A6F" w:rsidRDefault="000D2D3D">
            <w:pPr>
              <w:jc w:val="center"/>
              <w:rPr>
                <w:rFonts w:ascii="Aptos Narrow" w:hAnsi="Aptos Narrow"/>
                <w:b/>
                <w:bCs/>
                <w:noProof/>
                <w:color w:val="000000"/>
                <w:szCs w:val="22"/>
              </w:rPr>
            </w:pPr>
            <w:r w:rsidRPr="00DE3A6F">
              <w:rPr>
                <w:rFonts w:ascii="Aptos Narrow" w:hAnsi="Aptos Narrow"/>
                <w:b/>
                <w:bCs/>
                <w:noProof/>
                <w:color w:val="000000"/>
                <w:szCs w:val="22"/>
              </w:rPr>
              <w:t>EPPO**</w:t>
            </w:r>
          </w:p>
        </w:tc>
      </w:tr>
      <w:tr w:rsidR="000D2D3D" w:rsidRPr="00CA1602" w14:paraId="3B1DB52F" w14:textId="77777777" w:rsidTr="00014E8E">
        <w:trPr>
          <w:trHeight w:val="300"/>
        </w:trPr>
        <w:tc>
          <w:tcPr>
            <w:tcW w:w="4248" w:type="dxa"/>
            <w:tcBorders>
              <w:top w:val="nil"/>
              <w:left w:val="single" w:sz="4" w:space="0" w:color="auto"/>
              <w:bottom w:val="nil"/>
              <w:right w:val="nil"/>
            </w:tcBorders>
            <w:shd w:val="clear" w:color="000000" w:fill="A6C9EC"/>
            <w:noWrap/>
            <w:tcMar>
              <w:top w:w="15" w:type="dxa"/>
              <w:left w:w="15" w:type="dxa"/>
              <w:bottom w:w="0" w:type="dxa"/>
              <w:right w:w="15" w:type="dxa"/>
            </w:tcMar>
            <w:vAlign w:val="bottom"/>
            <w:hideMark/>
          </w:tcPr>
          <w:p w14:paraId="6A3B2C21" w14:textId="77777777" w:rsidR="000D2D3D" w:rsidRPr="00DE3A6F" w:rsidRDefault="000D2D3D">
            <w:pPr>
              <w:jc w:val="left"/>
              <w:rPr>
                <w:rFonts w:ascii="Aptos Narrow" w:hAnsi="Aptos Narrow"/>
                <w:b/>
                <w:bCs/>
                <w:noProof/>
                <w:color w:val="000000"/>
                <w:szCs w:val="22"/>
              </w:rPr>
            </w:pPr>
            <w:r w:rsidRPr="00DE3A6F">
              <w:rPr>
                <w:rFonts w:ascii="Aptos Narrow" w:hAnsi="Aptos Narrow"/>
                <w:b/>
                <w:bCs/>
                <w:noProof/>
                <w:color w:val="000000"/>
                <w:szCs w:val="22"/>
              </w:rPr>
              <w:t>Customs (own resources)</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B18EF16" w14:textId="77777777"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58</w:t>
            </w:r>
          </w:p>
        </w:tc>
        <w:tc>
          <w:tcPr>
            <w:tcW w:w="0" w:type="auto"/>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14:paraId="06991DED" w14:textId="77777777"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180</w:t>
            </w:r>
          </w:p>
        </w:tc>
      </w:tr>
      <w:tr w:rsidR="000D2D3D" w:rsidRPr="00CA1602" w14:paraId="107CAB7F" w14:textId="77777777" w:rsidTr="00014E8E">
        <w:trPr>
          <w:trHeight w:val="300"/>
        </w:trPr>
        <w:tc>
          <w:tcPr>
            <w:tcW w:w="4248" w:type="dxa"/>
            <w:tcBorders>
              <w:top w:val="nil"/>
              <w:left w:val="single" w:sz="4" w:space="0" w:color="auto"/>
              <w:bottom w:val="nil"/>
              <w:right w:val="nil"/>
            </w:tcBorders>
            <w:shd w:val="clear" w:color="000000" w:fill="A6C9EC"/>
            <w:noWrap/>
            <w:tcMar>
              <w:top w:w="15" w:type="dxa"/>
              <w:left w:w="15" w:type="dxa"/>
              <w:bottom w:w="0" w:type="dxa"/>
              <w:right w:w="15" w:type="dxa"/>
            </w:tcMar>
            <w:vAlign w:val="bottom"/>
            <w:hideMark/>
          </w:tcPr>
          <w:p w14:paraId="7DBCACBA" w14:textId="77777777" w:rsidR="000D2D3D" w:rsidRPr="00DE3A6F" w:rsidRDefault="000D2D3D">
            <w:pPr>
              <w:jc w:val="left"/>
              <w:rPr>
                <w:rFonts w:ascii="Aptos Narrow" w:hAnsi="Aptos Narrow"/>
                <w:b/>
                <w:bCs/>
                <w:noProof/>
                <w:color w:val="000000"/>
                <w:szCs w:val="22"/>
              </w:rPr>
            </w:pPr>
            <w:r w:rsidRPr="00DE3A6F">
              <w:rPr>
                <w:rFonts w:ascii="Aptos Narrow" w:hAnsi="Aptos Narrow"/>
                <w:b/>
                <w:bCs/>
                <w:noProof/>
                <w:color w:val="000000"/>
                <w:szCs w:val="22"/>
              </w:rPr>
              <w:t>Shared management</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A3B67E9" w14:textId="77777777"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66</w:t>
            </w:r>
          </w:p>
        </w:tc>
        <w:tc>
          <w:tcPr>
            <w:tcW w:w="0" w:type="auto"/>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14:paraId="640E37B9" w14:textId="03A3DC59" w:rsidR="000D2D3D" w:rsidRPr="00DE3A6F" w:rsidRDefault="00F379B6">
            <w:pPr>
              <w:jc w:val="right"/>
              <w:rPr>
                <w:rFonts w:ascii="Aptos Narrow" w:hAnsi="Aptos Narrow"/>
                <w:noProof/>
                <w:color w:val="000000"/>
                <w:szCs w:val="22"/>
              </w:rPr>
            </w:pPr>
            <w:r w:rsidRPr="00DE3A6F">
              <w:rPr>
                <w:rFonts w:ascii="Aptos Narrow" w:hAnsi="Aptos Narrow"/>
                <w:noProof/>
                <w:color w:val="000000"/>
                <w:szCs w:val="22"/>
              </w:rPr>
              <w:t>46</w:t>
            </w:r>
            <w:r>
              <w:rPr>
                <w:rFonts w:ascii="Aptos Narrow" w:hAnsi="Aptos Narrow"/>
                <w:noProof/>
                <w:color w:val="000000"/>
                <w:szCs w:val="22"/>
              </w:rPr>
              <w:t>5</w:t>
            </w:r>
          </w:p>
        </w:tc>
      </w:tr>
      <w:tr w:rsidR="000D2D3D" w:rsidRPr="00CA1602" w14:paraId="4795BA83" w14:textId="77777777" w:rsidTr="00014E8E">
        <w:trPr>
          <w:trHeight w:val="300"/>
        </w:trPr>
        <w:tc>
          <w:tcPr>
            <w:tcW w:w="4248" w:type="dxa"/>
            <w:tcBorders>
              <w:top w:val="nil"/>
              <w:left w:val="single" w:sz="4" w:space="0" w:color="auto"/>
              <w:bottom w:val="nil"/>
              <w:right w:val="nil"/>
            </w:tcBorders>
            <w:shd w:val="clear" w:color="000000" w:fill="A6C9EC"/>
            <w:noWrap/>
            <w:tcMar>
              <w:top w:w="15" w:type="dxa"/>
              <w:left w:w="15" w:type="dxa"/>
              <w:bottom w:w="0" w:type="dxa"/>
              <w:right w:w="15" w:type="dxa"/>
            </w:tcMar>
            <w:vAlign w:val="bottom"/>
            <w:hideMark/>
          </w:tcPr>
          <w:p w14:paraId="19CBE135" w14:textId="77777777" w:rsidR="000D2D3D" w:rsidRPr="00DE3A6F" w:rsidRDefault="000D2D3D">
            <w:pPr>
              <w:jc w:val="left"/>
              <w:rPr>
                <w:rFonts w:ascii="Aptos Narrow" w:hAnsi="Aptos Narrow"/>
                <w:b/>
                <w:bCs/>
                <w:noProof/>
                <w:color w:val="000000"/>
                <w:szCs w:val="22"/>
              </w:rPr>
            </w:pPr>
            <w:r w:rsidRPr="00DE3A6F">
              <w:rPr>
                <w:rFonts w:ascii="Aptos Narrow" w:hAnsi="Aptos Narrow"/>
                <w:b/>
                <w:bCs/>
                <w:noProof/>
                <w:color w:val="000000"/>
                <w:szCs w:val="22"/>
              </w:rPr>
              <w:t>Indirect management</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D8B7F54" w14:textId="77777777"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24</w:t>
            </w:r>
          </w:p>
        </w:tc>
        <w:tc>
          <w:tcPr>
            <w:tcW w:w="0" w:type="auto"/>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14:paraId="2BA08186" w14:textId="40490325"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1</w:t>
            </w:r>
            <w:r w:rsidR="00EC7C84">
              <w:rPr>
                <w:rFonts w:ascii="Aptos Narrow" w:hAnsi="Aptos Narrow"/>
                <w:noProof/>
                <w:color w:val="000000"/>
                <w:szCs w:val="22"/>
              </w:rPr>
              <w:t>3</w:t>
            </w:r>
          </w:p>
        </w:tc>
      </w:tr>
      <w:tr w:rsidR="000D2D3D" w:rsidRPr="00CA1602" w14:paraId="21030085" w14:textId="77777777" w:rsidTr="00014E8E">
        <w:trPr>
          <w:trHeight w:val="300"/>
        </w:trPr>
        <w:tc>
          <w:tcPr>
            <w:tcW w:w="4248" w:type="dxa"/>
            <w:tcBorders>
              <w:top w:val="nil"/>
              <w:left w:val="single" w:sz="4" w:space="0" w:color="auto"/>
              <w:bottom w:val="nil"/>
              <w:right w:val="nil"/>
            </w:tcBorders>
            <w:shd w:val="clear" w:color="000000" w:fill="A6C9EC"/>
            <w:noWrap/>
            <w:tcMar>
              <w:top w:w="15" w:type="dxa"/>
              <w:left w:w="15" w:type="dxa"/>
              <w:bottom w:w="0" w:type="dxa"/>
              <w:right w:w="15" w:type="dxa"/>
            </w:tcMar>
            <w:vAlign w:val="bottom"/>
            <w:hideMark/>
          </w:tcPr>
          <w:p w14:paraId="5620FC58" w14:textId="77777777" w:rsidR="000D2D3D" w:rsidRPr="00DE3A6F" w:rsidRDefault="000D2D3D">
            <w:pPr>
              <w:jc w:val="left"/>
              <w:rPr>
                <w:rFonts w:ascii="Aptos Narrow" w:hAnsi="Aptos Narrow"/>
                <w:b/>
                <w:bCs/>
                <w:noProof/>
                <w:color w:val="000000"/>
                <w:szCs w:val="22"/>
              </w:rPr>
            </w:pPr>
            <w:r w:rsidRPr="00DE3A6F">
              <w:rPr>
                <w:rFonts w:ascii="Aptos Narrow" w:hAnsi="Aptos Narrow"/>
                <w:b/>
                <w:bCs/>
                <w:noProof/>
                <w:color w:val="000000"/>
                <w:szCs w:val="22"/>
              </w:rPr>
              <w:t>Direct management</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4A7DA41E" w14:textId="77777777"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47</w:t>
            </w:r>
          </w:p>
        </w:tc>
        <w:tc>
          <w:tcPr>
            <w:tcW w:w="0" w:type="auto"/>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14:paraId="510DFF2B" w14:textId="4C0A80DA" w:rsidR="000D2D3D" w:rsidRPr="00DE3A6F" w:rsidRDefault="00EC7C84">
            <w:pPr>
              <w:jc w:val="right"/>
              <w:rPr>
                <w:rFonts w:ascii="Aptos Narrow" w:hAnsi="Aptos Narrow"/>
                <w:noProof/>
                <w:color w:val="000000"/>
                <w:szCs w:val="22"/>
              </w:rPr>
            </w:pPr>
            <w:r>
              <w:rPr>
                <w:rFonts w:ascii="Aptos Narrow" w:hAnsi="Aptos Narrow"/>
                <w:noProof/>
                <w:color w:val="000000"/>
                <w:szCs w:val="22"/>
              </w:rPr>
              <w:t>38</w:t>
            </w:r>
          </w:p>
        </w:tc>
      </w:tr>
      <w:tr w:rsidR="000D2D3D" w:rsidRPr="00CA1602" w14:paraId="18D5370A" w14:textId="77777777" w:rsidTr="00014E8E">
        <w:trPr>
          <w:trHeight w:val="300"/>
        </w:trPr>
        <w:tc>
          <w:tcPr>
            <w:tcW w:w="4248" w:type="dxa"/>
            <w:tcBorders>
              <w:top w:val="nil"/>
              <w:left w:val="single" w:sz="4" w:space="0" w:color="auto"/>
              <w:bottom w:val="nil"/>
              <w:right w:val="nil"/>
            </w:tcBorders>
            <w:shd w:val="clear" w:color="000000" w:fill="A6C9EC"/>
            <w:noWrap/>
            <w:tcMar>
              <w:top w:w="15" w:type="dxa"/>
              <w:left w:w="15" w:type="dxa"/>
              <w:bottom w:w="0" w:type="dxa"/>
              <w:right w:w="15" w:type="dxa"/>
            </w:tcMar>
            <w:vAlign w:val="bottom"/>
            <w:hideMark/>
          </w:tcPr>
          <w:p w14:paraId="0B37B760" w14:textId="77777777" w:rsidR="000D2D3D" w:rsidRPr="00DE3A6F" w:rsidRDefault="000D2D3D">
            <w:pPr>
              <w:jc w:val="left"/>
              <w:rPr>
                <w:rFonts w:ascii="Aptos Narrow" w:hAnsi="Aptos Narrow"/>
                <w:b/>
                <w:bCs/>
                <w:noProof/>
                <w:color w:val="000000"/>
                <w:szCs w:val="22"/>
              </w:rPr>
            </w:pPr>
            <w:r w:rsidRPr="00DE3A6F">
              <w:rPr>
                <w:rFonts w:ascii="Aptos Narrow" w:hAnsi="Aptos Narrow"/>
                <w:b/>
                <w:bCs/>
                <w:noProof/>
                <w:color w:val="000000"/>
                <w:szCs w:val="22"/>
              </w:rPr>
              <w:t>Recovery and resilience facility</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382952B" w14:textId="77777777"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31</w:t>
            </w:r>
          </w:p>
        </w:tc>
        <w:tc>
          <w:tcPr>
            <w:tcW w:w="0" w:type="auto"/>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14:paraId="73A194C5" w14:textId="49FDFFF0" w:rsidR="000D2D3D" w:rsidRPr="00DE3A6F" w:rsidRDefault="00F379B6">
            <w:pPr>
              <w:jc w:val="right"/>
              <w:rPr>
                <w:rFonts w:ascii="Aptos Narrow" w:hAnsi="Aptos Narrow"/>
                <w:noProof/>
                <w:color w:val="000000"/>
                <w:szCs w:val="22"/>
              </w:rPr>
            </w:pPr>
            <w:r w:rsidRPr="00DE3A6F">
              <w:rPr>
                <w:rFonts w:ascii="Aptos Narrow" w:hAnsi="Aptos Narrow"/>
                <w:noProof/>
                <w:color w:val="000000"/>
                <w:szCs w:val="22"/>
              </w:rPr>
              <w:t>2</w:t>
            </w:r>
            <w:r>
              <w:rPr>
                <w:rFonts w:ascii="Aptos Narrow" w:hAnsi="Aptos Narrow"/>
                <w:noProof/>
                <w:color w:val="000000"/>
                <w:szCs w:val="22"/>
              </w:rPr>
              <w:t>64</w:t>
            </w:r>
          </w:p>
        </w:tc>
      </w:tr>
      <w:tr w:rsidR="000D2D3D" w:rsidRPr="00CA1602" w14:paraId="547DC98F" w14:textId="77777777" w:rsidTr="00014E8E">
        <w:trPr>
          <w:trHeight w:val="300"/>
        </w:trPr>
        <w:tc>
          <w:tcPr>
            <w:tcW w:w="4248" w:type="dxa"/>
            <w:tcBorders>
              <w:top w:val="nil"/>
              <w:left w:val="single" w:sz="4" w:space="0" w:color="auto"/>
              <w:bottom w:val="nil"/>
              <w:right w:val="nil"/>
            </w:tcBorders>
            <w:shd w:val="clear" w:color="000000" w:fill="A6C9EC"/>
            <w:noWrap/>
            <w:tcMar>
              <w:top w:w="15" w:type="dxa"/>
              <w:left w:w="15" w:type="dxa"/>
              <w:bottom w:w="0" w:type="dxa"/>
              <w:right w:w="15" w:type="dxa"/>
            </w:tcMar>
            <w:vAlign w:val="bottom"/>
            <w:hideMark/>
          </w:tcPr>
          <w:p w14:paraId="46AD3CA5" w14:textId="77777777" w:rsidR="000D2D3D" w:rsidRPr="00DE3A6F" w:rsidRDefault="000D2D3D">
            <w:pPr>
              <w:jc w:val="left"/>
              <w:rPr>
                <w:rFonts w:ascii="Aptos Narrow" w:hAnsi="Aptos Narrow"/>
                <w:b/>
                <w:bCs/>
                <w:noProof/>
                <w:color w:val="000000"/>
                <w:szCs w:val="22"/>
              </w:rPr>
            </w:pPr>
            <w:r w:rsidRPr="00DE3A6F">
              <w:rPr>
                <w:rFonts w:ascii="Aptos Narrow" w:hAnsi="Aptos Narrow"/>
                <w:b/>
                <w:bCs/>
                <w:noProof/>
                <w:color w:val="000000"/>
                <w:szCs w:val="22"/>
              </w:rPr>
              <w:t>Other</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7EFC60C0" w14:textId="77777777" w:rsidR="000D2D3D" w:rsidRPr="00DE3A6F" w:rsidRDefault="000D2D3D">
            <w:pPr>
              <w:jc w:val="right"/>
              <w:rPr>
                <w:rFonts w:ascii="Aptos Narrow" w:hAnsi="Aptos Narrow"/>
                <w:noProof/>
                <w:color w:val="000000"/>
                <w:szCs w:val="22"/>
              </w:rPr>
            </w:pPr>
            <w:r w:rsidRPr="00DE3A6F">
              <w:rPr>
                <w:rFonts w:ascii="Aptos Narrow" w:hAnsi="Aptos Narrow"/>
                <w:noProof/>
                <w:color w:val="000000"/>
                <w:szCs w:val="22"/>
              </w:rPr>
              <w:t>33</w:t>
            </w:r>
          </w:p>
        </w:tc>
        <w:tc>
          <w:tcPr>
            <w:tcW w:w="0" w:type="auto"/>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14:paraId="3318ABA6" w14:textId="305084BD" w:rsidR="000D2D3D" w:rsidRPr="00DE3A6F" w:rsidRDefault="00C92A6A">
            <w:pPr>
              <w:jc w:val="right"/>
              <w:rPr>
                <w:rFonts w:ascii="Aptos Narrow" w:hAnsi="Aptos Narrow"/>
                <w:noProof/>
                <w:color w:val="000000"/>
                <w:szCs w:val="22"/>
              </w:rPr>
            </w:pPr>
            <w:r>
              <w:rPr>
                <w:rFonts w:ascii="Aptos Narrow" w:hAnsi="Aptos Narrow"/>
                <w:noProof/>
                <w:color w:val="000000"/>
                <w:szCs w:val="22"/>
              </w:rPr>
              <w:t>1</w:t>
            </w:r>
            <w:r w:rsidR="00EC7C84">
              <w:rPr>
                <w:rFonts w:ascii="Aptos Narrow" w:hAnsi="Aptos Narrow"/>
                <w:noProof/>
                <w:color w:val="000000"/>
                <w:szCs w:val="22"/>
              </w:rPr>
              <w:t>94</w:t>
            </w:r>
          </w:p>
        </w:tc>
      </w:tr>
      <w:tr w:rsidR="000D2D3D" w:rsidRPr="00CA1602" w14:paraId="09E45C07" w14:textId="77777777" w:rsidTr="00014E8E">
        <w:trPr>
          <w:trHeight w:val="300"/>
        </w:trPr>
        <w:tc>
          <w:tcPr>
            <w:tcW w:w="4248" w:type="dxa"/>
            <w:tcBorders>
              <w:top w:val="nil"/>
              <w:left w:val="single" w:sz="4" w:space="0" w:color="auto"/>
              <w:bottom w:val="nil"/>
              <w:right w:val="nil"/>
            </w:tcBorders>
            <w:shd w:val="clear" w:color="000000" w:fill="A6C9EC"/>
            <w:noWrap/>
            <w:tcMar>
              <w:top w:w="15" w:type="dxa"/>
              <w:left w:w="15" w:type="dxa"/>
              <w:bottom w:w="0" w:type="dxa"/>
              <w:right w:w="15" w:type="dxa"/>
            </w:tcMar>
            <w:vAlign w:val="bottom"/>
            <w:hideMark/>
          </w:tcPr>
          <w:p w14:paraId="78AA4D03" w14:textId="77777777" w:rsidR="000D2D3D" w:rsidRPr="00DE3A6F" w:rsidRDefault="000D2D3D">
            <w:pPr>
              <w:jc w:val="left"/>
              <w:rPr>
                <w:rFonts w:ascii="Aptos Narrow" w:hAnsi="Aptos Narrow"/>
                <w:b/>
                <w:bCs/>
                <w:noProof/>
                <w:color w:val="000000"/>
                <w:szCs w:val="22"/>
              </w:rPr>
            </w:pPr>
            <w:r w:rsidRPr="00DE3A6F">
              <w:rPr>
                <w:rFonts w:ascii="Aptos Narrow" w:hAnsi="Aptos Narrow"/>
                <w:b/>
                <w:bCs/>
                <w:noProof/>
                <w:color w:val="000000"/>
                <w:szCs w:val="22"/>
              </w:rPr>
              <w:t>Unidentified</w:t>
            </w:r>
          </w:p>
        </w:tc>
        <w:tc>
          <w:tcPr>
            <w:tcW w:w="0" w:type="auto"/>
            <w:tcBorders>
              <w:top w:val="nil"/>
              <w:left w:val="nil"/>
              <w:bottom w:val="nil"/>
              <w:right w:val="nil"/>
            </w:tcBorders>
            <w:shd w:val="clear" w:color="000000" w:fill="FFFFFF"/>
            <w:noWrap/>
            <w:tcMar>
              <w:top w:w="15" w:type="dxa"/>
              <w:left w:w="15" w:type="dxa"/>
              <w:bottom w:w="0" w:type="dxa"/>
              <w:right w:w="15" w:type="dxa"/>
            </w:tcMar>
            <w:vAlign w:val="bottom"/>
            <w:hideMark/>
          </w:tcPr>
          <w:p w14:paraId="385952AB" w14:textId="77777777" w:rsidR="000D2D3D" w:rsidRPr="00DE3A6F" w:rsidRDefault="000D2D3D">
            <w:pPr>
              <w:rPr>
                <w:rFonts w:ascii="Aptos Narrow" w:hAnsi="Aptos Narrow"/>
                <w:noProof/>
                <w:color w:val="000000"/>
                <w:szCs w:val="22"/>
              </w:rPr>
            </w:pPr>
            <w:r w:rsidRPr="00DE3A6F">
              <w:rPr>
                <w:rFonts w:ascii="Aptos Narrow" w:hAnsi="Aptos Narrow"/>
                <w:noProof/>
                <w:color w:val="000000"/>
                <w:szCs w:val="22"/>
              </w:rPr>
              <w:t> </w:t>
            </w:r>
          </w:p>
        </w:tc>
        <w:tc>
          <w:tcPr>
            <w:tcW w:w="0" w:type="auto"/>
            <w:tcBorders>
              <w:top w:val="nil"/>
              <w:left w:val="nil"/>
              <w:bottom w:val="nil"/>
              <w:right w:val="single" w:sz="4" w:space="0" w:color="auto"/>
            </w:tcBorders>
            <w:shd w:val="clear" w:color="000000" w:fill="FFFFFF"/>
            <w:noWrap/>
            <w:tcMar>
              <w:top w:w="15" w:type="dxa"/>
              <w:left w:w="15" w:type="dxa"/>
              <w:bottom w:w="0" w:type="dxa"/>
              <w:right w:w="15" w:type="dxa"/>
            </w:tcMar>
            <w:vAlign w:val="bottom"/>
            <w:hideMark/>
          </w:tcPr>
          <w:p w14:paraId="55C53739" w14:textId="1C010561" w:rsidR="000D2D3D" w:rsidRPr="00DE3A6F" w:rsidRDefault="007005C2">
            <w:pPr>
              <w:jc w:val="right"/>
              <w:rPr>
                <w:rFonts w:ascii="Aptos Narrow" w:hAnsi="Aptos Narrow"/>
                <w:noProof/>
                <w:color w:val="000000"/>
                <w:szCs w:val="22"/>
              </w:rPr>
            </w:pPr>
            <w:r>
              <w:rPr>
                <w:rFonts w:ascii="Aptos Narrow" w:hAnsi="Aptos Narrow"/>
                <w:noProof/>
                <w:color w:val="000000"/>
                <w:szCs w:val="22"/>
              </w:rPr>
              <w:t>586</w:t>
            </w:r>
          </w:p>
        </w:tc>
      </w:tr>
      <w:tr w:rsidR="000D2D3D" w:rsidRPr="00CA1602" w14:paraId="363019BA" w14:textId="77777777" w:rsidTr="00703ED5">
        <w:trPr>
          <w:trHeight w:val="300"/>
        </w:trPr>
        <w:tc>
          <w:tcPr>
            <w:tcW w:w="4248" w:type="dxa"/>
            <w:tcBorders>
              <w:top w:val="nil"/>
              <w:left w:val="single" w:sz="4" w:space="0" w:color="auto"/>
              <w:bottom w:val="single" w:sz="4" w:space="0" w:color="auto"/>
              <w:right w:val="nil"/>
            </w:tcBorders>
            <w:shd w:val="clear" w:color="000000" w:fill="4D93D9"/>
            <w:noWrap/>
            <w:tcMar>
              <w:top w:w="15" w:type="dxa"/>
              <w:left w:w="15" w:type="dxa"/>
              <w:bottom w:w="0" w:type="dxa"/>
              <w:right w:w="15" w:type="dxa"/>
            </w:tcMar>
            <w:vAlign w:val="bottom"/>
            <w:hideMark/>
          </w:tcPr>
          <w:p w14:paraId="18AB359D" w14:textId="77777777" w:rsidR="000D2D3D" w:rsidRPr="00DE3A6F" w:rsidRDefault="000D2D3D">
            <w:pPr>
              <w:jc w:val="left"/>
              <w:rPr>
                <w:rFonts w:ascii="Aptos Narrow" w:hAnsi="Aptos Narrow"/>
                <w:b/>
                <w:bCs/>
                <w:noProof/>
                <w:color w:val="FFFFFF"/>
                <w:szCs w:val="22"/>
              </w:rPr>
            </w:pPr>
            <w:r w:rsidRPr="00DE3A6F">
              <w:rPr>
                <w:rFonts w:ascii="Aptos Narrow" w:hAnsi="Aptos Narrow"/>
                <w:b/>
                <w:bCs/>
                <w:noProof/>
                <w:color w:val="FFFFFF"/>
                <w:szCs w:val="22"/>
              </w:rPr>
              <w:t>TOTAL</w:t>
            </w:r>
          </w:p>
        </w:tc>
        <w:tc>
          <w:tcPr>
            <w:tcW w:w="0" w:type="auto"/>
            <w:tcBorders>
              <w:top w:val="nil"/>
              <w:left w:val="nil"/>
              <w:bottom w:val="single" w:sz="4" w:space="0" w:color="auto"/>
              <w:right w:val="nil"/>
            </w:tcBorders>
            <w:shd w:val="clear" w:color="000000" w:fill="4D93D9"/>
            <w:noWrap/>
            <w:tcMar>
              <w:top w:w="15" w:type="dxa"/>
              <w:left w:w="15" w:type="dxa"/>
              <w:bottom w:w="0" w:type="dxa"/>
              <w:right w:w="15" w:type="dxa"/>
            </w:tcMar>
            <w:vAlign w:val="bottom"/>
            <w:hideMark/>
          </w:tcPr>
          <w:p w14:paraId="7B347CEE" w14:textId="77777777" w:rsidR="000D2D3D" w:rsidRPr="00DE3A6F" w:rsidRDefault="000D2D3D">
            <w:pPr>
              <w:jc w:val="right"/>
              <w:rPr>
                <w:rFonts w:ascii="Aptos Narrow" w:hAnsi="Aptos Narrow"/>
                <w:b/>
                <w:bCs/>
                <w:noProof/>
                <w:color w:val="FFFFFF"/>
                <w:szCs w:val="22"/>
              </w:rPr>
            </w:pPr>
            <w:r w:rsidRPr="00DE3A6F">
              <w:rPr>
                <w:rFonts w:ascii="Aptos Narrow" w:hAnsi="Aptos Narrow"/>
                <w:b/>
                <w:bCs/>
                <w:noProof/>
                <w:color w:val="FFFFFF"/>
                <w:szCs w:val="22"/>
              </w:rPr>
              <w:t>254</w:t>
            </w:r>
          </w:p>
        </w:tc>
        <w:tc>
          <w:tcPr>
            <w:tcW w:w="0" w:type="auto"/>
            <w:tcBorders>
              <w:top w:val="nil"/>
              <w:left w:val="nil"/>
              <w:bottom w:val="single" w:sz="4" w:space="0" w:color="auto"/>
              <w:right w:val="single" w:sz="4" w:space="0" w:color="auto"/>
            </w:tcBorders>
            <w:shd w:val="clear" w:color="000000" w:fill="4D93D9"/>
            <w:noWrap/>
            <w:tcMar>
              <w:top w:w="15" w:type="dxa"/>
              <w:left w:w="15" w:type="dxa"/>
              <w:bottom w:w="0" w:type="dxa"/>
              <w:right w:w="15" w:type="dxa"/>
            </w:tcMar>
            <w:vAlign w:val="bottom"/>
            <w:hideMark/>
          </w:tcPr>
          <w:p w14:paraId="27A9BFCE" w14:textId="6AC18B91" w:rsidR="000D2D3D" w:rsidRPr="00DE3A6F" w:rsidRDefault="000D2D3D">
            <w:pPr>
              <w:jc w:val="right"/>
              <w:rPr>
                <w:rFonts w:ascii="Aptos Narrow" w:hAnsi="Aptos Narrow"/>
                <w:b/>
                <w:bCs/>
                <w:noProof/>
                <w:color w:val="FFFFFF"/>
                <w:szCs w:val="22"/>
              </w:rPr>
            </w:pPr>
            <w:r w:rsidRPr="00DE3A6F">
              <w:rPr>
                <w:rFonts w:ascii="Aptos Narrow" w:hAnsi="Aptos Narrow"/>
                <w:b/>
                <w:bCs/>
                <w:noProof/>
                <w:color w:val="FFFFFF"/>
                <w:szCs w:val="22"/>
              </w:rPr>
              <w:t>1</w:t>
            </w:r>
            <w:r w:rsidR="003A567C">
              <w:rPr>
                <w:rFonts w:ascii="Aptos Narrow" w:hAnsi="Aptos Narrow"/>
                <w:b/>
                <w:bCs/>
                <w:noProof/>
                <w:color w:val="FFFFFF"/>
                <w:szCs w:val="22"/>
              </w:rPr>
              <w:t> </w:t>
            </w:r>
            <w:r w:rsidRPr="00DE3A6F">
              <w:rPr>
                <w:rFonts w:ascii="Aptos Narrow" w:hAnsi="Aptos Narrow"/>
                <w:b/>
                <w:bCs/>
                <w:noProof/>
                <w:color w:val="FFFFFF"/>
                <w:szCs w:val="22"/>
              </w:rPr>
              <w:t>740</w:t>
            </w:r>
          </w:p>
        </w:tc>
      </w:tr>
      <w:tr w:rsidR="000D2D3D" w:rsidRPr="00CA1602" w14:paraId="39F53F8D" w14:textId="77777777" w:rsidTr="009E4093">
        <w:trPr>
          <w:trHeight w:val="293"/>
        </w:trPr>
        <w:tc>
          <w:tcPr>
            <w:tcW w:w="8582" w:type="dxa"/>
            <w:gridSpan w:val="3"/>
            <w:tcBorders>
              <w:top w:val="single" w:sz="4" w:space="0" w:color="auto"/>
              <w:left w:val="single" w:sz="4" w:space="0" w:color="auto"/>
              <w:right w:val="single" w:sz="4" w:space="0" w:color="auto"/>
            </w:tcBorders>
            <w:shd w:val="clear" w:color="000000" w:fill="FFFFFF"/>
            <w:tcMar>
              <w:top w:w="15" w:type="dxa"/>
              <w:left w:w="15" w:type="dxa"/>
              <w:bottom w:w="0" w:type="dxa"/>
              <w:right w:w="15" w:type="dxa"/>
            </w:tcMar>
            <w:vAlign w:val="bottom"/>
            <w:hideMark/>
          </w:tcPr>
          <w:p w14:paraId="6E57D0E1" w14:textId="2151A4A5" w:rsidR="000D2D3D" w:rsidRPr="00677892" w:rsidRDefault="000D2D3D">
            <w:pPr>
              <w:jc w:val="left"/>
              <w:rPr>
                <w:rFonts w:ascii="Arial Narrow" w:hAnsi="Arial Narrow"/>
                <w:b/>
                <w:bCs/>
                <w:noProof/>
                <w:sz w:val="16"/>
                <w:szCs w:val="16"/>
              </w:rPr>
            </w:pPr>
            <w:r w:rsidRPr="00677892">
              <w:rPr>
                <w:rFonts w:ascii="Arial Narrow" w:hAnsi="Arial Narrow"/>
                <w:b/>
                <w:bCs/>
                <w:noProof/>
                <w:sz w:val="16"/>
                <w:szCs w:val="16"/>
              </w:rPr>
              <w:t xml:space="preserve">* </w:t>
            </w:r>
            <w:r w:rsidR="00184380" w:rsidRPr="00677892">
              <w:rPr>
                <w:rFonts w:ascii="Arial Narrow" w:hAnsi="Arial Narrow"/>
                <w:noProof/>
                <w:sz w:val="16"/>
                <w:szCs w:val="16"/>
              </w:rPr>
              <w:t>Source</w:t>
            </w:r>
            <w:r w:rsidRPr="00677892">
              <w:rPr>
                <w:rFonts w:ascii="Arial Narrow" w:hAnsi="Arial Narrow"/>
                <w:noProof/>
                <w:sz w:val="16"/>
                <w:szCs w:val="16"/>
              </w:rPr>
              <w:t>: OLAF annual report 2025 - The sum may not correspond to the total, as one investigation may relate to more than one budgetary sector</w:t>
            </w:r>
          </w:p>
        </w:tc>
      </w:tr>
      <w:tr w:rsidR="000D2D3D" w:rsidRPr="00CA1602" w14:paraId="108A8237" w14:textId="77777777" w:rsidTr="009E4093">
        <w:trPr>
          <w:trHeight w:val="379"/>
        </w:trPr>
        <w:tc>
          <w:tcPr>
            <w:tcW w:w="8582" w:type="dxa"/>
            <w:gridSpan w:val="3"/>
            <w:tcBorders>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093C8C9" w14:textId="5CBF1101" w:rsidR="000D2D3D" w:rsidRPr="00677892" w:rsidRDefault="000D2D3D" w:rsidP="009E4093">
            <w:pPr>
              <w:spacing w:after="0"/>
              <w:jc w:val="left"/>
              <w:rPr>
                <w:rFonts w:ascii="Arial Narrow" w:hAnsi="Arial Narrow"/>
                <w:noProof/>
                <w:color w:val="000000"/>
                <w:sz w:val="16"/>
                <w:szCs w:val="16"/>
              </w:rPr>
            </w:pPr>
            <w:r w:rsidRPr="00677892">
              <w:rPr>
                <w:rFonts w:ascii="Arial Narrow" w:hAnsi="Arial Narrow"/>
                <w:noProof/>
                <w:color w:val="000000"/>
                <w:sz w:val="16"/>
                <w:szCs w:val="16"/>
              </w:rPr>
              <w:t>** Commission calculation on data provided by the EPPO</w:t>
            </w:r>
            <w:r w:rsidR="009E4093">
              <w:rPr>
                <w:rFonts w:ascii="Arial Narrow" w:hAnsi="Arial Narrow"/>
                <w:noProof/>
                <w:color w:val="000000"/>
                <w:sz w:val="16"/>
                <w:szCs w:val="16"/>
              </w:rPr>
              <w:t>.</w:t>
            </w:r>
            <w:r w:rsidR="00677892">
              <w:rPr>
                <w:rFonts w:ascii="Arial Narrow" w:hAnsi="Arial Narrow"/>
                <w:noProof/>
                <w:color w:val="000000"/>
                <w:sz w:val="16"/>
                <w:szCs w:val="16"/>
              </w:rPr>
              <w:t xml:space="preserve"> </w:t>
            </w:r>
            <w:r w:rsidRPr="00677892">
              <w:rPr>
                <w:rFonts w:ascii="Arial Narrow" w:hAnsi="Arial Narrow"/>
                <w:noProof/>
                <w:color w:val="000000"/>
                <w:sz w:val="16"/>
                <w:szCs w:val="16"/>
              </w:rPr>
              <w:t>290 VAT investigations by the EPPO are not included in the table</w:t>
            </w:r>
            <w:r w:rsidR="009E4093">
              <w:rPr>
                <w:rFonts w:ascii="Arial Narrow" w:hAnsi="Arial Narrow"/>
                <w:noProof/>
                <w:color w:val="000000"/>
                <w:sz w:val="16"/>
                <w:szCs w:val="16"/>
              </w:rPr>
              <w:t>.</w:t>
            </w:r>
            <w:r w:rsidRPr="00677892">
              <w:rPr>
                <w:rFonts w:ascii="Arial Narrow" w:hAnsi="Arial Narrow"/>
                <w:noProof/>
                <w:color w:val="000000"/>
                <w:sz w:val="16"/>
                <w:szCs w:val="16"/>
              </w:rPr>
              <w:t xml:space="preserve">'Other' in the EPPO column includes </w:t>
            </w:r>
            <w:r w:rsidR="00EC7C84" w:rsidRPr="00677892">
              <w:rPr>
                <w:rFonts w:ascii="Arial Narrow" w:hAnsi="Arial Narrow"/>
                <w:noProof/>
                <w:color w:val="000000"/>
                <w:sz w:val="16"/>
                <w:szCs w:val="16"/>
              </w:rPr>
              <w:t xml:space="preserve">13 </w:t>
            </w:r>
            <w:r w:rsidRPr="00677892">
              <w:rPr>
                <w:rFonts w:ascii="Arial Narrow" w:hAnsi="Arial Narrow"/>
                <w:noProof/>
                <w:color w:val="000000"/>
                <w:sz w:val="16"/>
                <w:szCs w:val="16"/>
              </w:rPr>
              <w:t>cases related to RRF and shared management</w:t>
            </w:r>
          </w:p>
        </w:tc>
      </w:tr>
    </w:tbl>
    <w:p w14:paraId="43A07D4F" w14:textId="77A3D4F3" w:rsidR="00163DE9" w:rsidRPr="00DE3A6F" w:rsidRDefault="00163DE9" w:rsidP="00E51FF0">
      <w:pPr>
        <w:shd w:val="clear" w:color="auto" w:fill="FFFFFF" w:themeFill="background1"/>
        <w:spacing w:before="120"/>
        <w:rPr>
          <w:noProof/>
        </w:rPr>
      </w:pPr>
      <w:r w:rsidRPr="00596DDD">
        <w:rPr>
          <w:noProof/>
        </w:rPr>
        <w:t xml:space="preserve">If VAT and RRF </w:t>
      </w:r>
      <w:r w:rsidR="00B629A0" w:rsidRPr="00596DDD">
        <w:rPr>
          <w:noProof/>
        </w:rPr>
        <w:t xml:space="preserve">as reported by the EPPO are excluded </w:t>
      </w:r>
      <w:r w:rsidR="00F64A65" w:rsidRPr="00596DDD">
        <w:rPr>
          <w:noProof/>
        </w:rPr>
        <w:t>from</w:t>
      </w:r>
      <w:r w:rsidR="00B629A0" w:rsidRPr="00596DDD">
        <w:rPr>
          <w:noProof/>
        </w:rPr>
        <w:t xml:space="preserve"> the analysis</w:t>
      </w:r>
      <w:r w:rsidRPr="00596DDD">
        <w:rPr>
          <w:noProof/>
        </w:rPr>
        <w:t xml:space="preserve">, </w:t>
      </w:r>
      <w:r w:rsidR="00B32912">
        <w:rPr>
          <w:noProof/>
        </w:rPr>
        <w:t xml:space="preserve">for the main budgetary sectors, </w:t>
      </w:r>
      <w:r w:rsidRPr="00596DDD">
        <w:rPr>
          <w:noProof/>
        </w:rPr>
        <w:t xml:space="preserve">the number of </w:t>
      </w:r>
      <w:r w:rsidR="00711637" w:rsidRPr="00596DDD">
        <w:rPr>
          <w:noProof/>
        </w:rPr>
        <w:t xml:space="preserve">investigations opened by the EPPO in 2025 is similar to the number of fraudulent cases </w:t>
      </w:r>
      <w:r w:rsidR="004425E6" w:rsidRPr="00596DDD">
        <w:rPr>
          <w:noProof/>
        </w:rPr>
        <w:t xml:space="preserve">shown </w:t>
      </w:r>
      <w:r w:rsidR="00990BF2" w:rsidRPr="00596DDD">
        <w:rPr>
          <w:noProof/>
        </w:rPr>
        <w:t xml:space="preserve">in </w:t>
      </w:r>
      <w:r w:rsidR="00990BF2" w:rsidRPr="00596DDD">
        <w:rPr>
          <w:b/>
          <w:bCs/>
          <w:noProof/>
        </w:rPr>
        <w:t xml:space="preserve">Figure </w:t>
      </w:r>
      <w:r w:rsidR="009E7705">
        <w:rPr>
          <w:b/>
          <w:bCs/>
          <w:noProof/>
        </w:rPr>
        <w:t>9</w:t>
      </w:r>
      <w:r w:rsidR="00990BF2" w:rsidRPr="00596DDD">
        <w:rPr>
          <w:noProof/>
        </w:rPr>
        <w:t>.</w:t>
      </w:r>
    </w:p>
    <w:p w14:paraId="2986FDA1" w14:textId="632D74C6" w:rsidR="000E544E" w:rsidRPr="00CA1602" w:rsidRDefault="003E3C49" w:rsidP="008B10B3">
      <w:pPr>
        <w:shd w:val="clear" w:color="auto" w:fill="FFFFFF" w:themeFill="background1"/>
        <w:rPr>
          <w:noProof/>
        </w:rPr>
      </w:pPr>
      <w:r w:rsidRPr="00DE3A6F">
        <w:rPr>
          <w:noProof/>
        </w:rPr>
        <w:t xml:space="preserve">As already mentioned, suspected RRF and </w:t>
      </w:r>
      <w:r w:rsidR="5EB38307" w:rsidRPr="00DE3A6F">
        <w:rPr>
          <w:noProof/>
        </w:rPr>
        <w:t>VAT fraud</w:t>
      </w:r>
      <w:r w:rsidR="7E32A0BB" w:rsidRPr="00DE3A6F">
        <w:rPr>
          <w:noProof/>
        </w:rPr>
        <w:t xml:space="preserve"> </w:t>
      </w:r>
      <w:r w:rsidR="1F3DFFAD" w:rsidRPr="00DE3A6F">
        <w:rPr>
          <w:noProof/>
        </w:rPr>
        <w:t>are not part of the mandatory reporting for the Member States</w:t>
      </w:r>
      <w:r w:rsidR="007E6E89" w:rsidRPr="00E951D5">
        <w:rPr>
          <w:noProof/>
        </w:rPr>
        <w:t> (</w:t>
      </w:r>
      <w:r w:rsidR="007E6E89">
        <w:rPr>
          <w:rStyle w:val="FootnoteReference"/>
          <w:noProof/>
        </w:rPr>
        <w:footnoteReference w:id="54"/>
      </w:r>
      <w:r w:rsidR="007E6E89">
        <w:rPr>
          <w:noProof/>
        </w:rPr>
        <w:t>)</w:t>
      </w:r>
      <w:r w:rsidRPr="00DE3A6F">
        <w:rPr>
          <w:noProof/>
        </w:rPr>
        <w:t xml:space="preserve"> - see</w:t>
      </w:r>
      <w:r w:rsidR="1F3DFFAD" w:rsidRPr="00DE3A6F">
        <w:rPr>
          <w:noProof/>
        </w:rPr>
        <w:t xml:space="preserve"> </w:t>
      </w:r>
      <w:r w:rsidR="00174892" w:rsidRPr="00CA1602">
        <w:rPr>
          <w:noProof/>
        </w:rPr>
        <w:t xml:space="preserve">Sections </w:t>
      </w:r>
      <w:hyperlink w:anchor="_Recovery_and_Resilience" w:history="1">
        <w:r w:rsidRPr="00B32912">
          <w:rPr>
            <w:rStyle w:val="Hyperlink"/>
            <w:noProof/>
          </w:rPr>
          <w:t>3.2.3</w:t>
        </w:r>
      </w:hyperlink>
      <w:r w:rsidRPr="00DE3A6F">
        <w:rPr>
          <w:noProof/>
        </w:rPr>
        <w:t xml:space="preserve"> </w:t>
      </w:r>
      <w:r w:rsidR="00064C03" w:rsidRPr="00DE3A6F">
        <w:rPr>
          <w:noProof/>
        </w:rPr>
        <w:t xml:space="preserve">and </w:t>
      </w:r>
      <w:hyperlink w:anchor="_Organised_crime" w:history="1">
        <w:r w:rsidR="310720C5" w:rsidRPr="00B32912">
          <w:rPr>
            <w:rStyle w:val="Hyperlink"/>
            <w:noProof/>
          </w:rPr>
          <w:t>3.</w:t>
        </w:r>
        <w:r w:rsidR="007E3222" w:rsidRPr="00B32912">
          <w:rPr>
            <w:rStyle w:val="Hyperlink"/>
            <w:noProof/>
          </w:rPr>
          <w:t>3</w:t>
        </w:r>
        <w:r w:rsidR="001C75C9" w:rsidRPr="00B32912">
          <w:rPr>
            <w:rStyle w:val="Hyperlink"/>
            <w:noProof/>
          </w:rPr>
          <w:t>.</w:t>
        </w:r>
        <w:r w:rsidR="007845DE" w:rsidRPr="00B32912">
          <w:rPr>
            <w:rStyle w:val="Hyperlink"/>
            <w:noProof/>
          </w:rPr>
          <w:t>1</w:t>
        </w:r>
      </w:hyperlink>
      <w:r w:rsidR="23F59618" w:rsidRPr="00DE3A6F">
        <w:rPr>
          <w:noProof/>
        </w:rPr>
        <w:t>.</w:t>
      </w:r>
    </w:p>
    <w:p w14:paraId="0375F521" w14:textId="61E5AB91" w:rsidR="00DB7B74" w:rsidRPr="00CA1602" w:rsidRDefault="00F673F4" w:rsidP="00F673F4">
      <w:pPr>
        <w:pStyle w:val="Caption"/>
        <w:rPr>
          <w:noProof/>
        </w:rPr>
      </w:pPr>
      <w:r w:rsidRPr="00CA1602">
        <w:rPr>
          <w:noProof/>
        </w:rPr>
        <w:t xml:space="preserve">Figure </w:t>
      </w:r>
      <w:r w:rsidRPr="00CA1602">
        <w:rPr>
          <w:noProof/>
        </w:rPr>
        <w:fldChar w:fldCharType="begin"/>
      </w:r>
      <w:r w:rsidRPr="00CA1602">
        <w:rPr>
          <w:noProof/>
        </w:rPr>
        <w:instrText xml:space="preserve"> SEQ Figure \* ARABIC </w:instrText>
      </w:r>
      <w:r w:rsidRPr="00CA1602">
        <w:rPr>
          <w:noProof/>
        </w:rPr>
        <w:fldChar w:fldCharType="separate"/>
      </w:r>
      <w:r w:rsidR="00B32912">
        <w:rPr>
          <w:noProof/>
        </w:rPr>
        <w:t>12</w:t>
      </w:r>
      <w:r w:rsidRPr="00CA1602">
        <w:rPr>
          <w:noProof/>
        </w:rPr>
        <w:fldChar w:fldCharType="end"/>
      </w:r>
      <w:r w:rsidRPr="00DE3A6F">
        <w:rPr>
          <w:noProof/>
        </w:rPr>
        <w:t>: I</w:t>
      </w:r>
      <w:r w:rsidRPr="00CA1602">
        <w:rPr>
          <w:noProof/>
        </w:rPr>
        <w:t>nvestigations opened by EU bodies in 2025 by source of information</w:t>
      </w:r>
    </w:p>
    <w:tbl>
      <w:tblPr>
        <w:tblW w:w="8588" w:type="dxa"/>
        <w:tblLook w:val="04A0" w:firstRow="1" w:lastRow="0" w:firstColumn="1" w:lastColumn="0" w:noHBand="0" w:noVBand="1"/>
      </w:tblPr>
      <w:tblGrid>
        <w:gridCol w:w="4248"/>
        <w:gridCol w:w="1916"/>
        <w:gridCol w:w="2424"/>
      </w:tblGrid>
      <w:tr w:rsidR="00B72A07" w:rsidRPr="00CA1602" w14:paraId="08E44063" w14:textId="77777777" w:rsidTr="00014E8E">
        <w:trPr>
          <w:trHeight w:val="315"/>
        </w:trPr>
        <w:tc>
          <w:tcPr>
            <w:tcW w:w="4248" w:type="dxa"/>
            <w:vMerge w:val="restart"/>
            <w:tcBorders>
              <w:top w:val="single" w:sz="4" w:space="0" w:color="auto"/>
              <w:left w:val="single" w:sz="4" w:space="0" w:color="auto"/>
              <w:bottom w:val="nil"/>
              <w:right w:val="nil"/>
            </w:tcBorders>
            <w:shd w:val="clear" w:color="000000" w:fill="4D93D9"/>
            <w:noWrap/>
            <w:vAlign w:val="bottom"/>
            <w:hideMark/>
          </w:tcPr>
          <w:p w14:paraId="18374128" w14:textId="77777777" w:rsidR="00B72A07" w:rsidRPr="00596DDD" w:rsidRDefault="00B72A07" w:rsidP="00B72A07">
            <w:pPr>
              <w:spacing w:after="0" w:line="240" w:lineRule="auto"/>
              <w:jc w:val="center"/>
              <w:rPr>
                <w:rFonts w:ascii="Aptos Narrow" w:hAnsi="Aptos Narrow"/>
                <w:b/>
                <w:bCs/>
                <w:noProof/>
                <w:color w:val="FFFFFF"/>
                <w:sz w:val="24"/>
                <w:szCs w:val="24"/>
                <w:lang w:eastAsia="en-IE"/>
              </w:rPr>
            </w:pPr>
            <w:r w:rsidRPr="00596DDD">
              <w:rPr>
                <w:rFonts w:ascii="Aptos Narrow" w:hAnsi="Aptos Narrow"/>
                <w:b/>
                <w:bCs/>
                <w:noProof/>
                <w:color w:val="FFFFFF"/>
                <w:sz w:val="24"/>
                <w:szCs w:val="24"/>
                <w:lang w:eastAsia="en-IE"/>
              </w:rPr>
              <w:t>Sources of information</w:t>
            </w:r>
          </w:p>
        </w:tc>
        <w:tc>
          <w:tcPr>
            <w:tcW w:w="4340" w:type="dxa"/>
            <w:gridSpan w:val="2"/>
            <w:tcBorders>
              <w:top w:val="single" w:sz="4" w:space="0" w:color="auto"/>
              <w:left w:val="nil"/>
              <w:bottom w:val="nil"/>
              <w:right w:val="single" w:sz="4" w:space="0" w:color="000000"/>
            </w:tcBorders>
            <w:shd w:val="clear" w:color="000000" w:fill="4D93D9"/>
            <w:vAlign w:val="center"/>
            <w:hideMark/>
          </w:tcPr>
          <w:p w14:paraId="1ACB6B68" w14:textId="77777777" w:rsidR="00B72A07" w:rsidRPr="00596DDD" w:rsidRDefault="00B72A07" w:rsidP="00B72A07">
            <w:pPr>
              <w:spacing w:after="0" w:line="240" w:lineRule="auto"/>
              <w:jc w:val="center"/>
              <w:rPr>
                <w:rFonts w:ascii="Aptos Narrow" w:hAnsi="Aptos Narrow"/>
                <w:b/>
                <w:bCs/>
                <w:noProof/>
                <w:color w:val="FFFFFF"/>
                <w:sz w:val="24"/>
                <w:szCs w:val="24"/>
                <w:lang w:eastAsia="en-IE"/>
              </w:rPr>
            </w:pPr>
            <w:r w:rsidRPr="00596DDD">
              <w:rPr>
                <w:rFonts w:ascii="Aptos Narrow" w:hAnsi="Aptos Narrow"/>
                <w:b/>
                <w:bCs/>
                <w:noProof/>
                <w:color w:val="FFFFFF"/>
                <w:sz w:val="24"/>
                <w:szCs w:val="24"/>
                <w:lang w:eastAsia="en-IE"/>
              </w:rPr>
              <w:t>Investigations opened in 2025</w:t>
            </w:r>
          </w:p>
        </w:tc>
      </w:tr>
      <w:tr w:rsidR="00B72A07" w:rsidRPr="00CA1602" w14:paraId="5E5A9F65" w14:textId="77777777" w:rsidTr="00014E8E">
        <w:trPr>
          <w:trHeight w:val="315"/>
        </w:trPr>
        <w:tc>
          <w:tcPr>
            <w:tcW w:w="4248" w:type="dxa"/>
            <w:vMerge/>
            <w:tcBorders>
              <w:top w:val="single" w:sz="4" w:space="0" w:color="auto"/>
              <w:left w:val="single" w:sz="4" w:space="0" w:color="auto"/>
              <w:bottom w:val="nil"/>
              <w:right w:val="nil"/>
            </w:tcBorders>
            <w:vAlign w:val="center"/>
            <w:hideMark/>
          </w:tcPr>
          <w:p w14:paraId="3786D402" w14:textId="77777777" w:rsidR="00B72A07" w:rsidRPr="00DE241B" w:rsidRDefault="00B72A07" w:rsidP="00B72A07">
            <w:pPr>
              <w:spacing w:after="0" w:line="240" w:lineRule="auto"/>
              <w:jc w:val="left"/>
              <w:rPr>
                <w:rFonts w:ascii="Aptos Narrow" w:hAnsi="Aptos Narrow"/>
                <w:b/>
                <w:bCs/>
                <w:noProof/>
                <w:color w:val="FFFFFF"/>
                <w:sz w:val="24"/>
                <w:szCs w:val="24"/>
                <w:lang w:eastAsia="en-IE"/>
              </w:rPr>
            </w:pPr>
          </w:p>
        </w:tc>
        <w:tc>
          <w:tcPr>
            <w:tcW w:w="1916" w:type="dxa"/>
            <w:tcBorders>
              <w:top w:val="nil"/>
              <w:left w:val="nil"/>
              <w:bottom w:val="nil"/>
              <w:right w:val="nil"/>
            </w:tcBorders>
            <w:shd w:val="clear" w:color="000000" w:fill="A6C9EC"/>
            <w:noWrap/>
            <w:vAlign w:val="bottom"/>
            <w:hideMark/>
          </w:tcPr>
          <w:p w14:paraId="4A80137D" w14:textId="77777777" w:rsidR="00B72A07" w:rsidRPr="00DE241B" w:rsidRDefault="00B72A07" w:rsidP="00B72A07">
            <w:pPr>
              <w:spacing w:after="0" w:line="240" w:lineRule="auto"/>
              <w:jc w:val="center"/>
              <w:rPr>
                <w:rFonts w:ascii="Aptos Narrow" w:hAnsi="Aptos Narrow"/>
                <w:b/>
                <w:bCs/>
                <w:noProof/>
                <w:color w:val="000000"/>
                <w:szCs w:val="22"/>
                <w:lang w:eastAsia="en-IE"/>
              </w:rPr>
            </w:pPr>
            <w:r w:rsidRPr="00DE241B">
              <w:rPr>
                <w:rFonts w:ascii="Aptos Narrow" w:hAnsi="Aptos Narrow"/>
                <w:b/>
                <w:bCs/>
                <w:noProof/>
                <w:color w:val="000000"/>
                <w:szCs w:val="22"/>
                <w:lang w:eastAsia="en-IE"/>
              </w:rPr>
              <w:t xml:space="preserve">OLAF </w:t>
            </w:r>
          </w:p>
        </w:tc>
        <w:tc>
          <w:tcPr>
            <w:tcW w:w="2424" w:type="dxa"/>
            <w:tcBorders>
              <w:top w:val="nil"/>
              <w:left w:val="nil"/>
              <w:bottom w:val="nil"/>
              <w:right w:val="single" w:sz="4" w:space="0" w:color="auto"/>
            </w:tcBorders>
            <w:shd w:val="clear" w:color="000000" w:fill="A6C9EC"/>
            <w:noWrap/>
            <w:vAlign w:val="bottom"/>
            <w:hideMark/>
          </w:tcPr>
          <w:p w14:paraId="2E78762E" w14:textId="77777777" w:rsidR="00B72A07" w:rsidRPr="00DE241B" w:rsidRDefault="00B72A07" w:rsidP="00B72A07">
            <w:pPr>
              <w:spacing w:after="0" w:line="240" w:lineRule="auto"/>
              <w:jc w:val="center"/>
              <w:rPr>
                <w:rFonts w:ascii="Aptos Narrow" w:hAnsi="Aptos Narrow"/>
                <w:b/>
                <w:bCs/>
                <w:noProof/>
                <w:color w:val="000000"/>
                <w:szCs w:val="22"/>
                <w:lang w:eastAsia="en-IE"/>
              </w:rPr>
            </w:pPr>
            <w:r w:rsidRPr="00DE241B">
              <w:rPr>
                <w:rFonts w:ascii="Aptos Narrow" w:hAnsi="Aptos Narrow"/>
                <w:b/>
                <w:bCs/>
                <w:noProof/>
                <w:color w:val="000000"/>
                <w:szCs w:val="22"/>
                <w:lang w:eastAsia="en-IE"/>
              </w:rPr>
              <w:t>EPPO*</w:t>
            </w:r>
          </w:p>
        </w:tc>
      </w:tr>
      <w:tr w:rsidR="00B72A07" w:rsidRPr="00CA1602" w14:paraId="294AD0D6" w14:textId="77777777" w:rsidTr="00014E8E">
        <w:trPr>
          <w:trHeight w:val="300"/>
        </w:trPr>
        <w:tc>
          <w:tcPr>
            <w:tcW w:w="4248" w:type="dxa"/>
            <w:tcBorders>
              <w:top w:val="nil"/>
              <w:left w:val="single" w:sz="4" w:space="0" w:color="auto"/>
              <w:bottom w:val="nil"/>
              <w:right w:val="nil"/>
            </w:tcBorders>
            <w:shd w:val="clear" w:color="000000" w:fill="A6C9EC"/>
            <w:noWrap/>
            <w:vAlign w:val="bottom"/>
            <w:hideMark/>
          </w:tcPr>
          <w:p w14:paraId="55A1D9FB" w14:textId="77777777" w:rsidR="00B72A07" w:rsidRPr="00596DDD" w:rsidRDefault="00B72A07" w:rsidP="00B72A07">
            <w:pPr>
              <w:spacing w:after="0" w:line="240" w:lineRule="auto"/>
              <w:jc w:val="left"/>
              <w:rPr>
                <w:rFonts w:ascii="Aptos Narrow" w:hAnsi="Aptos Narrow"/>
                <w:b/>
                <w:bCs/>
                <w:noProof/>
                <w:color w:val="000000"/>
                <w:szCs w:val="22"/>
                <w:lang w:eastAsia="en-IE"/>
              </w:rPr>
            </w:pPr>
            <w:r w:rsidRPr="00596DDD">
              <w:rPr>
                <w:rFonts w:ascii="Aptos Narrow" w:hAnsi="Aptos Narrow"/>
                <w:b/>
                <w:bCs/>
                <w:noProof/>
                <w:color w:val="000000"/>
                <w:szCs w:val="22"/>
                <w:lang w:eastAsia="en-IE"/>
              </w:rPr>
              <w:t>IBOAs</w:t>
            </w:r>
          </w:p>
        </w:tc>
        <w:tc>
          <w:tcPr>
            <w:tcW w:w="1916" w:type="dxa"/>
            <w:tcBorders>
              <w:top w:val="nil"/>
              <w:left w:val="nil"/>
              <w:bottom w:val="nil"/>
              <w:right w:val="nil"/>
            </w:tcBorders>
            <w:shd w:val="clear" w:color="000000" w:fill="FFFFFF"/>
            <w:noWrap/>
            <w:vAlign w:val="bottom"/>
            <w:hideMark/>
          </w:tcPr>
          <w:p w14:paraId="3D34486D"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89</w:t>
            </w:r>
          </w:p>
        </w:tc>
        <w:tc>
          <w:tcPr>
            <w:tcW w:w="2424" w:type="dxa"/>
            <w:tcBorders>
              <w:top w:val="nil"/>
              <w:left w:val="nil"/>
              <w:bottom w:val="nil"/>
              <w:right w:val="single" w:sz="4" w:space="0" w:color="auto"/>
            </w:tcBorders>
            <w:shd w:val="clear" w:color="000000" w:fill="FFFFFF"/>
            <w:noWrap/>
            <w:vAlign w:val="bottom"/>
            <w:hideMark/>
          </w:tcPr>
          <w:p w14:paraId="19CB5A10"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102</w:t>
            </w:r>
          </w:p>
        </w:tc>
      </w:tr>
      <w:tr w:rsidR="00B72A07" w:rsidRPr="00CA1602" w14:paraId="56ED4D91" w14:textId="77777777" w:rsidTr="00014E8E">
        <w:trPr>
          <w:trHeight w:val="300"/>
        </w:trPr>
        <w:tc>
          <w:tcPr>
            <w:tcW w:w="4248" w:type="dxa"/>
            <w:tcBorders>
              <w:top w:val="nil"/>
              <w:left w:val="single" w:sz="4" w:space="0" w:color="auto"/>
              <w:bottom w:val="nil"/>
              <w:right w:val="nil"/>
            </w:tcBorders>
            <w:shd w:val="clear" w:color="000000" w:fill="A6C9EC"/>
            <w:noWrap/>
            <w:vAlign w:val="bottom"/>
            <w:hideMark/>
          </w:tcPr>
          <w:p w14:paraId="363A5DFC" w14:textId="77777777" w:rsidR="00B72A07" w:rsidRPr="00596DDD" w:rsidRDefault="00B72A07" w:rsidP="00B72A07">
            <w:pPr>
              <w:spacing w:after="0" w:line="240" w:lineRule="auto"/>
              <w:jc w:val="left"/>
              <w:rPr>
                <w:rFonts w:ascii="Aptos Narrow" w:hAnsi="Aptos Narrow"/>
                <w:b/>
                <w:bCs/>
                <w:noProof/>
                <w:color w:val="000000"/>
                <w:szCs w:val="22"/>
                <w:lang w:eastAsia="en-IE"/>
              </w:rPr>
            </w:pPr>
            <w:r w:rsidRPr="00596DDD">
              <w:rPr>
                <w:rFonts w:ascii="Aptos Narrow" w:hAnsi="Aptos Narrow"/>
                <w:b/>
                <w:bCs/>
                <w:noProof/>
                <w:color w:val="000000"/>
                <w:szCs w:val="22"/>
                <w:lang w:eastAsia="en-IE"/>
              </w:rPr>
              <w:t>National authorities</w:t>
            </w:r>
          </w:p>
        </w:tc>
        <w:tc>
          <w:tcPr>
            <w:tcW w:w="1916" w:type="dxa"/>
            <w:tcBorders>
              <w:top w:val="nil"/>
              <w:left w:val="nil"/>
              <w:bottom w:val="nil"/>
              <w:right w:val="nil"/>
            </w:tcBorders>
            <w:shd w:val="clear" w:color="000000" w:fill="FFFFFF"/>
            <w:noWrap/>
            <w:vAlign w:val="bottom"/>
            <w:hideMark/>
          </w:tcPr>
          <w:p w14:paraId="783467E2"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5</w:t>
            </w:r>
          </w:p>
        </w:tc>
        <w:tc>
          <w:tcPr>
            <w:tcW w:w="2424" w:type="dxa"/>
            <w:tcBorders>
              <w:top w:val="nil"/>
              <w:left w:val="nil"/>
              <w:bottom w:val="nil"/>
              <w:right w:val="single" w:sz="4" w:space="0" w:color="auto"/>
            </w:tcBorders>
            <w:shd w:val="clear" w:color="000000" w:fill="FFFFFF"/>
            <w:noWrap/>
            <w:vAlign w:val="bottom"/>
            <w:hideMark/>
          </w:tcPr>
          <w:p w14:paraId="0D82330E" w14:textId="0500CC53"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1</w:t>
            </w:r>
            <w:r w:rsidR="003A567C">
              <w:rPr>
                <w:rFonts w:ascii="Aptos Narrow" w:hAnsi="Aptos Narrow"/>
                <w:noProof/>
                <w:color w:val="000000"/>
                <w:szCs w:val="22"/>
                <w:lang w:eastAsia="en-IE"/>
              </w:rPr>
              <w:t> </w:t>
            </w:r>
            <w:r w:rsidRPr="00596DDD">
              <w:rPr>
                <w:rFonts w:ascii="Aptos Narrow" w:hAnsi="Aptos Narrow"/>
                <w:noProof/>
                <w:color w:val="000000"/>
                <w:szCs w:val="22"/>
                <w:lang w:eastAsia="en-IE"/>
              </w:rPr>
              <w:t>661</w:t>
            </w:r>
          </w:p>
        </w:tc>
      </w:tr>
      <w:tr w:rsidR="00B72A07" w:rsidRPr="00CA1602" w14:paraId="3C7129BE" w14:textId="77777777" w:rsidTr="00014E8E">
        <w:trPr>
          <w:trHeight w:val="300"/>
        </w:trPr>
        <w:tc>
          <w:tcPr>
            <w:tcW w:w="4248" w:type="dxa"/>
            <w:tcBorders>
              <w:top w:val="nil"/>
              <w:left w:val="single" w:sz="4" w:space="0" w:color="auto"/>
              <w:bottom w:val="nil"/>
              <w:right w:val="nil"/>
            </w:tcBorders>
            <w:shd w:val="clear" w:color="000000" w:fill="A6C9EC"/>
            <w:noWrap/>
            <w:vAlign w:val="bottom"/>
            <w:hideMark/>
          </w:tcPr>
          <w:p w14:paraId="68C59754" w14:textId="77777777" w:rsidR="00B72A07" w:rsidRPr="00596DDD" w:rsidRDefault="00B72A07" w:rsidP="00B72A07">
            <w:pPr>
              <w:spacing w:after="0" w:line="240" w:lineRule="auto"/>
              <w:jc w:val="left"/>
              <w:rPr>
                <w:rFonts w:ascii="Aptos Narrow" w:hAnsi="Aptos Narrow"/>
                <w:b/>
                <w:bCs/>
                <w:noProof/>
                <w:color w:val="000000"/>
                <w:szCs w:val="22"/>
                <w:lang w:eastAsia="en-IE"/>
              </w:rPr>
            </w:pPr>
            <w:r w:rsidRPr="00596DDD">
              <w:rPr>
                <w:rFonts w:ascii="Aptos Narrow" w:hAnsi="Aptos Narrow"/>
                <w:b/>
                <w:bCs/>
                <w:noProof/>
                <w:color w:val="000000"/>
                <w:szCs w:val="22"/>
                <w:lang w:eastAsia="en-IE"/>
              </w:rPr>
              <w:t>Private parties</w:t>
            </w:r>
          </w:p>
        </w:tc>
        <w:tc>
          <w:tcPr>
            <w:tcW w:w="1916" w:type="dxa"/>
            <w:tcBorders>
              <w:top w:val="nil"/>
              <w:left w:val="nil"/>
              <w:bottom w:val="nil"/>
              <w:right w:val="nil"/>
            </w:tcBorders>
            <w:shd w:val="clear" w:color="000000" w:fill="FFFFFF"/>
            <w:noWrap/>
            <w:vAlign w:val="bottom"/>
            <w:hideMark/>
          </w:tcPr>
          <w:p w14:paraId="7F4B61AE"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79</w:t>
            </w:r>
          </w:p>
        </w:tc>
        <w:tc>
          <w:tcPr>
            <w:tcW w:w="2424" w:type="dxa"/>
            <w:tcBorders>
              <w:top w:val="nil"/>
              <w:left w:val="nil"/>
              <w:bottom w:val="nil"/>
              <w:right w:val="single" w:sz="4" w:space="0" w:color="auto"/>
            </w:tcBorders>
            <w:shd w:val="clear" w:color="000000" w:fill="FFFFFF"/>
            <w:noWrap/>
            <w:vAlign w:val="bottom"/>
            <w:hideMark/>
          </w:tcPr>
          <w:p w14:paraId="09EF4D32"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208</w:t>
            </w:r>
          </w:p>
        </w:tc>
      </w:tr>
      <w:tr w:rsidR="00B72A07" w:rsidRPr="00CA1602" w14:paraId="37D60229" w14:textId="77777777" w:rsidTr="00014E8E">
        <w:trPr>
          <w:trHeight w:val="300"/>
        </w:trPr>
        <w:tc>
          <w:tcPr>
            <w:tcW w:w="4248" w:type="dxa"/>
            <w:tcBorders>
              <w:top w:val="nil"/>
              <w:left w:val="single" w:sz="4" w:space="0" w:color="auto"/>
              <w:bottom w:val="nil"/>
              <w:right w:val="nil"/>
            </w:tcBorders>
            <w:shd w:val="clear" w:color="000000" w:fill="A6C9EC"/>
            <w:noWrap/>
            <w:vAlign w:val="bottom"/>
            <w:hideMark/>
          </w:tcPr>
          <w:p w14:paraId="5C5B28CD" w14:textId="77777777" w:rsidR="00B72A07" w:rsidRPr="00596DDD" w:rsidRDefault="00B72A07" w:rsidP="00B72A07">
            <w:pPr>
              <w:spacing w:after="0" w:line="240" w:lineRule="auto"/>
              <w:jc w:val="left"/>
              <w:rPr>
                <w:rFonts w:ascii="Aptos Narrow" w:hAnsi="Aptos Narrow"/>
                <w:b/>
                <w:bCs/>
                <w:noProof/>
                <w:color w:val="000000"/>
                <w:szCs w:val="22"/>
                <w:lang w:eastAsia="en-IE"/>
              </w:rPr>
            </w:pPr>
            <w:r w:rsidRPr="00596DDD">
              <w:rPr>
                <w:rFonts w:ascii="Aptos Narrow" w:hAnsi="Aptos Narrow"/>
                <w:b/>
                <w:bCs/>
                <w:noProof/>
                <w:color w:val="000000"/>
                <w:szCs w:val="22"/>
                <w:lang w:eastAsia="en-IE"/>
              </w:rPr>
              <w:t>Own initiative/ex officio</w:t>
            </w:r>
          </w:p>
        </w:tc>
        <w:tc>
          <w:tcPr>
            <w:tcW w:w="1916" w:type="dxa"/>
            <w:tcBorders>
              <w:top w:val="nil"/>
              <w:left w:val="nil"/>
              <w:bottom w:val="nil"/>
              <w:right w:val="nil"/>
            </w:tcBorders>
            <w:shd w:val="clear" w:color="000000" w:fill="FFFFFF"/>
            <w:noWrap/>
            <w:vAlign w:val="bottom"/>
            <w:hideMark/>
          </w:tcPr>
          <w:p w14:paraId="303924F4"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65</w:t>
            </w:r>
          </w:p>
        </w:tc>
        <w:tc>
          <w:tcPr>
            <w:tcW w:w="2424" w:type="dxa"/>
            <w:tcBorders>
              <w:top w:val="nil"/>
              <w:left w:val="nil"/>
              <w:bottom w:val="nil"/>
              <w:right w:val="single" w:sz="4" w:space="0" w:color="auto"/>
            </w:tcBorders>
            <w:shd w:val="clear" w:color="000000" w:fill="FFFFFF"/>
            <w:noWrap/>
            <w:vAlign w:val="bottom"/>
            <w:hideMark/>
          </w:tcPr>
          <w:p w14:paraId="1B4B6E5F"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59</w:t>
            </w:r>
          </w:p>
        </w:tc>
      </w:tr>
      <w:tr w:rsidR="00B72A07" w:rsidRPr="00CA1602" w14:paraId="77DA2FFD" w14:textId="77777777" w:rsidTr="00014E8E">
        <w:trPr>
          <w:trHeight w:val="300"/>
        </w:trPr>
        <w:tc>
          <w:tcPr>
            <w:tcW w:w="4248" w:type="dxa"/>
            <w:tcBorders>
              <w:top w:val="nil"/>
              <w:left w:val="single" w:sz="4" w:space="0" w:color="auto"/>
              <w:bottom w:val="nil"/>
              <w:right w:val="nil"/>
            </w:tcBorders>
            <w:shd w:val="clear" w:color="000000" w:fill="A6C9EC"/>
            <w:noWrap/>
            <w:vAlign w:val="bottom"/>
            <w:hideMark/>
          </w:tcPr>
          <w:p w14:paraId="281DBBF5" w14:textId="77777777" w:rsidR="00B72A07" w:rsidRPr="00596DDD" w:rsidRDefault="00B72A07" w:rsidP="00B72A07">
            <w:pPr>
              <w:spacing w:after="0" w:line="240" w:lineRule="auto"/>
              <w:jc w:val="left"/>
              <w:rPr>
                <w:rFonts w:ascii="Aptos Narrow" w:hAnsi="Aptos Narrow"/>
                <w:b/>
                <w:bCs/>
                <w:noProof/>
                <w:color w:val="000000"/>
                <w:szCs w:val="22"/>
                <w:lang w:eastAsia="en-IE"/>
              </w:rPr>
            </w:pPr>
            <w:r w:rsidRPr="00596DDD">
              <w:rPr>
                <w:rFonts w:ascii="Aptos Narrow" w:hAnsi="Aptos Narrow"/>
                <w:b/>
                <w:bCs/>
                <w:noProof/>
                <w:color w:val="000000"/>
                <w:szCs w:val="22"/>
                <w:lang w:eastAsia="en-IE"/>
              </w:rPr>
              <w:t>Other</w:t>
            </w:r>
          </w:p>
        </w:tc>
        <w:tc>
          <w:tcPr>
            <w:tcW w:w="1916" w:type="dxa"/>
            <w:tcBorders>
              <w:top w:val="nil"/>
              <w:left w:val="nil"/>
              <w:bottom w:val="nil"/>
              <w:right w:val="nil"/>
            </w:tcBorders>
            <w:shd w:val="clear" w:color="000000" w:fill="FFFFFF"/>
            <w:noWrap/>
            <w:vAlign w:val="bottom"/>
            <w:hideMark/>
          </w:tcPr>
          <w:p w14:paraId="17C07069" w14:textId="77777777" w:rsidR="00B72A07" w:rsidRPr="00596DDD" w:rsidRDefault="00B72A07" w:rsidP="00B72A07">
            <w:pPr>
              <w:spacing w:after="0" w:line="240" w:lineRule="auto"/>
              <w:jc w:val="right"/>
              <w:rPr>
                <w:rFonts w:ascii="Aptos Narrow" w:hAnsi="Aptos Narrow"/>
                <w:noProof/>
                <w:color w:val="000000"/>
                <w:szCs w:val="22"/>
                <w:lang w:eastAsia="en-IE"/>
              </w:rPr>
            </w:pPr>
            <w:r w:rsidRPr="00596DDD">
              <w:rPr>
                <w:rFonts w:ascii="Aptos Narrow" w:hAnsi="Aptos Narrow"/>
                <w:noProof/>
                <w:color w:val="000000"/>
                <w:szCs w:val="22"/>
                <w:lang w:eastAsia="en-IE"/>
              </w:rPr>
              <w:t>16</w:t>
            </w:r>
          </w:p>
        </w:tc>
        <w:tc>
          <w:tcPr>
            <w:tcW w:w="2424" w:type="dxa"/>
            <w:tcBorders>
              <w:top w:val="nil"/>
              <w:left w:val="nil"/>
              <w:bottom w:val="nil"/>
              <w:right w:val="single" w:sz="4" w:space="0" w:color="auto"/>
            </w:tcBorders>
            <w:shd w:val="clear" w:color="000000" w:fill="FFFFFF"/>
            <w:noWrap/>
            <w:vAlign w:val="bottom"/>
            <w:hideMark/>
          </w:tcPr>
          <w:p w14:paraId="4CA52DC8" w14:textId="77777777" w:rsidR="00B72A07" w:rsidRPr="00596DDD" w:rsidRDefault="00B72A07" w:rsidP="00B72A07">
            <w:pPr>
              <w:spacing w:after="0" w:line="240" w:lineRule="auto"/>
              <w:jc w:val="left"/>
              <w:rPr>
                <w:rFonts w:ascii="Aptos Narrow" w:hAnsi="Aptos Narrow"/>
                <w:noProof/>
                <w:color w:val="000000"/>
                <w:szCs w:val="22"/>
                <w:lang w:eastAsia="en-IE"/>
              </w:rPr>
            </w:pPr>
            <w:r w:rsidRPr="00596DDD">
              <w:rPr>
                <w:rFonts w:ascii="Aptos Narrow" w:hAnsi="Aptos Narrow"/>
                <w:noProof/>
                <w:color w:val="000000"/>
                <w:szCs w:val="22"/>
                <w:lang w:eastAsia="en-IE"/>
              </w:rPr>
              <w:t> </w:t>
            </w:r>
          </w:p>
        </w:tc>
      </w:tr>
      <w:tr w:rsidR="00B72A07" w:rsidRPr="00CA1602" w14:paraId="4291384D" w14:textId="77777777" w:rsidTr="00BD1BFB">
        <w:trPr>
          <w:trHeight w:val="300"/>
        </w:trPr>
        <w:tc>
          <w:tcPr>
            <w:tcW w:w="4248" w:type="dxa"/>
            <w:tcBorders>
              <w:top w:val="nil"/>
              <w:left w:val="single" w:sz="4" w:space="0" w:color="auto"/>
              <w:bottom w:val="nil"/>
              <w:right w:val="nil"/>
            </w:tcBorders>
            <w:shd w:val="clear" w:color="000000" w:fill="4D93D9"/>
            <w:noWrap/>
            <w:vAlign w:val="bottom"/>
            <w:hideMark/>
          </w:tcPr>
          <w:p w14:paraId="086FF10E" w14:textId="77777777" w:rsidR="00B72A07" w:rsidRPr="00596DDD" w:rsidRDefault="00B72A07" w:rsidP="00B72A07">
            <w:pPr>
              <w:spacing w:after="0" w:line="240" w:lineRule="auto"/>
              <w:jc w:val="left"/>
              <w:rPr>
                <w:rFonts w:ascii="Aptos Narrow" w:hAnsi="Aptos Narrow"/>
                <w:b/>
                <w:bCs/>
                <w:noProof/>
                <w:color w:val="FFFFFF"/>
                <w:szCs w:val="22"/>
                <w:lang w:eastAsia="en-IE"/>
              </w:rPr>
            </w:pPr>
            <w:r w:rsidRPr="00596DDD">
              <w:rPr>
                <w:rFonts w:ascii="Aptos Narrow" w:hAnsi="Aptos Narrow"/>
                <w:b/>
                <w:bCs/>
                <w:noProof/>
                <w:color w:val="FFFFFF"/>
                <w:szCs w:val="22"/>
                <w:lang w:eastAsia="en-IE"/>
              </w:rPr>
              <w:t>TOTAL</w:t>
            </w:r>
          </w:p>
        </w:tc>
        <w:tc>
          <w:tcPr>
            <w:tcW w:w="1916" w:type="dxa"/>
            <w:tcBorders>
              <w:top w:val="nil"/>
              <w:left w:val="nil"/>
              <w:bottom w:val="nil"/>
              <w:right w:val="nil"/>
            </w:tcBorders>
            <w:shd w:val="clear" w:color="000000" w:fill="4D93D9"/>
            <w:noWrap/>
            <w:vAlign w:val="bottom"/>
            <w:hideMark/>
          </w:tcPr>
          <w:p w14:paraId="497F482E" w14:textId="77777777" w:rsidR="00B72A07" w:rsidRPr="00596DDD" w:rsidRDefault="00B72A07" w:rsidP="00B72A07">
            <w:pPr>
              <w:spacing w:after="0" w:line="240" w:lineRule="auto"/>
              <w:jc w:val="right"/>
              <w:rPr>
                <w:rFonts w:ascii="Aptos Narrow" w:hAnsi="Aptos Narrow"/>
                <w:b/>
                <w:bCs/>
                <w:noProof/>
                <w:color w:val="FFFFFF"/>
                <w:szCs w:val="22"/>
                <w:lang w:eastAsia="en-IE"/>
              </w:rPr>
            </w:pPr>
            <w:r w:rsidRPr="00596DDD">
              <w:rPr>
                <w:rFonts w:ascii="Aptos Narrow" w:hAnsi="Aptos Narrow"/>
                <w:b/>
                <w:bCs/>
                <w:noProof/>
                <w:color w:val="FFFFFF"/>
                <w:szCs w:val="22"/>
                <w:lang w:eastAsia="en-IE"/>
              </w:rPr>
              <w:t>254</w:t>
            </w:r>
          </w:p>
        </w:tc>
        <w:tc>
          <w:tcPr>
            <w:tcW w:w="2424" w:type="dxa"/>
            <w:tcBorders>
              <w:top w:val="nil"/>
              <w:left w:val="nil"/>
              <w:bottom w:val="nil"/>
              <w:right w:val="single" w:sz="4" w:space="0" w:color="auto"/>
            </w:tcBorders>
            <w:shd w:val="clear" w:color="000000" w:fill="4D93D9"/>
            <w:noWrap/>
            <w:vAlign w:val="bottom"/>
            <w:hideMark/>
          </w:tcPr>
          <w:p w14:paraId="3300D8FD" w14:textId="6769ED03" w:rsidR="00B72A07" w:rsidRPr="00596DDD" w:rsidRDefault="00B72A07" w:rsidP="00B72A07">
            <w:pPr>
              <w:spacing w:after="0" w:line="240" w:lineRule="auto"/>
              <w:jc w:val="right"/>
              <w:rPr>
                <w:rFonts w:ascii="Aptos Narrow" w:hAnsi="Aptos Narrow"/>
                <w:b/>
                <w:bCs/>
                <w:noProof/>
                <w:color w:val="FFFFFF"/>
                <w:szCs w:val="22"/>
                <w:lang w:eastAsia="en-IE"/>
              </w:rPr>
            </w:pPr>
            <w:r w:rsidRPr="00596DDD">
              <w:rPr>
                <w:rFonts w:ascii="Aptos Narrow" w:hAnsi="Aptos Narrow"/>
                <w:b/>
                <w:bCs/>
                <w:noProof/>
                <w:color w:val="FFFFFF"/>
                <w:szCs w:val="22"/>
                <w:lang w:eastAsia="en-IE"/>
              </w:rPr>
              <w:t>2</w:t>
            </w:r>
            <w:r w:rsidR="003A567C">
              <w:rPr>
                <w:rFonts w:ascii="Aptos Narrow" w:hAnsi="Aptos Narrow"/>
                <w:b/>
                <w:bCs/>
                <w:noProof/>
                <w:color w:val="FFFFFF"/>
                <w:szCs w:val="22"/>
                <w:lang w:eastAsia="en-IE"/>
              </w:rPr>
              <w:t> </w:t>
            </w:r>
            <w:r w:rsidRPr="00596DDD">
              <w:rPr>
                <w:rFonts w:ascii="Aptos Narrow" w:hAnsi="Aptos Narrow"/>
                <w:b/>
                <w:bCs/>
                <w:noProof/>
                <w:color w:val="FFFFFF"/>
                <w:szCs w:val="22"/>
                <w:lang w:eastAsia="en-IE"/>
              </w:rPr>
              <w:t>030</w:t>
            </w:r>
          </w:p>
        </w:tc>
      </w:tr>
      <w:tr w:rsidR="00AC33B5" w:rsidRPr="00CA1602" w14:paraId="624AF129" w14:textId="77777777" w:rsidTr="00BD1BFB">
        <w:trPr>
          <w:trHeight w:val="300"/>
        </w:trPr>
        <w:tc>
          <w:tcPr>
            <w:tcW w:w="8588" w:type="dxa"/>
            <w:gridSpan w:val="3"/>
            <w:tcBorders>
              <w:top w:val="nil"/>
              <w:left w:val="single" w:sz="4" w:space="0" w:color="auto"/>
              <w:bottom w:val="single" w:sz="4" w:space="0" w:color="auto"/>
              <w:right w:val="single" w:sz="4" w:space="0" w:color="auto"/>
            </w:tcBorders>
            <w:shd w:val="clear" w:color="auto" w:fill="FFFFFF" w:themeFill="background1"/>
            <w:noWrap/>
            <w:vAlign w:val="bottom"/>
          </w:tcPr>
          <w:p w14:paraId="19D382BB" w14:textId="1677A5CD" w:rsidR="00AC33B5" w:rsidRPr="00BD1BFB" w:rsidRDefault="00AC33B5" w:rsidP="00BD1BFB">
            <w:pPr>
              <w:spacing w:before="120" w:after="0"/>
              <w:rPr>
                <w:rFonts w:ascii="Aptos Narrow" w:hAnsi="Aptos Narrow"/>
                <w:b/>
                <w:bCs/>
                <w:noProof/>
                <w:color w:val="FFFFFF"/>
                <w:szCs w:val="22"/>
                <w:lang w:eastAsia="en-IE"/>
              </w:rPr>
            </w:pPr>
            <w:r w:rsidRPr="00AC33B5">
              <w:rPr>
                <w:rFonts w:ascii="Arial Narrow" w:hAnsi="Arial Narrow"/>
                <w:noProof/>
                <w:color w:val="000000"/>
                <w:sz w:val="16"/>
                <w:szCs w:val="16"/>
              </w:rPr>
              <w:t>*</w:t>
            </w:r>
            <w:r>
              <w:rPr>
                <w:rFonts w:ascii="Arial Narrow" w:hAnsi="Arial Narrow"/>
                <w:noProof/>
                <w:color w:val="000000"/>
                <w:sz w:val="16"/>
                <w:szCs w:val="16"/>
              </w:rPr>
              <w:t xml:space="preserve"> </w:t>
            </w:r>
            <w:r w:rsidRPr="00BD1BFB">
              <w:rPr>
                <w:rFonts w:ascii="Arial Narrow" w:hAnsi="Arial Narrow"/>
                <w:noProof/>
                <w:color w:val="000000"/>
                <w:sz w:val="16"/>
                <w:szCs w:val="16"/>
              </w:rPr>
              <w:t>The total in Figure 12 differs from the total in Figure 11 as it includes VAT investigations.</w:t>
            </w:r>
          </w:p>
        </w:tc>
      </w:tr>
    </w:tbl>
    <w:p w14:paraId="2EEEF70F" w14:textId="5393191D" w:rsidR="00B25950" w:rsidRPr="00DE3A6F" w:rsidRDefault="00B25950" w:rsidP="00D616C0">
      <w:pPr>
        <w:pStyle w:val="Caption"/>
        <w:keepNext/>
        <w:pBdr>
          <w:top w:val="single" w:sz="4" w:space="1" w:color="auto"/>
          <w:left w:val="single" w:sz="4" w:space="1" w:color="auto"/>
          <w:bottom w:val="single" w:sz="4" w:space="1" w:color="auto"/>
          <w:right w:val="single" w:sz="4" w:space="1" w:color="auto"/>
        </w:pBdr>
        <w:shd w:val="clear" w:color="auto" w:fill="FFF2CC" w:themeFill="accent4" w:themeFillTint="33"/>
        <w:rPr>
          <w:noProof/>
        </w:rPr>
      </w:pPr>
      <w:bookmarkStart w:id="61" w:name="_Toc202011340"/>
      <w:bookmarkStart w:id="62" w:name="_Toc134557989"/>
      <w:r w:rsidRPr="00DE3A6F">
        <w:rPr>
          <w:noProof/>
        </w:rPr>
        <w:lastRenderedPageBreak/>
        <w:t xml:space="preserve">Focus point </w:t>
      </w:r>
      <w:r w:rsidR="006B63D6" w:rsidRPr="00DE3A6F">
        <w:rPr>
          <w:noProof/>
        </w:rPr>
        <w:fldChar w:fldCharType="begin"/>
      </w:r>
      <w:r w:rsidR="006B63D6" w:rsidRPr="00DE3A6F">
        <w:rPr>
          <w:noProof/>
        </w:rPr>
        <w:instrText xml:space="preserve"> SEQ Focus_point \* ARABIC </w:instrText>
      </w:r>
      <w:r w:rsidR="006B63D6" w:rsidRPr="00DE3A6F">
        <w:rPr>
          <w:noProof/>
        </w:rPr>
        <w:fldChar w:fldCharType="separate"/>
      </w:r>
      <w:r w:rsidR="006B63D6" w:rsidRPr="00DE3A6F">
        <w:rPr>
          <w:noProof/>
        </w:rPr>
        <w:t>2</w:t>
      </w:r>
      <w:r w:rsidR="006B63D6" w:rsidRPr="00DE3A6F">
        <w:rPr>
          <w:noProof/>
        </w:rPr>
        <w:fldChar w:fldCharType="end"/>
      </w:r>
      <w:r w:rsidRPr="00DE3A6F">
        <w:rPr>
          <w:noProof/>
        </w:rPr>
        <w:t xml:space="preserve">: </w:t>
      </w:r>
      <w:r w:rsidR="00A13B62" w:rsidRPr="00DE3A6F">
        <w:rPr>
          <w:noProof/>
        </w:rPr>
        <w:t xml:space="preserve">Overall </w:t>
      </w:r>
      <w:r w:rsidR="00D61DC5" w:rsidRPr="00DE3A6F">
        <w:rPr>
          <w:noProof/>
        </w:rPr>
        <w:t>detection is stable with sectoral differences</w:t>
      </w:r>
    </w:p>
    <w:p w14:paraId="773BC5A5" w14:textId="19FBE578" w:rsidR="003312BA" w:rsidRPr="008A3E04" w:rsidRDefault="506003B6" w:rsidP="28D37C99">
      <w:pPr>
        <w:pBdr>
          <w:top w:val="single" w:sz="4" w:space="1" w:color="auto"/>
          <w:left w:val="single" w:sz="4" w:space="1" w:color="auto"/>
          <w:bottom w:val="single" w:sz="4" w:space="1" w:color="auto"/>
          <w:right w:val="single" w:sz="4" w:space="1" w:color="auto"/>
        </w:pBdr>
        <w:shd w:val="clear" w:color="auto" w:fill="FFF2CC" w:themeFill="accent4" w:themeFillTint="33"/>
        <w:rPr>
          <w:b/>
          <w:bCs/>
          <w:noProof/>
        </w:rPr>
      </w:pPr>
      <w:r w:rsidRPr="008A3E04">
        <w:rPr>
          <w:noProof/>
        </w:rPr>
        <w:t>Overall</w:t>
      </w:r>
      <w:r w:rsidR="46935CE9" w:rsidRPr="008A3E04">
        <w:rPr>
          <w:noProof/>
        </w:rPr>
        <w:t>,</w:t>
      </w:r>
      <w:r w:rsidRPr="008A3E04">
        <w:rPr>
          <w:noProof/>
        </w:rPr>
        <w:t xml:space="preserve"> detection </w:t>
      </w:r>
      <w:r w:rsidR="00EC4E12" w:rsidRPr="008A3E04">
        <w:rPr>
          <w:noProof/>
        </w:rPr>
        <w:t xml:space="preserve">was fairly stable and continual over time </w:t>
      </w:r>
      <w:r w:rsidR="007E524D" w:rsidRPr="008A3E04">
        <w:rPr>
          <w:noProof/>
        </w:rPr>
        <w:t xml:space="preserve">(see </w:t>
      </w:r>
      <w:r w:rsidR="007E524D" w:rsidRPr="008A3E04">
        <w:rPr>
          <w:b/>
          <w:bCs/>
          <w:noProof/>
        </w:rPr>
        <w:t xml:space="preserve">Figure </w:t>
      </w:r>
      <w:r w:rsidR="00AA0ED8">
        <w:rPr>
          <w:b/>
          <w:bCs/>
          <w:noProof/>
        </w:rPr>
        <w:t>9</w:t>
      </w:r>
      <w:r w:rsidR="007E524D" w:rsidRPr="008A3E04">
        <w:rPr>
          <w:noProof/>
        </w:rPr>
        <w:t>)</w:t>
      </w:r>
      <w:r w:rsidR="00153D40" w:rsidRPr="008A3E04">
        <w:rPr>
          <w:noProof/>
        </w:rPr>
        <w:t>,</w:t>
      </w:r>
      <w:r w:rsidR="00B02D77" w:rsidRPr="008A3E04">
        <w:rPr>
          <w:noProof/>
        </w:rPr>
        <w:t xml:space="preserve"> </w:t>
      </w:r>
      <w:r w:rsidR="4B125EC4" w:rsidRPr="008A3E04">
        <w:rPr>
          <w:noProof/>
        </w:rPr>
        <w:t xml:space="preserve">with </w:t>
      </w:r>
      <w:r w:rsidR="0B4C789C" w:rsidRPr="008A3E04">
        <w:rPr>
          <w:noProof/>
        </w:rPr>
        <w:t xml:space="preserve">relatively small </w:t>
      </w:r>
      <w:r w:rsidR="4B125EC4" w:rsidRPr="008A3E04">
        <w:rPr>
          <w:noProof/>
        </w:rPr>
        <w:t>variations</w:t>
      </w:r>
      <w:r w:rsidR="0B4C789C" w:rsidRPr="008A3E04">
        <w:rPr>
          <w:noProof/>
        </w:rPr>
        <w:t xml:space="preserve">. </w:t>
      </w:r>
      <w:r w:rsidR="4D7BC931" w:rsidRPr="008A3E04">
        <w:rPr>
          <w:noProof/>
        </w:rPr>
        <w:t xml:space="preserve">When looking at individual budgetary areas, however, </w:t>
      </w:r>
      <w:r w:rsidR="25F7F87A" w:rsidRPr="008A3E04">
        <w:rPr>
          <w:noProof/>
        </w:rPr>
        <w:t>the situation is more complex</w:t>
      </w:r>
      <w:r w:rsidR="00153D40" w:rsidRPr="008A3E04">
        <w:rPr>
          <w:noProof/>
        </w:rPr>
        <w:t>.</w:t>
      </w:r>
      <w:r w:rsidR="25F7F87A" w:rsidRPr="008A3E04">
        <w:rPr>
          <w:noProof/>
        </w:rPr>
        <w:t xml:space="preserve"> </w:t>
      </w:r>
      <w:r w:rsidR="006F20F6" w:rsidRPr="008A3E04">
        <w:rPr>
          <w:noProof/>
        </w:rPr>
        <w:t xml:space="preserve">This is because </w:t>
      </w:r>
      <w:r w:rsidR="25F7F87A" w:rsidRPr="008A3E04">
        <w:rPr>
          <w:noProof/>
        </w:rPr>
        <w:t xml:space="preserve">other factors </w:t>
      </w:r>
      <w:r w:rsidR="6CCC78FF" w:rsidRPr="008A3E04">
        <w:rPr>
          <w:noProof/>
        </w:rPr>
        <w:t>come</w:t>
      </w:r>
      <w:r w:rsidR="25F7F87A" w:rsidRPr="008A3E04">
        <w:rPr>
          <w:noProof/>
        </w:rPr>
        <w:t xml:space="preserve"> into play, such as </w:t>
      </w:r>
      <w:r w:rsidR="6CCC78FF" w:rsidRPr="008A3E04">
        <w:rPr>
          <w:noProof/>
        </w:rPr>
        <w:t xml:space="preserve">the </w:t>
      </w:r>
      <w:r w:rsidR="41322C21" w:rsidRPr="008A3E04">
        <w:rPr>
          <w:noProof/>
        </w:rPr>
        <w:t xml:space="preserve">multiannual </w:t>
      </w:r>
      <w:r w:rsidR="6CCC78FF" w:rsidRPr="008A3E04">
        <w:rPr>
          <w:noProof/>
        </w:rPr>
        <w:t xml:space="preserve">nature of spending </w:t>
      </w:r>
      <w:r w:rsidR="41322C21" w:rsidRPr="008A3E04">
        <w:rPr>
          <w:noProof/>
        </w:rPr>
        <w:t>programm</w:t>
      </w:r>
      <w:r w:rsidR="584DED41" w:rsidRPr="008A3E04">
        <w:rPr>
          <w:noProof/>
        </w:rPr>
        <w:t>ing</w:t>
      </w:r>
      <w:r w:rsidR="41322C21" w:rsidRPr="008A3E04">
        <w:rPr>
          <w:noProof/>
        </w:rPr>
        <w:t xml:space="preserve"> cycles or specific situations (</w:t>
      </w:r>
      <w:r w:rsidR="05BAD30B" w:rsidRPr="008A3E04">
        <w:rPr>
          <w:noProof/>
        </w:rPr>
        <w:t xml:space="preserve">for example, </w:t>
      </w:r>
      <w:r w:rsidR="41322C21" w:rsidRPr="008A3E04">
        <w:rPr>
          <w:noProof/>
        </w:rPr>
        <w:t>the COVID-19 crisis</w:t>
      </w:r>
      <w:r w:rsidR="05BAD30B" w:rsidRPr="008A3E04">
        <w:rPr>
          <w:noProof/>
        </w:rPr>
        <w:t xml:space="preserve"> </w:t>
      </w:r>
      <w:r w:rsidR="006F20F6" w:rsidRPr="008A3E04">
        <w:rPr>
          <w:noProof/>
        </w:rPr>
        <w:t xml:space="preserve">hampered </w:t>
      </w:r>
      <w:r w:rsidR="05BAD30B" w:rsidRPr="008A3E04">
        <w:rPr>
          <w:noProof/>
        </w:rPr>
        <w:t>on-the-spot checks</w:t>
      </w:r>
      <w:r w:rsidR="241E78B2" w:rsidRPr="008A3E04">
        <w:rPr>
          <w:noProof/>
        </w:rPr>
        <w:t xml:space="preserve"> </w:t>
      </w:r>
      <w:r w:rsidR="006F20F6" w:rsidRPr="008A3E04">
        <w:rPr>
          <w:noProof/>
        </w:rPr>
        <w:t xml:space="preserve">and </w:t>
      </w:r>
      <w:r w:rsidR="241E78B2" w:rsidRPr="008A3E04">
        <w:rPr>
          <w:noProof/>
        </w:rPr>
        <w:t xml:space="preserve">significantly </w:t>
      </w:r>
      <w:r w:rsidR="00BF3DDB" w:rsidRPr="008A3E04">
        <w:rPr>
          <w:noProof/>
        </w:rPr>
        <w:t xml:space="preserve">affected </w:t>
      </w:r>
      <w:r w:rsidR="241E78B2" w:rsidRPr="008A3E04">
        <w:rPr>
          <w:noProof/>
        </w:rPr>
        <w:t>trade</w:t>
      </w:r>
      <w:r w:rsidR="00B02D77" w:rsidRPr="008A3E04">
        <w:rPr>
          <w:noProof/>
        </w:rPr>
        <w:t xml:space="preserve"> in the </w:t>
      </w:r>
      <w:r w:rsidR="00D07633" w:rsidRPr="008A3E04">
        <w:rPr>
          <w:noProof/>
        </w:rPr>
        <w:t>relevant period</w:t>
      </w:r>
      <w:r w:rsidR="05BAD30B" w:rsidRPr="008A3E04">
        <w:rPr>
          <w:noProof/>
        </w:rPr>
        <w:t xml:space="preserve">). </w:t>
      </w:r>
      <w:r w:rsidR="241E78B2" w:rsidRPr="008A3E04">
        <w:rPr>
          <w:noProof/>
        </w:rPr>
        <w:t xml:space="preserve">Furthermore, </w:t>
      </w:r>
      <w:r w:rsidR="194AE2B0" w:rsidRPr="008A3E04">
        <w:rPr>
          <w:noProof/>
        </w:rPr>
        <w:t xml:space="preserve">certain legal constraints, such as the </w:t>
      </w:r>
      <w:r w:rsidR="00BF3DDB" w:rsidRPr="008A3E04">
        <w:rPr>
          <w:noProof/>
        </w:rPr>
        <w:t xml:space="preserve">lack </w:t>
      </w:r>
      <w:r w:rsidR="194AE2B0" w:rsidRPr="008A3E04">
        <w:rPr>
          <w:noProof/>
        </w:rPr>
        <w:t xml:space="preserve">of </w:t>
      </w:r>
      <w:r w:rsidR="00BF3DDB" w:rsidRPr="008A3E04">
        <w:rPr>
          <w:noProof/>
        </w:rPr>
        <w:t xml:space="preserve">available </w:t>
      </w:r>
      <w:r w:rsidR="194AE2B0" w:rsidRPr="008A3E04">
        <w:rPr>
          <w:noProof/>
        </w:rPr>
        <w:t xml:space="preserve">data from the Member States on </w:t>
      </w:r>
      <w:r w:rsidR="002F24F1" w:rsidRPr="008A3E04">
        <w:rPr>
          <w:noProof/>
        </w:rPr>
        <w:t>RRF</w:t>
      </w:r>
      <w:r w:rsidR="007E6E89" w:rsidRPr="007E6E89">
        <w:rPr>
          <w:noProof/>
        </w:rPr>
        <w:t> (</w:t>
      </w:r>
      <w:r w:rsidR="007E6E89">
        <w:rPr>
          <w:rStyle w:val="FootnoteReference"/>
          <w:noProof/>
        </w:rPr>
        <w:footnoteReference w:id="55"/>
      </w:r>
      <w:r w:rsidR="007E6E89">
        <w:rPr>
          <w:noProof/>
        </w:rPr>
        <w:t>)</w:t>
      </w:r>
      <w:r w:rsidR="002F24F1" w:rsidRPr="008A3E04">
        <w:rPr>
          <w:noProof/>
        </w:rPr>
        <w:t xml:space="preserve"> and </w:t>
      </w:r>
      <w:r w:rsidR="194AE2B0" w:rsidRPr="008A3E04">
        <w:rPr>
          <w:noProof/>
        </w:rPr>
        <w:t>VAT fraud</w:t>
      </w:r>
      <w:r w:rsidR="04EA661C" w:rsidRPr="008A3E04">
        <w:rPr>
          <w:noProof/>
        </w:rPr>
        <w:t xml:space="preserve">, </w:t>
      </w:r>
      <w:r w:rsidR="00BF3DDB" w:rsidRPr="008A3E04">
        <w:rPr>
          <w:noProof/>
        </w:rPr>
        <w:t xml:space="preserve">mean that </w:t>
      </w:r>
      <w:r w:rsidR="04EA661C" w:rsidRPr="008A3E04">
        <w:rPr>
          <w:noProof/>
        </w:rPr>
        <w:t xml:space="preserve">a complete picture </w:t>
      </w:r>
      <w:r w:rsidR="00D822B5" w:rsidRPr="008A3E04">
        <w:rPr>
          <w:noProof/>
        </w:rPr>
        <w:t xml:space="preserve">cannot be presented </w:t>
      </w:r>
      <w:r w:rsidR="04EA661C" w:rsidRPr="008A3E04">
        <w:rPr>
          <w:noProof/>
        </w:rPr>
        <w:t xml:space="preserve">and the data </w:t>
      </w:r>
      <w:r w:rsidR="257EB0E2" w:rsidRPr="008A3E04">
        <w:rPr>
          <w:noProof/>
        </w:rPr>
        <w:t>reported by the Member States</w:t>
      </w:r>
      <w:r w:rsidR="00451F59" w:rsidRPr="008A3E04">
        <w:rPr>
          <w:noProof/>
        </w:rPr>
        <w:t xml:space="preserve">, </w:t>
      </w:r>
      <w:r w:rsidR="257EB0E2" w:rsidRPr="008A3E04">
        <w:rPr>
          <w:noProof/>
        </w:rPr>
        <w:t>the EPPO and OLAF</w:t>
      </w:r>
      <w:r w:rsidR="00D822B5" w:rsidRPr="008A3E04">
        <w:rPr>
          <w:noProof/>
        </w:rPr>
        <w:t xml:space="preserve"> are not fully comparable</w:t>
      </w:r>
      <w:r w:rsidR="257EB0E2" w:rsidRPr="008A3E04">
        <w:rPr>
          <w:noProof/>
        </w:rPr>
        <w:t>.</w:t>
      </w:r>
      <w:r w:rsidR="51FAE7E6" w:rsidRPr="008A3E04">
        <w:rPr>
          <w:noProof/>
        </w:rPr>
        <w:t xml:space="preserve"> </w:t>
      </w:r>
    </w:p>
    <w:p w14:paraId="568BD6CF" w14:textId="57FB434D" w:rsidR="008668D0" w:rsidRPr="00DE3A6F" w:rsidRDefault="008668D0" w:rsidP="00F43E85">
      <w:pPr>
        <w:pStyle w:val="Heading3"/>
        <w:rPr>
          <w:noProof/>
        </w:rPr>
      </w:pPr>
      <w:bookmarkStart w:id="63" w:name="_Prevention_(early_detection)"/>
      <w:bookmarkStart w:id="64" w:name="_Toc234447070"/>
      <w:bookmarkEnd w:id="63"/>
      <w:r w:rsidRPr="00DE3A6F">
        <w:rPr>
          <w:noProof/>
        </w:rPr>
        <w:t>Prevention (early detection</w:t>
      </w:r>
      <w:r w:rsidR="006D77B6" w:rsidRPr="00DE3A6F">
        <w:rPr>
          <w:noProof/>
        </w:rPr>
        <w:t>)</w:t>
      </w:r>
      <w:bookmarkEnd w:id="64"/>
    </w:p>
    <w:p w14:paraId="50179513" w14:textId="63583E37" w:rsidR="006D77B6" w:rsidRPr="00DE3A6F" w:rsidRDefault="006D77B6" w:rsidP="006D77B6">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Methodological note </w:t>
      </w:r>
      <w:r w:rsidR="004F5327" w:rsidRPr="00DE3A6F">
        <w:rPr>
          <w:noProof/>
        </w:rPr>
        <w:fldChar w:fldCharType="begin"/>
      </w:r>
      <w:r w:rsidR="004F5327" w:rsidRPr="00DE3A6F">
        <w:rPr>
          <w:noProof/>
        </w:rPr>
        <w:instrText xml:space="preserve"> SEQ Methodological_note \* ARABIC </w:instrText>
      </w:r>
      <w:r w:rsidR="004F5327" w:rsidRPr="00DE3A6F">
        <w:rPr>
          <w:noProof/>
        </w:rPr>
        <w:fldChar w:fldCharType="separate"/>
      </w:r>
      <w:r w:rsidR="004F5327" w:rsidRPr="00DE3A6F">
        <w:rPr>
          <w:noProof/>
        </w:rPr>
        <w:t>3</w:t>
      </w:r>
      <w:r w:rsidR="004F5327" w:rsidRPr="00DE3A6F">
        <w:rPr>
          <w:noProof/>
        </w:rPr>
        <w:fldChar w:fldCharType="end"/>
      </w:r>
      <w:r w:rsidRPr="00DE3A6F">
        <w:rPr>
          <w:noProof/>
        </w:rPr>
        <w:t xml:space="preserve">: </w:t>
      </w:r>
      <w:r w:rsidR="00821F62" w:rsidRPr="00DE3A6F">
        <w:rPr>
          <w:noProof/>
        </w:rPr>
        <w:t xml:space="preserve">How </w:t>
      </w:r>
      <w:r w:rsidRPr="00DE3A6F">
        <w:rPr>
          <w:noProof/>
        </w:rPr>
        <w:t>prevention is measured in this report and what sectors are covered in this section</w:t>
      </w:r>
    </w:p>
    <w:p w14:paraId="33BEECD8" w14:textId="606D78A7" w:rsidR="006D77B6" w:rsidRPr="00DE3A6F" w:rsidRDefault="70837114" w:rsidP="0A00D70D">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8A3E04">
        <w:rPr>
          <w:b/>
          <w:bCs/>
          <w:noProof/>
        </w:rPr>
        <w:t>Prevention</w:t>
      </w:r>
      <w:r w:rsidRPr="008A3E04">
        <w:rPr>
          <w:noProof/>
        </w:rPr>
        <w:t xml:space="preserve"> is the first step of the anti-fraud cycle. </w:t>
      </w:r>
      <w:r w:rsidR="530500F9" w:rsidRPr="008A3E04">
        <w:rPr>
          <w:noProof/>
        </w:rPr>
        <w:t>F</w:t>
      </w:r>
      <w:r w:rsidRPr="008A3E04">
        <w:rPr>
          <w:noProof/>
        </w:rPr>
        <w:t>or the purposes of this report</w:t>
      </w:r>
      <w:r w:rsidR="44749365" w:rsidRPr="008A3E04">
        <w:rPr>
          <w:noProof/>
        </w:rPr>
        <w:t> (</w:t>
      </w:r>
      <w:r w:rsidR="00DA5823" w:rsidRPr="008A3E04">
        <w:rPr>
          <w:rStyle w:val="FootnoteReference"/>
          <w:noProof/>
        </w:rPr>
        <w:footnoteReference w:id="56"/>
      </w:r>
      <w:r w:rsidR="44749365" w:rsidRPr="008A3E04">
        <w:rPr>
          <w:noProof/>
        </w:rPr>
        <w:t>),</w:t>
      </w:r>
      <w:r w:rsidRPr="008A3E04">
        <w:rPr>
          <w:noProof/>
        </w:rPr>
        <w:t xml:space="preserve"> prevention </w:t>
      </w:r>
      <w:r w:rsidR="29E8B1FA" w:rsidRPr="008A3E04">
        <w:rPr>
          <w:noProof/>
        </w:rPr>
        <w:t xml:space="preserve">refers to </w:t>
      </w:r>
      <w:r w:rsidRPr="008A3E04">
        <w:rPr>
          <w:b/>
          <w:bCs/>
          <w:noProof/>
        </w:rPr>
        <w:t>early detection</w:t>
      </w:r>
      <w:r w:rsidR="43BAE85D" w:rsidRPr="008A3E04">
        <w:rPr>
          <w:noProof/>
        </w:rPr>
        <w:t>, i.e. identifying irregularities and fraud</w:t>
      </w:r>
      <w:r w:rsidR="00733B28" w:rsidRPr="008A3E04">
        <w:rPr>
          <w:noProof/>
        </w:rPr>
        <w:t xml:space="preserve"> detected</w:t>
      </w:r>
      <w:r w:rsidR="43BAE85D" w:rsidRPr="008A3E04">
        <w:rPr>
          <w:noProof/>
        </w:rPr>
        <w:t xml:space="preserve"> before</w:t>
      </w:r>
      <w:r w:rsidRPr="008A3E04">
        <w:rPr>
          <w:noProof/>
        </w:rPr>
        <w:t xml:space="preserve"> financial amounts are </w:t>
      </w:r>
      <w:r w:rsidR="69FA953C" w:rsidRPr="008A3E04">
        <w:rPr>
          <w:noProof/>
        </w:rPr>
        <w:t xml:space="preserve">disbursed </w:t>
      </w:r>
      <w:r w:rsidRPr="008A3E04">
        <w:rPr>
          <w:noProof/>
        </w:rPr>
        <w:t xml:space="preserve">to the beneficiary. Early detection may </w:t>
      </w:r>
      <w:r w:rsidR="5A8B95BC" w:rsidRPr="008A3E04">
        <w:rPr>
          <w:noProof/>
        </w:rPr>
        <w:t xml:space="preserve">prevent </w:t>
      </w:r>
      <w:r w:rsidRPr="008A3E04">
        <w:rPr>
          <w:noProof/>
        </w:rPr>
        <w:t>payment to the beneficiary of all financial amounts involved (</w:t>
      </w:r>
      <w:r w:rsidR="74B095FC" w:rsidRPr="008A3E04">
        <w:rPr>
          <w:b/>
          <w:bCs/>
          <w:noProof/>
        </w:rPr>
        <w:t>ful</w:t>
      </w:r>
      <w:r w:rsidRPr="008A3E04">
        <w:rPr>
          <w:b/>
          <w:bCs/>
          <w:noProof/>
        </w:rPr>
        <w:t>l prevention</w:t>
      </w:r>
      <w:r w:rsidRPr="008A3E04">
        <w:rPr>
          <w:noProof/>
        </w:rPr>
        <w:t xml:space="preserve">) or just part of them, </w:t>
      </w:r>
      <w:r w:rsidR="00A8600B" w:rsidRPr="008A3E04">
        <w:rPr>
          <w:noProof/>
        </w:rPr>
        <w:t xml:space="preserve">with </w:t>
      </w:r>
      <w:r w:rsidR="5DA0218F" w:rsidRPr="008A3E04">
        <w:rPr>
          <w:noProof/>
        </w:rPr>
        <w:t xml:space="preserve">some funds already </w:t>
      </w:r>
      <w:r w:rsidR="00A8600B" w:rsidRPr="008A3E04">
        <w:rPr>
          <w:noProof/>
        </w:rPr>
        <w:t xml:space="preserve">having </w:t>
      </w:r>
      <w:r w:rsidR="5DA0218F" w:rsidRPr="008A3E04">
        <w:rPr>
          <w:noProof/>
        </w:rPr>
        <w:t>been disbursed before</w:t>
      </w:r>
      <w:r w:rsidRPr="008A3E04">
        <w:rPr>
          <w:noProof/>
        </w:rPr>
        <w:t xml:space="preserve"> detection (</w:t>
      </w:r>
      <w:r w:rsidRPr="008A3E04">
        <w:rPr>
          <w:b/>
          <w:bCs/>
          <w:noProof/>
        </w:rPr>
        <w:t>partial prevention</w:t>
      </w:r>
      <w:r w:rsidRPr="008A3E04">
        <w:rPr>
          <w:noProof/>
        </w:rPr>
        <w:t>).</w:t>
      </w:r>
    </w:p>
    <w:p w14:paraId="3E90E65F" w14:textId="4A2C61D1" w:rsidR="006D77B6" w:rsidRPr="00DE3A6F" w:rsidRDefault="006D77B6"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8A3E04">
        <w:rPr>
          <w:noProof/>
        </w:rPr>
        <w:t xml:space="preserve">This section mainly focuses on expenditure under shared management, based on data provided by Member States via the IMS. For </w:t>
      </w:r>
      <w:r w:rsidRPr="008A3E04">
        <w:rPr>
          <w:b/>
          <w:bCs/>
          <w:noProof/>
        </w:rPr>
        <w:t>non-fraudulent irregularities</w:t>
      </w:r>
      <w:r w:rsidRPr="008A3E04">
        <w:rPr>
          <w:noProof/>
        </w:rPr>
        <w:t xml:space="preserve">, </w:t>
      </w:r>
      <w:r w:rsidR="0075633C" w:rsidRPr="008A3E04">
        <w:rPr>
          <w:noProof/>
        </w:rPr>
        <w:t xml:space="preserve">the </w:t>
      </w:r>
      <w:r w:rsidRPr="008A3E04">
        <w:rPr>
          <w:noProof/>
        </w:rPr>
        <w:t xml:space="preserve">data in IMS </w:t>
      </w:r>
      <w:r w:rsidR="00E3724A" w:rsidRPr="008A3E04">
        <w:rPr>
          <w:noProof/>
        </w:rPr>
        <w:t>do not</w:t>
      </w:r>
      <w:r w:rsidRPr="008A3E04">
        <w:rPr>
          <w:noProof/>
        </w:rPr>
        <w:t xml:space="preserve"> capture the full </w:t>
      </w:r>
      <w:r w:rsidR="00E3724A" w:rsidRPr="008A3E04">
        <w:rPr>
          <w:noProof/>
        </w:rPr>
        <w:t xml:space="preserve">scope </w:t>
      </w:r>
      <w:r w:rsidRPr="008A3E04">
        <w:rPr>
          <w:noProof/>
        </w:rPr>
        <w:t xml:space="preserve">of prevention activities, as Member States </w:t>
      </w:r>
      <w:r w:rsidR="00E3724A" w:rsidRPr="008A3E04">
        <w:rPr>
          <w:noProof/>
        </w:rPr>
        <w:t xml:space="preserve">are not required </w:t>
      </w:r>
      <w:r w:rsidRPr="008A3E04">
        <w:rPr>
          <w:noProof/>
        </w:rPr>
        <w:t xml:space="preserve">to report </w:t>
      </w:r>
      <w:r w:rsidR="00F27F49" w:rsidRPr="008A3E04">
        <w:rPr>
          <w:noProof/>
        </w:rPr>
        <w:t xml:space="preserve">cases </w:t>
      </w:r>
      <w:r w:rsidRPr="008A3E04">
        <w:rPr>
          <w:noProof/>
        </w:rPr>
        <w:t xml:space="preserve">detected before expenditure </w:t>
      </w:r>
      <w:r w:rsidR="00F27F49" w:rsidRPr="008A3E04">
        <w:rPr>
          <w:noProof/>
        </w:rPr>
        <w:t>is decl</w:t>
      </w:r>
      <w:r w:rsidR="5E2677F0" w:rsidRPr="008A3E04">
        <w:rPr>
          <w:noProof/>
        </w:rPr>
        <w:t>a</w:t>
      </w:r>
      <w:r w:rsidR="00F27F49" w:rsidRPr="008A3E04">
        <w:rPr>
          <w:noProof/>
        </w:rPr>
        <w:t xml:space="preserve">red </w:t>
      </w:r>
      <w:r w:rsidRPr="008A3E04">
        <w:rPr>
          <w:noProof/>
        </w:rPr>
        <w:t xml:space="preserve">in a statement submitted to the Commission. This limitation </w:t>
      </w:r>
      <w:r w:rsidRPr="008A3E04">
        <w:rPr>
          <w:b/>
          <w:bCs/>
          <w:noProof/>
        </w:rPr>
        <w:t>does not apply to fraudulent irregularities</w:t>
      </w:r>
      <w:r w:rsidRPr="008A3E04">
        <w:rPr>
          <w:noProof/>
        </w:rPr>
        <w:t>.</w:t>
      </w:r>
    </w:p>
    <w:p w14:paraId="3659371F" w14:textId="4126E6E6" w:rsidR="005F509D" w:rsidRPr="00DE3A6F" w:rsidRDefault="005F509D" w:rsidP="006D77B6">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T</w:t>
      </w:r>
      <w:r w:rsidR="008F08BF" w:rsidRPr="00DE3A6F">
        <w:rPr>
          <w:noProof/>
        </w:rPr>
        <w:t xml:space="preserve">o assess progress, </w:t>
      </w:r>
      <w:r w:rsidR="00F55946" w:rsidRPr="00DE3A6F">
        <w:rPr>
          <w:noProof/>
        </w:rPr>
        <w:t>comparison</w:t>
      </w:r>
      <w:r w:rsidRPr="00DE3A6F">
        <w:rPr>
          <w:noProof/>
        </w:rPr>
        <w:t>s</w:t>
      </w:r>
      <w:r w:rsidR="00F55946" w:rsidRPr="00DE3A6F">
        <w:rPr>
          <w:noProof/>
        </w:rPr>
        <w:t xml:space="preserve"> </w:t>
      </w:r>
      <w:r w:rsidRPr="00DE3A6F">
        <w:rPr>
          <w:noProof/>
        </w:rPr>
        <w:t xml:space="preserve">have </w:t>
      </w:r>
      <w:r w:rsidR="00F55946" w:rsidRPr="00DE3A6F">
        <w:rPr>
          <w:noProof/>
        </w:rPr>
        <w:t>been made between different reference periods:</w:t>
      </w:r>
    </w:p>
    <w:p w14:paraId="04F71525" w14:textId="4D58CD42" w:rsidR="003446E2" w:rsidRPr="008A3E04" w:rsidRDefault="009F528B" w:rsidP="28D37C99">
      <w:pPr>
        <w:pStyle w:val="ListParagraph"/>
        <w:numPr>
          <w:ilvl w:val="0"/>
          <w:numId w:val="62"/>
        </w:numPr>
        <w:pBdr>
          <w:top w:val="single" w:sz="4" w:space="1" w:color="auto"/>
          <w:left w:val="single" w:sz="4" w:space="4" w:color="auto"/>
          <w:bottom w:val="single" w:sz="4" w:space="1" w:color="auto"/>
          <w:right w:val="single" w:sz="4" w:space="4" w:color="auto"/>
        </w:pBdr>
        <w:shd w:val="clear" w:color="auto" w:fill="E2EFD9" w:themeFill="accent6" w:themeFillTint="33"/>
        <w:spacing w:after="120"/>
        <w:ind w:left="357" w:hanging="357"/>
        <w:jc w:val="both"/>
        <w:rPr>
          <w:rFonts w:ascii="Times New Roman" w:hAnsi="Times New Roman"/>
          <w:noProof/>
        </w:rPr>
      </w:pPr>
      <w:r w:rsidRPr="008A3E04">
        <w:rPr>
          <w:rFonts w:ascii="Times New Roman" w:hAnsi="Times New Roman"/>
          <w:noProof/>
        </w:rPr>
        <w:t>for</w:t>
      </w:r>
      <w:r w:rsidR="00F55946" w:rsidRPr="008A3E04">
        <w:rPr>
          <w:rFonts w:ascii="Times New Roman" w:hAnsi="Times New Roman"/>
          <w:noProof/>
        </w:rPr>
        <w:t xml:space="preserve"> agricultural policy, </w:t>
      </w:r>
      <w:r w:rsidR="00CF0B4F" w:rsidRPr="008A3E04">
        <w:rPr>
          <w:rFonts w:ascii="Times New Roman" w:hAnsi="Times New Roman"/>
          <w:noProof/>
        </w:rPr>
        <w:t xml:space="preserve">preventive activities </w:t>
      </w:r>
      <w:r w:rsidR="003446E2" w:rsidRPr="008A3E04">
        <w:rPr>
          <w:rFonts w:ascii="Times New Roman" w:hAnsi="Times New Roman"/>
          <w:noProof/>
        </w:rPr>
        <w:t xml:space="preserve">over </w:t>
      </w:r>
      <w:r w:rsidR="00CF0B4F" w:rsidRPr="008A3E04">
        <w:rPr>
          <w:rFonts w:ascii="Times New Roman" w:hAnsi="Times New Roman"/>
          <w:noProof/>
        </w:rPr>
        <w:t xml:space="preserve">the last five years (2021-2025) </w:t>
      </w:r>
      <w:r w:rsidR="003446E2" w:rsidRPr="008A3E04">
        <w:rPr>
          <w:rFonts w:ascii="Times New Roman" w:hAnsi="Times New Roman"/>
          <w:noProof/>
        </w:rPr>
        <w:t>are</w:t>
      </w:r>
      <w:r w:rsidR="00CF0B4F" w:rsidRPr="008A3E04">
        <w:rPr>
          <w:rFonts w:ascii="Times New Roman" w:hAnsi="Times New Roman"/>
          <w:noProof/>
        </w:rPr>
        <w:t xml:space="preserve"> compared with the previous </w:t>
      </w:r>
      <w:r w:rsidR="003446E2" w:rsidRPr="008A3E04">
        <w:rPr>
          <w:rFonts w:ascii="Times New Roman" w:hAnsi="Times New Roman"/>
          <w:noProof/>
        </w:rPr>
        <w:t>five-</w:t>
      </w:r>
      <w:r w:rsidR="00CF0B4F" w:rsidRPr="008A3E04">
        <w:rPr>
          <w:rFonts w:ascii="Times New Roman" w:hAnsi="Times New Roman"/>
          <w:noProof/>
        </w:rPr>
        <w:t xml:space="preserve">year </w:t>
      </w:r>
      <w:r w:rsidR="0075633C" w:rsidRPr="008A3E04">
        <w:rPr>
          <w:rFonts w:ascii="Times New Roman" w:hAnsi="Times New Roman"/>
          <w:noProof/>
        </w:rPr>
        <w:t xml:space="preserve">period </w:t>
      </w:r>
      <w:r w:rsidR="00CF0B4F" w:rsidRPr="008A3E04">
        <w:rPr>
          <w:rFonts w:ascii="Times New Roman" w:hAnsi="Times New Roman"/>
          <w:noProof/>
        </w:rPr>
        <w:t xml:space="preserve">(2016-2020). </w:t>
      </w:r>
    </w:p>
    <w:p w14:paraId="0C539635" w14:textId="336B1C68" w:rsidR="008F08BF" w:rsidRPr="00DE3A6F" w:rsidRDefault="003446E2" w:rsidP="009F528B">
      <w:pPr>
        <w:pStyle w:val="ListParagraph"/>
        <w:numPr>
          <w:ilvl w:val="0"/>
          <w:numId w:val="62"/>
        </w:numPr>
        <w:pBdr>
          <w:top w:val="single" w:sz="4" w:space="1" w:color="auto"/>
          <w:left w:val="single" w:sz="4" w:space="4" w:color="auto"/>
          <w:bottom w:val="single" w:sz="4" w:space="1" w:color="auto"/>
          <w:right w:val="single" w:sz="4" w:space="4" w:color="auto"/>
        </w:pBdr>
        <w:shd w:val="clear" w:color="auto" w:fill="E2EFD9" w:themeFill="accent6" w:themeFillTint="33"/>
        <w:spacing w:after="120"/>
        <w:ind w:left="357" w:hanging="357"/>
        <w:jc w:val="both"/>
        <w:rPr>
          <w:rFonts w:ascii="Times New Roman" w:hAnsi="Times New Roman"/>
          <w:noProof/>
        </w:rPr>
      </w:pPr>
      <w:r w:rsidRPr="00DE3A6F">
        <w:rPr>
          <w:rFonts w:ascii="Times New Roman" w:hAnsi="Times New Roman"/>
          <w:noProof/>
        </w:rPr>
        <w:t>for</w:t>
      </w:r>
      <w:r w:rsidR="00CF0B4F" w:rsidRPr="00DE3A6F">
        <w:rPr>
          <w:rFonts w:ascii="Times New Roman" w:hAnsi="Times New Roman"/>
          <w:noProof/>
        </w:rPr>
        <w:t xml:space="preserve"> cohesion policy, the </w:t>
      </w:r>
      <w:r w:rsidR="00D22BF6" w:rsidRPr="00DE3A6F">
        <w:rPr>
          <w:rFonts w:ascii="Times New Roman" w:hAnsi="Times New Roman"/>
          <w:noProof/>
        </w:rPr>
        <w:t xml:space="preserve">comparison </w:t>
      </w:r>
      <w:r w:rsidR="00A2362D" w:rsidRPr="00DE3A6F">
        <w:rPr>
          <w:rFonts w:ascii="Times New Roman" w:hAnsi="Times New Roman"/>
          <w:noProof/>
        </w:rPr>
        <w:t>covers full</w:t>
      </w:r>
      <w:r w:rsidR="00D22BF6" w:rsidRPr="00DE3A6F">
        <w:rPr>
          <w:rFonts w:ascii="Times New Roman" w:hAnsi="Times New Roman"/>
          <w:noProof/>
        </w:rPr>
        <w:t xml:space="preserve"> programming periods (2007-</w:t>
      </w:r>
      <w:r w:rsidR="00EA0883" w:rsidRPr="00DE3A6F">
        <w:rPr>
          <w:rFonts w:ascii="Times New Roman" w:hAnsi="Times New Roman"/>
          <w:noProof/>
        </w:rPr>
        <w:t>20</w:t>
      </w:r>
      <w:r w:rsidR="00D22BF6" w:rsidRPr="00DE3A6F">
        <w:rPr>
          <w:rFonts w:ascii="Times New Roman" w:hAnsi="Times New Roman"/>
          <w:noProof/>
        </w:rPr>
        <w:t>13, 2014-</w:t>
      </w:r>
      <w:r w:rsidR="00EA0883" w:rsidRPr="00DE3A6F">
        <w:rPr>
          <w:rFonts w:ascii="Times New Roman" w:hAnsi="Times New Roman"/>
          <w:noProof/>
        </w:rPr>
        <w:t>20</w:t>
      </w:r>
      <w:r w:rsidR="00D22BF6" w:rsidRPr="00DE3A6F">
        <w:rPr>
          <w:rFonts w:ascii="Times New Roman" w:hAnsi="Times New Roman"/>
          <w:noProof/>
        </w:rPr>
        <w:t>20, 2021-</w:t>
      </w:r>
      <w:r w:rsidR="00EA0883" w:rsidRPr="00DE3A6F">
        <w:rPr>
          <w:rFonts w:ascii="Times New Roman" w:hAnsi="Times New Roman"/>
          <w:noProof/>
        </w:rPr>
        <w:t>20</w:t>
      </w:r>
      <w:r w:rsidR="00D22BF6" w:rsidRPr="00DE3A6F">
        <w:rPr>
          <w:rFonts w:ascii="Times New Roman" w:hAnsi="Times New Roman"/>
          <w:noProof/>
        </w:rPr>
        <w:t>27).</w:t>
      </w:r>
    </w:p>
    <w:p w14:paraId="57E2A46D" w14:textId="6D65ABE5" w:rsidR="006D77B6" w:rsidRPr="00DE3A6F" w:rsidRDefault="006D77B6"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8A3E04">
        <w:rPr>
          <w:noProof/>
        </w:rPr>
        <w:t>Additional data in this section cover indirect management (pre-accession) and direct expenditure</w:t>
      </w:r>
      <w:r w:rsidR="00E061D0" w:rsidRPr="008A3E04">
        <w:rPr>
          <w:noProof/>
        </w:rPr>
        <w:t>, based on funds</w:t>
      </w:r>
      <w:r w:rsidRPr="008A3E04">
        <w:rPr>
          <w:noProof/>
        </w:rPr>
        <w:t xml:space="preserve"> prevented from being spent </w:t>
      </w:r>
      <w:r w:rsidR="0036148D" w:rsidRPr="008A3E04">
        <w:rPr>
          <w:noProof/>
        </w:rPr>
        <w:t>based on</w:t>
      </w:r>
      <w:r w:rsidRPr="008A3E04">
        <w:rPr>
          <w:noProof/>
        </w:rPr>
        <w:t xml:space="preserve"> OLAF investigations</w:t>
      </w:r>
      <w:r w:rsidR="00EA0691" w:rsidRPr="008A3E04">
        <w:rPr>
          <w:noProof/>
        </w:rPr>
        <w:t> (</w:t>
      </w:r>
      <w:r w:rsidR="00EA0691" w:rsidRPr="008A3E04">
        <w:rPr>
          <w:rStyle w:val="FootnoteReference"/>
          <w:noProof/>
        </w:rPr>
        <w:footnoteReference w:id="57"/>
      </w:r>
      <w:r w:rsidR="00EA0691" w:rsidRPr="008A3E04">
        <w:rPr>
          <w:noProof/>
        </w:rPr>
        <w:t>)</w:t>
      </w:r>
      <w:r w:rsidRPr="008A3E04">
        <w:rPr>
          <w:noProof/>
        </w:rPr>
        <w:t>.</w:t>
      </w:r>
    </w:p>
    <w:p w14:paraId="334A0414" w14:textId="1E698988" w:rsidR="006D77B6" w:rsidRPr="00DE3A6F" w:rsidRDefault="00012BAC" w:rsidP="00964863">
      <w:pPr>
        <w:rPr>
          <w:noProof/>
        </w:rPr>
      </w:pPr>
      <w:r w:rsidRPr="00DE3A6F">
        <w:rPr>
          <w:b/>
          <w:bCs/>
          <w:noProof/>
        </w:rPr>
        <w:t xml:space="preserve">Figure </w:t>
      </w:r>
      <w:r w:rsidRPr="00CA1602">
        <w:rPr>
          <w:b/>
          <w:bCs/>
          <w:noProof/>
        </w:rPr>
        <w:t>1</w:t>
      </w:r>
      <w:r w:rsidR="00313E21" w:rsidRPr="00CA1602">
        <w:rPr>
          <w:b/>
          <w:bCs/>
          <w:noProof/>
        </w:rPr>
        <w:t>3</w:t>
      </w:r>
      <w:r w:rsidRPr="00CA1602">
        <w:rPr>
          <w:b/>
          <w:bCs/>
          <w:noProof/>
        </w:rPr>
        <w:t xml:space="preserve"> </w:t>
      </w:r>
      <w:r w:rsidRPr="00DE3A6F">
        <w:rPr>
          <w:noProof/>
        </w:rPr>
        <w:t>show</w:t>
      </w:r>
      <w:r w:rsidR="001C500B" w:rsidRPr="00DE3A6F">
        <w:rPr>
          <w:noProof/>
        </w:rPr>
        <w:t>s</w:t>
      </w:r>
      <w:r w:rsidRPr="00DE3A6F">
        <w:rPr>
          <w:noProof/>
        </w:rPr>
        <w:t xml:space="preserve"> the main </w:t>
      </w:r>
      <w:r w:rsidR="00DE5523" w:rsidRPr="00CA1602">
        <w:rPr>
          <w:noProof/>
        </w:rPr>
        <w:t xml:space="preserve">prevention </w:t>
      </w:r>
      <w:r w:rsidRPr="00DE3A6F">
        <w:rPr>
          <w:noProof/>
        </w:rPr>
        <w:t xml:space="preserve">results </w:t>
      </w:r>
      <w:r w:rsidR="008959D1" w:rsidRPr="00DE3A6F">
        <w:rPr>
          <w:noProof/>
        </w:rPr>
        <w:t>of early</w:t>
      </w:r>
      <w:r w:rsidR="00DE5523" w:rsidRPr="00DE3A6F">
        <w:rPr>
          <w:noProof/>
        </w:rPr>
        <w:t xml:space="preserve"> </w:t>
      </w:r>
      <w:r w:rsidR="008959D1" w:rsidRPr="00DE3A6F">
        <w:rPr>
          <w:noProof/>
        </w:rPr>
        <w:t>detection activities as reported by the Member States</w:t>
      </w:r>
      <w:r w:rsidR="004418BD" w:rsidRPr="00DE3A6F">
        <w:rPr>
          <w:noProof/>
        </w:rPr>
        <w:t xml:space="preserve"> in the areas of shared management</w:t>
      </w:r>
      <w:r w:rsidR="0031484C" w:rsidRPr="00DE3A6F">
        <w:rPr>
          <w:noProof/>
        </w:rPr>
        <w:t xml:space="preserve">. </w:t>
      </w:r>
      <w:r w:rsidR="00AD192E" w:rsidRPr="00CA1602">
        <w:rPr>
          <w:noProof/>
        </w:rPr>
        <w:t>T</w:t>
      </w:r>
      <w:r w:rsidR="0031484C" w:rsidRPr="00DE3A6F">
        <w:rPr>
          <w:noProof/>
        </w:rPr>
        <w:t xml:space="preserve">he impact of </w:t>
      </w:r>
      <w:r w:rsidR="00B14771" w:rsidRPr="00DE3A6F">
        <w:rPr>
          <w:noProof/>
        </w:rPr>
        <w:t>early</w:t>
      </w:r>
      <w:r w:rsidR="00AD192E" w:rsidRPr="00CA1602">
        <w:rPr>
          <w:noProof/>
        </w:rPr>
        <w:t xml:space="preserve"> </w:t>
      </w:r>
      <w:r w:rsidR="00B14771" w:rsidRPr="00DE3A6F">
        <w:rPr>
          <w:noProof/>
        </w:rPr>
        <w:t>detection on the non-fraudulent irregularities</w:t>
      </w:r>
      <w:r w:rsidR="00624F40" w:rsidRPr="00DE3A6F">
        <w:rPr>
          <w:noProof/>
        </w:rPr>
        <w:t xml:space="preserve"> is </w:t>
      </w:r>
      <w:r w:rsidR="00936B21" w:rsidRPr="00DE3A6F">
        <w:rPr>
          <w:noProof/>
        </w:rPr>
        <w:t xml:space="preserve">less representative of the </w:t>
      </w:r>
      <w:r w:rsidR="00AD192E" w:rsidRPr="00CA1602">
        <w:rPr>
          <w:noProof/>
        </w:rPr>
        <w:t xml:space="preserve">prevention </w:t>
      </w:r>
      <w:r w:rsidR="00936B21" w:rsidRPr="00DE3A6F">
        <w:rPr>
          <w:noProof/>
        </w:rPr>
        <w:t>efforts</w:t>
      </w:r>
      <w:r w:rsidR="00B14771" w:rsidRPr="00DE3A6F">
        <w:rPr>
          <w:noProof/>
        </w:rPr>
        <w:t xml:space="preserve">, </w:t>
      </w:r>
      <w:r w:rsidR="007B31BE" w:rsidRPr="00DE3A6F">
        <w:rPr>
          <w:noProof/>
        </w:rPr>
        <w:t>given that</w:t>
      </w:r>
      <w:r w:rsidR="00B14771" w:rsidRPr="00DE3A6F">
        <w:rPr>
          <w:noProof/>
        </w:rPr>
        <w:t xml:space="preserve"> </w:t>
      </w:r>
      <w:r w:rsidR="00AD192E" w:rsidRPr="00CA1602">
        <w:rPr>
          <w:noProof/>
        </w:rPr>
        <w:t xml:space="preserve">the </w:t>
      </w:r>
      <w:r w:rsidR="0054537D" w:rsidRPr="00DE3A6F">
        <w:rPr>
          <w:noProof/>
        </w:rPr>
        <w:t xml:space="preserve">data capture </w:t>
      </w:r>
      <w:r w:rsidR="00233FFA">
        <w:rPr>
          <w:noProof/>
        </w:rPr>
        <w:t>in particular</w:t>
      </w:r>
      <w:r w:rsidR="00233FFA" w:rsidRPr="00DE3A6F">
        <w:rPr>
          <w:noProof/>
        </w:rPr>
        <w:t xml:space="preserve"> </w:t>
      </w:r>
      <w:r w:rsidR="0054537D" w:rsidRPr="00DE3A6F">
        <w:rPr>
          <w:b/>
          <w:bCs/>
          <w:noProof/>
        </w:rPr>
        <w:t>partial prevention</w:t>
      </w:r>
      <w:r w:rsidR="0054537D" w:rsidRPr="00DE3A6F">
        <w:rPr>
          <w:noProof/>
        </w:rPr>
        <w:t xml:space="preserve"> (which is </w:t>
      </w:r>
      <w:r w:rsidR="002758BA">
        <w:rPr>
          <w:noProof/>
        </w:rPr>
        <w:t>anyhow improving</w:t>
      </w:r>
      <w:r w:rsidR="00DF1EFA">
        <w:rPr>
          <w:noProof/>
        </w:rPr>
        <w:t xml:space="preserve"> compared to previous periods</w:t>
      </w:r>
      <w:r w:rsidR="003027DF" w:rsidRPr="00DE3A6F">
        <w:rPr>
          <w:noProof/>
        </w:rPr>
        <w:t>)</w:t>
      </w:r>
      <w:r w:rsidR="00D91C86" w:rsidRPr="00CA1602">
        <w:rPr>
          <w:noProof/>
        </w:rPr>
        <w:t xml:space="preserve">. </w:t>
      </w:r>
      <w:r w:rsidR="008A70D2">
        <w:rPr>
          <w:noProof/>
        </w:rPr>
        <w:t>T</w:t>
      </w:r>
      <w:r w:rsidR="00E242F1" w:rsidRPr="00DE3A6F">
        <w:rPr>
          <w:noProof/>
        </w:rPr>
        <w:t>he c</w:t>
      </w:r>
      <w:r w:rsidR="007138CD" w:rsidRPr="00DE3A6F">
        <w:rPr>
          <w:noProof/>
        </w:rPr>
        <w:t xml:space="preserve">ontinuous focus on </w:t>
      </w:r>
      <w:r w:rsidR="00F23C61" w:rsidRPr="00DE3A6F">
        <w:rPr>
          <w:noProof/>
        </w:rPr>
        <w:t xml:space="preserve">fraud </w:t>
      </w:r>
      <w:r w:rsidR="007138CD" w:rsidRPr="00DE3A6F">
        <w:rPr>
          <w:noProof/>
        </w:rPr>
        <w:t>prevention</w:t>
      </w:r>
      <w:r w:rsidR="00F23C61" w:rsidRPr="00DE3A6F">
        <w:rPr>
          <w:noProof/>
        </w:rPr>
        <w:t>, as consistently</w:t>
      </w:r>
      <w:r w:rsidR="007138CD" w:rsidRPr="00DE3A6F">
        <w:rPr>
          <w:noProof/>
        </w:rPr>
        <w:t xml:space="preserve"> reported </w:t>
      </w:r>
      <w:r w:rsidR="00E07459" w:rsidRPr="00DE3A6F">
        <w:rPr>
          <w:noProof/>
        </w:rPr>
        <w:t xml:space="preserve">in the PIF reports </w:t>
      </w:r>
      <w:r w:rsidR="00F23C61" w:rsidRPr="00DE3A6F">
        <w:rPr>
          <w:noProof/>
        </w:rPr>
        <w:t xml:space="preserve">in recent </w:t>
      </w:r>
      <w:r w:rsidR="007138CD" w:rsidRPr="00DE3A6F">
        <w:rPr>
          <w:noProof/>
        </w:rPr>
        <w:t>years</w:t>
      </w:r>
      <w:r w:rsidR="00E07459" w:rsidRPr="00DE3A6F">
        <w:rPr>
          <w:noProof/>
        </w:rPr>
        <w:t xml:space="preserve">, </w:t>
      </w:r>
      <w:r w:rsidR="00F23C61" w:rsidRPr="00DE3A6F">
        <w:rPr>
          <w:noProof/>
        </w:rPr>
        <w:t>has y</w:t>
      </w:r>
      <w:r w:rsidR="00B33D6F" w:rsidRPr="00DE3A6F">
        <w:rPr>
          <w:noProof/>
        </w:rPr>
        <w:t>i</w:t>
      </w:r>
      <w:r w:rsidR="00F23C61" w:rsidRPr="00DE3A6F">
        <w:rPr>
          <w:noProof/>
        </w:rPr>
        <w:t>elded</w:t>
      </w:r>
      <w:r w:rsidR="00B33D6F" w:rsidRPr="00DE3A6F">
        <w:rPr>
          <w:noProof/>
        </w:rPr>
        <w:t xml:space="preserve"> </w:t>
      </w:r>
      <w:r w:rsidR="00E07459" w:rsidRPr="00DE3A6F">
        <w:rPr>
          <w:noProof/>
        </w:rPr>
        <w:t>tangible results</w:t>
      </w:r>
      <w:r w:rsidR="00FD380F" w:rsidRPr="00DE3A6F">
        <w:rPr>
          <w:noProof/>
        </w:rPr>
        <w:t xml:space="preserve"> in all </w:t>
      </w:r>
      <w:r w:rsidR="00D91C86" w:rsidRPr="00CA1602">
        <w:rPr>
          <w:noProof/>
        </w:rPr>
        <w:t xml:space="preserve">areas </w:t>
      </w:r>
      <w:r w:rsidR="00FD380F" w:rsidRPr="00DE3A6F">
        <w:rPr>
          <w:noProof/>
        </w:rPr>
        <w:t>measured, both in absolute and relative terms.</w:t>
      </w:r>
    </w:p>
    <w:p w14:paraId="06744D11" w14:textId="085C32E6" w:rsidR="00727F7F" w:rsidRPr="00DE3A6F" w:rsidRDefault="00727F7F" w:rsidP="00964863">
      <w:pPr>
        <w:rPr>
          <w:noProof/>
        </w:rPr>
      </w:pPr>
      <w:r w:rsidRPr="00DE3A6F">
        <w:rPr>
          <w:noProof/>
        </w:rPr>
        <w:t xml:space="preserve">In the period </w:t>
      </w:r>
      <w:r w:rsidR="00D91C86" w:rsidRPr="00CA1602">
        <w:rPr>
          <w:noProof/>
        </w:rPr>
        <w:t xml:space="preserve">covered </w:t>
      </w:r>
      <w:r w:rsidRPr="00DE3A6F">
        <w:rPr>
          <w:noProof/>
        </w:rPr>
        <w:t xml:space="preserve">in </w:t>
      </w:r>
      <w:r w:rsidR="00DE24F8" w:rsidRPr="00DE3A6F">
        <w:rPr>
          <w:b/>
          <w:bCs/>
          <w:noProof/>
        </w:rPr>
        <w:t xml:space="preserve">Figure </w:t>
      </w:r>
      <w:r w:rsidR="00DE24F8" w:rsidRPr="00CA1602">
        <w:rPr>
          <w:b/>
          <w:bCs/>
          <w:noProof/>
        </w:rPr>
        <w:t>13 </w:t>
      </w:r>
      <w:r w:rsidR="00DE24F8" w:rsidRPr="00DE3A6F">
        <w:rPr>
          <w:noProof/>
        </w:rPr>
        <w:t>(</w:t>
      </w:r>
      <w:r w:rsidR="00DE24F8" w:rsidRPr="00DE3A6F">
        <w:rPr>
          <w:rStyle w:val="FootnoteReference"/>
          <w:noProof/>
        </w:rPr>
        <w:footnoteReference w:id="58"/>
      </w:r>
      <w:r w:rsidR="00DE24F8" w:rsidRPr="00DE3A6F">
        <w:rPr>
          <w:noProof/>
        </w:rPr>
        <w:t>)</w:t>
      </w:r>
      <w:r w:rsidR="0085391D" w:rsidRPr="00DE3A6F">
        <w:rPr>
          <w:noProof/>
        </w:rPr>
        <w:t xml:space="preserve">, </w:t>
      </w:r>
      <w:r w:rsidR="00D91C86" w:rsidRPr="00CA1602">
        <w:rPr>
          <w:noProof/>
        </w:rPr>
        <w:t xml:space="preserve">prevention </w:t>
      </w:r>
      <w:r w:rsidR="0085391D" w:rsidRPr="00DE3A6F">
        <w:rPr>
          <w:noProof/>
        </w:rPr>
        <w:t xml:space="preserve">efforts reported by Member States in shared management account for more than </w:t>
      </w:r>
      <w:r w:rsidR="00D068A0" w:rsidRPr="00CA1602">
        <w:rPr>
          <w:noProof/>
        </w:rPr>
        <w:t>EUR </w:t>
      </w:r>
      <w:r w:rsidR="003F026D" w:rsidRPr="00DE3A6F">
        <w:rPr>
          <w:noProof/>
        </w:rPr>
        <w:t>5</w:t>
      </w:r>
      <w:r w:rsidR="003F026D">
        <w:rPr>
          <w:noProof/>
        </w:rPr>
        <w:t>79</w:t>
      </w:r>
      <w:r w:rsidR="003F026D" w:rsidRPr="00DE3A6F">
        <w:rPr>
          <w:noProof/>
        </w:rPr>
        <w:t xml:space="preserve"> </w:t>
      </w:r>
      <w:r w:rsidR="0085391D" w:rsidRPr="00DE3A6F">
        <w:rPr>
          <w:noProof/>
        </w:rPr>
        <w:t>million.</w:t>
      </w:r>
    </w:p>
    <w:p w14:paraId="41C36F13" w14:textId="6043C332" w:rsidR="008959D1" w:rsidRPr="00DE3A6F" w:rsidRDefault="008959D1" w:rsidP="00B821F3">
      <w:pPr>
        <w:pStyle w:val="Caption"/>
        <w:keepNext/>
        <w:rPr>
          <w:noProof/>
        </w:rPr>
      </w:pPr>
      <w:r w:rsidRPr="00DE3A6F">
        <w:rPr>
          <w:noProof/>
        </w:rPr>
        <w:lastRenderedPageBreak/>
        <w:t xml:space="preserve">Figure </w:t>
      </w:r>
      <w:r w:rsidR="00B821F3" w:rsidRPr="00DE3A6F">
        <w:rPr>
          <w:noProof/>
        </w:rPr>
        <w:fldChar w:fldCharType="begin"/>
      </w:r>
      <w:r w:rsidR="00B821F3" w:rsidRPr="00DE3A6F">
        <w:rPr>
          <w:noProof/>
        </w:rPr>
        <w:instrText xml:space="preserve"> SEQ Figure \* ARABIC </w:instrText>
      </w:r>
      <w:r w:rsidR="00B821F3" w:rsidRPr="00DE3A6F">
        <w:rPr>
          <w:noProof/>
        </w:rPr>
        <w:fldChar w:fldCharType="separate"/>
      </w:r>
      <w:r w:rsidR="006C5B51">
        <w:rPr>
          <w:noProof/>
        </w:rPr>
        <w:t>13</w:t>
      </w:r>
      <w:r w:rsidR="00B821F3" w:rsidRPr="00DE3A6F">
        <w:rPr>
          <w:noProof/>
        </w:rPr>
        <w:fldChar w:fldCharType="end"/>
      </w:r>
      <w:r w:rsidRPr="00DE3A6F">
        <w:rPr>
          <w:noProof/>
        </w:rPr>
        <w:t xml:space="preserve">: </w:t>
      </w:r>
      <w:r w:rsidR="00703ED5">
        <w:rPr>
          <w:noProof/>
        </w:rPr>
        <w:t>P</w:t>
      </w:r>
      <w:r w:rsidR="00D068A0" w:rsidRPr="00CA1602">
        <w:rPr>
          <w:noProof/>
        </w:rPr>
        <w:t xml:space="preserve">revention </w:t>
      </w:r>
      <w:r w:rsidR="004418BD" w:rsidRPr="00DE3A6F">
        <w:rPr>
          <w:noProof/>
        </w:rPr>
        <w:t>results as reported by the Member States</w:t>
      </w:r>
    </w:p>
    <w:tbl>
      <w:tblPr>
        <w:tblW w:w="8642" w:type="dxa"/>
        <w:tblCellMar>
          <w:left w:w="0" w:type="dxa"/>
          <w:right w:w="0" w:type="dxa"/>
        </w:tblCellMar>
        <w:tblLook w:val="04A0" w:firstRow="1" w:lastRow="0" w:firstColumn="1" w:lastColumn="0" w:noHBand="0" w:noVBand="1"/>
      </w:tblPr>
      <w:tblGrid>
        <w:gridCol w:w="1980"/>
        <w:gridCol w:w="1074"/>
        <w:gridCol w:w="509"/>
        <w:gridCol w:w="702"/>
        <w:gridCol w:w="975"/>
        <w:gridCol w:w="709"/>
        <w:gridCol w:w="618"/>
        <w:gridCol w:w="584"/>
        <w:gridCol w:w="924"/>
        <w:gridCol w:w="567"/>
      </w:tblGrid>
      <w:tr w:rsidR="00643F9D" w:rsidRPr="00C72921" w14:paraId="59E0A87B" w14:textId="77777777" w:rsidTr="00C72921">
        <w:trPr>
          <w:trHeight w:val="432"/>
        </w:trPr>
        <w:tc>
          <w:tcPr>
            <w:tcW w:w="1980" w:type="dxa"/>
            <w:vMerge w:val="restart"/>
            <w:tcBorders>
              <w:top w:val="single" w:sz="4" w:space="0" w:color="auto"/>
              <w:left w:val="single" w:sz="4" w:space="0" w:color="auto"/>
              <w:bottom w:val="nil"/>
              <w:right w:val="single" w:sz="4" w:space="0" w:color="auto"/>
            </w:tcBorders>
            <w:shd w:val="clear" w:color="000000" w:fill="3C7D22"/>
            <w:noWrap/>
            <w:tcMar>
              <w:top w:w="15" w:type="dxa"/>
              <w:left w:w="15" w:type="dxa"/>
              <w:bottom w:w="0" w:type="dxa"/>
              <w:right w:w="15" w:type="dxa"/>
            </w:tcMar>
            <w:vAlign w:val="bottom"/>
            <w:hideMark/>
          </w:tcPr>
          <w:p w14:paraId="59F69B30" w14:textId="77777777" w:rsidR="004C229F" w:rsidRPr="00C72921" w:rsidRDefault="004C229F">
            <w:pPr>
              <w:spacing w:after="0" w:line="240" w:lineRule="auto"/>
              <w:jc w:val="center"/>
              <w:rPr>
                <w:rFonts w:ascii="Aptos Narrow" w:hAnsi="Aptos Narrow"/>
                <w:b/>
                <w:bCs/>
                <w:noProof/>
                <w:color w:val="FFFFFF"/>
                <w:sz w:val="18"/>
                <w:szCs w:val="16"/>
              </w:rPr>
            </w:pPr>
            <w:r w:rsidRPr="00C72921">
              <w:rPr>
                <w:rFonts w:ascii="Aptos Narrow" w:hAnsi="Aptos Narrow"/>
                <w:b/>
                <w:bCs/>
                <w:noProof/>
                <w:color w:val="FFFFFF"/>
                <w:sz w:val="18"/>
                <w:szCs w:val="16"/>
              </w:rPr>
              <w:t>Budgetary sector</w:t>
            </w:r>
          </w:p>
        </w:tc>
        <w:tc>
          <w:tcPr>
            <w:tcW w:w="1074" w:type="dxa"/>
            <w:tcBorders>
              <w:top w:val="single" w:sz="4" w:space="0" w:color="auto"/>
              <w:left w:val="nil"/>
              <w:bottom w:val="nil"/>
              <w:right w:val="single" w:sz="4" w:space="0" w:color="auto"/>
            </w:tcBorders>
            <w:shd w:val="clear" w:color="000000" w:fill="3C7D22"/>
            <w:noWrap/>
            <w:tcMar>
              <w:top w:w="15" w:type="dxa"/>
              <w:left w:w="15" w:type="dxa"/>
              <w:bottom w:w="0" w:type="dxa"/>
              <w:right w:w="15" w:type="dxa"/>
            </w:tcMar>
            <w:vAlign w:val="bottom"/>
            <w:hideMark/>
          </w:tcPr>
          <w:p w14:paraId="64AC727A" w14:textId="77777777" w:rsidR="004C229F" w:rsidRPr="00C72921" w:rsidRDefault="004C229F">
            <w:pPr>
              <w:jc w:val="left"/>
              <w:rPr>
                <w:rFonts w:ascii="Aptos Narrow" w:hAnsi="Aptos Narrow"/>
                <w:b/>
                <w:bCs/>
                <w:noProof/>
                <w:color w:val="FFFFFF"/>
                <w:sz w:val="18"/>
                <w:szCs w:val="16"/>
              </w:rPr>
            </w:pPr>
            <w:r w:rsidRPr="00C72921">
              <w:rPr>
                <w:rFonts w:ascii="Aptos Narrow" w:hAnsi="Aptos Narrow"/>
                <w:b/>
                <w:bCs/>
                <w:noProof/>
                <w:color w:val="FFFFFF"/>
                <w:sz w:val="18"/>
                <w:szCs w:val="16"/>
              </w:rPr>
              <w:t>Reference period</w:t>
            </w:r>
          </w:p>
        </w:tc>
        <w:tc>
          <w:tcPr>
            <w:tcW w:w="2895" w:type="dxa"/>
            <w:gridSpan w:val="4"/>
            <w:tcBorders>
              <w:top w:val="single" w:sz="4" w:space="0" w:color="auto"/>
              <w:left w:val="nil"/>
              <w:bottom w:val="single" w:sz="4" w:space="0" w:color="auto"/>
              <w:right w:val="single" w:sz="4" w:space="0" w:color="auto"/>
            </w:tcBorders>
            <w:shd w:val="clear" w:color="000000" w:fill="3C7D22"/>
            <w:noWrap/>
            <w:tcMar>
              <w:top w:w="15" w:type="dxa"/>
              <w:left w:w="15" w:type="dxa"/>
              <w:bottom w:w="0" w:type="dxa"/>
              <w:right w:w="15" w:type="dxa"/>
            </w:tcMar>
            <w:vAlign w:val="bottom"/>
            <w:hideMark/>
          </w:tcPr>
          <w:p w14:paraId="46B09DB1" w14:textId="77777777"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Fraudulent irregularities</w:t>
            </w:r>
          </w:p>
        </w:tc>
        <w:tc>
          <w:tcPr>
            <w:tcW w:w="2693" w:type="dxa"/>
            <w:gridSpan w:val="4"/>
            <w:tcBorders>
              <w:top w:val="single" w:sz="4" w:space="0" w:color="auto"/>
              <w:left w:val="nil"/>
              <w:bottom w:val="single" w:sz="4" w:space="0" w:color="auto"/>
              <w:right w:val="single" w:sz="4" w:space="0" w:color="auto"/>
            </w:tcBorders>
            <w:shd w:val="clear" w:color="000000" w:fill="3C7D22"/>
            <w:noWrap/>
            <w:tcMar>
              <w:top w:w="15" w:type="dxa"/>
              <w:left w:w="15" w:type="dxa"/>
              <w:bottom w:w="0" w:type="dxa"/>
              <w:right w:w="15" w:type="dxa"/>
            </w:tcMar>
            <w:vAlign w:val="bottom"/>
            <w:hideMark/>
          </w:tcPr>
          <w:p w14:paraId="009E744F" w14:textId="77777777"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Non-fraudulent irregularities</w:t>
            </w:r>
          </w:p>
        </w:tc>
      </w:tr>
      <w:tr w:rsidR="00290996" w:rsidRPr="00465B9A" w14:paraId="4D44DA63" w14:textId="77777777" w:rsidTr="00C72921">
        <w:trPr>
          <w:trHeight w:val="432"/>
        </w:trPr>
        <w:tc>
          <w:tcPr>
            <w:tcW w:w="1980" w:type="dxa"/>
            <w:vMerge/>
            <w:tcBorders>
              <w:top w:val="single" w:sz="4" w:space="0" w:color="auto"/>
              <w:left w:val="single" w:sz="4" w:space="0" w:color="auto"/>
              <w:bottom w:val="nil"/>
              <w:right w:val="single" w:sz="4" w:space="0" w:color="auto"/>
            </w:tcBorders>
            <w:vAlign w:val="center"/>
            <w:hideMark/>
          </w:tcPr>
          <w:p w14:paraId="1AAC4FDA" w14:textId="77777777" w:rsidR="004C229F" w:rsidRPr="00C72921" w:rsidRDefault="004C229F">
            <w:pPr>
              <w:rPr>
                <w:rFonts w:ascii="Aptos Narrow" w:hAnsi="Aptos Narrow"/>
                <w:b/>
                <w:bCs/>
                <w:noProof/>
                <w:color w:val="FFFFFF"/>
                <w:sz w:val="18"/>
                <w:szCs w:val="16"/>
              </w:rPr>
            </w:pPr>
          </w:p>
        </w:tc>
        <w:tc>
          <w:tcPr>
            <w:tcW w:w="1074"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5F8022FA" w14:textId="77777777"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Years</w:t>
            </w:r>
          </w:p>
        </w:tc>
        <w:tc>
          <w:tcPr>
            <w:tcW w:w="509"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51CAC748" w14:textId="77777777"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N</w:t>
            </w:r>
          </w:p>
        </w:tc>
        <w:tc>
          <w:tcPr>
            <w:tcW w:w="702"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77D9409A" w14:textId="77777777" w:rsidR="00643F9D" w:rsidRPr="00C72921" w:rsidRDefault="004C229F" w:rsidP="00643F9D">
            <w:pPr>
              <w:spacing w:after="0"/>
              <w:jc w:val="center"/>
              <w:rPr>
                <w:rFonts w:ascii="Aptos Narrow" w:hAnsi="Aptos Narrow"/>
                <w:b/>
                <w:bCs/>
                <w:noProof/>
                <w:color w:val="FFFFFF"/>
                <w:sz w:val="18"/>
                <w:szCs w:val="16"/>
              </w:rPr>
            </w:pPr>
            <w:r w:rsidRPr="00C72921">
              <w:rPr>
                <w:rFonts w:ascii="Aptos Narrow" w:hAnsi="Aptos Narrow"/>
                <w:b/>
                <w:bCs/>
                <w:noProof/>
                <w:color w:val="FFFFFF"/>
                <w:sz w:val="18"/>
                <w:szCs w:val="16"/>
              </w:rPr>
              <w:t xml:space="preserve">% of </w:t>
            </w:r>
          </w:p>
          <w:p w14:paraId="6B4BF5A9" w14:textId="68ED6F71"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total</w:t>
            </w:r>
          </w:p>
        </w:tc>
        <w:tc>
          <w:tcPr>
            <w:tcW w:w="975"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0CE318D0" w14:textId="77777777" w:rsidR="004C229F" w:rsidRPr="00C72921" w:rsidRDefault="004C229F" w:rsidP="004C229F">
            <w:pPr>
              <w:spacing w:after="0"/>
              <w:jc w:val="center"/>
              <w:rPr>
                <w:rFonts w:ascii="Aptos Narrow" w:hAnsi="Aptos Narrow"/>
                <w:b/>
                <w:bCs/>
                <w:noProof/>
                <w:color w:val="FFFFFF"/>
                <w:sz w:val="18"/>
                <w:szCs w:val="16"/>
              </w:rPr>
            </w:pPr>
            <w:r w:rsidRPr="00C72921">
              <w:rPr>
                <w:rFonts w:ascii="Aptos Narrow" w:hAnsi="Aptos Narrow"/>
                <w:b/>
                <w:bCs/>
                <w:noProof/>
                <w:color w:val="FFFFFF"/>
                <w:sz w:val="18"/>
                <w:szCs w:val="16"/>
              </w:rPr>
              <w:t xml:space="preserve">EUR </w:t>
            </w:r>
          </w:p>
          <w:p w14:paraId="5C1C52CC" w14:textId="73793B41"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(million)</w:t>
            </w:r>
          </w:p>
        </w:tc>
        <w:tc>
          <w:tcPr>
            <w:tcW w:w="709"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73A04E0D" w14:textId="77777777" w:rsidR="00643F9D" w:rsidRPr="00C72921" w:rsidRDefault="004C229F" w:rsidP="00643F9D">
            <w:pPr>
              <w:spacing w:after="0"/>
              <w:jc w:val="center"/>
              <w:rPr>
                <w:rFonts w:ascii="Aptos Narrow" w:hAnsi="Aptos Narrow"/>
                <w:b/>
                <w:bCs/>
                <w:noProof/>
                <w:color w:val="FFFFFF"/>
                <w:sz w:val="18"/>
                <w:szCs w:val="16"/>
              </w:rPr>
            </w:pPr>
            <w:r w:rsidRPr="00C72921">
              <w:rPr>
                <w:rFonts w:ascii="Aptos Narrow" w:hAnsi="Aptos Narrow"/>
                <w:b/>
                <w:bCs/>
                <w:noProof/>
                <w:color w:val="FFFFFF"/>
                <w:sz w:val="18"/>
                <w:szCs w:val="16"/>
              </w:rPr>
              <w:t xml:space="preserve">% of </w:t>
            </w:r>
          </w:p>
          <w:p w14:paraId="45A1466F" w14:textId="63A2B255"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total</w:t>
            </w:r>
          </w:p>
        </w:tc>
        <w:tc>
          <w:tcPr>
            <w:tcW w:w="618"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5717E07F" w14:textId="77777777"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N</w:t>
            </w:r>
          </w:p>
        </w:tc>
        <w:tc>
          <w:tcPr>
            <w:tcW w:w="584"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38FE97C0" w14:textId="77777777" w:rsidR="00643F9D" w:rsidRPr="00C72921" w:rsidRDefault="004C229F" w:rsidP="00643F9D">
            <w:pPr>
              <w:spacing w:after="0"/>
              <w:jc w:val="center"/>
              <w:rPr>
                <w:rFonts w:ascii="Aptos Narrow" w:hAnsi="Aptos Narrow"/>
                <w:b/>
                <w:bCs/>
                <w:noProof/>
                <w:color w:val="FFFFFF"/>
                <w:sz w:val="18"/>
                <w:szCs w:val="16"/>
              </w:rPr>
            </w:pPr>
            <w:r w:rsidRPr="00C72921">
              <w:rPr>
                <w:rFonts w:ascii="Aptos Narrow" w:hAnsi="Aptos Narrow"/>
                <w:b/>
                <w:bCs/>
                <w:noProof/>
                <w:color w:val="FFFFFF"/>
                <w:sz w:val="18"/>
                <w:szCs w:val="16"/>
              </w:rPr>
              <w:t xml:space="preserve">% of </w:t>
            </w:r>
          </w:p>
          <w:p w14:paraId="4A0C4F9D" w14:textId="6EA131C0"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total</w:t>
            </w:r>
          </w:p>
        </w:tc>
        <w:tc>
          <w:tcPr>
            <w:tcW w:w="924"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608D3B3E" w14:textId="77777777" w:rsidR="00643F9D" w:rsidRPr="00C72921" w:rsidRDefault="004C229F" w:rsidP="00643F9D">
            <w:pPr>
              <w:spacing w:after="0"/>
              <w:jc w:val="center"/>
              <w:rPr>
                <w:rFonts w:ascii="Aptos Narrow" w:hAnsi="Aptos Narrow"/>
                <w:b/>
                <w:bCs/>
                <w:noProof/>
                <w:color w:val="FFFFFF"/>
                <w:sz w:val="18"/>
                <w:szCs w:val="16"/>
              </w:rPr>
            </w:pPr>
            <w:r w:rsidRPr="00C72921">
              <w:rPr>
                <w:rFonts w:ascii="Aptos Narrow" w:hAnsi="Aptos Narrow"/>
                <w:b/>
                <w:bCs/>
                <w:noProof/>
                <w:color w:val="FFFFFF"/>
                <w:sz w:val="18"/>
                <w:szCs w:val="16"/>
              </w:rPr>
              <w:t xml:space="preserve">EUR </w:t>
            </w:r>
          </w:p>
          <w:p w14:paraId="55570DF4" w14:textId="3693D633"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(million)</w:t>
            </w:r>
          </w:p>
        </w:tc>
        <w:tc>
          <w:tcPr>
            <w:tcW w:w="567" w:type="dxa"/>
            <w:tcBorders>
              <w:top w:val="nil"/>
              <w:left w:val="nil"/>
              <w:bottom w:val="nil"/>
              <w:right w:val="single" w:sz="4" w:space="0" w:color="auto"/>
            </w:tcBorders>
            <w:shd w:val="clear" w:color="000000" w:fill="3C7D22"/>
            <w:noWrap/>
            <w:tcMar>
              <w:top w:w="15" w:type="dxa"/>
              <w:left w:w="15" w:type="dxa"/>
              <w:bottom w:w="0" w:type="dxa"/>
              <w:right w:w="15" w:type="dxa"/>
            </w:tcMar>
            <w:vAlign w:val="bottom"/>
            <w:hideMark/>
          </w:tcPr>
          <w:p w14:paraId="1729E9D1" w14:textId="77777777" w:rsidR="00643F9D" w:rsidRPr="00C72921" w:rsidRDefault="004C229F" w:rsidP="00643F9D">
            <w:pPr>
              <w:spacing w:after="0"/>
              <w:jc w:val="center"/>
              <w:rPr>
                <w:rFonts w:ascii="Aptos Narrow" w:hAnsi="Aptos Narrow"/>
                <w:b/>
                <w:bCs/>
                <w:noProof/>
                <w:color w:val="FFFFFF"/>
                <w:sz w:val="18"/>
                <w:szCs w:val="16"/>
              </w:rPr>
            </w:pPr>
            <w:r w:rsidRPr="00C72921">
              <w:rPr>
                <w:rFonts w:ascii="Aptos Narrow" w:hAnsi="Aptos Narrow"/>
                <w:b/>
                <w:bCs/>
                <w:noProof/>
                <w:color w:val="FFFFFF"/>
                <w:sz w:val="18"/>
                <w:szCs w:val="16"/>
              </w:rPr>
              <w:t xml:space="preserve">% of </w:t>
            </w:r>
          </w:p>
          <w:p w14:paraId="07BF3444" w14:textId="479AC2A4" w:rsidR="004C229F" w:rsidRPr="00C72921" w:rsidRDefault="004C229F">
            <w:pPr>
              <w:jc w:val="center"/>
              <w:rPr>
                <w:rFonts w:ascii="Aptos Narrow" w:hAnsi="Aptos Narrow"/>
                <w:b/>
                <w:bCs/>
                <w:noProof/>
                <w:color w:val="FFFFFF"/>
                <w:sz w:val="18"/>
                <w:szCs w:val="16"/>
              </w:rPr>
            </w:pPr>
            <w:r w:rsidRPr="00C72921">
              <w:rPr>
                <w:rFonts w:ascii="Aptos Narrow" w:hAnsi="Aptos Narrow"/>
                <w:b/>
                <w:bCs/>
                <w:noProof/>
                <w:color w:val="FFFFFF"/>
                <w:sz w:val="18"/>
                <w:szCs w:val="16"/>
              </w:rPr>
              <w:t>total</w:t>
            </w:r>
          </w:p>
        </w:tc>
      </w:tr>
      <w:tr w:rsidR="00290996" w:rsidRPr="00C72921" w14:paraId="23113C19" w14:textId="77777777" w:rsidTr="00C72921">
        <w:trPr>
          <w:trHeight w:val="432"/>
        </w:trPr>
        <w:tc>
          <w:tcPr>
            <w:tcW w:w="1980" w:type="dxa"/>
            <w:tcBorders>
              <w:top w:val="single" w:sz="4" w:space="0" w:color="auto"/>
              <w:left w:val="single" w:sz="4" w:space="0" w:color="auto"/>
              <w:bottom w:val="nil"/>
              <w:right w:val="nil"/>
            </w:tcBorders>
            <w:shd w:val="clear" w:color="000000" w:fill="8ED973"/>
            <w:noWrap/>
            <w:tcMar>
              <w:top w:w="15" w:type="dxa"/>
              <w:left w:w="15" w:type="dxa"/>
              <w:bottom w:w="0" w:type="dxa"/>
              <w:right w:w="15" w:type="dxa"/>
            </w:tcMar>
            <w:vAlign w:val="bottom"/>
            <w:hideMark/>
          </w:tcPr>
          <w:p w14:paraId="657ADEF4" w14:textId="77777777" w:rsidR="004C229F" w:rsidRPr="00C72921" w:rsidRDefault="004C229F">
            <w:pPr>
              <w:jc w:val="left"/>
              <w:rPr>
                <w:rFonts w:ascii="Aptos Narrow" w:hAnsi="Aptos Narrow"/>
                <w:b/>
                <w:bCs/>
                <w:noProof/>
                <w:color w:val="000000"/>
                <w:sz w:val="18"/>
                <w:szCs w:val="16"/>
              </w:rPr>
            </w:pPr>
            <w:r w:rsidRPr="00C72921">
              <w:rPr>
                <w:rFonts w:ascii="Aptos Narrow" w:hAnsi="Aptos Narrow"/>
                <w:b/>
                <w:bCs/>
                <w:noProof/>
                <w:color w:val="000000"/>
                <w:sz w:val="18"/>
                <w:szCs w:val="16"/>
              </w:rPr>
              <w:t>Agriculture</w:t>
            </w:r>
          </w:p>
        </w:tc>
        <w:tc>
          <w:tcPr>
            <w:tcW w:w="1074" w:type="dxa"/>
            <w:tcBorders>
              <w:top w:val="single" w:sz="4" w:space="0" w:color="auto"/>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35C8326C"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509" w:type="dxa"/>
            <w:tcBorders>
              <w:top w:val="single" w:sz="4" w:space="0" w:color="auto"/>
              <w:left w:val="nil"/>
              <w:bottom w:val="nil"/>
              <w:right w:val="single" w:sz="4" w:space="0" w:color="auto"/>
            </w:tcBorders>
            <w:shd w:val="clear" w:color="000000" w:fill="8ED973"/>
            <w:noWrap/>
            <w:tcMar>
              <w:top w:w="15" w:type="dxa"/>
              <w:left w:w="15" w:type="dxa"/>
              <w:bottom w:w="0" w:type="dxa"/>
              <w:right w:w="15" w:type="dxa"/>
            </w:tcMar>
            <w:vAlign w:val="bottom"/>
            <w:hideMark/>
          </w:tcPr>
          <w:p w14:paraId="5C4335C5"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c>
          <w:tcPr>
            <w:tcW w:w="702" w:type="dxa"/>
            <w:tcBorders>
              <w:top w:val="single" w:sz="4" w:space="0" w:color="auto"/>
              <w:left w:val="nil"/>
              <w:bottom w:val="nil"/>
              <w:right w:val="nil"/>
            </w:tcBorders>
            <w:shd w:val="clear" w:color="000000" w:fill="8ED973"/>
            <w:noWrap/>
            <w:tcMar>
              <w:top w:w="15" w:type="dxa"/>
              <w:left w:w="15" w:type="dxa"/>
              <w:bottom w:w="0" w:type="dxa"/>
              <w:right w:w="15" w:type="dxa"/>
            </w:tcMar>
            <w:vAlign w:val="bottom"/>
            <w:hideMark/>
          </w:tcPr>
          <w:p w14:paraId="1972ACEC"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c>
          <w:tcPr>
            <w:tcW w:w="975" w:type="dxa"/>
            <w:tcBorders>
              <w:top w:val="single" w:sz="4" w:space="0" w:color="auto"/>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5F6091DB"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c>
          <w:tcPr>
            <w:tcW w:w="709" w:type="dxa"/>
            <w:tcBorders>
              <w:top w:val="single" w:sz="4" w:space="0" w:color="auto"/>
              <w:left w:val="nil"/>
              <w:bottom w:val="nil"/>
              <w:right w:val="nil"/>
            </w:tcBorders>
            <w:shd w:val="clear" w:color="000000" w:fill="8ED973"/>
            <w:noWrap/>
            <w:tcMar>
              <w:top w:w="15" w:type="dxa"/>
              <w:left w:w="15" w:type="dxa"/>
              <w:bottom w:w="0" w:type="dxa"/>
              <w:right w:w="15" w:type="dxa"/>
            </w:tcMar>
            <w:vAlign w:val="bottom"/>
            <w:hideMark/>
          </w:tcPr>
          <w:p w14:paraId="16C85A46"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c>
          <w:tcPr>
            <w:tcW w:w="618" w:type="dxa"/>
            <w:tcBorders>
              <w:top w:val="single" w:sz="4" w:space="0" w:color="auto"/>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1F3BEF7F"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c>
          <w:tcPr>
            <w:tcW w:w="584" w:type="dxa"/>
            <w:tcBorders>
              <w:top w:val="single" w:sz="4" w:space="0" w:color="auto"/>
              <w:left w:val="nil"/>
              <w:bottom w:val="nil"/>
              <w:right w:val="nil"/>
            </w:tcBorders>
            <w:shd w:val="clear" w:color="000000" w:fill="8ED973"/>
            <w:noWrap/>
            <w:tcMar>
              <w:top w:w="15" w:type="dxa"/>
              <w:left w:w="15" w:type="dxa"/>
              <w:bottom w:w="0" w:type="dxa"/>
              <w:right w:w="15" w:type="dxa"/>
            </w:tcMar>
            <w:vAlign w:val="bottom"/>
            <w:hideMark/>
          </w:tcPr>
          <w:p w14:paraId="595F9A3A"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c>
          <w:tcPr>
            <w:tcW w:w="924" w:type="dxa"/>
            <w:tcBorders>
              <w:top w:val="single" w:sz="4" w:space="0" w:color="auto"/>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43AC7AA9"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c>
          <w:tcPr>
            <w:tcW w:w="567" w:type="dxa"/>
            <w:tcBorders>
              <w:top w:val="single" w:sz="4" w:space="0" w:color="auto"/>
              <w:left w:val="nil"/>
              <w:bottom w:val="nil"/>
              <w:right w:val="single" w:sz="4" w:space="0" w:color="auto"/>
            </w:tcBorders>
            <w:shd w:val="clear" w:color="000000" w:fill="8ED973"/>
            <w:noWrap/>
            <w:tcMar>
              <w:top w:w="15" w:type="dxa"/>
              <w:left w:w="15" w:type="dxa"/>
              <w:bottom w:w="0" w:type="dxa"/>
              <w:right w:w="15" w:type="dxa"/>
            </w:tcMar>
            <w:vAlign w:val="bottom"/>
            <w:hideMark/>
          </w:tcPr>
          <w:p w14:paraId="4AEA8C32" w14:textId="77777777" w:rsidR="004C229F" w:rsidRPr="00C72921" w:rsidRDefault="004C229F">
            <w:pPr>
              <w:jc w:val="center"/>
              <w:rPr>
                <w:rFonts w:ascii="Aptos Narrow" w:hAnsi="Aptos Narrow"/>
                <w:b/>
                <w:bCs/>
                <w:noProof/>
                <w:color w:val="000000"/>
                <w:sz w:val="18"/>
                <w:szCs w:val="16"/>
              </w:rPr>
            </w:pPr>
            <w:r w:rsidRPr="00C72921">
              <w:rPr>
                <w:rFonts w:ascii="Aptos Narrow" w:hAnsi="Aptos Narrow"/>
                <w:b/>
                <w:bCs/>
                <w:noProof/>
                <w:color w:val="000000"/>
                <w:sz w:val="18"/>
                <w:szCs w:val="16"/>
              </w:rPr>
              <w:t> </w:t>
            </w:r>
          </w:p>
        </w:tc>
      </w:tr>
      <w:tr w:rsidR="00290996" w:rsidRPr="00C72921" w14:paraId="00C46881" w14:textId="77777777" w:rsidTr="00C72921">
        <w:trPr>
          <w:trHeight w:val="432"/>
        </w:trPr>
        <w:tc>
          <w:tcPr>
            <w:tcW w:w="1980" w:type="dxa"/>
            <w:vMerge w:val="restart"/>
            <w:tcBorders>
              <w:top w:val="nil"/>
              <w:left w:val="single" w:sz="4" w:space="0" w:color="auto"/>
              <w:bottom w:val="nil"/>
              <w:right w:val="nil"/>
            </w:tcBorders>
            <w:shd w:val="clear" w:color="000000" w:fill="B5E6A2"/>
            <w:noWrap/>
            <w:tcMar>
              <w:top w:w="15" w:type="dxa"/>
              <w:left w:w="15" w:type="dxa"/>
              <w:bottom w:w="0" w:type="dxa"/>
              <w:right w:w="15" w:type="dxa"/>
            </w:tcMar>
            <w:vAlign w:val="center"/>
            <w:hideMark/>
          </w:tcPr>
          <w:p w14:paraId="673B4E11" w14:textId="77777777" w:rsidR="004C229F" w:rsidRPr="00C72921" w:rsidRDefault="004C229F">
            <w:pPr>
              <w:jc w:val="center"/>
              <w:rPr>
                <w:rFonts w:ascii="Aptos Narrow" w:hAnsi="Aptos Narrow"/>
                <w:noProof/>
                <w:color w:val="000000"/>
                <w:sz w:val="18"/>
                <w:szCs w:val="16"/>
              </w:rPr>
            </w:pPr>
            <w:r w:rsidRPr="00C72921">
              <w:rPr>
                <w:rFonts w:ascii="Aptos Narrow" w:hAnsi="Aptos Narrow"/>
                <w:noProof/>
                <w:color w:val="000000"/>
                <w:sz w:val="18"/>
                <w:szCs w:val="16"/>
              </w:rPr>
              <w:t>Rural development</w:t>
            </w:r>
          </w:p>
        </w:tc>
        <w:tc>
          <w:tcPr>
            <w:tcW w:w="107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692ECAD9" w14:textId="77777777" w:rsidR="004C229F" w:rsidRPr="00C72921" w:rsidRDefault="004C229F">
            <w:pPr>
              <w:jc w:val="left"/>
              <w:rPr>
                <w:rFonts w:ascii="Aptos Narrow" w:hAnsi="Aptos Narrow"/>
                <w:noProof/>
                <w:color w:val="000000"/>
                <w:sz w:val="18"/>
                <w:szCs w:val="16"/>
              </w:rPr>
            </w:pPr>
            <w:r w:rsidRPr="00C72921">
              <w:rPr>
                <w:rFonts w:ascii="Aptos Narrow" w:hAnsi="Aptos Narrow"/>
                <w:noProof/>
                <w:color w:val="000000"/>
                <w:sz w:val="18"/>
                <w:szCs w:val="16"/>
              </w:rPr>
              <w:t>2016-20</w:t>
            </w:r>
          </w:p>
        </w:tc>
        <w:tc>
          <w:tcPr>
            <w:tcW w:w="509"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4328DD85"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151</w:t>
            </w:r>
          </w:p>
        </w:tc>
        <w:tc>
          <w:tcPr>
            <w:tcW w:w="702"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11C7065E"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24.6%</w:t>
            </w:r>
          </w:p>
        </w:tc>
        <w:tc>
          <w:tcPr>
            <w:tcW w:w="975"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1B4C0FD4"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18.0</w:t>
            </w:r>
          </w:p>
        </w:tc>
        <w:tc>
          <w:tcPr>
            <w:tcW w:w="709"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5007FD06"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17.2%</w:t>
            </w:r>
          </w:p>
        </w:tc>
        <w:tc>
          <w:tcPr>
            <w:tcW w:w="618"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5D82B42E"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538</w:t>
            </w:r>
          </w:p>
        </w:tc>
        <w:tc>
          <w:tcPr>
            <w:tcW w:w="584"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7A474337"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6.0%</w:t>
            </w:r>
          </w:p>
        </w:tc>
        <w:tc>
          <w:tcPr>
            <w:tcW w:w="92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1AEA9483"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21.3</w:t>
            </w:r>
          </w:p>
        </w:tc>
        <w:tc>
          <w:tcPr>
            <w:tcW w:w="567"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34501F10"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4.6%</w:t>
            </w:r>
          </w:p>
        </w:tc>
      </w:tr>
      <w:tr w:rsidR="00290996" w:rsidRPr="00465B9A" w14:paraId="7DC3DC1C" w14:textId="77777777" w:rsidTr="00C72921">
        <w:trPr>
          <w:trHeight w:val="432"/>
        </w:trPr>
        <w:tc>
          <w:tcPr>
            <w:tcW w:w="1980" w:type="dxa"/>
            <w:vMerge/>
            <w:tcBorders>
              <w:top w:val="nil"/>
              <w:left w:val="single" w:sz="4" w:space="0" w:color="auto"/>
              <w:bottom w:val="nil"/>
              <w:right w:val="nil"/>
            </w:tcBorders>
            <w:vAlign w:val="center"/>
            <w:hideMark/>
          </w:tcPr>
          <w:p w14:paraId="09E9DF7A" w14:textId="77777777" w:rsidR="004C229F" w:rsidRPr="00DE241B" w:rsidRDefault="004C229F">
            <w:pPr>
              <w:rPr>
                <w:rFonts w:ascii="Aptos Narrow" w:hAnsi="Aptos Narrow"/>
                <w:noProof/>
                <w:color w:val="000000"/>
                <w:sz w:val="18"/>
                <w:szCs w:val="16"/>
              </w:rPr>
            </w:pPr>
          </w:p>
        </w:tc>
        <w:tc>
          <w:tcPr>
            <w:tcW w:w="107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6C2F1127" w14:textId="77777777" w:rsidR="004C229F" w:rsidRPr="00DE241B" w:rsidRDefault="004C229F">
            <w:pPr>
              <w:jc w:val="left"/>
              <w:rPr>
                <w:rFonts w:ascii="Aptos Narrow" w:hAnsi="Aptos Narrow"/>
                <w:noProof/>
                <w:color w:val="000000"/>
                <w:sz w:val="18"/>
                <w:szCs w:val="16"/>
              </w:rPr>
            </w:pPr>
            <w:r w:rsidRPr="00DE241B">
              <w:rPr>
                <w:rFonts w:ascii="Aptos Narrow" w:hAnsi="Aptos Narrow"/>
                <w:noProof/>
                <w:color w:val="000000"/>
                <w:sz w:val="18"/>
                <w:szCs w:val="16"/>
              </w:rPr>
              <w:t>2021-25</w:t>
            </w:r>
          </w:p>
        </w:tc>
        <w:tc>
          <w:tcPr>
            <w:tcW w:w="509"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64B1F599"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255</w:t>
            </w:r>
          </w:p>
        </w:tc>
        <w:tc>
          <w:tcPr>
            <w:tcW w:w="702"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1A27CA86"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31.2%</w:t>
            </w:r>
          </w:p>
        </w:tc>
        <w:tc>
          <w:tcPr>
            <w:tcW w:w="975"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0391254A"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22.4</w:t>
            </w:r>
          </w:p>
        </w:tc>
        <w:tc>
          <w:tcPr>
            <w:tcW w:w="709"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72503A9B"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25.1%</w:t>
            </w:r>
          </w:p>
        </w:tc>
        <w:tc>
          <w:tcPr>
            <w:tcW w:w="618"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0AE54B64" w14:textId="2D1D9272" w:rsidR="004C229F" w:rsidRPr="00C72921"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w:t>
            </w:r>
            <w:r w:rsidR="00290996">
              <w:rPr>
                <w:rFonts w:ascii="Aptos Narrow" w:hAnsi="Aptos Narrow"/>
                <w:noProof/>
                <w:color w:val="000000"/>
                <w:sz w:val="18"/>
                <w:szCs w:val="16"/>
              </w:rPr>
              <w:t> </w:t>
            </w:r>
            <w:r w:rsidRPr="00C72921">
              <w:rPr>
                <w:rFonts w:ascii="Aptos Narrow" w:hAnsi="Aptos Narrow"/>
                <w:noProof/>
                <w:color w:val="000000"/>
                <w:sz w:val="18"/>
                <w:szCs w:val="16"/>
              </w:rPr>
              <w:t>202</w:t>
            </w:r>
          </w:p>
        </w:tc>
        <w:tc>
          <w:tcPr>
            <w:tcW w:w="584"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1989F134"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9.0%</w:t>
            </w:r>
          </w:p>
        </w:tc>
        <w:tc>
          <w:tcPr>
            <w:tcW w:w="92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5BF7225E"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30.8</w:t>
            </w:r>
          </w:p>
        </w:tc>
        <w:tc>
          <w:tcPr>
            <w:tcW w:w="567"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32EE5F1E"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4.8%</w:t>
            </w:r>
          </w:p>
        </w:tc>
      </w:tr>
      <w:tr w:rsidR="00290996" w:rsidRPr="00C72921" w14:paraId="1A15C994" w14:textId="77777777" w:rsidTr="00C72921">
        <w:trPr>
          <w:trHeight w:val="432"/>
        </w:trPr>
        <w:tc>
          <w:tcPr>
            <w:tcW w:w="1980" w:type="dxa"/>
            <w:vMerge w:val="restart"/>
            <w:tcBorders>
              <w:top w:val="nil"/>
              <w:left w:val="single" w:sz="4" w:space="0" w:color="auto"/>
              <w:bottom w:val="single" w:sz="4" w:space="0" w:color="000000"/>
              <w:right w:val="nil"/>
            </w:tcBorders>
            <w:shd w:val="clear" w:color="000000" w:fill="DAF2D0"/>
            <w:noWrap/>
            <w:tcMar>
              <w:top w:w="15" w:type="dxa"/>
              <w:left w:w="15" w:type="dxa"/>
              <w:bottom w:w="0" w:type="dxa"/>
              <w:right w:w="15" w:type="dxa"/>
            </w:tcMar>
            <w:vAlign w:val="center"/>
            <w:hideMark/>
          </w:tcPr>
          <w:p w14:paraId="5DE012AF" w14:textId="77777777" w:rsidR="004C229F" w:rsidRPr="00C72921" w:rsidRDefault="004C229F">
            <w:pPr>
              <w:jc w:val="center"/>
              <w:rPr>
                <w:rFonts w:ascii="Aptos Narrow" w:hAnsi="Aptos Narrow"/>
                <w:noProof/>
                <w:color w:val="000000"/>
                <w:sz w:val="18"/>
                <w:szCs w:val="16"/>
              </w:rPr>
            </w:pPr>
            <w:r w:rsidRPr="00C72921">
              <w:rPr>
                <w:rFonts w:ascii="Aptos Narrow" w:hAnsi="Aptos Narrow"/>
                <w:noProof/>
                <w:color w:val="000000"/>
                <w:sz w:val="18"/>
                <w:szCs w:val="16"/>
              </w:rPr>
              <w:t>Support to agriculture</w:t>
            </w:r>
          </w:p>
        </w:tc>
        <w:tc>
          <w:tcPr>
            <w:tcW w:w="1074" w:type="dxa"/>
            <w:tcBorders>
              <w:top w:val="nil"/>
              <w:left w:val="single" w:sz="4" w:space="0" w:color="auto"/>
              <w:bottom w:val="nil"/>
              <w:right w:val="single" w:sz="4" w:space="0" w:color="auto"/>
            </w:tcBorders>
            <w:shd w:val="clear" w:color="000000" w:fill="DAF2D0"/>
            <w:noWrap/>
            <w:tcMar>
              <w:top w:w="15" w:type="dxa"/>
              <w:left w:w="15" w:type="dxa"/>
              <w:bottom w:w="0" w:type="dxa"/>
              <w:right w:w="15" w:type="dxa"/>
            </w:tcMar>
            <w:vAlign w:val="bottom"/>
            <w:hideMark/>
          </w:tcPr>
          <w:p w14:paraId="7839AECB" w14:textId="77777777" w:rsidR="004C229F" w:rsidRPr="00C72921" w:rsidRDefault="004C229F">
            <w:pPr>
              <w:jc w:val="left"/>
              <w:rPr>
                <w:rFonts w:ascii="Aptos Narrow" w:hAnsi="Aptos Narrow"/>
                <w:noProof/>
                <w:color w:val="000000"/>
                <w:sz w:val="18"/>
                <w:szCs w:val="16"/>
              </w:rPr>
            </w:pPr>
            <w:r w:rsidRPr="00C72921">
              <w:rPr>
                <w:rFonts w:ascii="Aptos Narrow" w:hAnsi="Aptos Narrow"/>
                <w:noProof/>
                <w:color w:val="000000"/>
                <w:sz w:val="18"/>
                <w:szCs w:val="16"/>
              </w:rPr>
              <w:t>2016-20</w:t>
            </w:r>
          </w:p>
        </w:tc>
        <w:tc>
          <w:tcPr>
            <w:tcW w:w="509" w:type="dxa"/>
            <w:tcBorders>
              <w:top w:val="nil"/>
              <w:left w:val="nil"/>
              <w:bottom w:val="nil"/>
              <w:right w:val="single" w:sz="4" w:space="0" w:color="auto"/>
            </w:tcBorders>
            <w:shd w:val="clear" w:color="000000" w:fill="DAF2D0"/>
            <w:noWrap/>
            <w:tcMar>
              <w:top w:w="15" w:type="dxa"/>
              <w:left w:w="15" w:type="dxa"/>
              <w:bottom w:w="0" w:type="dxa"/>
              <w:right w:w="15" w:type="dxa"/>
            </w:tcMar>
            <w:vAlign w:val="bottom"/>
            <w:hideMark/>
          </w:tcPr>
          <w:p w14:paraId="57F39F2D"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39</w:t>
            </w:r>
          </w:p>
        </w:tc>
        <w:tc>
          <w:tcPr>
            <w:tcW w:w="702" w:type="dxa"/>
            <w:tcBorders>
              <w:top w:val="nil"/>
              <w:left w:val="nil"/>
              <w:bottom w:val="nil"/>
              <w:right w:val="nil"/>
            </w:tcBorders>
            <w:shd w:val="clear" w:color="000000" w:fill="DAF2D0"/>
            <w:noWrap/>
            <w:tcMar>
              <w:top w:w="15" w:type="dxa"/>
              <w:left w:w="15" w:type="dxa"/>
              <w:bottom w:w="0" w:type="dxa"/>
              <w:right w:w="15" w:type="dxa"/>
            </w:tcMar>
            <w:vAlign w:val="bottom"/>
            <w:hideMark/>
          </w:tcPr>
          <w:p w14:paraId="382E5DE3"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6.0%</w:t>
            </w:r>
          </w:p>
        </w:tc>
        <w:tc>
          <w:tcPr>
            <w:tcW w:w="975" w:type="dxa"/>
            <w:tcBorders>
              <w:top w:val="nil"/>
              <w:left w:val="single" w:sz="4" w:space="0" w:color="auto"/>
              <w:bottom w:val="nil"/>
              <w:right w:val="single" w:sz="4" w:space="0" w:color="auto"/>
            </w:tcBorders>
            <w:shd w:val="clear" w:color="000000" w:fill="DAF2D0"/>
            <w:noWrap/>
            <w:tcMar>
              <w:top w:w="15" w:type="dxa"/>
              <w:left w:w="15" w:type="dxa"/>
              <w:bottom w:w="0" w:type="dxa"/>
              <w:right w:w="15" w:type="dxa"/>
            </w:tcMar>
            <w:vAlign w:val="bottom"/>
            <w:hideMark/>
          </w:tcPr>
          <w:p w14:paraId="65D48D74"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1.9</w:t>
            </w:r>
          </w:p>
        </w:tc>
        <w:tc>
          <w:tcPr>
            <w:tcW w:w="709" w:type="dxa"/>
            <w:tcBorders>
              <w:top w:val="nil"/>
              <w:left w:val="nil"/>
              <w:bottom w:val="nil"/>
              <w:right w:val="nil"/>
            </w:tcBorders>
            <w:shd w:val="clear" w:color="000000" w:fill="DAF2D0"/>
            <w:noWrap/>
            <w:tcMar>
              <w:top w:w="15" w:type="dxa"/>
              <w:left w:w="15" w:type="dxa"/>
              <w:bottom w:w="0" w:type="dxa"/>
              <w:right w:w="15" w:type="dxa"/>
            </w:tcMar>
            <w:vAlign w:val="bottom"/>
            <w:hideMark/>
          </w:tcPr>
          <w:p w14:paraId="264379A1"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1.9%</w:t>
            </w:r>
          </w:p>
        </w:tc>
        <w:tc>
          <w:tcPr>
            <w:tcW w:w="618" w:type="dxa"/>
            <w:tcBorders>
              <w:top w:val="nil"/>
              <w:left w:val="single" w:sz="4" w:space="0" w:color="auto"/>
              <w:bottom w:val="nil"/>
              <w:right w:val="single" w:sz="4" w:space="0" w:color="auto"/>
            </w:tcBorders>
            <w:shd w:val="clear" w:color="000000" w:fill="DAF2D0"/>
            <w:noWrap/>
            <w:tcMar>
              <w:top w:w="15" w:type="dxa"/>
              <w:left w:w="15" w:type="dxa"/>
              <w:bottom w:w="0" w:type="dxa"/>
              <w:right w:w="15" w:type="dxa"/>
            </w:tcMar>
            <w:vAlign w:val="bottom"/>
            <w:hideMark/>
          </w:tcPr>
          <w:p w14:paraId="059DCAD7"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203</w:t>
            </w:r>
          </w:p>
        </w:tc>
        <w:tc>
          <w:tcPr>
            <w:tcW w:w="584" w:type="dxa"/>
            <w:tcBorders>
              <w:top w:val="nil"/>
              <w:left w:val="nil"/>
              <w:bottom w:val="nil"/>
              <w:right w:val="nil"/>
            </w:tcBorders>
            <w:shd w:val="clear" w:color="000000" w:fill="DAF2D0"/>
            <w:noWrap/>
            <w:tcMar>
              <w:top w:w="15" w:type="dxa"/>
              <w:left w:w="15" w:type="dxa"/>
              <w:bottom w:w="0" w:type="dxa"/>
              <w:right w:w="15" w:type="dxa"/>
            </w:tcMar>
            <w:vAlign w:val="bottom"/>
            <w:hideMark/>
          </w:tcPr>
          <w:p w14:paraId="117B5A2C"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4.6%</w:t>
            </w:r>
          </w:p>
        </w:tc>
        <w:tc>
          <w:tcPr>
            <w:tcW w:w="924" w:type="dxa"/>
            <w:tcBorders>
              <w:top w:val="nil"/>
              <w:left w:val="single" w:sz="4" w:space="0" w:color="auto"/>
              <w:bottom w:val="nil"/>
              <w:right w:val="single" w:sz="4" w:space="0" w:color="auto"/>
            </w:tcBorders>
            <w:shd w:val="clear" w:color="000000" w:fill="DAF2D0"/>
            <w:noWrap/>
            <w:tcMar>
              <w:top w:w="15" w:type="dxa"/>
              <w:left w:w="15" w:type="dxa"/>
              <w:bottom w:w="0" w:type="dxa"/>
              <w:right w:w="15" w:type="dxa"/>
            </w:tcMar>
            <w:vAlign w:val="bottom"/>
            <w:hideMark/>
          </w:tcPr>
          <w:p w14:paraId="443F0913"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4.9</w:t>
            </w:r>
          </w:p>
        </w:tc>
        <w:tc>
          <w:tcPr>
            <w:tcW w:w="567" w:type="dxa"/>
            <w:tcBorders>
              <w:top w:val="nil"/>
              <w:left w:val="nil"/>
              <w:bottom w:val="nil"/>
              <w:right w:val="single" w:sz="4" w:space="0" w:color="auto"/>
            </w:tcBorders>
            <w:shd w:val="clear" w:color="000000" w:fill="DAF2D0"/>
            <w:noWrap/>
            <w:tcMar>
              <w:top w:w="15" w:type="dxa"/>
              <w:left w:w="15" w:type="dxa"/>
              <w:bottom w:w="0" w:type="dxa"/>
              <w:right w:w="15" w:type="dxa"/>
            </w:tcMar>
            <w:vAlign w:val="bottom"/>
            <w:hideMark/>
          </w:tcPr>
          <w:p w14:paraId="414BF57E"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1.5%</w:t>
            </w:r>
          </w:p>
        </w:tc>
      </w:tr>
      <w:tr w:rsidR="00290996" w:rsidRPr="00465B9A" w14:paraId="07FBCFAC" w14:textId="77777777" w:rsidTr="00C72921">
        <w:trPr>
          <w:trHeight w:val="432"/>
        </w:trPr>
        <w:tc>
          <w:tcPr>
            <w:tcW w:w="1980" w:type="dxa"/>
            <w:vMerge/>
            <w:tcBorders>
              <w:top w:val="nil"/>
              <w:left w:val="single" w:sz="4" w:space="0" w:color="auto"/>
              <w:bottom w:val="single" w:sz="4" w:space="0" w:color="000000"/>
              <w:right w:val="nil"/>
            </w:tcBorders>
            <w:vAlign w:val="center"/>
            <w:hideMark/>
          </w:tcPr>
          <w:p w14:paraId="50E2EE55" w14:textId="77777777" w:rsidR="004C229F" w:rsidRPr="00DE241B" w:rsidRDefault="004C229F">
            <w:pPr>
              <w:rPr>
                <w:rFonts w:ascii="Aptos Narrow" w:hAnsi="Aptos Narrow"/>
                <w:noProof/>
                <w:color w:val="000000"/>
                <w:sz w:val="18"/>
                <w:szCs w:val="16"/>
              </w:rPr>
            </w:pPr>
          </w:p>
        </w:tc>
        <w:tc>
          <w:tcPr>
            <w:tcW w:w="1074"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2CDE1C3B" w14:textId="77777777" w:rsidR="004C229F" w:rsidRPr="00DE241B" w:rsidRDefault="004C229F">
            <w:pPr>
              <w:jc w:val="left"/>
              <w:rPr>
                <w:rFonts w:ascii="Aptos Narrow" w:hAnsi="Aptos Narrow"/>
                <w:noProof/>
                <w:color w:val="000000"/>
                <w:sz w:val="18"/>
                <w:szCs w:val="16"/>
              </w:rPr>
            </w:pPr>
            <w:r w:rsidRPr="00DE241B">
              <w:rPr>
                <w:rFonts w:ascii="Aptos Narrow" w:hAnsi="Aptos Narrow"/>
                <w:noProof/>
                <w:color w:val="000000"/>
                <w:sz w:val="18"/>
                <w:szCs w:val="16"/>
              </w:rPr>
              <w:t>2021-25</w:t>
            </w:r>
          </w:p>
        </w:tc>
        <w:tc>
          <w:tcPr>
            <w:tcW w:w="509" w:type="dxa"/>
            <w:tcBorders>
              <w:top w:val="nil"/>
              <w:left w:val="nil"/>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5FEDC5BE"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79</w:t>
            </w:r>
          </w:p>
        </w:tc>
        <w:tc>
          <w:tcPr>
            <w:tcW w:w="702" w:type="dxa"/>
            <w:tcBorders>
              <w:top w:val="nil"/>
              <w:left w:val="nil"/>
              <w:bottom w:val="single" w:sz="4" w:space="0" w:color="auto"/>
              <w:right w:val="nil"/>
            </w:tcBorders>
            <w:shd w:val="clear" w:color="000000" w:fill="DAF2D0"/>
            <w:noWrap/>
            <w:tcMar>
              <w:top w:w="15" w:type="dxa"/>
              <w:left w:w="15" w:type="dxa"/>
              <w:bottom w:w="0" w:type="dxa"/>
              <w:right w:w="15" w:type="dxa"/>
            </w:tcMar>
            <w:vAlign w:val="bottom"/>
            <w:hideMark/>
          </w:tcPr>
          <w:p w14:paraId="3FC800B6"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10.8%</w:t>
            </w:r>
          </w:p>
        </w:tc>
        <w:tc>
          <w:tcPr>
            <w:tcW w:w="975"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76D0152A"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2.2</w:t>
            </w:r>
          </w:p>
        </w:tc>
        <w:tc>
          <w:tcPr>
            <w:tcW w:w="709" w:type="dxa"/>
            <w:tcBorders>
              <w:top w:val="nil"/>
              <w:left w:val="nil"/>
              <w:bottom w:val="single" w:sz="4" w:space="0" w:color="auto"/>
              <w:right w:val="nil"/>
            </w:tcBorders>
            <w:shd w:val="clear" w:color="000000" w:fill="DAF2D0"/>
            <w:noWrap/>
            <w:tcMar>
              <w:top w:w="15" w:type="dxa"/>
              <w:left w:w="15" w:type="dxa"/>
              <w:bottom w:w="0" w:type="dxa"/>
              <w:right w:w="15" w:type="dxa"/>
            </w:tcMar>
            <w:vAlign w:val="bottom"/>
            <w:hideMark/>
          </w:tcPr>
          <w:p w14:paraId="27C8DE4D"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5.5%</w:t>
            </w:r>
          </w:p>
        </w:tc>
        <w:tc>
          <w:tcPr>
            <w:tcW w:w="618"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6004F521"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162</w:t>
            </w:r>
          </w:p>
        </w:tc>
        <w:tc>
          <w:tcPr>
            <w:tcW w:w="584" w:type="dxa"/>
            <w:tcBorders>
              <w:top w:val="nil"/>
              <w:left w:val="nil"/>
              <w:bottom w:val="single" w:sz="4" w:space="0" w:color="auto"/>
              <w:right w:val="nil"/>
            </w:tcBorders>
            <w:shd w:val="clear" w:color="000000" w:fill="DAF2D0"/>
            <w:noWrap/>
            <w:tcMar>
              <w:top w:w="15" w:type="dxa"/>
              <w:left w:w="15" w:type="dxa"/>
              <w:bottom w:w="0" w:type="dxa"/>
              <w:right w:w="15" w:type="dxa"/>
            </w:tcMar>
            <w:vAlign w:val="bottom"/>
            <w:hideMark/>
          </w:tcPr>
          <w:p w14:paraId="393CE5EE"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4.3%</w:t>
            </w:r>
          </w:p>
        </w:tc>
        <w:tc>
          <w:tcPr>
            <w:tcW w:w="924"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704DA75C"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4.8</w:t>
            </w:r>
          </w:p>
        </w:tc>
        <w:tc>
          <w:tcPr>
            <w:tcW w:w="567" w:type="dxa"/>
            <w:tcBorders>
              <w:top w:val="nil"/>
              <w:left w:val="nil"/>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6E1A74B2"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1.6%</w:t>
            </w:r>
          </w:p>
        </w:tc>
      </w:tr>
      <w:tr w:rsidR="00290996" w:rsidRPr="00C72921" w14:paraId="7665C9CD" w14:textId="77777777" w:rsidTr="00C72921">
        <w:trPr>
          <w:trHeight w:val="432"/>
        </w:trPr>
        <w:tc>
          <w:tcPr>
            <w:tcW w:w="1980" w:type="dxa"/>
            <w:tcBorders>
              <w:top w:val="nil"/>
              <w:left w:val="single" w:sz="4" w:space="0" w:color="auto"/>
              <w:bottom w:val="nil"/>
              <w:right w:val="nil"/>
            </w:tcBorders>
            <w:shd w:val="clear" w:color="000000" w:fill="8ED973"/>
            <w:noWrap/>
            <w:tcMar>
              <w:top w:w="15" w:type="dxa"/>
              <w:left w:w="15" w:type="dxa"/>
              <w:bottom w:w="0" w:type="dxa"/>
              <w:right w:w="15" w:type="dxa"/>
            </w:tcMar>
            <w:vAlign w:val="bottom"/>
            <w:hideMark/>
          </w:tcPr>
          <w:p w14:paraId="625AA876" w14:textId="77777777" w:rsidR="004C229F" w:rsidRPr="00C72921" w:rsidRDefault="004C229F">
            <w:pPr>
              <w:jc w:val="left"/>
              <w:rPr>
                <w:rFonts w:ascii="Aptos Narrow" w:hAnsi="Aptos Narrow"/>
                <w:b/>
                <w:bCs/>
                <w:noProof/>
                <w:color w:val="000000"/>
                <w:sz w:val="18"/>
                <w:szCs w:val="16"/>
              </w:rPr>
            </w:pPr>
            <w:r w:rsidRPr="00C72921">
              <w:rPr>
                <w:rFonts w:ascii="Aptos Narrow" w:hAnsi="Aptos Narrow"/>
                <w:b/>
                <w:bCs/>
                <w:noProof/>
                <w:color w:val="000000"/>
                <w:sz w:val="18"/>
                <w:szCs w:val="16"/>
              </w:rPr>
              <w:t>Cohesion policy</w:t>
            </w:r>
          </w:p>
        </w:tc>
        <w:tc>
          <w:tcPr>
            <w:tcW w:w="1074" w:type="dxa"/>
            <w:tcBorders>
              <w:top w:val="nil"/>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4AFDB2CC"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509" w:type="dxa"/>
            <w:tcBorders>
              <w:top w:val="nil"/>
              <w:left w:val="nil"/>
              <w:bottom w:val="nil"/>
              <w:right w:val="single" w:sz="4" w:space="0" w:color="auto"/>
            </w:tcBorders>
            <w:shd w:val="clear" w:color="000000" w:fill="8ED973"/>
            <w:noWrap/>
            <w:tcMar>
              <w:top w:w="15" w:type="dxa"/>
              <w:left w:w="15" w:type="dxa"/>
              <w:bottom w:w="0" w:type="dxa"/>
              <w:right w:w="15" w:type="dxa"/>
            </w:tcMar>
            <w:vAlign w:val="bottom"/>
            <w:hideMark/>
          </w:tcPr>
          <w:p w14:paraId="01C12696"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702" w:type="dxa"/>
            <w:tcBorders>
              <w:top w:val="nil"/>
              <w:left w:val="nil"/>
              <w:bottom w:val="nil"/>
              <w:right w:val="nil"/>
            </w:tcBorders>
            <w:shd w:val="clear" w:color="000000" w:fill="8ED973"/>
            <w:noWrap/>
            <w:tcMar>
              <w:top w:w="15" w:type="dxa"/>
              <w:left w:w="15" w:type="dxa"/>
              <w:bottom w:w="0" w:type="dxa"/>
              <w:right w:w="15" w:type="dxa"/>
            </w:tcMar>
            <w:vAlign w:val="bottom"/>
            <w:hideMark/>
          </w:tcPr>
          <w:p w14:paraId="69F2003D"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975" w:type="dxa"/>
            <w:tcBorders>
              <w:top w:val="nil"/>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04000366"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709" w:type="dxa"/>
            <w:tcBorders>
              <w:top w:val="nil"/>
              <w:left w:val="nil"/>
              <w:bottom w:val="nil"/>
              <w:right w:val="nil"/>
            </w:tcBorders>
            <w:shd w:val="clear" w:color="000000" w:fill="8ED973"/>
            <w:noWrap/>
            <w:tcMar>
              <w:top w:w="15" w:type="dxa"/>
              <w:left w:w="15" w:type="dxa"/>
              <w:bottom w:w="0" w:type="dxa"/>
              <w:right w:w="15" w:type="dxa"/>
            </w:tcMar>
            <w:vAlign w:val="bottom"/>
            <w:hideMark/>
          </w:tcPr>
          <w:p w14:paraId="0F8F255E"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618" w:type="dxa"/>
            <w:tcBorders>
              <w:top w:val="nil"/>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01993B4D"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584" w:type="dxa"/>
            <w:tcBorders>
              <w:top w:val="nil"/>
              <w:left w:val="nil"/>
              <w:bottom w:val="nil"/>
              <w:right w:val="nil"/>
            </w:tcBorders>
            <w:shd w:val="clear" w:color="000000" w:fill="8ED973"/>
            <w:noWrap/>
            <w:tcMar>
              <w:top w:w="15" w:type="dxa"/>
              <w:left w:w="15" w:type="dxa"/>
              <w:bottom w:w="0" w:type="dxa"/>
              <w:right w:w="15" w:type="dxa"/>
            </w:tcMar>
            <w:vAlign w:val="bottom"/>
            <w:hideMark/>
          </w:tcPr>
          <w:p w14:paraId="6E84BCA1"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924" w:type="dxa"/>
            <w:tcBorders>
              <w:top w:val="nil"/>
              <w:left w:val="single" w:sz="4" w:space="0" w:color="auto"/>
              <w:bottom w:val="nil"/>
              <w:right w:val="single" w:sz="4" w:space="0" w:color="auto"/>
            </w:tcBorders>
            <w:shd w:val="clear" w:color="000000" w:fill="8ED973"/>
            <w:noWrap/>
            <w:tcMar>
              <w:top w:w="15" w:type="dxa"/>
              <w:left w:w="15" w:type="dxa"/>
              <w:bottom w:w="0" w:type="dxa"/>
              <w:right w:w="15" w:type="dxa"/>
            </w:tcMar>
            <w:vAlign w:val="bottom"/>
            <w:hideMark/>
          </w:tcPr>
          <w:p w14:paraId="75456D83"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c>
          <w:tcPr>
            <w:tcW w:w="567" w:type="dxa"/>
            <w:tcBorders>
              <w:top w:val="nil"/>
              <w:left w:val="nil"/>
              <w:bottom w:val="nil"/>
              <w:right w:val="single" w:sz="4" w:space="0" w:color="auto"/>
            </w:tcBorders>
            <w:shd w:val="clear" w:color="000000" w:fill="8ED973"/>
            <w:noWrap/>
            <w:tcMar>
              <w:top w:w="15" w:type="dxa"/>
              <w:left w:w="15" w:type="dxa"/>
              <w:bottom w:w="0" w:type="dxa"/>
              <w:right w:w="15" w:type="dxa"/>
            </w:tcMar>
            <w:vAlign w:val="bottom"/>
            <w:hideMark/>
          </w:tcPr>
          <w:p w14:paraId="03873E18" w14:textId="77777777" w:rsidR="004C229F" w:rsidRPr="00C72921" w:rsidRDefault="004C229F">
            <w:pPr>
              <w:rPr>
                <w:rFonts w:ascii="Aptos Narrow" w:hAnsi="Aptos Narrow"/>
                <w:noProof/>
                <w:color w:val="000000"/>
                <w:sz w:val="18"/>
                <w:szCs w:val="16"/>
              </w:rPr>
            </w:pPr>
            <w:r w:rsidRPr="00C72921">
              <w:rPr>
                <w:rFonts w:ascii="Aptos Narrow" w:hAnsi="Aptos Narrow"/>
                <w:noProof/>
                <w:color w:val="000000"/>
                <w:sz w:val="18"/>
                <w:szCs w:val="16"/>
              </w:rPr>
              <w:t> </w:t>
            </w:r>
          </w:p>
        </w:tc>
      </w:tr>
      <w:tr w:rsidR="00290996" w:rsidRPr="00C72921" w14:paraId="0734CFFF" w14:textId="77777777" w:rsidTr="00C72921">
        <w:trPr>
          <w:trHeight w:val="432"/>
        </w:trPr>
        <w:tc>
          <w:tcPr>
            <w:tcW w:w="1980" w:type="dxa"/>
            <w:vMerge w:val="restart"/>
            <w:tcBorders>
              <w:top w:val="nil"/>
              <w:left w:val="single" w:sz="4" w:space="0" w:color="auto"/>
              <w:bottom w:val="nil"/>
              <w:right w:val="nil"/>
            </w:tcBorders>
            <w:shd w:val="clear" w:color="000000" w:fill="B5E6A2"/>
            <w:tcMar>
              <w:top w:w="15" w:type="dxa"/>
              <w:left w:w="15" w:type="dxa"/>
              <w:bottom w:w="0" w:type="dxa"/>
              <w:right w:w="15" w:type="dxa"/>
            </w:tcMar>
            <w:vAlign w:val="center"/>
            <w:hideMark/>
          </w:tcPr>
          <w:p w14:paraId="39FBA852" w14:textId="77777777" w:rsidR="004C229F" w:rsidRPr="00C72921" w:rsidRDefault="004C229F">
            <w:pPr>
              <w:jc w:val="center"/>
              <w:rPr>
                <w:rFonts w:ascii="Aptos Narrow" w:hAnsi="Aptos Narrow"/>
                <w:noProof/>
                <w:color w:val="000000"/>
                <w:sz w:val="18"/>
                <w:szCs w:val="16"/>
              </w:rPr>
            </w:pPr>
            <w:r w:rsidRPr="00C72921">
              <w:rPr>
                <w:rFonts w:ascii="Aptos Narrow" w:hAnsi="Aptos Narrow"/>
                <w:noProof/>
                <w:color w:val="000000"/>
                <w:sz w:val="18"/>
                <w:szCs w:val="16"/>
              </w:rPr>
              <w:t>Programming period 2014-2020</w:t>
            </w:r>
          </w:p>
        </w:tc>
        <w:tc>
          <w:tcPr>
            <w:tcW w:w="107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06752C88" w14:textId="77777777" w:rsidR="004C229F" w:rsidRPr="00C72921" w:rsidRDefault="004C229F">
            <w:pPr>
              <w:jc w:val="left"/>
              <w:rPr>
                <w:rFonts w:ascii="Aptos Narrow" w:hAnsi="Aptos Narrow"/>
                <w:noProof/>
                <w:color w:val="000000"/>
                <w:sz w:val="18"/>
                <w:szCs w:val="16"/>
              </w:rPr>
            </w:pPr>
            <w:r w:rsidRPr="00C72921">
              <w:rPr>
                <w:rFonts w:ascii="Aptos Narrow" w:hAnsi="Aptos Narrow"/>
                <w:noProof/>
                <w:color w:val="000000"/>
                <w:sz w:val="18"/>
                <w:szCs w:val="16"/>
              </w:rPr>
              <w:t>2014-20</w:t>
            </w:r>
          </w:p>
        </w:tc>
        <w:tc>
          <w:tcPr>
            <w:tcW w:w="509"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583A0F9B"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129</w:t>
            </w:r>
          </w:p>
        </w:tc>
        <w:tc>
          <w:tcPr>
            <w:tcW w:w="702"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4675A1F9"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34.3%</w:t>
            </w:r>
          </w:p>
        </w:tc>
        <w:tc>
          <w:tcPr>
            <w:tcW w:w="975"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29D3A02E"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42.3</w:t>
            </w:r>
          </w:p>
        </w:tc>
        <w:tc>
          <w:tcPr>
            <w:tcW w:w="709"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36B4CC91"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30.7%</w:t>
            </w:r>
          </w:p>
        </w:tc>
        <w:tc>
          <w:tcPr>
            <w:tcW w:w="618"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5118B7EF"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979</w:t>
            </w:r>
          </w:p>
        </w:tc>
        <w:tc>
          <w:tcPr>
            <w:tcW w:w="584"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3C551CD2"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23.0%</w:t>
            </w:r>
          </w:p>
        </w:tc>
        <w:tc>
          <w:tcPr>
            <w:tcW w:w="92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283F8BB1"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136.1</w:t>
            </w:r>
          </w:p>
        </w:tc>
        <w:tc>
          <w:tcPr>
            <w:tcW w:w="567"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28DED241"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15.0%</w:t>
            </w:r>
          </w:p>
        </w:tc>
      </w:tr>
      <w:tr w:rsidR="00290996" w:rsidRPr="00465B9A" w14:paraId="1DC28232" w14:textId="77777777" w:rsidTr="00C72921">
        <w:trPr>
          <w:trHeight w:val="432"/>
        </w:trPr>
        <w:tc>
          <w:tcPr>
            <w:tcW w:w="1980" w:type="dxa"/>
            <w:vMerge/>
            <w:tcBorders>
              <w:top w:val="nil"/>
              <w:left w:val="single" w:sz="4" w:space="0" w:color="auto"/>
              <w:bottom w:val="nil"/>
              <w:right w:val="nil"/>
            </w:tcBorders>
            <w:vAlign w:val="center"/>
            <w:hideMark/>
          </w:tcPr>
          <w:p w14:paraId="101C2EF3" w14:textId="77777777" w:rsidR="004C229F" w:rsidRPr="00DE241B" w:rsidRDefault="004C229F">
            <w:pPr>
              <w:rPr>
                <w:rFonts w:ascii="Aptos Narrow" w:hAnsi="Aptos Narrow"/>
                <w:noProof/>
                <w:color w:val="000000"/>
                <w:sz w:val="18"/>
                <w:szCs w:val="16"/>
              </w:rPr>
            </w:pPr>
          </w:p>
        </w:tc>
        <w:tc>
          <w:tcPr>
            <w:tcW w:w="107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2441D46E" w14:textId="77777777" w:rsidR="004C229F" w:rsidRPr="00DE241B" w:rsidRDefault="004C229F">
            <w:pPr>
              <w:jc w:val="left"/>
              <w:rPr>
                <w:rFonts w:ascii="Aptos Narrow" w:hAnsi="Aptos Narrow"/>
                <w:noProof/>
                <w:color w:val="000000"/>
                <w:sz w:val="18"/>
                <w:szCs w:val="16"/>
              </w:rPr>
            </w:pPr>
            <w:r w:rsidRPr="00DE241B">
              <w:rPr>
                <w:rFonts w:ascii="Aptos Narrow" w:hAnsi="Aptos Narrow"/>
                <w:noProof/>
                <w:color w:val="000000"/>
                <w:sz w:val="18"/>
                <w:szCs w:val="16"/>
              </w:rPr>
              <w:t>2021-25</w:t>
            </w:r>
          </w:p>
        </w:tc>
        <w:tc>
          <w:tcPr>
            <w:tcW w:w="509"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0C7F43A0"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263</w:t>
            </w:r>
          </w:p>
        </w:tc>
        <w:tc>
          <w:tcPr>
            <w:tcW w:w="702"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0952056E"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23.4%</w:t>
            </w:r>
          </w:p>
        </w:tc>
        <w:tc>
          <w:tcPr>
            <w:tcW w:w="975"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2AA6F832"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100.8</w:t>
            </w:r>
          </w:p>
        </w:tc>
        <w:tc>
          <w:tcPr>
            <w:tcW w:w="709"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628C6895"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13.8%</w:t>
            </w:r>
          </w:p>
        </w:tc>
        <w:tc>
          <w:tcPr>
            <w:tcW w:w="618"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3F9514D7"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1 575</w:t>
            </w:r>
          </w:p>
        </w:tc>
        <w:tc>
          <w:tcPr>
            <w:tcW w:w="584" w:type="dxa"/>
            <w:tcBorders>
              <w:top w:val="nil"/>
              <w:left w:val="nil"/>
              <w:bottom w:val="nil"/>
              <w:right w:val="nil"/>
            </w:tcBorders>
            <w:shd w:val="clear" w:color="000000" w:fill="B5E6A2"/>
            <w:noWrap/>
            <w:tcMar>
              <w:top w:w="15" w:type="dxa"/>
              <w:left w:w="15" w:type="dxa"/>
              <w:bottom w:w="0" w:type="dxa"/>
              <w:right w:w="15" w:type="dxa"/>
            </w:tcMar>
            <w:vAlign w:val="bottom"/>
            <w:hideMark/>
          </w:tcPr>
          <w:p w14:paraId="554D477B"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12.8%</w:t>
            </w:r>
          </w:p>
        </w:tc>
        <w:tc>
          <w:tcPr>
            <w:tcW w:w="924" w:type="dxa"/>
            <w:tcBorders>
              <w:top w:val="nil"/>
              <w:left w:val="single" w:sz="4" w:space="0" w:color="auto"/>
              <w:bottom w:val="nil"/>
              <w:right w:val="single" w:sz="4" w:space="0" w:color="auto"/>
            </w:tcBorders>
            <w:shd w:val="clear" w:color="000000" w:fill="B5E6A2"/>
            <w:noWrap/>
            <w:tcMar>
              <w:top w:w="15" w:type="dxa"/>
              <w:left w:w="15" w:type="dxa"/>
              <w:bottom w:w="0" w:type="dxa"/>
              <w:right w:w="15" w:type="dxa"/>
            </w:tcMar>
            <w:vAlign w:val="bottom"/>
            <w:hideMark/>
          </w:tcPr>
          <w:p w14:paraId="10BC2F8D"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177.7</w:t>
            </w:r>
          </w:p>
        </w:tc>
        <w:tc>
          <w:tcPr>
            <w:tcW w:w="567" w:type="dxa"/>
            <w:tcBorders>
              <w:top w:val="nil"/>
              <w:left w:val="nil"/>
              <w:bottom w:val="nil"/>
              <w:right w:val="single" w:sz="4" w:space="0" w:color="auto"/>
            </w:tcBorders>
            <w:shd w:val="clear" w:color="000000" w:fill="B5E6A2"/>
            <w:noWrap/>
            <w:tcMar>
              <w:top w:w="15" w:type="dxa"/>
              <w:left w:w="15" w:type="dxa"/>
              <w:bottom w:w="0" w:type="dxa"/>
              <w:right w:w="15" w:type="dxa"/>
            </w:tcMar>
            <w:vAlign w:val="bottom"/>
            <w:hideMark/>
          </w:tcPr>
          <w:p w14:paraId="1E78DCFC" w14:textId="77777777" w:rsidR="004C229F" w:rsidRPr="00DE241B" w:rsidRDefault="004C229F">
            <w:pPr>
              <w:jc w:val="right"/>
              <w:rPr>
                <w:rFonts w:ascii="Aptos Narrow" w:hAnsi="Aptos Narrow"/>
                <w:noProof/>
                <w:color w:val="000000"/>
                <w:sz w:val="18"/>
                <w:szCs w:val="16"/>
              </w:rPr>
            </w:pPr>
            <w:r w:rsidRPr="00DE241B">
              <w:rPr>
                <w:rFonts w:ascii="Aptos Narrow" w:hAnsi="Aptos Narrow"/>
                <w:noProof/>
                <w:color w:val="000000"/>
                <w:sz w:val="18"/>
                <w:szCs w:val="16"/>
              </w:rPr>
              <w:t>7.0%</w:t>
            </w:r>
          </w:p>
        </w:tc>
      </w:tr>
      <w:tr w:rsidR="00290996" w:rsidRPr="00465B9A" w14:paraId="39F45934" w14:textId="77777777" w:rsidTr="00C72921">
        <w:trPr>
          <w:trHeight w:val="660"/>
        </w:trPr>
        <w:tc>
          <w:tcPr>
            <w:tcW w:w="1980" w:type="dxa"/>
            <w:tcBorders>
              <w:top w:val="nil"/>
              <w:left w:val="single" w:sz="4" w:space="0" w:color="auto"/>
              <w:bottom w:val="single" w:sz="4" w:space="0" w:color="auto"/>
              <w:right w:val="nil"/>
            </w:tcBorders>
            <w:shd w:val="clear" w:color="000000" w:fill="DAF2D0"/>
            <w:tcMar>
              <w:top w:w="15" w:type="dxa"/>
              <w:left w:w="15" w:type="dxa"/>
              <w:bottom w:w="0" w:type="dxa"/>
              <w:right w:w="15" w:type="dxa"/>
            </w:tcMar>
            <w:vAlign w:val="center"/>
            <w:hideMark/>
          </w:tcPr>
          <w:p w14:paraId="4A09790D" w14:textId="77777777" w:rsidR="004C229F" w:rsidRPr="00C72921" w:rsidRDefault="004C229F">
            <w:pPr>
              <w:jc w:val="center"/>
              <w:rPr>
                <w:rFonts w:ascii="Aptos Narrow" w:hAnsi="Aptos Narrow"/>
                <w:noProof/>
                <w:color w:val="000000"/>
                <w:sz w:val="18"/>
                <w:szCs w:val="16"/>
              </w:rPr>
            </w:pPr>
            <w:r w:rsidRPr="00C72921">
              <w:rPr>
                <w:rFonts w:ascii="Aptos Narrow" w:hAnsi="Aptos Narrow"/>
                <w:noProof/>
                <w:color w:val="000000"/>
                <w:sz w:val="18"/>
                <w:szCs w:val="16"/>
              </w:rPr>
              <w:t>Programming period 2021-2027</w:t>
            </w:r>
          </w:p>
        </w:tc>
        <w:tc>
          <w:tcPr>
            <w:tcW w:w="1074"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6875CD19" w14:textId="77777777" w:rsidR="004C229F" w:rsidRPr="00C72921" w:rsidRDefault="004C229F">
            <w:pPr>
              <w:jc w:val="left"/>
              <w:rPr>
                <w:rFonts w:ascii="Aptos Narrow" w:hAnsi="Aptos Narrow"/>
                <w:noProof/>
                <w:color w:val="000000"/>
                <w:sz w:val="18"/>
                <w:szCs w:val="16"/>
              </w:rPr>
            </w:pPr>
            <w:r w:rsidRPr="00C72921">
              <w:rPr>
                <w:rFonts w:ascii="Aptos Narrow" w:hAnsi="Aptos Narrow"/>
                <w:noProof/>
                <w:color w:val="000000"/>
                <w:sz w:val="18"/>
                <w:szCs w:val="16"/>
              </w:rPr>
              <w:t>2021-25</w:t>
            </w:r>
          </w:p>
        </w:tc>
        <w:tc>
          <w:tcPr>
            <w:tcW w:w="509" w:type="dxa"/>
            <w:tcBorders>
              <w:top w:val="nil"/>
              <w:left w:val="nil"/>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0A4A2F12"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31</w:t>
            </w:r>
          </w:p>
        </w:tc>
        <w:tc>
          <w:tcPr>
            <w:tcW w:w="702" w:type="dxa"/>
            <w:tcBorders>
              <w:top w:val="nil"/>
              <w:left w:val="nil"/>
              <w:bottom w:val="single" w:sz="4" w:space="0" w:color="auto"/>
              <w:right w:val="nil"/>
            </w:tcBorders>
            <w:shd w:val="clear" w:color="000000" w:fill="DAF2D0"/>
            <w:noWrap/>
            <w:tcMar>
              <w:top w:w="15" w:type="dxa"/>
              <w:left w:w="15" w:type="dxa"/>
              <w:bottom w:w="0" w:type="dxa"/>
              <w:right w:w="15" w:type="dxa"/>
            </w:tcMar>
            <w:vAlign w:val="bottom"/>
            <w:hideMark/>
          </w:tcPr>
          <w:p w14:paraId="5AFC8A19"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59.6%</w:t>
            </w:r>
          </w:p>
        </w:tc>
        <w:tc>
          <w:tcPr>
            <w:tcW w:w="975"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254AC2A4" w14:textId="696FF621" w:rsidR="004C229F" w:rsidRPr="00C72921" w:rsidRDefault="002C0296">
            <w:pPr>
              <w:jc w:val="right"/>
              <w:rPr>
                <w:rFonts w:ascii="Aptos Narrow" w:hAnsi="Aptos Narrow"/>
                <w:noProof/>
                <w:color w:val="000000"/>
                <w:sz w:val="18"/>
                <w:szCs w:val="16"/>
              </w:rPr>
            </w:pPr>
            <w:r w:rsidRPr="00C72921">
              <w:rPr>
                <w:rFonts w:ascii="Aptos Narrow" w:hAnsi="Aptos Narrow"/>
                <w:noProof/>
                <w:color w:val="000000"/>
                <w:sz w:val="18"/>
                <w:szCs w:val="16"/>
              </w:rPr>
              <w:t>12.7</w:t>
            </w:r>
          </w:p>
        </w:tc>
        <w:tc>
          <w:tcPr>
            <w:tcW w:w="709" w:type="dxa"/>
            <w:tcBorders>
              <w:top w:val="nil"/>
              <w:left w:val="nil"/>
              <w:bottom w:val="single" w:sz="4" w:space="0" w:color="auto"/>
              <w:right w:val="nil"/>
            </w:tcBorders>
            <w:shd w:val="clear" w:color="000000" w:fill="DAF2D0"/>
            <w:noWrap/>
            <w:tcMar>
              <w:top w:w="15" w:type="dxa"/>
              <w:left w:w="15" w:type="dxa"/>
              <w:bottom w:w="0" w:type="dxa"/>
              <w:right w:w="15" w:type="dxa"/>
            </w:tcMar>
            <w:vAlign w:val="bottom"/>
            <w:hideMark/>
          </w:tcPr>
          <w:p w14:paraId="4019D416"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50.7%</w:t>
            </w:r>
          </w:p>
        </w:tc>
        <w:tc>
          <w:tcPr>
            <w:tcW w:w="618"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39EA26E9"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44</w:t>
            </w:r>
          </w:p>
        </w:tc>
        <w:tc>
          <w:tcPr>
            <w:tcW w:w="584" w:type="dxa"/>
            <w:tcBorders>
              <w:top w:val="nil"/>
              <w:left w:val="nil"/>
              <w:bottom w:val="single" w:sz="4" w:space="0" w:color="auto"/>
              <w:right w:val="nil"/>
            </w:tcBorders>
            <w:shd w:val="clear" w:color="000000" w:fill="DAF2D0"/>
            <w:noWrap/>
            <w:tcMar>
              <w:top w:w="15" w:type="dxa"/>
              <w:left w:w="15" w:type="dxa"/>
              <w:bottom w:w="0" w:type="dxa"/>
              <w:right w:w="15" w:type="dxa"/>
            </w:tcMar>
            <w:vAlign w:val="bottom"/>
            <w:hideMark/>
          </w:tcPr>
          <w:p w14:paraId="66E38718"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11.9%</w:t>
            </w:r>
          </w:p>
        </w:tc>
        <w:tc>
          <w:tcPr>
            <w:tcW w:w="924" w:type="dxa"/>
            <w:tcBorders>
              <w:top w:val="nil"/>
              <w:left w:val="single" w:sz="4" w:space="0" w:color="auto"/>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41C28460" w14:textId="07424627" w:rsidR="004C229F" w:rsidRPr="00C72921" w:rsidRDefault="003F026D">
            <w:pPr>
              <w:jc w:val="right"/>
              <w:rPr>
                <w:rFonts w:ascii="Aptos Narrow" w:hAnsi="Aptos Narrow"/>
                <w:noProof/>
                <w:color w:val="000000"/>
                <w:sz w:val="18"/>
                <w:szCs w:val="16"/>
              </w:rPr>
            </w:pPr>
            <w:r w:rsidRPr="00C72921">
              <w:rPr>
                <w:rFonts w:ascii="Aptos Narrow" w:hAnsi="Aptos Narrow"/>
                <w:noProof/>
                <w:color w:val="000000"/>
                <w:sz w:val="18"/>
                <w:szCs w:val="16"/>
              </w:rPr>
              <w:t>2.9</w:t>
            </w:r>
          </w:p>
        </w:tc>
        <w:tc>
          <w:tcPr>
            <w:tcW w:w="567" w:type="dxa"/>
            <w:tcBorders>
              <w:top w:val="nil"/>
              <w:left w:val="nil"/>
              <w:bottom w:val="single" w:sz="4" w:space="0" w:color="auto"/>
              <w:right w:val="single" w:sz="4" w:space="0" w:color="auto"/>
            </w:tcBorders>
            <w:shd w:val="clear" w:color="000000" w:fill="DAF2D0"/>
            <w:noWrap/>
            <w:tcMar>
              <w:top w:w="15" w:type="dxa"/>
              <w:left w:w="15" w:type="dxa"/>
              <w:bottom w:w="0" w:type="dxa"/>
              <w:right w:w="15" w:type="dxa"/>
            </w:tcMar>
            <w:vAlign w:val="bottom"/>
            <w:hideMark/>
          </w:tcPr>
          <w:p w14:paraId="5E5D3CDA" w14:textId="77777777" w:rsidR="004C229F" w:rsidRPr="00C72921" w:rsidRDefault="004C229F">
            <w:pPr>
              <w:jc w:val="right"/>
              <w:rPr>
                <w:rFonts w:ascii="Aptos Narrow" w:hAnsi="Aptos Narrow"/>
                <w:noProof/>
                <w:color w:val="000000"/>
                <w:sz w:val="18"/>
                <w:szCs w:val="16"/>
              </w:rPr>
            </w:pPr>
            <w:r w:rsidRPr="00C72921">
              <w:rPr>
                <w:rFonts w:ascii="Aptos Narrow" w:hAnsi="Aptos Narrow"/>
                <w:noProof/>
                <w:color w:val="000000"/>
                <w:sz w:val="18"/>
                <w:szCs w:val="16"/>
              </w:rPr>
              <w:t>6.2%</w:t>
            </w:r>
          </w:p>
        </w:tc>
      </w:tr>
    </w:tbl>
    <w:p w14:paraId="386B8B28" w14:textId="22A44748" w:rsidR="00755734" w:rsidRPr="00DE3A6F" w:rsidRDefault="00BC337B" w:rsidP="008C51BF">
      <w:pPr>
        <w:spacing w:before="120"/>
        <w:rPr>
          <w:noProof/>
        </w:rPr>
      </w:pPr>
      <w:r w:rsidRPr="008A3E04">
        <w:rPr>
          <w:noProof/>
        </w:rPr>
        <w:t xml:space="preserve">Applying </w:t>
      </w:r>
      <w:r w:rsidR="0006633D" w:rsidRPr="008A3E04">
        <w:rPr>
          <w:noProof/>
        </w:rPr>
        <w:t xml:space="preserve">the same logic, </w:t>
      </w:r>
      <w:r w:rsidR="00D94FD6" w:rsidRPr="008A3E04">
        <w:rPr>
          <w:noProof/>
        </w:rPr>
        <w:t xml:space="preserve">thanks to </w:t>
      </w:r>
      <w:r w:rsidR="0006633D" w:rsidRPr="008A3E04">
        <w:rPr>
          <w:noProof/>
        </w:rPr>
        <w:t xml:space="preserve">early detection as a result of </w:t>
      </w:r>
      <w:r w:rsidR="006B6C93" w:rsidRPr="008A3E04">
        <w:rPr>
          <w:noProof/>
        </w:rPr>
        <w:t xml:space="preserve">its </w:t>
      </w:r>
      <w:r w:rsidR="00D94FD6" w:rsidRPr="008A3E04">
        <w:rPr>
          <w:noProof/>
        </w:rPr>
        <w:t xml:space="preserve">administrative </w:t>
      </w:r>
      <w:r w:rsidR="006B6C93" w:rsidRPr="008A3E04">
        <w:rPr>
          <w:noProof/>
        </w:rPr>
        <w:t xml:space="preserve">investigations, OLAF can issue financial recommendations </w:t>
      </w:r>
      <w:r w:rsidR="004E1BAC" w:rsidRPr="008A3E04">
        <w:rPr>
          <w:noProof/>
        </w:rPr>
        <w:t xml:space="preserve">to </w:t>
      </w:r>
      <w:r w:rsidR="006B6C93" w:rsidRPr="008A3E04">
        <w:rPr>
          <w:noProof/>
        </w:rPr>
        <w:t>prevent sums from being unduly spent, across all expenditure management modes.</w:t>
      </w:r>
      <w:r w:rsidR="00193298" w:rsidRPr="008A3E04">
        <w:rPr>
          <w:noProof/>
        </w:rPr>
        <w:t xml:space="preserve"> Following these recommendations, </w:t>
      </w:r>
      <w:r w:rsidR="004E1BAC" w:rsidRPr="008A3E04">
        <w:rPr>
          <w:noProof/>
        </w:rPr>
        <w:t xml:space="preserve">the </w:t>
      </w:r>
      <w:r w:rsidR="00193298" w:rsidRPr="008A3E04">
        <w:rPr>
          <w:noProof/>
        </w:rPr>
        <w:t xml:space="preserve">Commission may consider withholding </w:t>
      </w:r>
      <w:r w:rsidR="004E1BAC" w:rsidRPr="008A3E04">
        <w:rPr>
          <w:noProof/>
        </w:rPr>
        <w:t xml:space="preserve">additional </w:t>
      </w:r>
      <w:r w:rsidR="00193298" w:rsidRPr="008A3E04">
        <w:rPr>
          <w:noProof/>
        </w:rPr>
        <w:t>funding</w:t>
      </w:r>
      <w:r w:rsidR="00697A96" w:rsidRPr="008A3E04">
        <w:rPr>
          <w:noProof/>
        </w:rPr>
        <w:t xml:space="preserve">. Over the last </w:t>
      </w:r>
      <w:r w:rsidR="00C31755" w:rsidRPr="008A3E04">
        <w:rPr>
          <w:noProof/>
        </w:rPr>
        <w:t xml:space="preserve">10 </w:t>
      </w:r>
      <w:r w:rsidR="00697A96" w:rsidRPr="008A3E04">
        <w:rPr>
          <w:noProof/>
        </w:rPr>
        <w:t>years, the results show that OLAF</w:t>
      </w:r>
      <w:r w:rsidR="00C31755" w:rsidRPr="008A3E04">
        <w:rPr>
          <w:noProof/>
        </w:rPr>
        <w:t>’s</w:t>
      </w:r>
      <w:r w:rsidR="00697A96" w:rsidRPr="008A3E04">
        <w:rPr>
          <w:noProof/>
        </w:rPr>
        <w:t xml:space="preserve"> </w:t>
      </w:r>
      <w:r w:rsidR="0063175D" w:rsidRPr="008A3E04">
        <w:rPr>
          <w:noProof/>
        </w:rPr>
        <w:t>and the Commission</w:t>
      </w:r>
      <w:r w:rsidR="00C31755" w:rsidRPr="008A3E04">
        <w:rPr>
          <w:noProof/>
        </w:rPr>
        <w:t>’s</w:t>
      </w:r>
      <w:r w:rsidR="0063175D" w:rsidRPr="008A3E04">
        <w:rPr>
          <w:noProof/>
        </w:rPr>
        <w:t xml:space="preserve"> combined efforts </w:t>
      </w:r>
      <w:r w:rsidR="00C31755" w:rsidRPr="008A3E04">
        <w:rPr>
          <w:noProof/>
        </w:rPr>
        <w:t xml:space="preserve">have prevented </w:t>
      </w:r>
      <w:r w:rsidR="0063175D" w:rsidRPr="008A3E04">
        <w:rPr>
          <w:noProof/>
        </w:rPr>
        <w:t xml:space="preserve">more than </w:t>
      </w:r>
      <w:r w:rsidR="00205275" w:rsidRPr="008A3E04">
        <w:rPr>
          <w:noProof/>
        </w:rPr>
        <w:t>EUR </w:t>
      </w:r>
      <w:r w:rsidR="0063175D" w:rsidRPr="008A3E04">
        <w:rPr>
          <w:noProof/>
        </w:rPr>
        <w:t xml:space="preserve">658 million </w:t>
      </w:r>
      <w:r w:rsidR="0006633D" w:rsidRPr="008A3E04">
        <w:rPr>
          <w:noProof/>
        </w:rPr>
        <w:t xml:space="preserve">from being unduly spent, as </w:t>
      </w:r>
      <w:r w:rsidR="004425E6" w:rsidRPr="008A3E04">
        <w:rPr>
          <w:noProof/>
        </w:rPr>
        <w:t xml:space="preserve">shown </w:t>
      </w:r>
      <w:r w:rsidR="0006633D" w:rsidRPr="008A3E04">
        <w:rPr>
          <w:noProof/>
        </w:rPr>
        <w:t xml:space="preserve">in </w:t>
      </w:r>
      <w:r w:rsidR="0006633D" w:rsidRPr="008A3E04">
        <w:rPr>
          <w:b/>
          <w:bCs/>
          <w:noProof/>
        </w:rPr>
        <w:t>Figure 1</w:t>
      </w:r>
      <w:r w:rsidR="00D05479" w:rsidRPr="008A3E04">
        <w:rPr>
          <w:b/>
          <w:bCs/>
          <w:noProof/>
        </w:rPr>
        <w:t>4</w:t>
      </w:r>
      <w:r w:rsidR="0006633D" w:rsidRPr="008A3E04">
        <w:rPr>
          <w:noProof/>
        </w:rPr>
        <w:t xml:space="preserve">. This is more than </w:t>
      </w:r>
      <w:r w:rsidR="00750968" w:rsidRPr="008A3E04">
        <w:rPr>
          <w:noProof/>
        </w:rPr>
        <w:t xml:space="preserve">the prevention amounts </w:t>
      </w:r>
      <w:r w:rsidR="0006633D" w:rsidRPr="008A3E04">
        <w:rPr>
          <w:noProof/>
        </w:rPr>
        <w:t>initially recommended by OLAF</w:t>
      </w:r>
      <w:r w:rsidR="004C779D" w:rsidRPr="008A3E04">
        <w:rPr>
          <w:noProof/>
        </w:rPr>
        <w:t>,</w:t>
      </w:r>
      <w:r w:rsidR="00022070" w:rsidRPr="008A3E04">
        <w:rPr>
          <w:noProof/>
        </w:rPr>
        <w:t xml:space="preserve"> which underlines the importance of focusing </w:t>
      </w:r>
      <w:r w:rsidR="00B5050A" w:rsidRPr="008A3E04">
        <w:rPr>
          <w:noProof/>
        </w:rPr>
        <w:t xml:space="preserve">as early as possible </w:t>
      </w:r>
      <w:r w:rsidR="00022070" w:rsidRPr="008A3E04">
        <w:rPr>
          <w:noProof/>
        </w:rPr>
        <w:t xml:space="preserve">on matters or areas of concern when </w:t>
      </w:r>
      <w:r w:rsidR="005C4FEC" w:rsidRPr="008A3E04">
        <w:rPr>
          <w:noProof/>
        </w:rPr>
        <w:t>suspected</w:t>
      </w:r>
      <w:r w:rsidR="00022070" w:rsidRPr="008A3E04">
        <w:rPr>
          <w:noProof/>
        </w:rPr>
        <w:t xml:space="preserve"> irregularities and fraud are first detected.</w:t>
      </w:r>
      <w:r w:rsidR="000E1338" w:rsidRPr="008A3E04">
        <w:rPr>
          <w:noProof/>
        </w:rPr>
        <w:t xml:space="preserve"> </w:t>
      </w:r>
    </w:p>
    <w:p w14:paraId="5FA9FD44" w14:textId="023D814C" w:rsidR="0006633D" w:rsidRPr="00DE3A6F" w:rsidRDefault="0006633D" w:rsidP="00C8420B">
      <w:pPr>
        <w:pStyle w:val="Caption"/>
        <w:keepNext/>
        <w:rPr>
          <w:noProof/>
        </w:rPr>
      </w:pPr>
      <w:r w:rsidRPr="008A3E04">
        <w:rPr>
          <w:noProof/>
        </w:rPr>
        <w:t xml:space="preserve">Figure </w:t>
      </w:r>
      <w:r w:rsidRPr="00DE3A6F">
        <w:rPr>
          <w:noProof/>
        </w:rPr>
        <w:fldChar w:fldCharType="begin"/>
      </w:r>
      <w:r w:rsidRPr="00DE3A6F">
        <w:rPr>
          <w:noProof/>
        </w:rPr>
        <w:instrText xml:space="preserve"> SEQ Figure \* ARABIC </w:instrText>
      </w:r>
      <w:r w:rsidRPr="00DE3A6F">
        <w:rPr>
          <w:noProof/>
        </w:rPr>
        <w:fldChar w:fldCharType="separate"/>
      </w:r>
      <w:r w:rsidR="00AD1F7D">
        <w:rPr>
          <w:noProof/>
        </w:rPr>
        <w:t>14</w:t>
      </w:r>
      <w:r w:rsidRPr="00DE3A6F">
        <w:rPr>
          <w:noProof/>
        </w:rPr>
        <w:fldChar w:fldCharType="end"/>
      </w:r>
      <w:r w:rsidRPr="008A3E04">
        <w:rPr>
          <w:noProof/>
        </w:rPr>
        <w:t xml:space="preserve">: </w:t>
      </w:r>
      <w:r w:rsidR="00992387" w:rsidRPr="008A3E04">
        <w:rPr>
          <w:noProof/>
        </w:rPr>
        <w:t>Prevented amounts as a result of OLAF’s financial recommendations – 2016-2025</w:t>
      </w:r>
    </w:p>
    <w:tbl>
      <w:tblPr>
        <w:tblW w:w="8618" w:type="dxa"/>
        <w:tblLook w:val="04A0" w:firstRow="1" w:lastRow="0" w:firstColumn="1" w:lastColumn="0" w:noHBand="0" w:noVBand="1"/>
      </w:tblPr>
      <w:tblGrid>
        <w:gridCol w:w="2835"/>
        <w:gridCol w:w="1734"/>
        <w:gridCol w:w="2127"/>
        <w:gridCol w:w="1922"/>
      </w:tblGrid>
      <w:tr w:rsidR="00C03748" w:rsidRPr="00C03748" w14:paraId="7BCFE1E9" w14:textId="77777777" w:rsidTr="00C03748">
        <w:trPr>
          <w:trHeight w:val="1200"/>
        </w:trPr>
        <w:tc>
          <w:tcPr>
            <w:tcW w:w="2835" w:type="dxa"/>
            <w:vMerge w:val="restart"/>
            <w:tcBorders>
              <w:top w:val="nil"/>
              <w:left w:val="nil"/>
              <w:bottom w:val="nil"/>
              <w:right w:val="nil"/>
            </w:tcBorders>
            <w:shd w:val="clear" w:color="000000" w:fill="3C7D22"/>
            <w:noWrap/>
            <w:vAlign w:val="bottom"/>
            <w:hideMark/>
          </w:tcPr>
          <w:p w14:paraId="4601A566" w14:textId="77777777" w:rsidR="00C03748" w:rsidRPr="00C03748" w:rsidRDefault="00C03748" w:rsidP="00C03748">
            <w:pPr>
              <w:spacing w:after="0" w:line="240" w:lineRule="auto"/>
              <w:jc w:val="left"/>
              <w:rPr>
                <w:rFonts w:ascii="Aptos Narrow" w:hAnsi="Aptos Narrow"/>
                <w:b/>
                <w:bCs/>
                <w:noProof/>
                <w:color w:val="FFFFFF"/>
                <w:szCs w:val="22"/>
                <w:lang w:val="en-IE" w:eastAsia="en-IE"/>
              </w:rPr>
            </w:pPr>
            <w:r w:rsidRPr="00C03748">
              <w:rPr>
                <w:rFonts w:ascii="Aptos Narrow" w:hAnsi="Aptos Narrow"/>
                <w:b/>
                <w:bCs/>
                <w:noProof/>
                <w:color w:val="FFFFFF"/>
                <w:szCs w:val="22"/>
                <w:lang w:val="en-IE" w:eastAsia="en-IE"/>
              </w:rPr>
              <w:t>Expenditure mode</w:t>
            </w:r>
          </w:p>
        </w:tc>
        <w:tc>
          <w:tcPr>
            <w:tcW w:w="1734" w:type="dxa"/>
            <w:tcBorders>
              <w:top w:val="nil"/>
              <w:left w:val="nil"/>
              <w:right w:val="nil"/>
            </w:tcBorders>
            <w:shd w:val="clear" w:color="000000" w:fill="3C7D22"/>
            <w:vAlign w:val="center"/>
            <w:hideMark/>
          </w:tcPr>
          <w:p w14:paraId="48331DC9" w14:textId="77777777" w:rsidR="00C03748" w:rsidRPr="00C03748" w:rsidRDefault="00C03748" w:rsidP="00C03748">
            <w:pPr>
              <w:spacing w:after="0" w:line="240" w:lineRule="auto"/>
              <w:jc w:val="center"/>
              <w:rPr>
                <w:rFonts w:ascii="Aptos Narrow" w:hAnsi="Aptos Narrow"/>
                <w:b/>
                <w:bCs/>
                <w:noProof/>
                <w:color w:val="FFFFFF"/>
                <w:szCs w:val="22"/>
                <w:lang w:val="en-IE" w:eastAsia="en-IE"/>
              </w:rPr>
            </w:pPr>
            <w:r w:rsidRPr="00C03748">
              <w:rPr>
                <w:rFonts w:ascii="Aptos Narrow" w:hAnsi="Aptos Narrow"/>
                <w:b/>
                <w:bCs/>
                <w:noProof/>
                <w:color w:val="FFFFFF"/>
                <w:szCs w:val="22"/>
                <w:lang w:val="en-IE" w:eastAsia="en-IE"/>
              </w:rPr>
              <w:t>Amount recommended for prevention</w:t>
            </w:r>
          </w:p>
        </w:tc>
        <w:tc>
          <w:tcPr>
            <w:tcW w:w="2127" w:type="dxa"/>
            <w:tcBorders>
              <w:top w:val="nil"/>
              <w:left w:val="nil"/>
              <w:right w:val="nil"/>
            </w:tcBorders>
            <w:shd w:val="clear" w:color="000000" w:fill="3C7D22"/>
            <w:vAlign w:val="center"/>
            <w:hideMark/>
          </w:tcPr>
          <w:p w14:paraId="6C0A78CA" w14:textId="77777777" w:rsidR="00C03748" w:rsidRPr="00C03748" w:rsidRDefault="00C03748" w:rsidP="00C03748">
            <w:pPr>
              <w:spacing w:after="0" w:line="240" w:lineRule="auto"/>
              <w:jc w:val="center"/>
              <w:rPr>
                <w:rFonts w:ascii="Aptos Narrow" w:hAnsi="Aptos Narrow"/>
                <w:b/>
                <w:bCs/>
                <w:noProof/>
                <w:color w:val="FFFFFF"/>
                <w:szCs w:val="22"/>
                <w:lang w:val="en-IE" w:eastAsia="en-IE"/>
              </w:rPr>
            </w:pPr>
            <w:r w:rsidRPr="00C03748">
              <w:rPr>
                <w:rFonts w:ascii="Aptos Narrow" w:hAnsi="Aptos Narrow"/>
                <w:b/>
                <w:bCs/>
                <w:noProof/>
                <w:color w:val="FFFFFF"/>
                <w:szCs w:val="22"/>
                <w:lang w:val="en-IE" w:eastAsia="en-IE"/>
              </w:rPr>
              <w:t>Amount to be prevented from undue spending = Amount prevented</w:t>
            </w:r>
          </w:p>
        </w:tc>
        <w:tc>
          <w:tcPr>
            <w:tcW w:w="1922" w:type="dxa"/>
            <w:tcBorders>
              <w:top w:val="nil"/>
              <w:left w:val="nil"/>
              <w:right w:val="nil"/>
            </w:tcBorders>
            <w:shd w:val="clear" w:color="000000" w:fill="3C7D22"/>
            <w:vAlign w:val="center"/>
            <w:hideMark/>
          </w:tcPr>
          <w:p w14:paraId="68C8D63D" w14:textId="77777777" w:rsidR="00C03748" w:rsidRPr="00C03748" w:rsidRDefault="00C03748" w:rsidP="00C03748">
            <w:pPr>
              <w:spacing w:after="0" w:line="240" w:lineRule="auto"/>
              <w:jc w:val="center"/>
              <w:rPr>
                <w:rFonts w:ascii="Aptos Narrow" w:hAnsi="Aptos Narrow"/>
                <w:b/>
                <w:bCs/>
                <w:noProof/>
                <w:color w:val="FFFFFF"/>
                <w:szCs w:val="22"/>
                <w:lang w:val="en-IE" w:eastAsia="en-IE"/>
              </w:rPr>
            </w:pPr>
            <w:r w:rsidRPr="00C03748">
              <w:rPr>
                <w:rFonts w:ascii="Aptos Narrow" w:hAnsi="Aptos Narrow"/>
                <w:b/>
                <w:bCs/>
                <w:noProof/>
                <w:color w:val="FFFFFF"/>
                <w:szCs w:val="22"/>
                <w:lang w:val="en-IE" w:eastAsia="en-IE"/>
              </w:rPr>
              <w:t>Establishment rate for prevention</w:t>
            </w:r>
          </w:p>
        </w:tc>
      </w:tr>
      <w:tr w:rsidR="00C03748" w:rsidRPr="00C03748" w14:paraId="5B23A98E" w14:textId="77777777" w:rsidTr="00C03748">
        <w:trPr>
          <w:trHeight w:val="330"/>
        </w:trPr>
        <w:tc>
          <w:tcPr>
            <w:tcW w:w="2835" w:type="dxa"/>
            <w:vMerge/>
            <w:tcBorders>
              <w:top w:val="nil"/>
              <w:left w:val="nil"/>
              <w:bottom w:val="nil"/>
              <w:right w:val="nil"/>
            </w:tcBorders>
            <w:vAlign w:val="center"/>
            <w:hideMark/>
          </w:tcPr>
          <w:p w14:paraId="711A9C3B" w14:textId="77777777" w:rsidR="00C03748" w:rsidRPr="00C03748" w:rsidRDefault="00C03748" w:rsidP="00C03748">
            <w:pPr>
              <w:spacing w:after="0" w:line="240" w:lineRule="auto"/>
              <w:jc w:val="left"/>
              <w:rPr>
                <w:rFonts w:ascii="Aptos Narrow" w:hAnsi="Aptos Narrow"/>
                <w:b/>
                <w:bCs/>
                <w:noProof/>
                <w:color w:val="FFFFFF"/>
                <w:szCs w:val="22"/>
                <w:lang w:val="en-IE" w:eastAsia="en-IE"/>
              </w:rPr>
            </w:pPr>
          </w:p>
        </w:tc>
        <w:tc>
          <w:tcPr>
            <w:tcW w:w="1734" w:type="dxa"/>
            <w:tcBorders>
              <w:top w:val="nil"/>
              <w:left w:val="nil"/>
              <w:right w:val="nil"/>
            </w:tcBorders>
            <w:shd w:val="clear" w:color="000000" w:fill="3C7D22"/>
            <w:vAlign w:val="center"/>
            <w:hideMark/>
          </w:tcPr>
          <w:p w14:paraId="24E8758D" w14:textId="77777777" w:rsidR="00C03748" w:rsidRPr="00C03748" w:rsidRDefault="00C03748" w:rsidP="00C03748">
            <w:pPr>
              <w:spacing w:after="0" w:line="240" w:lineRule="auto"/>
              <w:jc w:val="center"/>
              <w:rPr>
                <w:rFonts w:ascii="Aptos Narrow" w:hAnsi="Aptos Narrow"/>
                <w:b/>
                <w:bCs/>
                <w:noProof/>
                <w:color w:val="FFFFFF"/>
                <w:szCs w:val="22"/>
                <w:lang w:val="en-IE" w:eastAsia="en-IE"/>
              </w:rPr>
            </w:pPr>
            <w:r w:rsidRPr="00C03748">
              <w:rPr>
                <w:rFonts w:ascii="Aptos Narrow" w:hAnsi="Aptos Narrow"/>
                <w:b/>
                <w:bCs/>
                <w:noProof/>
                <w:color w:val="FFFFFF"/>
                <w:szCs w:val="22"/>
                <w:lang w:val="en-IE" w:eastAsia="en-IE"/>
              </w:rPr>
              <w:t>EUR</w:t>
            </w:r>
          </w:p>
        </w:tc>
        <w:tc>
          <w:tcPr>
            <w:tcW w:w="2127" w:type="dxa"/>
            <w:tcBorders>
              <w:top w:val="nil"/>
              <w:left w:val="nil"/>
              <w:right w:val="nil"/>
            </w:tcBorders>
            <w:shd w:val="clear" w:color="000000" w:fill="3C7D22"/>
            <w:vAlign w:val="center"/>
            <w:hideMark/>
          </w:tcPr>
          <w:p w14:paraId="04F26E47" w14:textId="77777777" w:rsidR="00C03748" w:rsidRPr="00C03748" w:rsidRDefault="00C03748" w:rsidP="00C03748">
            <w:pPr>
              <w:spacing w:after="0" w:line="240" w:lineRule="auto"/>
              <w:jc w:val="center"/>
              <w:rPr>
                <w:rFonts w:ascii="Aptos Narrow" w:hAnsi="Aptos Narrow"/>
                <w:b/>
                <w:bCs/>
                <w:noProof/>
                <w:color w:val="FFFFFF"/>
                <w:szCs w:val="22"/>
                <w:lang w:val="en-IE" w:eastAsia="en-IE"/>
              </w:rPr>
            </w:pPr>
            <w:r w:rsidRPr="00C03748">
              <w:rPr>
                <w:rFonts w:ascii="Aptos Narrow" w:hAnsi="Aptos Narrow"/>
                <w:b/>
                <w:bCs/>
                <w:noProof/>
                <w:color w:val="FFFFFF"/>
                <w:szCs w:val="22"/>
                <w:lang w:val="en-IE" w:eastAsia="en-IE"/>
              </w:rPr>
              <w:t>EUR</w:t>
            </w:r>
          </w:p>
        </w:tc>
        <w:tc>
          <w:tcPr>
            <w:tcW w:w="1922" w:type="dxa"/>
            <w:tcBorders>
              <w:top w:val="nil"/>
              <w:left w:val="nil"/>
              <w:right w:val="nil"/>
            </w:tcBorders>
            <w:shd w:val="clear" w:color="000000" w:fill="3C7D22"/>
            <w:vAlign w:val="center"/>
            <w:hideMark/>
          </w:tcPr>
          <w:p w14:paraId="637D5B47" w14:textId="77777777" w:rsidR="00C03748" w:rsidRPr="00C03748" w:rsidRDefault="00C03748" w:rsidP="00C03748">
            <w:pPr>
              <w:spacing w:after="0" w:line="240" w:lineRule="auto"/>
              <w:jc w:val="center"/>
              <w:rPr>
                <w:rFonts w:ascii="Aptos Narrow" w:hAnsi="Aptos Narrow"/>
                <w:b/>
                <w:bCs/>
                <w:noProof/>
                <w:color w:val="FFFFFF"/>
                <w:szCs w:val="22"/>
                <w:lang w:val="en-IE" w:eastAsia="en-IE"/>
              </w:rPr>
            </w:pPr>
            <w:r w:rsidRPr="00C03748">
              <w:rPr>
                <w:rFonts w:ascii="Aptos Narrow" w:hAnsi="Aptos Narrow"/>
                <w:b/>
                <w:bCs/>
                <w:noProof/>
                <w:color w:val="FFFFFF"/>
                <w:szCs w:val="22"/>
                <w:lang w:val="en-IE" w:eastAsia="en-IE"/>
              </w:rPr>
              <w:t>%</w:t>
            </w:r>
          </w:p>
        </w:tc>
      </w:tr>
      <w:tr w:rsidR="00C03748" w:rsidRPr="00C03748" w14:paraId="3E4B3FB2" w14:textId="77777777" w:rsidTr="00C03748">
        <w:trPr>
          <w:trHeight w:val="330"/>
        </w:trPr>
        <w:tc>
          <w:tcPr>
            <w:tcW w:w="2835" w:type="dxa"/>
            <w:tcBorders>
              <w:top w:val="nil"/>
              <w:left w:val="nil"/>
              <w:bottom w:val="nil"/>
              <w:right w:val="nil"/>
            </w:tcBorders>
            <w:shd w:val="clear" w:color="000000" w:fill="8ED973"/>
            <w:noWrap/>
            <w:vAlign w:val="bottom"/>
            <w:hideMark/>
          </w:tcPr>
          <w:p w14:paraId="022C829C" w14:textId="77777777" w:rsidR="00C03748" w:rsidRPr="00C03748" w:rsidRDefault="00C03748" w:rsidP="00C03748">
            <w:pPr>
              <w:spacing w:after="0" w:line="240" w:lineRule="auto"/>
              <w:jc w:val="left"/>
              <w:rPr>
                <w:rFonts w:ascii="Aptos Narrow" w:hAnsi="Aptos Narrow"/>
                <w:b/>
                <w:bCs/>
                <w:noProof/>
                <w:color w:val="000000"/>
                <w:szCs w:val="22"/>
                <w:lang w:val="en-IE" w:eastAsia="en-IE"/>
              </w:rPr>
            </w:pPr>
            <w:r w:rsidRPr="00C03748">
              <w:rPr>
                <w:rFonts w:ascii="Aptos Narrow" w:hAnsi="Aptos Narrow"/>
                <w:b/>
                <w:bCs/>
                <w:noProof/>
                <w:color w:val="000000"/>
                <w:szCs w:val="22"/>
                <w:lang w:val="en-IE" w:eastAsia="en-IE"/>
              </w:rPr>
              <w:t>Expenditure</w:t>
            </w:r>
          </w:p>
        </w:tc>
        <w:tc>
          <w:tcPr>
            <w:tcW w:w="1734" w:type="dxa"/>
            <w:tcBorders>
              <w:top w:val="nil"/>
              <w:left w:val="nil"/>
              <w:bottom w:val="nil"/>
              <w:right w:val="nil"/>
            </w:tcBorders>
            <w:shd w:val="clear" w:color="000000" w:fill="8ED973"/>
            <w:vAlign w:val="center"/>
            <w:hideMark/>
          </w:tcPr>
          <w:p w14:paraId="009B3BDF" w14:textId="77777777" w:rsidR="00C03748" w:rsidRPr="00C03748" w:rsidRDefault="00C03748" w:rsidP="00C03748">
            <w:pPr>
              <w:spacing w:after="0" w:line="240" w:lineRule="auto"/>
              <w:jc w:val="right"/>
              <w:rPr>
                <w:rFonts w:ascii="Aptos Narrow" w:hAnsi="Aptos Narrow"/>
                <w:b/>
                <w:bCs/>
                <w:noProof/>
                <w:color w:val="000000"/>
                <w:szCs w:val="22"/>
                <w:lang w:val="en-IE" w:eastAsia="en-IE"/>
              </w:rPr>
            </w:pPr>
            <w:r w:rsidRPr="00C03748">
              <w:rPr>
                <w:rFonts w:ascii="Aptos Narrow" w:hAnsi="Aptos Narrow"/>
                <w:b/>
                <w:bCs/>
                <w:noProof/>
                <w:color w:val="000000"/>
                <w:szCs w:val="22"/>
                <w:lang w:val="en-IE" w:eastAsia="en-IE"/>
              </w:rPr>
              <w:t>590 166 737</w:t>
            </w:r>
          </w:p>
        </w:tc>
        <w:tc>
          <w:tcPr>
            <w:tcW w:w="2127" w:type="dxa"/>
            <w:tcBorders>
              <w:top w:val="nil"/>
              <w:left w:val="nil"/>
              <w:bottom w:val="nil"/>
              <w:right w:val="nil"/>
            </w:tcBorders>
            <w:shd w:val="clear" w:color="000000" w:fill="8ED973"/>
            <w:vAlign w:val="center"/>
            <w:hideMark/>
          </w:tcPr>
          <w:p w14:paraId="5E547908" w14:textId="77777777" w:rsidR="00C03748" w:rsidRPr="00C03748" w:rsidRDefault="00C03748" w:rsidP="00C03748">
            <w:pPr>
              <w:spacing w:after="0" w:line="240" w:lineRule="auto"/>
              <w:jc w:val="right"/>
              <w:rPr>
                <w:rFonts w:ascii="Aptos Narrow" w:hAnsi="Aptos Narrow"/>
                <w:b/>
                <w:bCs/>
                <w:noProof/>
                <w:color w:val="000000"/>
                <w:szCs w:val="22"/>
                <w:lang w:val="en-IE" w:eastAsia="en-IE"/>
              </w:rPr>
            </w:pPr>
            <w:r w:rsidRPr="00C03748">
              <w:rPr>
                <w:rFonts w:ascii="Aptos Narrow" w:hAnsi="Aptos Narrow"/>
                <w:b/>
                <w:bCs/>
                <w:noProof/>
                <w:color w:val="000000"/>
                <w:szCs w:val="22"/>
                <w:lang w:val="en-IE" w:eastAsia="en-IE"/>
              </w:rPr>
              <w:t>658 080 808</w:t>
            </w:r>
          </w:p>
        </w:tc>
        <w:tc>
          <w:tcPr>
            <w:tcW w:w="1922" w:type="dxa"/>
            <w:tcBorders>
              <w:top w:val="nil"/>
              <w:left w:val="nil"/>
              <w:bottom w:val="nil"/>
              <w:right w:val="nil"/>
            </w:tcBorders>
            <w:shd w:val="clear" w:color="000000" w:fill="8ED973"/>
            <w:vAlign w:val="center"/>
            <w:hideMark/>
          </w:tcPr>
          <w:p w14:paraId="69B42062" w14:textId="77777777" w:rsidR="00C03748" w:rsidRPr="00C03748" w:rsidRDefault="00C03748" w:rsidP="00C03748">
            <w:pPr>
              <w:spacing w:after="0" w:line="240" w:lineRule="auto"/>
              <w:jc w:val="right"/>
              <w:rPr>
                <w:rFonts w:ascii="Aptos Narrow" w:hAnsi="Aptos Narrow"/>
                <w:b/>
                <w:bCs/>
                <w:noProof/>
                <w:color w:val="000000"/>
                <w:szCs w:val="22"/>
                <w:lang w:val="en-IE" w:eastAsia="en-IE"/>
              </w:rPr>
            </w:pPr>
            <w:r w:rsidRPr="00C03748">
              <w:rPr>
                <w:rFonts w:ascii="Aptos Narrow" w:hAnsi="Aptos Narrow"/>
                <w:b/>
                <w:bCs/>
                <w:noProof/>
                <w:color w:val="000000"/>
                <w:szCs w:val="22"/>
                <w:lang w:val="en-IE" w:eastAsia="en-IE"/>
              </w:rPr>
              <w:t>112%</w:t>
            </w:r>
          </w:p>
        </w:tc>
      </w:tr>
      <w:tr w:rsidR="00C03748" w:rsidRPr="00C03748" w14:paraId="15D1EDD5" w14:textId="77777777" w:rsidTr="00C03748">
        <w:trPr>
          <w:trHeight w:val="315"/>
        </w:trPr>
        <w:tc>
          <w:tcPr>
            <w:tcW w:w="2835" w:type="dxa"/>
            <w:tcBorders>
              <w:top w:val="nil"/>
              <w:left w:val="nil"/>
              <w:bottom w:val="nil"/>
              <w:right w:val="nil"/>
            </w:tcBorders>
            <w:shd w:val="clear" w:color="000000" w:fill="DAF2D0"/>
            <w:noWrap/>
            <w:vAlign w:val="bottom"/>
            <w:hideMark/>
          </w:tcPr>
          <w:p w14:paraId="67D75F50" w14:textId="77777777" w:rsidR="00C03748" w:rsidRPr="00C03748" w:rsidRDefault="00C03748" w:rsidP="00C03748">
            <w:pPr>
              <w:spacing w:after="0" w:line="240" w:lineRule="auto"/>
              <w:ind w:firstLineChars="100" w:firstLine="220"/>
              <w:jc w:val="lef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Shared management</w:t>
            </w:r>
          </w:p>
        </w:tc>
        <w:tc>
          <w:tcPr>
            <w:tcW w:w="1734" w:type="dxa"/>
            <w:tcBorders>
              <w:top w:val="nil"/>
              <w:left w:val="nil"/>
              <w:bottom w:val="nil"/>
              <w:right w:val="nil"/>
            </w:tcBorders>
            <w:shd w:val="clear" w:color="000000" w:fill="DAF2D0"/>
            <w:noWrap/>
            <w:vAlign w:val="bottom"/>
            <w:hideMark/>
          </w:tcPr>
          <w:p w14:paraId="4C705D1F"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361 139 436</w:t>
            </w:r>
          </w:p>
        </w:tc>
        <w:tc>
          <w:tcPr>
            <w:tcW w:w="2127" w:type="dxa"/>
            <w:tcBorders>
              <w:top w:val="nil"/>
              <w:left w:val="nil"/>
              <w:bottom w:val="nil"/>
              <w:right w:val="nil"/>
            </w:tcBorders>
            <w:shd w:val="clear" w:color="000000" w:fill="DAF2D0"/>
            <w:noWrap/>
            <w:vAlign w:val="bottom"/>
            <w:hideMark/>
          </w:tcPr>
          <w:p w14:paraId="0DB15F08"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368 812 810</w:t>
            </w:r>
          </w:p>
        </w:tc>
        <w:tc>
          <w:tcPr>
            <w:tcW w:w="1922" w:type="dxa"/>
            <w:tcBorders>
              <w:top w:val="nil"/>
              <w:left w:val="nil"/>
              <w:bottom w:val="nil"/>
              <w:right w:val="nil"/>
            </w:tcBorders>
            <w:shd w:val="clear" w:color="000000" w:fill="DAF2D0"/>
            <w:noWrap/>
            <w:vAlign w:val="bottom"/>
            <w:hideMark/>
          </w:tcPr>
          <w:p w14:paraId="6897778B"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102%</w:t>
            </w:r>
          </w:p>
        </w:tc>
      </w:tr>
      <w:tr w:rsidR="00C03748" w:rsidRPr="00C03748" w14:paraId="1E77D003" w14:textId="77777777" w:rsidTr="00C03748">
        <w:trPr>
          <w:trHeight w:val="300"/>
        </w:trPr>
        <w:tc>
          <w:tcPr>
            <w:tcW w:w="2835" w:type="dxa"/>
            <w:tcBorders>
              <w:top w:val="nil"/>
              <w:left w:val="nil"/>
              <w:bottom w:val="nil"/>
              <w:right w:val="nil"/>
            </w:tcBorders>
            <w:shd w:val="clear" w:color="000000" w:fill="B5E6A2"/>
            <w:noWrap/>
            <w:vAlign w:val="bottom"/>
            <w:hideMark/>
          </w:tcPr>
          <w:p w14:paraId="319DD228" w14:textId="77777777" w:rsidR="00C03748" w:rsidRPr="00C03748" w:rsidRDefault="00C03748" w:rsidP="00C03748">
            <w:pPr>
              <w:spacing w:after="0" w:line="240" w:lineRule="auto"/>
              <w:ind w:firstLineChars="100" w:firstLine="220"/>
              <w:jc w:val="lef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Indirect management</w:t>
            </w:r>
          </w:p>
        </w:tc>
        <w:tc>
          <w:tcPr>
            <w:tcW w:w="1734" w:type="dxa"/>
            <w:tcBorders>
              <w:top w:val="nil"/>
              <w:left w:val="nil"/>
              <w:bottom w:val="nil"/>
              <w:right w:val="nil"/>
            </w:tcBorders>
            <w:shd w:val="clear" w:color="000000" w:fill="B5E6A2"/>
            <w:noWrap/>
            <w:vAlign w:val="bottom"/>
            <w:hideMark/>
          </w:tcPr>
          <w:p w14:paraId="0E9410D7"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140 216 080</w:t>
            </w:r>
          </w:p>
        </w:tc>
        <w:tc>
          <w:tcPr>
            <w:tcW w:w="2127" w:type="dxa"/>
            <w:tcBorders>
              <w:top w:val="nil"/>
              <w:left w:val="nil"/>
              <w:bottom w:val="nil"/>
              <w:right w:val="nil"/>
            </w:tcBorders>
            <w:shd w:val="clear" w:color="000000" w:fill="B5E6A2"/>
            <w:noWrap/>
            <w:vAlign w:val="bottom"/>
            <w:hideMark/>
          </w:tcPr>
          <w:p w14:paraId="6156C672"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200 789 193</w:t>
            </w:r>
          </w:p>
        </w:tc>
        <w:tc>
          <w:tcPr>
            <w:tcW w:w="1922" w:type="dxa"/>
            <w:tcBorders>
              <w:top w:val="nil"/>
              <w:left w:val="nil"/>
              <w:bottom w:val="nil"/>
              <w:right w:val="nil"/>
            </w:tcBorders>
            <w:shd w:val="clear" w:color="000000" w:fill="B5E6A2"/>
            <w:noWrap/>
            <w:vAlign w:val="bottom"/>
            <w:hideMark/>
          </w:tcPr>
          <w:p w14:paraId="5907E20C"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143%</w:t>
            </w:r>
          </w:p>
        </w:tc>
      </w:tr>
      <w:tr w:rsidR="00C03748" w:rsidRPr="00C03748" w14:paraId="45545D5A" w14:textId="77777777" w:rsidTr="00C03748">
        <w:trPr>
          <w:trHeight w:val="300"/>
        </w:trPr>
        <w:tc>
          <w:tcPr>
            <w:tcW w:w="2835" w:type="dxa"/>
            <w:tcBorders>
              <w:top w:val="nil"/>
              <w:left w:val="nil"/>
              <w:bottom w:val="nil"/>
              <w:right w:val="nil"/>
            </w:tcBorders>
            <w:shd w:val="clear" w:color="000000" w:fill="DAF2D0"/>
            <w:noWrap/>
            <w:vAlign w:val="bottom"/>
            <w:hideMark/>
          </w:tcPr>
          <w:p w14:paraId="7573BAE9" w14:textId="77777777" w:rsidR="00C03748" w:rsidRPr="00C03748" w:rsidRDefault="00C03748" w:rsidP="00C03748">
            <w:pPr>
              <w:spacing w:after="0" w:line="240" w:lineRule="auto"/>
              <w:ind w:firstLineChars="100" w:firstLine="220"/>
              <w:jc w:val="lef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Direct management</w:t>
            </w:r>
          </w:p>
        </w:tc>
        <w:tc>
          <w:tcPr>
            <w:tcW w:w="1734" w:type="dxa"/>
            <w:tcBorders>
              <w:top w:val="nil"/>
              <w:left w:val="nil"/>
              <w:bottom w:val="nil"/>
              <w:right w:val="nil"/>
            </w:tcBorders>
            <w:shd w:val="clear" w:color="000000" w:fill="DAF2D0"/>
            <w:noWrap/>
            <w:vAlign w:val="bottom"/>
            <w:hideMark/>
          </w:tcPr>
          <w:p w14:paraId="73D662D8"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88 811 221</w:t>
            </w:r>
          </w:p>
        </w:tc>
        <w:tc>
          <w:tcPr>
            <w:tcW w:w="2127" w:type="dxa"/>
            <w:tcBorders>
              <w:top w:val="nil"/>
              <w:left w:val="nil"/>
              <w:bottom w:val="nil"/>
              <w:right w:val="nil"/>
            </w:tcBorders>
            <w:shd w:val="clear" w:color="000000" w:fill="DAF2D0"/>
            <w:noWrap/>
            <w:vAlign w:val="bottom"/>
            <w:hideMark/>
          </w:tcPr>
          <w:p w14:paraId="029AEF62"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88 478 805</w:t>
            </w:r>
          </w:p>
        </w:tc>
        <w:tc>
          <w:tcPr>
            <w:tcW w:w="1922" w:type="dxa"/>
            <w:tcBorders>
              <w:top w:val="nil"/>
              <w:left w:val="nil"/>
              <w:bottom w:val="nil"/>
              <w:right w:val="nil"/>
            </w:tcBorders>
            <w:shd w:val="clear" w:color="000000" w:fill="DAF2D0"/>
            <w:noWrap/>
            <w:vAlign w:val="bottom"/>
            <w:hideMark/>
          </w:tcPr>
          <w:p w14:paraId="0CDE4045" w14:textId="77777777" w:rsidR="00C03748" w:rsidRPr="00C03748" w:rsidRDefault="00C03748" w:rsidP="00C03748">
            <w:pPr>
              <w:spacing w:after="0" w:line="240" w:lineRule="auto"/>
              <w:jc w:val="right"/>
              <w:rPr>
                <w:rFonts w:ascii="Aptos Narrow" w:hAnsi="Aptos Narrow"/>
                <w:i/>
                <w:iCs/>
                <w:noProof/>
                <w:color w:val="000000"/>
                <w:szCs w:val="22"/>
                <w:lang w:val="en-IE" w:eastAsia="en-IE"/>
              </w:rPr>
            </w:pPr>
            <w:r w:rsidRPr="00C03748">
              <w:rPr>
                <w:rFonts w:ascii="Aptos Narrow" w:hAnsi="Aptos Narrow"/>
                <w:i/>
                <w:iCs/>
                <w:noProof/>
                <w:color w:val="000000"/>
                <w:szCs w:val="22"/>
                <w:lang w:val="en-IE" w:eastAsia="en-IE"/>
              </w:rPr>
              <w:t>100%</w:t>
            </w:r>
          </w:p>
        </w:tc>
      </w:tr>
    </w:tbl>
    <w:p w14:paraId="0356DA6E" w14:textId="5DCBD24A" w:rsidR="00992387" w:rsidRPr="00DE3A6F" w:rsidRDefault="00992387" w:rsidP="00992387">
      <w:pPr>
        <w:rPr>
          <w:noProof/>
        </w:rPr>
      </w:pPr>
    </w:p>
    <w:p w14:paraId="3946160D" w14:textId="610B2BE2" w:rsidR="009349D5" w:rsidRPr="00DE3A6F" w:rsidRDefault="009349D5" w:rsidP="00A12FC7">
      <w:pPr>
        <w:pStyle w:val="Caption"/>
        <w:keepNext/>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Focus point </w:t>
      </w:r>
      <w:r w:rsidR="005E2BD1" w:rsidRPr="00DE3A6F">
        <w:rPr>
          <w:noProof/>
        </w:rPr>
        <w:fldChar w:fldCharType="begin"/>
      </w:r>
      <w:r w:rsidR="005E2BD1" w:rsidRPr="00DE3A6F">
        <w:rPr>
          <w:noProof/>
        </w:rPr>
        <w:instrText xml:space="preserve"> SEQ Focus_point \* ARABIC </w:instrText>
      </w:r>
      <w:r w:rsidR="005E2BD1" w:rsidRPr="00DE3A6F">
        <w:rPr>
          <w:noProof/>
        </w:rPr>
        <w:fldChar w:fldCharType="separate"/>
      </w:r>
      <w:r w:rsidR="005E2BD1" w:rsidRPr="00DE3A6F">
        <w:rPr>
          <w:noProof/>
        </w:rPr>
        <w:t>3</w:t>
      </w:r>
      <w:r w:rsidR="005E2BD1" w:rsidRPr="00DE3A6F">
        <w:rPr>
          <w:noProof/>
        </w:rPr>
        <w:fldChar w:fldCharType="end"/>
      </w:r>
      <w:r w:rsidRPr="00DE3A6F">
        <w:rPr>
          <w:noProof/>
        </w:rPr>
        <w:t>: Prevention measures show results</w:t>
      </w:r>
    </w:p>
    <w:p w14:paraId="50C8C132" w14:textId="3C7B3D63" w:rsidR="009349D5" w:rsidRPr="00DE3A6F" w:rsidRDefault="009349D5"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8A3E04">
        <w:rPr>
          <w:noProof/>
        </w:rPr>
        <w:t xml:space="preserve">The comparison between the reference periods indicates an improvement, </w:t>
      </w:r>
      <w:r w:rsidR="00A12FC7" w:rsidRPr="008A3E04">
        <w:rPr>
          <w:noProof/>
        </w:rPr>
        <w:t xml:space="preserve">which is </w:t>
      </w:r>
      <w:r w:rsidRPr="008A3E04">
        <w:rPr>
          <w:noProof/>
        </w:rPr>
        <w:t xml:space="preserve">particularly visible in </w:t>
      </w:r>
      <w:r w:rsidR="00A12FC7" w:rsidRPr="008A3E04">
        <w:rPr>
          <w:noProof/>
        </w:rPr>
        <w:t xml:space="preserve">fraud </w:t>
      </w:r>
      <w:r w:rsidRPr="008A3E04">
        <w:rPr>
          <w:noProof/>
        </w:rPr>
        <w:t xml:space="preserve">prevention . The situation </w:t>
      </w:r>
      <w:r w:rsidR="00A12FC7" w:rsidRPr="008A3E04">
        <w:rPr>
          <w:noProof/>
        </w:rPr>
        <w:t xml:space="preserve">for </w:t>
      </w:r>
      <w:r w:rsidRPr="008A3E04">
        <w:rPr>
          <w:noProof/>
        </w:rPr>
        <w:t>non-fraudulent irregularities is stable</w:t>
      </w:r>
      <w:r w:rsidR="0048355B" w:rsidRPr="008A3E04">
        <w:rPr>
          <w:noProof/>
        </w:rPr>
        <w:t xml:space="preserve">, but </w:t>
      </w:r>
      <w:r w:rsidR="006B0689" w:rsidRPr="008A3E04">
        <w:rPr>
          <w:noProof/>
        </w:rPr>
        <w:t xml:space="preserve">the derogations to the reporting obligation do not allow </w:t>
      </w:r>
      <w:r w:rsidR="00EB0FD6" w:rsidRPr="008A3E04">
        <w:rPr>
          <w:noProof/>
        </w:rPr>
        <w:t xml:space="preserve">this aspect of </w:t>
      </w:r>
      <w:r w:rsidR="0036148D" w:rsidRPr="008A3E04">
        <w:rPr>
          <w:noProof/>
        </w:rPr>
        <w:t>early detection</w:t>
      </w:r>
      <w:r w:rsidR="0095218F" w:rsidRPr="008A3E04">
        <w:rPr>
          <w:noProof/>
        </w:rPr>
        <w:t xml:space="preserve"> to be measured properly (as in relation to OLAF’s cases)</w:t>
      </w:r>
      <w:r w:rsidR="00EB0FD6" w:rsidRPr="008A3E04">
        <w:rPr>
          <w:noProof/>
        </w:rPr>
        <w:t>.</w:t>
      </w:r>
    </w:p>
    <w:p w14:paraId="0DE13EFC" w14:textId="524E5A5B" w:rsidR="00EB0FD6" w:rsidRPr="00DE3A6F" w:rsidRDefault="00EB0FD6" w:rsidP="009349D5">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lastRenderedPageBreak/>
        <w:t xml:space="preserve">The results are </w:t>
      </w:r>
      <w:r w:rsidR="00412170" w:rsidRPr="00DE3A6F">
        <w:rPr>
          <w:noProof/>
        </w:rPr>
        <w:t xml:space="preserve">consistent </w:t>
      </w:r>
      <w:r w:rsidRPr="00DE3A6F">
        <w:rPr>
          <w:noProof/>
        </w:rPr>
        <w:t xml:space="preserve">with the </w:t>
      </w:r>
      <w:r w:rsidR="00412170" w:rsidRPr="00DE3A6F">
        <w:rPr>
          <w:noProof/>
        </w:rPr>
        <w:t xml:space="preserve">continuous focus </w:t>
      </w:r>
      <w:r w:rsidR="0095218F" w:rsidRPr="00DE3A6F">
        <w:rPr>
          <w:noProof/>
        </w:rPr>
        <w:t xml:space="preserve">on prevention </w:t>
      </w:r>
      <w:r w:rsidR="0095218F" w:rsidRPr="00CA1602">
        <w:rPr>
          <w:noProof/>
        </w:rPr>
        <w:t xml:space="preserve">by </w:t>
      </w:r>
      <w:r w:rsidR="00412170" w:rsidRPr="00DE3A6F">
        <w:rPr>
          <w:noProof/>
        </w:rPr>
        <w:t>national authorities and EU bodies and institutions</w:t>
      </w:r>
      <w:r w:rsidR="007D5AFE" w:rsidRPr="00DE3A6F">
        <w:rPr>
          <w:noProof/>
        </w:rPr>
        <w:t>.</w:t>
      </w:r>
    </w:p>
    <w:p w14:paraId="42581855" w14:textId="77777777" w:rsidR="00342035" w:rsidRPr="00DE3A6F" w:rsidRDefault="00342035" w:rsidP="00F43E85">
      <w:pPr>
        <w:pStyle w:val="Heading3"/>
        <w:rPr>
          <w:noProof/>
        </w:rPr>
      </w:pPr>
      <w:bookmarkStart w:id="65" w:name="_Toc234447071"/>
      <w:r w:rsidRPr="00DE3A6F">
        <w:rPr>
          <w:noProof/>
        </w:rPr>
        <w:t>Investigation and prosecution</w:t>
      </w:r>
      <w:bookmarkEnd w:id="65"/>
    </w:p>
    <w:p w14:paraId="48AA4D12" w14:textId="6F9ACFF0" w:rsidR="00342035" w:rsidRPr="00DE3A6F" w:rsidRDefault="00342035" w:rsidP="00342035">
      <w:pPr>
        <w:rPr>
          <w:noProof/>
        </w:rPr>
      </w:pPr>
      <w:r w:rsidRPr="00DE3A6F">
        <w:rPr>
          <w:noProof/>
        </w:rPr>
        <w:t xml:space="preserve">This section </w:t>
      </w:r>
      <w:r w:rsidR="000014B1" w:rsidRPr="00DE3A6F">
        <w:rPr>
          <w:noProof/>
        </w:rPr>
        <w:t xml:space="preserve">provides </w:t>
      </w:r>
      <w:r w:rsidRPr="00DE3A6F">
        <w:rPr>
          <w:noProof/>
        </w:rPr>
        <w:t>an overview of ongoing investigations at EU and national level</w:t>
      </w:r>
      <w:r w:rsidR="00881B0E" w:rsidRPr="00DE3A6F">
        <w:rPr>
          <w:noProof/>
        </w:rPr>
        <w:t> (</w:t>
      </w:r>
      <w:r w:rsidR="00881B0E" w:rsidRPr="00DE3A6F">
        <w:rPr>
          <w:rStyle w:val="FootnoteReference"/>
          <w:noProof/>
        </w:rPr>
        <w:footnoteReference w:id="59"/>
      </w:r>
      <w:r w:rsidR="00881B0E" w:rsidRPr="00DE3A6F">
        <w:rPr>
          <w:noProof/>
        </w:rPr>
        <w:t>)</w:t>
      </w:r>
      <w:r w:rsidRPr="00DE3A6F">
        <w:rPr>
          <w:noProof/>
        </w:rPr>
        <w:t xml:space="preserve">. </w:t>
      </w:r>
    </w:p>
    <w:p w14:paraId="485B7D5C" w14:textId="21280D65" w:rsidR="00342035" w:rsidRPr="00DE3A6F" w:rsidRDefault="00342035" w:rsidP="00342035">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Methodological note </w:t>
      </w:r>
      <w:r w:rsidR="007B71FD" w:rsidRPr="00DE3A6F">
        <w:rPr>
          <w:noProof/>
        </w:rPr>
        <w:fldChar w:fldCharType="begin"/>
      </w:r>
      <w:r w:rsidR="007B71FD" w:rsidRPr="00DE3A6F">
        <w:rPr>
          <w:noProof/>
        </w:rPr>
        <w:instrText xml:space="preserve"> SEQ Methodological_note \* ARABIC </w:instrText>
      </w:r>
      <w:r w:rsidR="007B71FD" w:rsidRPr="00DE3A6F">
        <w:rPr>
          <w:noProof/>
        </w:rPr>
        <w:fldChar w:fldCharType="separate"/>
      </w:r>
      <w:r w:rsidR="007B71FD" w:rsidRPr="00DE3A6F">
        <w:rPr>
          <w:noProof/>
        </w:rPr>
        <w:t>4</w:t>
      </w:r>
      <w:r w:rsidR="007B71FD" w:rsidRPr="00DE3A6F">
        <w:rPr>
          <w:noProof/>
        </w:rPr>
        <w:fldChar w:fldCharType="end"/>
      </w:r>
      <w:r w:rsidRPr="00DE3A6F">
        <w:rPr>
          <w:noProof/>
        </w:rPr>
        <w:t xml:space="preserve">: </w:t>
      </w:r>
      <w:r w:rsidR="00475CE4" w:rsidRPr="00DE3A6F">
        <w:rPr>
          <w:noProof/>
        </w:rPr>
        <w:t xml:space="preserve">What </w:t>
      </w:r>
      <w:r w:rsidRPr="00DE3A6F">
        <w:rPr>
          <w:noProof/>
        </w:rPr>
        <w:t>is measured under ‘Investigation and prosecution’</w:t>
      </w:r>
    </w:p>
    <w:p w14:paraId="78E519BF" w14:textId="22ED3079" w:rsidR="00342035" w:rsidRPr="00DE3A6F" w:rsidRDefault="00342035"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506519">
        <w:rPr>
          <w:noProof/>
        </w:rPr>
        <w:t xml:space="preserve">This section </w:t>
      </w:r>
      <w:r w:rsidR="006B1B15" w:rsidRPr="00506519">
        <w:rPr>
          <w:noProof/>
        </w:rPr>
        <w:t xml:space="preserve">outlines </w:t>
      </w:r>
      <w:r w:rsidRPr="00506519">
        <w:rPr>
          <w:noProof/>
        </w:rPr>
        <w:t xml:space="preserve">the main efforts of investigative bodies at EU and national level. </w:t>
      </w:r>
      <w:r w:rsidR="006B1B15" w:rsidRPr="00506519">
        <w:rPr>
          <w:noProof/>
        </w:rPr>
        <w:t>T</w:t>
      </w:r>
      <w:r w:rsidRPr="00506519">
        <w:rPr>
          <w:noProof/>
        </w:rPr>
        <w:t>he ongoing efforts are presented as follows:</w:t>
      </w:r>
    </w:p>
    <w:p w14:paraId="0819A0BD" w14:textId="650EDD29" w:rsidR="00342035" w:rsidRPr="00506519" w:rsidRDefault="00342035" w:rsidP="28D37C99">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E2EFD9" w:themeFill="accent6" w:themeFillTint="33"/>
        <w:spacing w:after="120"/>
        <w:ind w:left="357" w:hanging="357"/>
        <w:jc w:val="both"/>
        <w:rPr>
          <w:rFonts w:ascii="Times New Roman" w:hAnsi="Times New Roman"/>
          <w:noProof/>
        </w:rPr>
      </w:pPr>
      <w:r w:rsidRPr="00506519">
        <w:rPr>
          <w:rFonts w:ascii="Times New Roman" w:hAnsi="Times New Roman"/>
          <w:noProof/>
        </w:rPr>
        <w:t>For national authorities, the number of ‘open cases’ of fraudulent irregularities</w:t>
      </w:r>
      <w:r w:rsidR="00AE25EC" w:rsidRPr="00506519">
        <w:rPr>
          <w:rFonts w:ascii="Times New Roman" w:hAnsi="Times New Roman"/>
          <w:noProof/>
        </w:rPr>
        <w:t> (</w:t>
      </w:r>
      <w:r w:rsidR="00AE25EC" w:rsidRPr="00506519">
        <w:rPr>
          <w:rStyle w:val="FootnoteReference"/>
          <w:rFonts w:ascii="Times New Roman" w:hAnsi="Times New Roman"/>
          <w:noProof/>
        </w:rPr>
        <w:footnoteReference w:id="60"/>
      </w:r>
      <w:r w:rsidR="00AE25EC" w:rsidRPr="00506519">
        <w:rPr>
          <w:rFonts w:ascii="Times New Roman" w:hAnsi="Times New Roman"/>
          <w:noProof/>
        </w:rPr>
        <w:t>)</w:t>
      </w:r>
      <w:r w:rsidRPr="00506519">
        <w:rPr>
          <w:rFonts w:ascii="Times New Roman" w:hAnsi="Times New Roman"/>
          <w:noProof/>
        </w:rPr>
        <w:t xml:space="preserve"> as reported in IMS </w:t>
      </w:r>
      <w:r w:rsidR="008A3E04">
        <w:rPr>
          <w:rFonts w:ascii="Times New Roman" w:hAnsi="Times New Roman"/>
          <w:noProof/>
        </w:rPr>
        <w:t xml:space="preserve">and OWNRES </w:t>
      </w:r>
      <w:r w:rsidRPr="00506519">
        <w:rPr>
          <w:rFonts w:ascii="Times New Roman" w:hAnsi="Times New Roman"/>
          <w:noProof/>
        </w:rPr>
        <w:t xml:space="preserve">for 2021-2025. IMS data do not allow to identify precisely whether an ‘open case’ means an investigation is still ongoing or the case has been brought to trial. </w:t>
      </w:r>
      <w:r w:rsidR="00006DA0" w:rsidRPr="00506519">
        <w:rPr>
          <w:rFonts w:ascii="Times New Roman" w:hAnsi="Times New Roman"/>
          <w:noProof/>
        </w:rPr>
        <w:t>Additionally</w:t>
      </w:r>
      <w:r w:rsidRPr="00506519">
        <w:rPr>
          <w:rFonts w:ascii="Times New Roman" w:hAnsi="Times New Roman"/>
          <w:noProof/>
        </w:rPr>
        <w:t>, case</w:t>
      </w:r>
      <w:r w:rsidR="00006DA0" w:rsidRPr="00506519">
        <w:rPr>
          <w:rFonts w:ascii="Times New Roman" w:hAnsi="Times New Roman"/>
          <w:noProof/>
        </w:rPr>
        <w:t xml:space="preserve"> dismissals</w:t>
      </w:r>
      <w:r w:rsidRPr="00506519">
        <w:rPr>
          <w:rFonts w:ascii="Times New Roman" w:hAnsi="Times New Roman"/>
          <w:noProof/>
        </w:rPr>
        <w:t xml:space="preserve"> can only be inferred by comparing </w:t>
      </w:r>
      <w:r w:rsidR="005A2B8A" w:rsidRPr="00506519">
        <w:rPr>
          <w:rFonts w:ascii="Times New Roman" w:hAnsi="Times New Roman"/>
          <w:noProof/>
        </w:rPr>
        <w:t xml:space="preserve">case histories </w:t>
      </w:r>
      <w:r w:rsidRPr="00506519">
        <w:rPr>
          <w:rFonts w:ascii="Times New Roman" w:hAnsi="Times New Roman"/>
          <w:noProof/>
        </w:rPr>
        <w:t xml:space="preserve">in IMS. These are limitations of the datasets that </w:t>
      </w:r>
      <w:r w:rsidR="005A2B8A" w:rsidRPr="00506519">
        <w:rPr>
          <w:rFonts w:ascii="Times New Roman" w:hAnsi="Times New Roman"/>
          <w:noProof/>
        </w:rPr>
        <w:t>must be considered</w:t>
      </w:r>
      <w:r w:rsidRPr="00506519">
        <w:rPr>
          <w:rFonts w:ascii="Times New Roman" w:hAnsi="Times New Roman"/>
          <w:noProof/>
        </w:rPr>
        <w:t xml:space="preserve">. </w:t>
      </w:r>
    </w:p>
    <w:p w14:paraId="5A3818F2" w14:textId="77777777" w:rsidR="00342035" w:rsidRPr="00506519" w:rsidRDefault="00342035" w:rsidP="28D37C99">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E2EFD9" w:themeFill="accent6" w:themeFillTint="33"/>
        <w:spacing w:after="120"/>
        <w:ind w:left="357" w:hanging="357"/>
        <w:rPr>
          <w:rFonts w:ascii="Times New Roman" w:hAnsi="Times New Roman"/>
          <w:noProof/>
        </w:rPr>
      </w:pPr>
      <w:r w:rsidRPr="00506519">
        <w:rPr>
          <w:rFonts w:ascii="Times New Roman" w:hAnsi="Times New Roman"/>
          <w:noProof/>
        </w:rPr>
        <w:t>For EU bodies (OLAF and EPPO), the number of ongoing investigations at the end of 2025.</w:t>
      </w:r>
    </w:p>
    <w:p w14:paraId="3521F526" w14:textId="5F3CED0E" w:rsidR="00342035" w:rsidRPr="00DE3A6F" w:rsidRDefault="00342035" w:rsidP="00342035">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In terms of results</w:t>
      </w:r>
      <w:r w:rsidR="00BE4D82" w:rsidRPr="00DE3A6F">
        <w:rPr>
          <w:noProof/>
        </w:rPr>
        <w:t>,</w:t>
      </w:r>
      <w:r w:rsidRPr="00DE3A6F">
        <w:rPr>
          <w:noProof/>
        </w:rPr>
        <w:t xml:space="preserve"> </w:t>
      </w:r>
      <w:r w:rsidR="00BE4D82" w:rsidRPr="00DE3A6F">
        <w:rPr>
          <w:noProof/>
        </w:rPr>
        <w:t xml:space="preserve">the section </w:t>
      </w:r>
      <w:r w:rsidRPr="00DE3A6F">
        <w:rPr>
          <w:noProof/>
        </w:rPr>
        <w:t>presents:</w:t>
      </w:r>
    </w:p>
    <w:p w14:paraId="72C68898" w14:textId="1A40AC24" w:rsidR="00342035" w:rsidRPr="00DE3A6F" w:rsidRDefault="00CD0C41" w:rsidP="006A69FF">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imes New Roman" w:hAnsi="Times New Roman"/>
          <w:noProof/>
        </w:rPr>
      </w:pPr>
      <w:r w:rsidRPr="00CA1602">
        <w:rPr>
          <w:rFonts w:ascii="Times New Roman" w:hAnsi="Times New Roman"/>
          <w:noProof/>
        </w:rPr>
        <w:t xml:space="preserve">for </w:t>
      </w:r>
      <w:r w:rsidR="00342035" w:rsidRPr="00DE3A6F">
        <w:rPr>
          <w:rFonts w:ascii="Times New Roman" w:hAnsi="Times New Roman"/>
          <w:noProof/>
        </w:rPr>
        <w:t xml:space="preserve">national authorities, the percentage of fraudulent cases </w:t>
      </w:r>
      <w:r w:rsidR="009F17B5" w:rsidRPr="00DE3A6F">
        <w:rPr>
          <w:rFonts w:ascii="Times New Roman" w:hAnsi="Times New Roman"/>
          <w:noProof/>
        </w:rPr>
        <w:t xml:space="preserve">marked </w:t>
      </w:r>
      <w:r w:rsidR="00342035" w:rsidRPr="00DE3A6F">
        <w:rPr>
          <w:rFonts w:ascii="Times New Roman" w:hAnsi="Times New Roman"/>
          <w:noProof/>
        </w:rPr>
        <w:t xml:space="preserve">as completed (dismissed or established fraud) </w:t>
      </w:r>
      <w:r w:rsidR="00D13431" w:rsidRPr="00CA1602">
        <w:rPr>
          <w:rFonts w:ascii="Times New Roman" w:hAnsi="Times New Roman"/>
          <w:noProof/>
        </w:rPr>
        <w:t xml:space="preserve">of </w:t>
      </w:r>
      <w:r w:rsidR="00342035" w:rsidRPr="00DE3A6F">
        <w:rPr>
          <w:rFonts w:ascii="Times New Roman" w:hAnsi="Times New Roman"/>
          <w:noProof/>
        </w:rPr>
        <w:t xml:space="preserve">the total number of </w:t>
      </w:r>
      <w:r w:rsidR="00B627B2" w:rsidRPr="00DE3A6F">
        <w:rPr>
          <w:rFonts w:ascii="Times New Roman" w:hAnsi="Times New Roman"/>
          <w:noProof/>
        </w:rPr>
        <w:t xml:space="preserve">fraudulent </w:t>
      </w:r>
      <w:r w:rsidR="00342035" w:rsidRPr="00DE3A6F">
        <w:rPr>
          <w:rFonts w:ascii="Times New Roman" w:hAnsi="Times New Roman"/>
          <w:noProof/>
        </w:rPr>
        <w:t>cases</w:t>
      </w:r>
      <w:r w:rsidR="009F17B5" w:rsidRPr="00DE3A6F">
        <w:rPr>
          <w:rFonts w:ascii="Times New Roman" w:hAnsi="Times New Roman"/>
          <w:noProof/>
        </w:rPr>
        <w:t xml:space="preserve"> reported in the reference period</w:t>
      </w:r>
      <w:r w:rsidR="00D13431" w:rsidRPr="00CA1602">
        <w:rPr>
          <w:rFonts w:ascii="Times New Roman" w:hAnsi="Times New Roman"/>
          <w:noProof/>
        </w:rPr>
        <w:t>;</w:t>
      </w:r>
    </w:p>
    <w:p w14:paraId="45732E99" w14:textId="53663676" w:rsidR="00342035" w:rsidRPr="00506519" w:rsidRDefault="00CD0C41" w:rsidP="28D37C99">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noProof/>
        </w:rPr>
      </w:pPr>
      <w:r w:rsidRPr="00506519">
        <w:rPr>
          <w:rFonts w:ascii="Times New Roman" w:hAnsi="Times New Roman"/>
          <w:noProof/>
        </w:rPr>
        <w:t xml:space="preserve">for </w:t>
      </w:r>
      <w:r w:rsidR="00342035" w:rsidRPr="00506519">
        <w:rPr>
          <w:rFonts w:ascii="Times New Roman" w:hAnsi="Times New Roman"/>
          <w:noProof/>
        </w:rPr>
        <w:t>OLAF, the number of investigations completed in 2025</w:t>
      </w:r>
      <w:r w:rsidR="00D13431" w:rsidRPr="00506519">
        <w:rPr>
          <w:rFonts w:ascii="Times New Roman" w:hAnsi="Times New Roman"/>
          <w:noProof/>
        </w:rPr>
        <w:t>;</w:t>
      </w:r>
    </w:p>
    <w:p w14:paraId="6ECF7554" w14:textId="13441D91" w:rsidR="00342035" w:rsidRPr="00506519" w:rsidRDefault="00CD0C41" w:rsidP="28D37C99">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E2EFD9" w:themeFill="accent6" w:themeFillTint="33"/>
        <w:spacing w:after="120"/>
        <w:ind w:left="357" w:hanging="357"/>
        <w:rPr>
          <w:rFonts w:ascii="Times New Roman" w:hAnsi="Times New Roman"/>
          <w:noProof/>
        </w:rPr>
      </w:pPr>
      <w:r w:rsidRPr="00506519">
        <w:rPr>
          <w:rFonts w:ascii="Times New Roman" w:hAnsi="Times New Roman"/>
          <w:noProof/>
        </w:rPr>
        <w:t xml:space="preserve">for </w:t>
      </w:r>
      <w:r w:rsidR="00B9675A" w:rsidRPr="00506519">
        <w:rPr>
          <w:rFonts w:ascii="Times New Roman" w:hAnsi="Times New Roman"/>
          <w:noProof/>
        </w:rPr>
        <w:t xml:space="preserve">the </w:t>
      </w:r>
      <w:r w:rsidR="00342035" w:rsidRPr="00506519">
        <w:rPr>
          <w:rFonts w:ascii="Times New Roman" w:hAnsi="Times New Roman"/>
          <w:noProof/>
        </w:rPr>
        <w:t>EPPO, the number of indictments, dismissals and simplified prosecution procedures in 2025.</w:t>
      </w:r>
    </w:p>
    <w:p w14:paraId="303616A1" w14:textId="23671B54" w:rsidR="00342035" w:rsidRPr="00DE3A6F" w:rsidRDefault="00342035" w:rsidP="002616ED">
      <w:pPr>
        <w:pStyle w:val="Caption"/>
        <w:keepNext/>
        <w:spacing w:before="0"/>
        <w:rPr>
          <w:noProof/>
        </w:rPr>
      </w:pPr>
      <w:r w:rsidRPr="00DE3A6F">
        <w:rPr>
          <w:noProof/>
        </w:rPr>
        <w:t xml:space="preserve">Figure </w:t>
      </w:r>
      <w:r w:rsidR="00B92B78" w:rsidRPr="00DE3A6F">
        <w:rPr>
          <w:noProof/>
        </w:rPr>
        <w:fldChar w:fldCharType="begin"/>
      </w:r>
      <w:r w:rsidR="00B92B78" w:rsidRPr="00DE3A6F">
        <w:rPr>
          <w:noProof/>
        </w:rPr>
        <w:instrText xml:space="preserve"> SEQ Figure \* ARABIC </w:instrText>
      </w:r>
      <w:r w:rsidR="00B92B78" w:rsidRPr="00DE3A6F">
        <w:rPr>
          <w:noProof/>
        </w:rPr>
        <w:fldChar w:fldCharType="separate"/>
      </w:r>
      <w:r w:rsidR="00AD1F7D">
        <w:rPr>
          <w:noProof/>
        </w:rPr>
        <w:t>15</w:t>
      </w:r>
      <w:r w:rsidR="00B92B78" w:rsidRPr="00DE3A6F">
        <w:rPr>
          <w:noProof/>
        </w:rPr>
        <w:fldChar w:fldCharType="end"/>
      </w:r>
      <w:r w:rsidRPr="00DE3A6F">
        <w:rPr>
          <w:noProof/>
        </w:rPr>
        <w:t xml:space="preserve">: </w:t>
      </w:r>
      <w:r w:rsidR="00E51B9D" w:rsidRPr="00CA1602">
        <w:rPr>
          <w:noProof/>
        </w:rPr>
        <w:t>O</w:t>
      </w:r>
      <w:r w:rsidRPr="00DE3A6F">
        <w:rPr>
          <w:noProof/>
        </w:rPr>
        <w:t>ngoing investigations and prosecutions</w:t>
      </w:r>
      <w:r w:rsidR="00B62855" w:rsidRPr="00DE3A6F">
        <w:rPr>
          <w:noProof/>
        </w:rPr>
        <w:t xml:space="preserve"> (2021-2025)</w:t>
      </w:r>
    </w:p>
    <w:tbl>
      <w:tblPr>
        <w:tblW w:w="8886" w:type="dxa"/>
        <w:tblLook w:val="04A0" w:firstRow="1" w:lastRow="0" w:firstColumn="1" w:lastColumn="0" w:noHBand="0" w:noVBand="1"/>
      </w:tblPr>
      <w:tblGrid>
        <w:gridCol w:w="4253"/>
        <w:gridCol w:w="1601"/>
        <w:gridCol w:w="1134"/>
        <w:gridCol w:w="1675"/>
        <w:gridCol w:w="223"/>
      </w:tblGrid>
      <w:tr w:rsidR="00DA2EA6" w:rsidRPr="002616ED" w14:paraId="7F6A0EAA" w14:textId="77777777" w:rsidTr="00DA2EA6">
        <w:trPr>
          <w:gridAfter w:val="1"/>
          <w:wAfter w:w="224" w:type="dxa"/>
          <w:trHeight w:val="375"/>
        </w:trPr>
        <w:tc>
          <w:tcPr>
            <w:tcW w:w="4253" w:type="dxa"/>
            <w:tcBorders>
              <w:top w:val="nil"/>
              <w:left w:val="nil"/>
              <w:bottom w:val="nil"/>
              <w:right w:val="nil"/>
            </w:tcBorders>
            <w:noWrap/>
            <w:vAlign w:val="bottom"/>
            <w:hideMark/>
          </w:tcPr>
          <w:p w14:paraId="57D34800" w14:textId="77777777" w:rsidR="00A24B14" w:rsidRPr="002616ED" w:rsidRDefault="00A24B14" w:rsidP="00A24B14">
            <w:pPr>
              <w:spacing w:after="0" w:line="240" w:lineRule="auto"/>
              <w:jc w:val="left"/>
              <w:rPr>
                <w:noProof/>
                <w:sz w:val="20"/>
                <w:lang w:eastAsia="en-IE"/>
              </w:rPr>
            </w:pPr>
          </w:p>
        </w:tc>
        <w:tc>
          <w:tcPr>
            <w:tcW w:w="4409" w:type="dxa"/>
            <w:gridSpan w:val="3"/>
            <w:tcBorders>
              <w:top w:val="nil"/>
              <w:left w:val="nil"/>
              <w:bottom w:val="nil"/>
              <w:right w:val="nil"/>
            </w:tcBorders>
            <w:shd w:val="clear" w:color="000000" w:fill="7E350E"/>
            <w:noWrap/>
            <w:vAlign w:val="bottom"/>
            <w:hideMark/>
          </w:tcPr>
          <w:p w14:paraId="5F7DFD44" w14:textId="77777777" w:rsidR="00A24B14" w:rsidRPr="002616ED" w:rsidRDefault="00A24B14" w:rsidP="00D35864">
            <w:pPr>
              <w:keepNext/>
              <w:spacing w:after="0" w:line="240" w:lineRule="auto"/>
              <w:jc w:val="center"/>
              <w:rPr>
                <w:rFonts w:ascii="Aptos Narrow" w:hAnsi="Aptos Narrow"/>
                <w:b/>
                <w:bCs/>
                <w:noProof/>
                <w:color w:val="FFFFFF"/>
                <w:sz w:val="20"/>
                <w:lang w:eastAsia="en-IE"/>
              </w:rPr>
            </w:pPr>
            <w:r w:rsidRPr="002616ED">
              <w:rPr>
                <w:rFonts w:ascii="Aptos Narrow" w:hAnsi="Aptos Narrow"/>
                <w:b/>
                <w:bCs/>
                <w:noProof/>
                <w:color w:val="FFFFFF"/>
                <w:sz w:val="20"/>
                <w:lang w:eastAsia="en-IE"/>
              </w:rPr>
              <w:t>Open cases / ongoing investigations</w:t>
            </w:r>
          </w:p>
        </w:tc>
      </w:tr>
      <w:tr w:rsidR="00DA2EA6" w:rsidRPr="002616ED" w14:paraId="5566DC90" w14:textId="77777777" w:rsidTr="00DA2EA6">
        <w:trPr>
          <w:gridAfter w:val="1"/>
          <w:wAfter w:w="224" w:type="dxa"/>
          <w:trHeight w:val="300"/>
        </w:trPr>
        <w:tc>
          <w:tcPr>
            <w:tcW w:w="4253" w:type="dxa"/>
            <w:vMerge w:val="restart"/>
            <w:tcBorders>
              <w:top w:val="nil"/>
              <w:left w:val="nil"/>
              <w:bottom w:val="nil"/>
              <w:right w:val="nil"/>
            </w:tcBorders>
            <w:shd w:val="clear" w:color="000000" w:fill="BE5014"/>
            <w:noWrap/>
            <w:vAlign w:val="bottom"/>
            <w:hideMark/>
          </w:tcPr>
          <w:p w14:paraId="22C17E5B" w14:textId="77777777" w:rsidR="00A24B14" w:rsidRPr="002616ED" w:rsidRDefault="00A24B14" w:rsidP="00A24B14">
            <w:pPr>
              <w:spacing w:after="0" w:line="240" w:lineRule="auto"/>
              <w:jc w:val="left"/>
              <w:rPr>
                <w:rFonts w:ascii="Aptos Narrow" w:hAnsi="Aptos Narrow"/>
                <w:b/>
                <w:bCs/>
                <w:noProof/>
                <w:color w:val="FFFFFF"/>
                <w:sz w:val="20"/>
                <w:lang w:eastAsia="en-IE"/>
              </w:rPr>
            </w:pPr>
            <w:r w:rsidRPr="002616ED">
              <w:rPr>
                <w:rFonts w:ascii="Aptos Narrow" w:hAnsi="Aptos Narrow"/>
                <w:b/>
                <w:bCs/>
                <w:noProof/>
                <w:color w:val="FFFFFF"/>
                <w:sz w:val="20"/>
                <w:lang w:eastAsia="en-IE"/>
              </w:rPr>
              <w:t>Budgetary area - sector</w:t>
            </w:r>
          </w:p>
        </w:tc>
        <w:tc>
          <w:tcPr>
            <w:tcW w:w="1601" w:type="dxa"/>
            <w:vMerge w:val="restart"/>
            <w:tcBorders>
              <w:top w:val="nil"/>
              <w:left w:val="nil"/>
              <w:bottom w:val="nil"/>
              <w:right w:val="nil"/>
            </w:tcBorders>
            <w:shd w:val="clear" w:color="000000" w:fill="BE5014"/>
            <w:vAlign w:val="center"/>
            <w:hideMark/>
          </w:tcPr>
          <w:p w14:paraId="7419206E" w14:textId="77777777" w:rsidR="00A24B14" w:rsidRPr="002616ED" w:rsidRDefault="00A24B14" w:rsidP="00A24B14">
            <w:pPr>
              <w:spacing w:after="0" w:line="240" w:lineRule="auto"/>
              <w:jc w:val="center"/>
              <w:rPr>
                <w:rFonts w:ascii="Aptos Narrow" w:hAnsi="Aptos Narrow"/>
                <w:b/>
                <w:bCs/>
                <w:noProof/>
                <w:color w:val="FFFFFF"/>
                <w:sz w:val="20"/>
                <w:lang w:eastAsia="en-IE"/>
              </w:rPr>
            </w:pPr>
            <w:r w:rsidRPr="002616ED">
              <w:rPr>
                <w:rFonts w:ascii="Aptos Narrow" w:hAnsi="Aptos Narrow"/>
                <w:b/>
                <w:bCs/>
                <w:noProof/>
                <w:color w:val="FFFFFF"/>
                <w:sz w:val="20"/>
                <w:lang w:eastAsia="en-IE"/>
              </w:rPr>
              <w:t>National authorities*</w:t>
            </w:r>
          </w:p>
        </w:tc>
        <w:tc>
          <w:tcPr>
            <w:tcW w:w="1134" w:type="dxa"/>
            <w:vMerge w:val="restart"/>
            <w:tcBorders>
              <w:top w:val="nil"/>
              <w:left w:val="nil"/>
              <w:bottom w:val="nil"/>
              <w:right w:val="nil"/>
            </w:tcBorders>
            <w:shd w:val="clear" w:color="000000" w:fill="BE5014"/>
            <w:noWrap/>
            <w:vAlign w:val="center"/>
            <w:hideMark/>
          </w:tcPr>
          <w:p w14:paraId="02FDFEB8" w14:textId="77777777" w:rsidR="00A24B14" w:rsidRPr="002616ED" w:rsidRDefault="00A24B14" w:rsidP="00A24B14">
            <w:pPr>
              <w:spacing w:after="0" w:line="240" w:lineRule="auto"/>
              <w:jc w:val="center"/>
              <w:rPr>
                <w:rFonts w:ascii="Aptos Narrow" w:hAnsi="Aptos Narrow"/>
                <w:b/>
                <w:bCs/>
                <w:noProof/>
                <w:color w:val="FFFFFF"/>
                <w:sz w:val="20"/>
                <w:lang w:eastAsia="en-IE"/>
              </w:rPr>
            </w:pPr>
            <w:r w:rsidRPr="002616ED">
              <w:rPr>
                <w:rFonts w:ascii="Aptos Narrow" w:hAnsi="Aptos Narrow"/>
                <w:b/>
                <w:bCs/>
                <w:noProof/>
                <w:color w:val="FFFFFF"/>
                <w:sz w:val="20"/>
                <w:lang w:eastAsia="en-IE"/>
              </w:rPr>
              <w:t>EPPO**</w:t>
            </w:r>
          </w:p>
        </w:tc>
        <w:tc>
          <w:tcPr>
            <w:tcW w:w="1674" w:type="dxa"/>
            <w:vMerge w:val="restart"/>
            <w:tcBorders>
              <w:top w:val="nil"/>
              <w:left w:val="nil"/>
              <w:bottom w:val="nil"/>
              <w:right w:val="nil"/>
            </w:tcBorders>
            <w:shd w:val="clear" w:color="000000" w:fill="BE5014"/>
            <w:noWrap/>
            <w:vAlign w:val="center"/>
            <w:hideMark/>
          </w:tcPr>
          <w:p w14:paraId="65219BE7" w14:textId="77777777" w:rsidR="00A24B14" w:rsidRPr="002616ED" w:rsidRDefault="00A24B14" w:rsidP="00A24B14">
            <w:pPr>
              <w:spacing w:after="0" w:line="240" w:lineRule="auto"/>
              <w:jc w:val="center"/>
              <w:rPr>
                <w:rFonts w:ascii="Aptos Narrow" w:hAnsi="Aptos Narrow"/>
                <w:b/>
                <w:bCs/>
                <w:noProof/>
                <w:color w:val="FFFFFF"/>
                <w:sz w:val="20"/>
                <w:lang w:eastAsia="en-IE"/>
              </w:rPr>
            </w:pPr>
            <w:r w:rsidRPr="002616ED">
              <w:rPr>
                <w:rFonts w:ascii="Aptos Narrow" w:hAnsi="Aptos Narrow"/>
                <w:b/>
                <w:bCs/>
                <w:noProof/>
                <w:color w:val="FFFFFF"/>
                <w:sz w:val="20"/>
                <w:lang w:eastAsia="en-IE"/>
              </w:rPr>
              <w:t>OLAF***</w:t>
            </w:r>
          </w:p>
        </w:tc>
      </w:tr>
      <w:tr w:rsidR="00DA2EA6" w:rsidRPr="002616ED" w14:paraId="1A5CBA6B" w14:textId="77777777" w:rsidTr="00DA2EA6">
        <w:trPr>
          <w:trHeight w:val="300"/>
        </w:trPr>
        <w:tc>
          <w:tcPr>
            <w:tcW w:w="4253" w:type="dxa"/>
            <w:vMerge/>
            <w:tcBorders>
              <w:top w:val="nil"/>
              <w:left w:val="nil"/>
              <w:bottom w:val="nil"/>
              <w:right w:val="nil"/>
            </w:tcBorders>
            <w:vAlign w:val="center"/>
            <w:hideMark/>
          </w:tcPr>
          <w:p w14:paraId="66286384" w14:textId="77777777" w:rsidR="00A24B14" w:rsidRPr="002616ED" w:rsidRDefault="00A24B14" w:rsidP="00A24B14">
            <w:pPr>
              <w:spacing w:after="0" w:line="240" w:lineRule="auto"/>
              <w:jc w:val="left"/>
              <w:rPr>
                <w:rFonts w:ascii="Aptos Narrow" w:hAnsi="Aptos Narrow"/>
                <w:b/>
                <w:bCs/>
                <w:noProof/>
                <w:color w:val="FFFFFF"/>
                <w:sz w:val="20"/>
                <w:lang w:eastAsia="en-IE"/>
              </w:rPr>
            </w:pPr>
          </w:p>
        </w:tc>
        <w:tc>
          <w:tcPr>
            <w:tcW w:w="1601" w:type="dxa"/>
            <w:vMerge/>
            <w:tcBorders>
              <w:top w:val="nil"/>
              <w:left w:val="nil"/>
              <w:bottom w:val="nil"/>
              <w:right w:val="nil"/>
            </w:tcBorders>
            <w:vAlign w:val="center"/>
            <w:hideMark/>
          </w:tcPr>
          <w:p w14:paraId="367EABAD" w14:textId="77777777" w:rsidR="00A24B14" w:rsidRPr="002616ED" w:rsidRDefault="00A24B14" w:rsidP="00A24B14">
            <w:pPr>
              <w:spacing w:after="0" w:line="240" w:lineRule="auto"/>
              <w:jc w:val="left"/>
              <w:rPr>
                <w:rFonts w:ascii="Aptos Narrow" w:hAnsi="Aptos Narrow"/>
                <w:b/>
                <w:bCs/>
                <w:noProof/>
                <w:color w:val="FFFFFF"/>
                <w:sz w:val="20"/>
                <w:lang w:eastAsia="en-IE"/>
              </w:rPr>
            </w:pPr>
          </w:p>
        </w:tc>
        <w:tc>
          <w:tcPr>
            <w:tcW w:w="1134" w:type="dxa"/>
            <w:vMerge/>
            <w:tcBorders>
              <w:top w:val="nil"/>
              <w:left w:val="nil"/>
              <w:bottom w:val="nil"/>
              <w:right w:val="nil"/>
            </w:tcBorders>
            <w:vAlign w:val="center"/>
            <w:hideMark/>
          </w:tcPr>
          <w:p w14:paraId="348CD4D4" w14:textId="77777777" w:rsidR="00A24B14" w:rsidRPr="002616ED" w:rsidRDefault="00A24B14" w:rsidP="00A24B14">
            <w:pPr>
              <w:spacing w:after="0" w:line="240" w:lineRule="auto"/>
              <w:jc w:val="left"/>
              <w:rPr>
                <w:rFonts w:ascii="Aptos Narrow" w:hAnsi="Aptos Narrow"/>
                <w:b/>
                <w:bCs/>
                <w:noProof/>
                <w:color w:val="FFFFFF"/>
                <w:sz w:val="20"/>
                <w:lang w:eastAsia="en-IE"/>
              </w:rPr>
            </w:pPr>
          </w:p>
        </w:tc>
        <w:tc>
          <w:tcPr>
            <w:tcW w:w="1674" w:type="dxa"/>
            <w:vMerge/>
            <w:tcBorders>
              <w:top w:val="nil"/>
              <w:left w:val="nil"/>
              <w:bottom w:val="nil"/>
              <w:right w:val="nil"/>
            </w:tcBorders>
            <w:vAlign w:val="center"/>
            <w:hideMark/>
          </w:tcPr>
          <w:p w14:paraId="19CD9FB6" w14:textId="77777777" w:rsidR="00A24B14" w:rsidRPr="002616ED" w:rsidRDefault="00A24B14" w:rsidP="00A24B14">
            <w:pPr>
              <w:spacing w:after="0" w:line="240" w:lineRule="auto"/>
              <w:jc w:val="left"/>
              <w:rPr>
                <w:rFonts w:ascii="Aptos Narrow" w:hAnsi="Aptos Narrow"/>
                <w:b/>
                <w:bCs/>
                <w:noProof/>
                <w:color w:val="FFFFFF"/>
                <w:sz w:val="20"/>
                <w:lang w:eastAsia="en-IE"/>
              </w:rPr>
            </w:pPr>
          </w:p>
        </w:tc>
        <w:tc>
          <w:tcPr>
            <w:tcW w:w="222" w:type="dxa"/>
            <w:tcBorders>
              <w:top w:val="nil"/>
              <w:left w:val="nil"/>
              <w:bottom w:val="nil"/>
              <w:right w:val="nil"/>
            </w:tcBorders>
            <w:noWrap/>
            <w:vAlign w:val="bottom"/>
            <w:hideMark/>
          </w:tcPr>
          <w:p w14:paraId="0074C2AB" w14:textId="77777777" w:rsidR="00A24B14" w:rsidRPr="002616ED" w:rsidRDefault="00A24B14" w:rsidP="00A24B14">
            <w:pPr>
              <w:spacing w:after="0" w:line="240" w:lineRule="auto"/>
              <w:jc w:val="center"/>
              <w:rPr>
                <w:rFonts w:ascii="Aptos Narrow" w:hAnsi="Aptos Narrow"/>
                <w:b/>
                <w:bCs/>
                <w:noProof/>
                <w:color w:val="FFFFFF"/>
                <w:sz w:val="20"/>
                <w:lang w:eastAsia="en-IE"/>
              </w:rPr>
            </w:pPr>
          </w:p>
        </w:tc>
      </w:tr>
      <w:tr w:rsidR="00DA2EA6" w:rsidRPr="002616ED" w14:paraId="0C0FE018" w14:textId="77777777" w:rsidTr="00DA2EA6">
        <w:trPr>
          <w:trHeight w:val="300"/>
        </w:trPr>
        <w:tc>
          <w:tcPr>
            <w:tcW w:w="4253" w:type="dxa"/>
            <w:tcBorders>
              <w:top w:val="nil"/>
              <w:left w:val="nil"/>
              <w:bottom w:val="nil"/>
              <w:right w:val="nil"/>
            </w:tcBorders>
            <w:shd w:val="clear" w:color="000000" w:fill="FFFFFF"/>
            <w:noWrap/>
            <w:vAlign w:val="bottom"/>
            <w:hideMark/>
          </w:tcPr>
          <w:p w14:paraId="7268595C"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Revenue - TOR</w:t>
            </w:r>
          </w:p>
        </w:tc>
        <w:tc>
          <w:tcPr>
            <w:tcW w:w="1601" w:type="dxa"/>
            <w:tcBorders>
              <w:top w:val="nil"/>
              <w:left w:val="nil"/>
              <w:bottom w:val="nil"/>
              <w:right w:val="nil"/>
            </w:tcBorders>
            <w:shd w:val="clear" w:color="000000" w:fill="FFFFFF"/>
            <w:noWrap/>
            <w:vAlign w:val="bottom"/>
            <w:hideMark/>
          </w:tcPr>
          <w:p w14:paraId="2839167F"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738</w:t>
            </w:r>
          </w:p>
        </w:tc>
        <w:tc>
          <w:tcPr>
            <w:tcW w:w="1134" w:type="dxa"/>
            <w:tcBorders>
              <w:top w:val="nil"/>
              <w:left w:val="nil"/>
              <w:bottom w:val="nil"/>
              <w:right w:val="nil"/>
            </w:tcBorders>
            <w:shd w:val="clear" w:color="000000" w:fill="FFFFFF"/>
            <w:noWrap/>
            <w:vAlign w:val="bottom"/>
            <w:hideMark/>
          </w:tcPr>
          <w:p w14:paraId="3120CFF1"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333</w:t>
            </w:r>
          </w:p>
        </w:tc>
        <w:tc>
          <w:tcPr>
            <w:tcW w:w="1674" w:type="dxa"/>
            <w:tcBorders>
              <w:top w:val="nil"/>
              <w:left w:val="nil"/>
              <w:bottom w:val="nil"/>
              <w:right w:val="nil"/>
            </w:tcBorders>
            <w:shd w:val="clear" w:color="000000" w:fill="FFFFFF"/>
            <w:noWrap/>
            <w:vAlign w:val="bottom"/>
            <w:hideMark/>
          </w:tcPr>
          <w:p w14:paraId="52D6272B"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83</w:t>
            </w:r>
          </w:p>
        </w:tc>
        <w:tc>
          <w:tcPr>
            <w:tcW w:w="222" w:type="dxa"/>
            <w:vAlign w:val="center"/>
            <w:hideMark/>
          </w:tcPr>
          <w:p w14:paraId="7CA9758F" w14:textId="77777777" w:rsidR="00A24B14" w:rsidRPr="002616ED" w:rsidRDefault="00A24B14" w:rsidP="00A24B14">
            <w:pPr>
              <w:spacing w:after="0" w:line="240" w:lineRule="auto"/>
              <w:jc w:val="left"/>
              <w:rPr>
                <w:noProof/>
                <w:sz w:val="20"/>
                <w:lang w:eastAsia="en-IE"/>
              </w:rPr>
            </w:pPr>
          </w:p>
        </w:tc>
      </w:tr>
      <w:tr w:rsidR="00DA2EA6" w:rsidRPr="002616ED" w14:paraId="0C75B9D3" w14:textId="77777777" w:rsidTr="00DA2EA6">
        <w:trPr>
          <w:trHeight w:val="300"/>
        </w:trPr>
        <w:tc>
          <w:tcPr>
            <w:tcW w:w="4253" w:type="dxa"/>
            <w:tcBorders>
              <w:top w:val="nil"/>
              <w:left w:val="nil"/>
              <w:bottom w:val="nil"/>
              <w:right w:val="nil"/>
            </w:tcBorders>
            <w:shd w:val="clear" w:color="000000" w:fill="F1A983"/>
            <w:noWrap/>
            <w:vAlign w:val="bottom"/>
            <w:hideMark/>
          </w:tcPr>
          <w:p w14:paraId="5814B6FC"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Shared management</w:t>
            </w:r>
          </w:p>
        </w:tc>
        <w:tc>
          <w:tcPr>
            <w:tcW w:w="1601" w:type="dxa"/>
            <w:tcBorders>
              <w:top w:val="nil"/>
              <w:left w:val="nil"/>
              <w:bottom w:val="nil"/>
              <w:right w:val="nil"/>
            </w:tcBorders>
            <w:shd w:val="clear" w:color="000000" w:fill="F1A983"/>
            <w:noWrap/>
            <w:vAlign w:val="bottom"/>
            <w:hideMark/>
          </w:tcPr>
          <w:p w14:paraId="2DBCB937" w14:textId="57FEC230"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2</w:t>
            </w:r>
            <w:r w:rsidR="00FD3708">
              <w:rPr>
                <w:rFonts w:ascii="Aptos Narrow" w:hAnsi="Aptos Narrow"/>
                <w:noProof/>
                <w:color w:val="000000"/>
                <w:sz w:val="20"/>
                <w:lang w:eastAsia="en-IE"/>
              </w:rPr>
              <w:t> </w:t>
            </w:r>
            <w:r w:rsidRPr="002616ED">
              <w:rPr>
                <w:rFonts w:ascii="Aptos Narrow" w:hAnsi="Aptos Narrow"/>
                <w:noProof/>
                <w:color w:val="000000"/>
                <w:sz w:val="20"/>
                <w:lang w:eastAsia="en-IE"/>
              </w:rPr>
              <w:t>341</w:t>
            </w:r>
          </w:p>
        </w:tc>
        <w:tc>
          <w:tcPr>
            <w:tcW w:w="1134" w:type="dxa"/>
            <w:tcBorders>
              <w:top w:val="nil"/>
              <w:left w:val="nil"/>
              <w:bottom w:val="nil"/>
              <w:right w:val="nil"/>
            </w:tcBorders>
            <w:shd w:val="clear" w:color="000000" w:fill="F1A983"/>
            <w:noWrap/>
            <w:vAlign w:val="bottom"/>
            <w:hideMark/>
          </w:tcPr>
          <w:p w14:paraId="3C1A3A63" w14:textId="54AC4D30"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1</w:t>
            </w:r>
            <w:r w:rsidR="00FD3708">
              <w:rPr>
                <w:rFonts w:ascii="Aptos Narrow" w:hAnsi="Aptos Narrow"/>
                <w:noProof/>
                <w:color w:val="000000"/>
                <w:sz w:val="20"/>
                <w:lang w:eastAsia="en-IE"/>
              </w:rPr>
              <w:t> </w:t>
            </w:r>
            <w:r w:rsidRPr="002616ED">
              <w:rPr>
                <w:rFonts w:ascii="Aptos Narrow" w:hAnsi="Aptos Narrow"/>
                <w:noProof/>
                <w:color w:val="000000"/>
                <w:sz w:val="20"/>
                <w:lang w:eastAsia="en-IE"/>
              </w:rPr>
              <w:t>462</w:t>
            </w:r>
          </w:p>
        </w:tc>
        <w:tc>
          <w:tcPr>
            <w:tcW w:w="1674" w:type="dxa"/>
            <w:tcBorders>
              <w:top w:val="nil"/>
              <w:left w:val="nil"/>
              <w:bottom w:val="nil"/>
              <w:right w:val="nil"/>
            </w:tcBorders>
            <w:shd w:val="clear" w:color="000000" w:fill="F1A983"/>
            <w:noWrap/>
            <w:vAlign w:val="bottom"/>
            <w:hideMark/>
          </w:tcPr>
          <w:p w14:paraId="553EC5C6"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120</w:t>
            </w:r>
          </w:p>
        </w:tc>
        <w:tc>
          <w:tcPr>
            <w:tcW w:w="222" w:type="dxa"/>
            <w:vAlign w:val="center"/>
            <w:hideMark/>
          </w:tcPr>
          <w:p w14:paraId="643626A7" w14:textId="77777777" w:rsidR="00A24B14" w:rsidRPr="002616ED" w:rsidRDefault="00A24B14" w:rsidP="00A24B14">
            <w:pPr>
              <w:spacing w:after="0" w:line="240" w:lineRule="auto"/>
              <w:jc w:val="left"/>
              <w:rPr>
                <w:noProof/>
                <w:sz w:val="20"/>
                <w:lang w:eastAsia="en-IE"/>
              </w:rPr>
            </w:pPr>
          </w:p>
        </w:tc>
      </w:tr>
      <w:tr w:rsidR="00DA2EA6" w:rsidRPr="002616ED" w14:paraId="5BE20A43" w14:textId="77777777" w:rsidTr="00DA2EA6">
        <w:trPr>
          <w:trHeight w:val="300"/>
        </w:trPr>
        <w:tc>
          <w:tcPr>
            <w:tcW w:w="4253" w:type="dxa"/>
            <w:tcBorders>
              <w:top w:val="nil"/>
              <w:left w:val="nil"/>
              <w:bottom w:val="nil"/>
              <w:right w:val="nil"/>
            </w:tcBorders>
            <w:shd w:val="clear" w:color="000000" w:fill="FBE2D5"/>
            <w:noWrap/>
            <w:vAlign w:val="bottom"/>
            <w:hideMark/>
          </w:tcPr>
          <w:p w14:paraId="1B668F5F" w14:textId="77777777" w:rsidR="00A24B14" w:rsidRPr="002616ED" w:rsidRDefault="00A24B14" w:rsidP="00A24B14">
            <w:pPr>
              <w:spacing w:after="0" w:line="240" w:lineRule="auto"/>
              <w:ind w:firstLineChars="100" w:firstLine="200"/>
              <w:jc w:val="left"/>
              <w:rPr>
                <w:rFonts w:ascii="Aptos Narrow" w:hAnsi="Aptos Narrow"/>
                <w:i/>
                <w:iCs/>
                <w:noProof/>
                <w:color w:val="000000"/>
                <w:sz w:val="20"/>
                <w:lang w:eastAsia="en-IE"/>
              </w:rPr>
            </w:pPr>
            <w:r w:rsidRPr="002616ED">
              <w:rPr>
                <w:rFonts w:ascii="Aptos Narrow" w:hAnsi="Aptos Narrow"/>
                <w:i/>
                <w:iCs/>
                <w:noProof/>
                <w:color w:val="000000"/>
                <w:sz w:val="20"/>
                <w:lang w:eastAsia="en-IE"/>
              </w:rPr>
              <w:t>Agriculture</w:t>
            </w:r>
          </w:p>
        </w:tc>
        <w:tc>
          <w:tcPr>
            <w:tcW w:w="1601" w:type="dxa"/>
            <w:tcBorders>
              <w:top w:val="nil"/>
              <w:left w:val="nil"/>
              <w:bottom w:val="nil"/>
              <w:right w:val="nil"/>
            </w:tcBorders>
            <w:shd w:val="clear" w:color="000000" w:fill="FBE2D5"/>
            <w:noWrap/>
            <w:vAlign w:val="bottom"/>
            <w:hideMark/>
          </w:tcPr>
          <w:p w14:paraId="4897006F" w14:textId="11700372"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1</w:t>
            </w:r>
            <w:r w:rsidR="00FD3708">
              <w:rPr>
                <w:rFonts w:ascii="Aptos Narrow" w:hAnsi="Aptos Narrow"/>
                <w:i/>
                <w:iCs/>
                <w:noProof/>
                <w:color w:val="000000"/>
                <w:sz w:val="20"/>
                <w:lang w:eastAsia="en-IE"/>
              </w:rPr>
              <w:t> </w:t>
            </w:r>
            <w:r w:rsidRPr="002616ED">
              <w:rPr>
                <w:rFonts w:ascii="Aptos Narrow" w:hAnsi="Aptos Narrow"/>
                <w:i/>
                <w:iCs/>
                <w:noProof/>
                <w:color w:val="000000"/>
                <w:sz w:val="20"/>
                <w:lang w:eastAsia="en-IE"/>
              </w:rPr>
              <w:t>211</w:t>
            </w:r>
          </w:p>
        </w:tc>
        <w:tc>
          <w:tcPr>
            <w:tcW w:w="1134" w:type="dxa"/>
            <w:tcBorders>
              <w:top w:val="nil"/>
              <w:left w:val="nil"/>
              <w:bottom w:val="nil"/>
              <w:right w:val="nil"/>
            </w:tcBorders>
            <w:shd w:val="clear" w:color="000000" w:fill="FBE2D5"/>
            <w:noWrap/>
            <w:vAlign w:val="bottom"/>
            <w:hideMark/>
          </w:tcPr>
          <w:p w14:paraId="63F882C1" w14:textId="77777777"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541</w:t>
            </w:r>
          </w:p>
        </w:tc>
        <w:tc>
          <w:tcPr>
            <w:tcW w:w="1674" w:type="dxa"/>
            <w:tcBorders>
              <w:top w:val="nil"/>
              <w:left w:val="nil"/>
              <w:bottom w:val="nil"/>
              <w:right w:val="nil"/>
            </w:tcBorders>
            <w:shd w:val="clear" w:color="000000" w:fill="FBE2D5"/>
            <w:noWrap/>
            <w:vAlign w:val="bottom"/>
            <w:hideMark/>
          </w:tcPr>
          <w:p w14:paraId="4FBD1D8C" w14:textId="77777777"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26</w:t>
            </w:r>
          </w:p>
        </w:tc>
        <w:tc>
          <w:tcPr>
            <w:tcW w:w="222" w:type="dxa"/>
            <w:vAlign w:val="center"/>
            <w:hideMark/>
          </w:tcPr>
          <w:p w14:paraId="2523723B" w14:textId="77777777" w:rsidR="00A24B14" w:rsidRPr="002616ED" w:rsidRDefault="00A24B14" w:rsidP="00A24B14">
            <w:pPr>
              <w:spacing w:after="0" w:line="240" w:lineRule="auto"/>
              <w:jc w:val="left"/>
              <w:rPr>
                <w:noProof/>
                <w:sz w:val="20"/>
                <w:lang w:eastAsia="en-IE"/>
              </w:rPr>
            </w:pPr>
          </w:p>
        </w:tc>
      </w:tr>
      <w:tr w:rsidR="00DA2EA6" w:rsidRPr="002616ED" w14:paraId="2B082F05" w14:textId="77777777" w:rsidTr="00DA2EA6">
        <w:trPr>
          <w:trHeight w:val="300"/>
        </w:trPr>
        <w:tc>
          <w:tcPr>
            <w:tcW w:w="4253" w:type="dxa"/>
            <w:tcBorders>
              <w:top w:val="nil"/>
              <w:left w:val="nil"/>
              <w:bottom w:val="nil"/>
              <w:right w:val="nil"/>
            </w:tcBorders>
            <w:shd w:val="clear" w:color="000000" w:fill="FBE2D5"/>
            <w:noWrap/>
            <w:vAlign w:val="bottom"/>
            <w:hideMark/>
          </w:tcPr>
          <w:p w14:paraId="09B09B76" w14:textId="77777777" w:rsidR="00A24B14" w:rsidRPr="002616ED" w:rsidRDefault="00A24B14" w:rsidP="00A24B14">
            <w:pPr>
              <w:spacing w:after="0" w:line="240" w:lineRule="auto"/>
              <w:ind w:firstLineChars="100" w:firstLine="200"/>
              <w:jc w:val="left"/>
              <w:rPr>
                <w:rFonts w:ascii="Aptos Narrow" w:hAnsi="Aptos Narrow"/>
                <w:i/>
                <w:iCs/>
                <w:noProof/>
                <w:color w:val="000000"/>
                <w:sz w:val="20"/>
                <w:lang w:eastAsia="en-IE"/>
              </w:rPr>
            </w:pPr>
            <w:r w:rsidRPr="002616ED">
              <w:rPr>
                <w:rFonts w:ascii="Aptos Narrow" w:hAnsi="Aptos Narrow"/>
                <w:i/>
                <w:iCs/>
                <w:noProof/>
                <w:color w:val="000000"/>
                <w:sz w:val="20"/>
                <w:lang w:eastAsia="en-IE"/>
              </w:rPr>
              <w:t>Cohesion policy and fishery</w:t>
            </w:r>
          </w:p>
        </w:tc>
        <w:tc>
          <w:tcPr>
            <w:tcW w:w="1601" w:type="dxa"/>
            <w:tcBorders>
              <w:top w:val="nil"/>
              <w:left w:val="nil"/>
              <w:bottom w:val="nil"/>
              <w:right w:val="nil"/>
            </w:tcBorders>
            <w:shd w:val="clear" w:color="000000" w:fill="FBE2D5"/>
            <w:noWrap/>
            <w:vAlign w:val="bottom"/>
            <w:hideMark/>
          </w:tcPr>
          <w:p w14:paraId="5748BFA7" w14:textId="032FE49B"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1</w:t>
            </w:r>
            <w:r w:rsidR="00FD3708">
              <w:rPr>
                <w:rFonts w:ascii="Aptos Narrow" w:hAnsi="Aptos Narrow"/>
                <w:i/>
                <w:iCs/>
                <w:noProof/>
                <w:color w:val="000000"/>
                <w:sz w:val="20"/>
                <w:lang w:eastAsia="en-IE"/>
              </w:rPr>
              <w:t> </w:t>
            </w:r>
            <w:r w:rsidRPr="002616ED">
              <w:rPr>
                <w:rFonts w:ascii="Aptos Narrow" w:hAnsi="Aptos Narrow"/>
                <w:i/>
                <w:iCs/>
                <w:noProof/>
                <w:color w:val="000000"/>
                <w:sz w:val="20"/>
                <w:lang w:eastAsia="en-IE"/>
              </w:rPr>
              <w:t>120</w:t>
            </w:r>
          </w:p>
        </w:tc>
        <w:tc>
          <w:tcPr>
            <w:tcW w:w="1134" w:type="dxa"/>
            <w:tcBorders>
              <w:top w:val="nil"/>
              <w:left w:val="nil"/>
              <w:bottom w:val="nil"/>
              <w:right w:val="nil"/>
            </w:tcBorders>
            <w:shd w:val="clear" w:color="000000" w:fill="FBE2D5"/>
            <w:noWrap/>
            <w:vAlign w:val="bottom"/>
            <w:hideMark/>
          </w:tcPr>
          <w:p w14:paraId="1CED55F1" w14:textId="77777777"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908</w:t>
            </w:r>
          </w:p>
        </w:tc>
        <w:tc>
          <w:tcPr>
            <w:tcW w:w="1674" w:type="dxa"/>
            <w:tcBorders>
              <w:top w:val="nil"/>
              <w:left w:val="nil"/>
              <w:bottom w:val="nil"/>
              <w:right w:val="nil"/>
            </w:tcBorders>
            <w:shd w:val="clear" w:color="000000" w:fill="FBE2D5"/>
            <w:noWrap/>
            <w:vAlign w:val="bottom"/>
            <w:hideMark/>
          </w:tcPr>
          <w:p w14:paraId="5806C415" w14:textId="77777777"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89</w:t>
            </w:r>
          </w:p>
        </w:tc>
        <w:tc>
          <w:tcPr>
            <w:tcW w:w="222" w:type="dxa"/>
            <w:vAlign w:val="center"/>
            <w:hideMark/>
          </w:tcPr>
          <w:p w14:paraId="169D490D" w14:textId="77777777" w:rsidR="00A24B14" w:rsidRPr="002616ED" w:rsidRDefault="00A24B14" w:rsidP="00A24B14">
            <w:pPr>
              <w:spacing w:after="0" w:line="240" w:lineRule="auto"/>
              <w:jc w:val="left"/>
              <w:rPr>
                <w:noProof/>
                <w:sz w:val="20"/>
                <w:lang w:eastAsia="en-IE"/>
              </w:rPr>
            </w:pPr>
          </w:p>
        </w:tc>
      </w:tr>
      <w:tr w:rsidR="00DA2EA6" w:rsidRPr="002616ED" w14:paraId="1D59F81B" w14:textId="77777777" w:rsidTr="00DA2EA6">
        <w:trPr>
          <w:trHeight w:val="300"/>
        </w:trPr>
        <w:tc>
          <w:tcPr>
            <w:tcW w:w="4253" w:type="dxa"/>
            <w:tcBorders>
              <w:top w:val="nil"/>
              <w:left w:val="nil"/>
              <w:bottom w:val="nil"/>
              <w:right w:val="nil"/>
            </w:tcBorders>
            <w:shd w:val="clear" w:color="000000" w:fill="FBE2D5"/>
            <w:noWrap/>
            <w:vAlign w:val="bottom"/>
            <w:hideMark/>
          </w:tcPr>
          <w:p w14:paraId="7400AE9A" w14:textId="77777777" w:rsidR="00A24B14" w:rsidRPr="002616ED" w:rsidRDefault="00A24B14" w:rsidP="00A24B14">
            <w:pPr>
              <w:spacing w:after="0" w:line="240" w:lineRule="auto"/>
              <w:ind w:firstLineChars="100" w:firstLine="200"/>
              <w:jc w:val="left"/>
              <w:rPr>
                <w:rFonts w:ascii="Aptos Narrow" w:hAnsi="Aptos Narrow"/>
                <w:i/>
                <w:iCs/>
                <w:noProof/>
                <w:color w:val="000000"/>
                <w:sz w:val="20"/>
                <w:lang w:eastAsia="en-IE"/>
              </w:rPr>
            </w:pPr>
            <w:r w:rsidRPr="002616ED">
              <w:rPr>
                <w:rFonts w:ascii="Aptos Narrow" w:hAnsi="Aptos Narrow"/>
                <w:i/>
                <w:iCs/>
                <w:noProof/>
                <w:color w:val="000000"/>
                <w:sz w:val="20"/>
                <w:lang w:eastAsia="en-IE"/>
              </w:rPr>
              <w:t>Other shared management</w:t>
            </w:r>
          </w:p>
        </w:tc>
        <w:tc>
          <w:tcPr>
            <w:tcW w:w="1601" w:type="dxa"/>
            <w:tcBorders>
              <w:top w:val="nil"/>
              <w:left w:val="nil"/>
              <w:bottom w:val="nil"/>
              <w:right w:val="nil"/>
            </w:tcBorders>
            <w:shd w:val="clear" w:color="000000" w:fill="FBE2D5"/>
            <w:noWrap/>
            <w:vAlign w:val="bottom"/>
            <w:hideMark/>
          </w:tcPr>
          <w:p w14:paraId="59373757" w14:textId="77777777"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10</w:t>
            </w:r>
          </w:p>
        </w:tc>
        <w:tc>
          <w:tcPr>
            <w:tcW w:w="1134" w:type="dxa"/>
            <w:tcBorders>
              <w:top w:val="nil"/>
              <w:left w:val="nil"/>
              <w:bottom w:val="nil"/>
              <w:right w:val="nil"/>
            </w:tcBorders>
            <w:shd w:val="clear" w:color="000000" w:fill="FBE2D5"/>
            <w:noWrap/>
            <w:vAlign w:val="bottom"/>
            <w:hideMark/>
          </w:tcPr>
          <w:p w14:paraId="3652E5F0" w14:textId="77777777"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13</w:t>
            </w:r>
          </w:p>
        </w:tc>
        <w:tc>
          <w:tcPr>
            <w:tcW w:w="1674" w:type="dxa"/>
            <w:tcBorders>
              <w:top w:val="nil"/>
              <w:left w:val="nil"/>
              <w:bottom w:val="nil"/>
              <w:right w:val="nil"/>
            </w:tcBorders>
            <w:shd w:val="clear" w:color="000000" w:fill="FBE2D5"/>
            <w:noWrap/>
            <w:vAlign w:val="bottom"/>
            <w:hideMark/>
          </w:tcPr>
          <w:p w14:paraId="254C0028" w14:textId="77777777" w:rsidR="00A24B14" w:rsidRPr="002616ED" w:rsidRDefault="00A24B14" w:rsidP="00A24B14">
            <w:pPr>
              <w:spacing w:after="0" w:line="240" w:lineRule="auto"/>
              <w:jc w:val="right"/>
              <w:rPr>
                <w:rFonts w:ascii="Aptos Narrow" w:hAnsi="Aptos Narrow"/>
                <w:i/>
                <w:iCs/>
                <w:noProof/>
                <w:color w:val="000000"/>
                <w:sz w:val="20"/>
                <w:lang w:eastAsia="en-IE"/>
              </w:rPr>
            </w:pPr>
            <w:r w:rsidRPr="002616ED">
              <w:rPr>
                <w:rFonts w:ascii="Aptos Narrow" w:hAnsi="Aptos Narrow"/>
                <w:i/>
                <w:iCs/>
                <w:noProof/>
                <w:color w:val="000000"/>
                <w:sz w:val="20"/>
                <w:lang w:eastAsia="en-IE"/>
              </w:rPr>
              <w:t>9</w:t>
            </w:r>
          </w:p>
        </w:tc>
        <w:tc>
          <w:tcPr>
            <w:tcW w:w="222" w:type="dxa"/>
            <w:vAlign w:val="center"/>
            <w:hideMark/>
          </w:tcPr>
          <w:p w14:paraId="6FAEBB72" w14:textId="77777777" w:rsidR="00A24B14" w:rsidRPr="002616ED" w:rsidRDefault="00A24B14" w:rsidP="00A24B14">
            <w:pPr>
              <w:spacing w:after="0" w:line="240" w:lineRule="auto"/>
              <w:jc w:val="left"/>
              <w:rPr>
                <w:noProof/>
                <w:sz w:val="20"/>
                <w:lang w:eastAsia="en-IE"/>
              </w:rPr>
            </w:pPr>
          </w:p>
        </w:tc>
      </w:tr>
      <w:tr w:rsidR="00DA2EA6" w:rsidRPr="002616ED" w14:paraId="1F30EBC6" w14:textId="77777777" w:rsidTr="00DA2EA6">
        <w:trPr>
          <w:trHeight w:val="300"/>
        </w:trPr>
        <w:tc>
          <w:tcPr>
            <w:tcW w:w="4253" w:type="dxa"/>
            <w:tcBorders>
              <w:top w:val="nil"/>
              <w:left w:val="nil"/>
              <w:bottom w:val="nil"/>
              <w:right w:val="nil"/>
            </w:tcBorders>
            <w:shd w:val="clear" w:color="000000" w:fill="FFFFFF"/>
            <w:noWrap/>
            <w:vAlign w:val="bottom"/>
            <w:hideMark/>
          </w:tcPr>
          <w:p w14:paraId="1F8FE8AC"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Indirect management - Neighbourhood and the World</w:t>
            </w:r>
          </w:p>
        </w:tc>
        <w:tc>
          <w:tcPr>
            <w:tcW w:w="1601" w:type="dxa"/>
            <w:tcBorders>
              <w:top w:val="nil"/>
              <w:left w:val="nil"/>
              <w:bottom w:val="nil"/>
              <w:right w:val="nil"/>
            </w:tcBorders>
            <w:shd w:val="clear" w:color="000000" w:fill="FFFFFF"/>
            <w:noWrap/>
            <w:vAlign w:val="bottom"/>
            <w:hideMark/>
          </w:tcPr>
          <w:p w14:paraId="6EDDBF2F"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79</w:t>
            </w:r>
          </w:p>
        </w:tc>
        <w:tc>
          <w:tcPr>
            <w:tcW w:w="1134" w:type="dxa"/>
            <w:tcBorders>
              <w:top w:val="nil"/>
              <w:left w:val="nil"/>
              <w:bottom w:val="nil"/>
              <w:right w:val="nil"/>
            </w:tcBorders>
            <w:shd w:val="clear" w:color="000000" w:fill="FFFFFF"/>
            <w:noWrap/>
            <w:vAlign w:val="bottom"/>
            <w:hideMark/>
          </w:tcPr>
          <w:p w14:paraId="4BFC70D3"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23</w:t>
            </w:r>
          </w:p>
        </w:tc>
        <w:tc>
          <w:tcPr>
            <w:tcW w:w="1674" w:type="dxa"/>
            <w:tcBorders>
              <w:top w:val="nil"/>
              <w:left w:val="nil"/>
              <w:bottom w:val="nil"/>
              <w:right w:val="nil"/>
            </w:tcBorders>
            <w:shd w:val="clear" w:color="000000" w:fill="FFFFFF"/>
            <w:noWrap/>
            <w:vAlign w:val="bottom"/>
            <w:hideMark/>
          </w:tcPr>
          <w:p w14:paraId="2E812725"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42</w:t>
            </w:r>
          </w:p>
        </w:tc>
        <w:tc>
          <w:tcPr>
            <w:tcW w:w="222" w:type="dxa"/>
            <w:vAlign w:val="center"/>
            <w:hideMark/>
          </w:tcPr>
          <w:p w14:paraId="2BC77DC6" w14:textId="77777777" w:rsidR="00A24B14" w:rsidRPr="002616ED" w:rsidRDefault="00A24B14" w:rsidP="00A24B14">
            <w:pPr>
              <w:spacing w:after="0" w:line="240" w:lineRule="auto"/>
              <w:jc w:val="left"/>
              <w:rPr>
                <w:noProof/>
                <w:sz w:val="20"/>
                <w:lang w:eastAsia="en-IE"/>
              </w:rPr>
            </w:pPr>
          </w:p>
        </w:tc>
      </w:tr>
      <w:tr w:rsidR="00DA2EA6" w:rsidRPr="002616ED" w14:paraId="46B56375" w14:textId="77777777" w:rsidTr="00DA2EA6">
        <w:trPr>
          <w:trHeight w:val="300"/>
        </w:trPr>
        <w:tc>
          <w:tcPr>
            <w:tcW w:w="4253" w:type="dxa"/>
            <w:tcBorders>
              <w:top w:val="nil"/>
              <w:left w:val="nil"/>
              <w:bottom w:val="nil"/>
              <w:right w:val="nil"/>
            </w:tcBorders>
            <w:shd w:val="clear" w:color="000000" w:fill="F1A983"/>
            <w:noWrap/>
            <w:vAlign w:val="bottom"/>
            <w:hideMark/>
          </w:tcPr>
          <w:p w14:paraId="32D1D26A"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Direct management - not RRF</w:t>
            </w:r>
          </w:p>
        </w:tc>
        <w:tc>
          <w:tcPr>
            <w:tcW w:w="1601" w:type="dxa"/>
            <w:tcBorders>
              <w:top w:val="nil"/>
              <w:left w:val="nil"/>
              <w:bottom w:val="nil"/>
              <w:right w:val="nil"/>
            </w:tcBorders>
            <w:shd w:val="clear" w:color="000000" w:fill="F1A983"/>
            <w:noWrap/>
            <w:vAlign w:val="bottom"/>
            <w:hideMark/>
          </w:tcPr>
          <w:p w14:paraId="3681EAED" w14:textId="7775F561"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n</w:t>
            </w:r>
            <w:r w:rsidR="006A3CD1" w:rsidRPr="002616ED">
              <w:rPr>
                <w:rFonts w:ascii="Aptos Narrow" w:hAnsi="Aptos Narrow"/>
                <w:noProof/>
                <w:color w:val="000000"/>
                <w:sz w:val="20"/>
                <w:lang w:eastAsia="en-IE"/>
              </w:rPr>
              <w:t>/</w:t>
            </w:r>
            <w:r w:rsidRPr="002616ED">
              <w:rPr>
                <w:rFonts w:ascii="Aptos Narrow" w:hAnsi="Aptos Narrow"/>
                <w:noProof/>
                <w:color w:val="000000"/>
                <w:sz w:val="20"/>
                <w:lang w:eastAsia="en-IE"/>
              </w:rPr>
              <w:t>a</w:t>
            </w:r>
          </w:p>
        </w:tc>
        <w:tc>
          <w:tcPr>
            <w:tcW w:w="1134" w:type="dxa"/>
            <w:tcBorders>
              <w:top w:val="nil"/>
              <w:left w:val="nil"/>
              <w:bottom w:val="nil"/>
              <w:right w:val="nil"/>
            </w:tcBorders>
            <w:shd w:val="clear" w:color="000000" w:fill="F1A983"/>
            <w:noWrap/>
            <w:vAlign w:val="bottom"/>
            <w:hideMark/>
          </w:tcPr>
          <w:p w14:paraId="311E4557"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137</w:t>
            </w:r>
          </w:p>
        </w:tc>
        <w:tc>
          <w:tcPr>
            <w:tcW w:w="1674" w:type="dxa"/>
            <w:tcBorders>
              <w:top w:val="nil"/>
              <w:left w:val="nil"/>
              <w:bottom w:val="nil"/>
              <w:right w:val="nil"/>
            </w:tcBorders>
            <w:shd w:val="clear" w:color="000000" w:fill="F1A983"/>
            <w:noWrap/>
            <w:vAlign w:val="bottom"/>
            <w:hideMark/>
          </w:tcPr>
          <w:p w14:paraId="7156D9C4"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87</w:t>
            </w:r>
          </w:p>
        </w:tc>
        <w:tc>
          <w:tcPr>
            <w:tcW w:w="222" w:type="dxa"/>
            <w:vAlign w:val="center"/>
            <w:hideMark/>
          </w:tcPr>
          <w:p w14:paraId="2BED3921" w14:textId="77777777" w:rsidR="00A24B14" w:rsidRPr="002616ED" w:rsidRDefault="00A24B14" w:rsidP="00A24B14">
            <w:pPr>
              <w:spacing w:after="0" w:line="240" w:lineRule="auto"/>
              <w:jc w:val="left"/>
              <w:rPr>
                <w:noProof/>
                <w:sz w:val="20"/>
                <w:lang w:eastAsia="en-IE"/>
              </w:rPr>
            </w:pPr>
          </w:p>
        </w:tc>
      </w:tr>
      <w:tr w:rsidR="00DA2EA6" w:rsidRPr="002616ED" w14:paraId="7296A066" w14:textId="77777777" w:rsidTr="00DA2EA6">
        <w:trPr>
          <w:trHeight w:val="300"/>
        </w:trPr>
        <w:tc>
          <w:tcPr>
            <w:tcW w:w="4253" w:type="dxa"/>
            <w:tcBorders>
              <w:top w:val="nil"/>
              <w:left w:val="nil"/>
              <w:bottom w:val="nil"/>
              <w:right w:val="nil"/>
            </w:tcBorders>
            <w:shd w:val="clear" w:color="000000" w:fill="BE5014"/>
            <w:noWrap/>
            <w:vAlign w:val="bottom"/>
            <w:hideMark/>
          </w:tcPr>
          <w:p w14:paraId="37B54962" w14:textId="77777777" w:rsidR="00A24B14" w:rsidRPr="002616ED" w:rsidRDefault="00A24B14" w:rsidP="00A24B14">
            <w:pPr>
              <w:spacing w:after="0" w:line="240" w:lineRule="auto"/>
              <w:jc w:val="left"/>
              <w:rPr>
                <w:rFonts w:ascii="Aptos Narrow" w:hAnsi="Aptos Narrow"/>
                <w:b/>
                <w:bCs/>
                <w:noProof/>
                <w:color w:val="FFFFFF"/>
                <w:sz w:val="20"/>
                <w:lang w:eastAsia="en-IE"/>
              </w:rPr>
            </w:pPr>
            <w:r w:rsidRPr="002616ED">
              <w:rPr>
                <w:rFonts w:ascii="Aptos Narrow" w:hAnsi="Aptos Narrow"/>
                <w:b/>
                <w:bCs/>
                <w:noProof/>
                <w:color w:val="FFFFFF"/>
                <w:sz w:val="20"/>
                <w:lang w:eastAsia="en-IE"/>
              </w:rPr>
              <w:t>SUBTOTAL</w:t>
            </w:r>
          </w:p>
        </w:tc>
        <w:tc>
          <w:tcPr>
            <w:tcW w:w="1601" w:type="dxa"/>
            <w:tcBorders>
              <w:top w:val="nil"/>
              <w:left w:val="nil"/>
              <w:bottom w:val="nil"/>
              <w:right w:val="nil"/>
            </w:tcBorders>
            <w:shd w:val="clear" w:color="000000" w:fill="BE5014"/>
            <w:noWrap/>
            <w:vAlign w:val="bottom"/>
            <w:hideMark/>
          </w:tcPr>
          <w:p w14:paraId="40CD1230" w14:textId="4248E53B" w:rsidR="00A24B14" w:rsidRPr="002616ED" w:rsidRDefault="00A24B14" w:rsidP="00A24B14">
            <w:pPr>
              <w:spacing w:after="0" w:line="240" w:lineRule="auto"/>
              <w:jc w:val="right"/>
              <w:rPr>
                <w:rFonts w:ascii="Aptos Narrow" w:hAnsi="Aptos Narrow"/>
                <w:b/>
                <w:bCs/>
                <w:noProof/>
                <w:color w:val="FFFFFF"/>
                <w:sz w:val="20"/>
                <w:lang w:eastAsia="en-IE"/>
              </w:rPr>
            </w:pPr>
            <w:r w:rsidRPr="002616ED">
              <w:rPr>
                <w:rFonts w:ascii="Aptos Narrow" w:hAnsi="Aptos Narrow"/>
                <w:b/>
                <w:bCs/>
                <w:noProof/>
                <w:color w:val="FFFFFF"/>
                <w:sz w:val="20"/>
                <w:lang w:eastAsia="en-IE"/>
              </w:rPr>
              <w:t>3</w:t>
            </w:r>
            <w:r w:rsidR="00FD3708">
              <w:rPr>
                <w:rFonts w:ascii="Aptos Narrow" w:hAnsi="Aptos Narrow"/>
                <w:b/>
                <w:bCs/>
                <w:noProof/>
                <w:color w:val="FFFFFF"/>
                <w:sz w:val="20"/>
                <w:lang w:eastAsia="en-IE"/>
              </w:rPr>
              <w:t> </w:t>
            </w:r>
            <w:r w:rsidRPr="002616ED">
              <w:rPr>
                <w:rFonts w:ascii="Aptos Narrow" w:hAnsi="Aptos Narrow"/>
                <w:b/>
                <w:bCs/>
                <w:noProof/>
                <w:color w:val="FFFFFF"/>
                <w:sz w:val="20"/>
                <w:lang w:eastAsia="en-IE"/>
              </w:rPr>
              <w:t>158</w:t>
            </w:r>
          </w:p>
        </w:tc>
        <w:tc>
          <w:tcPr>
            <w:tcW w:w="1134" w:type="dxa"/>
            <w:tcBorders>
              <w:top w:val="nil"/>
              <w:left w:val="nil"/>
              <w:bottom w:val="nil"/>
              <w:right w:val="nil"/>
            </w:tcBorders>
            <w:shd w:val="clear" w:color="000000" w:fill="BE5014"/>
            <w:noWrap/>
            <w:vAlign w:val="bottom"/>
            <w:hideMark/>
          </w:tcPr>
          <w:p w14:paraId="163F9042" w14:textId="62577FEB" w:rsidR="00A24B14" w:rsidRPr="002616ED" w:rsidRDefault="00A24B14" w:rsidP="00A24B14">
            <w:pPr>
              <w:spacing w:after="0" w:line="240" w:lineRule="auto"/>
              <w:jc w:val="right"/>
              <w:rPr>
                <w:rFonts w:ascii="Aptos Narrow" w:hAnsi="Aptos Narrow"/>
                <w:b/>
                <w:bCs/>
                <w:noProof/>
                <w:color w:val="FFFFFF"/>
                <w:sz w:val="20"/>
                <w:lang w:eastAsia="en-IE"/>
              </w:rPr>
            </w:pPr>
            <w:r w:rsidRPr="002616ED">
              <w:rPr>
                <w:rFonts w:ascii="Aptos Narrow" w:hAnsi="Aptos Narrow"/>
                <w:b/>
                <w:bCs/>
                <w:noProof/>
                <w:color w:val="FFFFFF"/>
                <w:sz w:val="20"/>
                <w:lang w:eastAsia="en-IE"/>
              </w:rPr>
              <w:t>1</w:t>
            </w:r>
            <w:r w:rsidR="00FD3708">
              <w:rPr>
                <w:rFonts w:ascii="Aptos Narrow" w:hAnsi="Aptos Narrow"/>
                <w:b/>
                <w:bCs/>
                <w:noProof/>
                <w:color w:val="FFFFFF"/>
                <w:sz w:val="20"/>
                <w:lang w:eastAsia="en-IE"/>
              </w:rPr>
              <w:t> </w:t>
            </w:r>
            <w:r w:rsidRPr="002616ED">
              <w:rPr>
                <w:rFonts w:ascii="Aptos Narrow" w:hAnsi="Aptos Narrow"/>
                <w:b/>
                <w:bCs/>
                <w:noProof/>
                <w:color w:val="FFFFFF"/>
                <w:sz w:val="20"/>
                <w:lang w:eastAsia="en-IE"/>
              </w:rPr>
              <w:t>818</w:t>
            </w:r>
          </w:p>
        </w:tc>
        <w:tc>
          <w:tcPr>
            <w:tcW w:w="1674" w:type="dxa"/>
            <w:tcBorders>
              <w:top w:val="nil"/>
              <w:left w:val="nil"/>
              <w:bottom w:val="nil"/>
              <w:right w:val="nil"/>
            </w:tcBorders>
            <w:shd w:val="clear" w:color="000000" w:fill="BE5014"/>
            <w:noWrap/>
            <w:vAlign w:val="bottom"/>
            <w:hideMark/>
          </w:tcPr>
          <w:p w14:paraId="1F8DFF22" w14:textId="77777777" w:rsidR="00A24B14" w:rsidRPr="002616ED" w:rsidRDefault="00A24B14" w:rsidP="00A24B14">
            <w:pPr>
              <w:spacing w:after="0" w:line="240" w:lineRule="auto"/>
              <w:jc w:val="right"/>
              <w:rPr>
                <w:rFonts w:ascii="Aptos Narrow" w:hAnsi="Aptos Narrow"/>
                <w:b/>
                <w:bCs/>
                <w:noProof/>
                <w:color w:val="FFFFFF"/>
                <w:sz w:val="20"/>
                <w:lang w:eastAsia="en-IE"/>
              </w:rPr>
            </w:pPr>
            <w:r w:rsidRPr="002616ED">
              <w:rPr>
                <w:rFonts w:ascii="Aptos Narrow" w:hAnsi="Aptos Narrow"/>
                <w:b/>
                <w:bCs/>
                <w:noProof/>
                <w:color w:val="FFFFFF"/>
                <w:sz w:val="20"/>
                <w:lang w:eastAsia="en-IE"/>
              </w:rPr>
              <w:t>245</w:t>
            </w:r>
          </w:p>
        </w:tc>
        <w:tc>
          <w:tcPr>
            <w:tcW w:w="222" w:type="dxa"/>
            <w:vAlign w:val="center"/>
            <w:hideMark/>
          </w:tcPr>
          <w:p w14:paraId="258175F3" w14:textId="77777777" w:rsidR="00A24B14" w:rsidRPr="002616ED" w:rsidRDefault="00A24B14" w:rsidP="00A24B14">
            <w:pPr>
              <w:spacing w:after="0" w:line="240" w:lineRule="auto"/>
              <w:jc w:val="left"/>
              <w:rPr>
                <w:noProof/>
                <w:sz w:val="20"/>
                <w:lang w:eastAsia="en-IE"/>
              </w:rPr>
            </w:pPr>
          </w:p>
        </w:tc>
      </w:tr>
      <w:tr w:rsidR="00DA2EA6" w:rsidRPr="002616ED" w14:paraId="1795BC5D" w14:textId="77777777" w:rsidTr="00DA2EA6">
        <w:trPr>
          <w:trHeight w:val="300"/>
        </w:trPr>
        <w:tc>
          <w:tcPr>
            <w:tcW w:w="4253" w:type="dxa"/>
            <w:tcBorders>
              <w:top w:val="nil"/>
              <w:left w:val="nil"/>
              <w:bottom w:val="nil"/>
              <w:right w:val="nil"/>
            </w:tcBorders>
            <w:shd w:val="clear" w:color="000000" w:fill="F7C7AC"/>
            <w:noWrap/>
            <w:vAlign w:val="bottom"/>
            <w:hideMark/>
          </w:tcPr>
          <w:p w14:paraId="179460F1"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Direct management - RRF</w:t>
            </w:r>
          </w:p>
        </w:tc>
        <w:tc>
          <w:tcPr>
            <w:tcW w:w="1601" w:type="dxa"/>
            <w:tcBorders>
              <w:top w:val="nil"/>
              <w:left w:val="nil"/>
              <w:bottom w:val="nil"/>
              <w:right w:val="nil"/>
            </w:tcBorders>
            <w:shd w:val="clear" w:color="000000" w:fill="F7C7AC"/>
            <w:noWrap/>
            <w:vAlign w:val="bottom"/>
            <w:hideMark/>
          </w:tcPr>
          <w:p w14:paraId="3257C901" w14:textId="035387AC"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n</w:t>
            </w:r>
            <w:r w:rsidR="006A3CD1" w:rsidRPr="002616ED">
              <w:rPr>
                <w:rFonts w:ascii="Aptos Narrow" w:hAnsi="Aptos Narrow"/>
                <w:noProof/>
                <w:color w:val="000000"/>
                <w:sz w:val="20"/>
                <w:lang w:eastAsia="en-IE"/>
              </w:rPr>
              <w:t>/</w:t>
            </w:r>
            <w:r w:rsidRPr="002616ED">
              <w:rPr>
                <w:rFonts w:ascii="Aptos Narrow" w:hAnsi="Aptos Narrow"/>
                <w:noProof/>
                <w:color w:val="000000"/>
                <w:sz w:val="20"/>
                <w:lang w:eastAsia="en-IE"/>
              </w:rPr>
              <w:t>a</w:t>
            </w:r>
          </w:p>
        </w:tc>
        <w:tc>
          <w:tcPr>
            <w:tcW w:w="1134" w:type="dxa"/>
            <w:tcBorders>
              <w:top w:val="nil"/>
              <w:left w:val="nil"/>
              <w:bottom w:val="nil"/>
              <w:right w:val="nil"/>
            </w:tcBorders>
            <w:shd w:val="clear" w:color="000000" w:fill="F7C7AC"/>
            <w:noWrap/>
            <w:vAlign w:val="bottom"/>
            <w:hideMark/>
          </w:tcPr>
          <w:p w14:paraId="6CC701D4"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512</w:t>
            </w:r>
          </w:p>
        </w:tc>
        <w:tc>
          <w:tcPr>
            <w:tcW w:w="1674" w:type="dxa"/>
            <w:tcBorders>
              <w:top w:val="nil"/>
              <w:left w:val="nil"/>
              <w:bottom w:val="nil"/>
              <w:right w:val="nil"/>
            </w:tcBorders>
            <w:shd w:val="clear" w:color="000000" w:fill="F7C7AC"/>
            <w:noWrap/>
            <w:vAlign w:val="bottom"/>
            <w:hideMark/>
          </w:tcPr>
          <w:p w14:paraId="299E1362"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40</w:t>
            </w:r>
          </w:p>
        </w:tc>
        <w:tc>
          <w:tcPr>
            <w:tcW w:w="222" w:type="dxa"/>
            <w:vAlign w:val="center"/>
            <w:hideMark/>
          </w:tcPr>
          <w:p w14:paraId="305A69B3" w14:textId="77777777" w:rsidR="00A24B14" w:rsidRPr="002616ED" w:rsidRDefault="00A24B14" w:rsidP="00A24B14">
            <w:pPr>
              <w:spacing w:after="0" w:line="240" w:lineRule="auto"/>
              <w:jc w:val="left"/>
              <w:rPr>
                <w:noProof/>
                <w:sz w:val="20"/>
                <w:lang w:eastAsia="en-IE"/>
              </w:rPr>
            </w:pPr>
          </w:p>
        </w:tc>
      </w:tr>
      <w:tr w:rsidR="00DA2EA6" w:rsidRPr="002616ED" w14:paraId="280B7A99" w14:textId="77777777" w:rsidTr="00DA2EA6">
        <w:trPr>
          <w:trHeight w:val="300"/>
        </w:trPr>
        <w:tc>
          <w:tcPr>
            <w:tcW w:w="4253" w:type="dxa"/>
            <w:tcBorders>
              <w:top w:val="nil"/>
              <w:left w:val="nil"/>
              <w:bottom w:val="nil"/>
              <w:right w:val="nil"/>
            </w:tcBorders>
            <w:shd w:val="clear" w:color="000000" w:fill="FFFFFF"/>
            <w:noWrap/>
            <w:vAlign w:val="bottom"/>
            <w:hideMark/>
          </w:tcPr>
          <w:p w14:paraId="6668086F"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Other expenditure (not specified)</w:t>
            </w:r>
          </w:p>
        </w:tc>
        <w:tc>
          <w:tcPr>
            <w:tcW w:w="1601" w:type="dxa"/>
            <w:tcBorders>
              <w:top w:val="nil"/>
              <w:left w:val="nil"/>
              <w:bottom w:val="nil"/>
              <w:right w:val="nil"/>
            </w:tcBorders>
            <w:shd w:val="clear" w:color="000000" w:fill="FFFFFF"/>
            <w:noWrap/>
            <w:vAlign w:val="bottom"/>
            <w:hideMark/>
          </w:tcPr>
          <w:p w14:paraId="4018838F" w14:textId="309AA0D4" w:rsidR="00A24B14" w:rsidRPr="002616ED" w:rsidRDefault="00FD3708" w:rsidP="00A24B14">
            <w:pPr>
              <w:spacing w:after="0" w:line="240" w:lineRule="auto"/>
              <w:jc w:val="left"/>
              <w:rPr>
                <w:rFonts w:ascii="Aptos Narrow" w:hAnsi="Aptos Narrow"/>
                <w:noProof/>
                <w:color w:val="000000"/>
                <w:sz w:val="20"/>
                <w:lang w:eastAsia="en-IE"/>
              </w:rPr>
            </w:pPr>
            <w:r>
              <w:rPr>
                <w:rFonts w:ascii="Aptos Narrow" w:hAnsi="Aptos Narrow"/>
                <w:noProof/>
                <w:color w:val="000000"/>
                <w:sz w:val="20"/>
                <w:lang w:eastAsia="en-IE"/>
              </w:rPr>
              <w:t> </w:t>
            </w:r>
          </w:p>
        </w:tc>
        <w:tc>
          <w:tcPr>
            <w:tcW w:w="1134" w:type="dxa"/>
            <w:tcBorders>
              <w:top w:val="nil"/>
              <w:left w:val="nil"/>
              <w:bottom w:val="nil"/>
              <w:right w:val="nil"/>
            </w:tcBorders>
            <w:shd w:val="clear" w:color="000000" w:fill="FFFFFF"/>
            <w:noWrap/>
            <w:vAlign w:val="bottom"/>
            <w:hideMark/>
          </w:tcPr>
          <w:p w14:paraId="077BDABF"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478</w:t>
            </w:r>
          </w:p>
        </w:tc>
        <w:tc>
          <w:tcPr>
            <w:tcW w:w="1674" w:type="dxa"/>
            <w:tcBorders>
              <w:top w:val="nil"/>
              <w:left w:val="nil"/>
              <w:bottom w:val="nil"/>
              <w:right w:val="nil"/>
            </w:tcBorders>
            <w:shd w:val="clear" w:color="000000" w:fill="FFFFFF"/>
            <w:noWrap/>
            <w:vAlign w:val="bottom"/>
            <w:hideMark/>
          </w:tcPr>
          <w:p w14:paraId="3583840A" w14:textId="4AD4AF70" w:rsidR="00A24B14" w:rsidRPr="002616ED" w:rsidRDefault="00FD3708" w:rsidP="00A24B14">
            <w:pPr>
              <w:spacing w:after="0" w:line="240" w:lineRule="auto"/>
              <w:jc w:val="left"/>
              <w:rPr>
                <w:rFonts w:ascii="Aptos Narrow" w:hAnsi="Aptos Narrow"/>
                <w:noProof/>
                <w:color w:val="000000"/>
                <w:sz w:val="20"/>
                <w:lang w:eastAsia="en-IE"/>
              </w:rPr>
            </w:pPr>
            <w:r>
              <w:rPr>
                <w:rFonts w:ascii="Aptos Narrow" w:hAnsi="Aptos Narrow"/>
                <w:noProof/>
                <w:color w:val="000000"/>
                <w:sz w:val="20"/>
                <w:lang w:eastAsia="en-IE"/>
              </w:rPr>
              <w:t> </w:t>
            </w:r>
          </w:p>
        </w:tc>
        <w:tc>
          <w:tcPr>
            <w:tcW w:w="222" w:type="dxa"/>
            <w:vAlign w:val="center"/>
            <w:hideMark/>
          </w:tcPr>
          <w:p w14:paraId="116D4562" w14:textId="77777777" w:rsidR="00A24B14" w:rsidRPr="002616ED" w:rsidRDefault="00A24B14" w:rsidP="00A24B14">
            <w:pPr>
              <w:spacing w:after="0" w:line="240" w:lineRule="auto"/>
              <w:jc w:val="left"/>
              <w:rPr>
                <w:noProof/>
                <w:sz w:val="20"/>
                <w:lang w:eastAsia="en-IE"/>
              </w:rPr>
            </w:pPr>
          </w:p>
        </w:tc>
      </w:tr>
      <w:tr w:rsidR="00DA2EA6" w:rsidRPr="002616ED" w14:paraId="75B2EBA2" w14:textId="77777777" w:rsidTr="00DA2EA6">
        <w:trPr>
          <w:trHeight w:val="300"/>
        </w:trPr>
        <w:tc>
          <w:tcPr>
            <w:tcW w:w="4253" w:type="dxa"/>
            <w:tcBorders>
              <w:top w:val="nil"/>
              <w:left w:val="nil"/>
              <w:bottom w:val="nil"/>
              <w:right w:val="nil"/>
            </w:tcBorders>
            <w:shd w:val="clear" w:color="000000" w:fill="FBE2D5"/>
            <w:noWrap/>
            <w:vAlign w:val="bottom"/>
            <w:hideMark/>
          </w:tcPr>
          <w:p w14:paraId="5B6B09AF"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Other</w:t>
            </w:r>
          </w:p>
        </w:tc>
        <w:tc>
          <w:tcPr>
            <w:tcW w:w="1601" w:type="dxa"/>
            <w:tcBorders>
              <w:top w:val="nil"/>
              <w:left w:val="nil"/>
              <w:bottom w:val="nil"/>
              <w:right w:val="nil"/>
            </w:tcBorders>
            <w:shd w:val="clear" w:color="000000" w:fill="FBE2D5"/>
            <w:noWrap/>
            <w:vAlign w:val="bottom"/>
            <w:hideMark/>
          </w:tcPr>
          <w:p w14:paraId="345F7111" w14:textId="32F60425" w:rsidR="00A24B14" w:rsidRPr="002616ED" w:rsidRDefault="00FD3708" w:rsidP="00A24B14">
            <w:pPr>
              <w:spacing w:after="0" w:line="240" w:lineRule="auto"/>
              <w:jc w:val="left"/>
              <w:rPr>
                <w:rFonts w:ascii="Aptos Narrow" w:hAnsi="Aptos Narrow"/>
                <w:noProof/>
                <w:color w:val="000000"/>
                <w:sz w:val="20"/>
                <w:lang w:eastAsia="en-IE"/>
              </w:rPr>
            </w:pPr>
            <w:r>
              <w:rPr>
                <w:rFonts w:ascii="Aptos Narrow" w:hAnsi="Aptos Narrow"/>
                <w:noProof/>
                <w:color w:val="000000"/>
                <w:sz w:val="20"/>
                <w:lang w:eastAsia="en-IE"/>
              </w:rPr>
              <w:t> </w:t>
            </w:r>
          </w:p>
        </w:tc>
        <w:tc>
          <w:tcPr>
            <w:tcW w:w="1134" w:type="dxa"/>
            <w:tcBorders>
              <w:top w:val="nil"/>
              <w:left w:val="nil"/>
              <w:bottom w:val="nil"/>
              <w:right w:val="nil"/>
            </w:tcBorders>
            <w:shd w:val="clear" w:color="000000" w:fill="FBE2D5"/>
            <w:noWrap/>
            <w:vAlign w:val="bottom"/>
            <w:hideMark/>
          </w:tcPr>
          <w:p w14:paraId="4C8161A2" w14:textId="4C1AEE3E" w:rsidR="00A24B14" w:rsidRPr="002616ED" w:rsidRDefault="00FD3708" w:rsidP="00A24B14">
            <w:pPr>
              <w:spacing w:after="0" w:line="240" w:lineRule="auto"/>
              <w:jc w:val="left"/>
              <w:rPr>
                <w:rFonts w:ascii="Aptos Narrow" w:hAnsi="Aptos Narrow"/>
                <w:noProof/>
                <w:color w:val="000000"/>
                <w:sz w:val="20"/>
                <w:lang w:eastAsia="en-IE"/>
              </w:rPr>
            </w:pPr>
            <w:r>
              <w:rPr>
                <w:rFonts w:ascii="Aptos Narrow" w:hAnsi="Aptos Narrow"/>
                <w:noProof/>
                <w:color w:val="000000"/>
                <w:sz w:val="20"/>
                <w:lang w:eastAsia="en-IE"/>
              </w:rPr>
              <w:t> </w:t>
            </w:r>
          </w:p>
        </w:tc>
        <w:tc>
          <w:tcPr>
            <w:tcW w:w="1674" w:type="dxa"/>
            <w:tcBorders>
              <w:top w:val="nil"/>
              <w:left w:val="nil"/>
              <w:bottom w:val="nil"/>
              <w:right w:val="nil"/>
            </w:tcBorders>
            <w:shd w:val="clear" w:color="000000" w:fill="FBE2D5"/>
            <w:noWrap/>
            <w:vAlign w:val="bottom"/>
            <w:hideMark/>
          </w:tcPr>
          <w:p w14:paraId="1A8B5022" w14:textId="77777777" w:rsidR="00A24B14" w:rsidRPr="002616ED" w:rsidRDefault="00A24B14" w:rsidP="00A24B14">
            <w:pPr>
              <w:spacing w:after="0" w:line="240" w:lineRule="auto"/>
              <w:jc w:val="right"/>
              <w:rPr>
                <w:rFonts w:ascii="Aptos Narrow" w:hAnsi="Aptos Narrow"/>
                <w:noProof/>
                <w:color w:val="000000"/>
                <w:sz w:val="20"/>
                <w:lang w:eastAsia="en-IE"/>
              </w:rPr>
            </w:pPr>
            <w:r w:rsidRPr="002616ED">
              <w:rPr>
                <w:rFonts w:ascii="Aptos Narrow" w:hAnsi="Aptos Narrow"/>
                <w:noProof/>
                <w:color w:val="000000"/>
                <w:sz w:val="20"/>
                <w:lang w:eastAsia="en-IE"/>
              </w:rPr>
              <w:t>52</w:t>
            </w:r>
          </w:p>
        </w:tc>
        <w:tc>
          <w:tcPr>
            <w:tcW w:w="222" w:type="dxa"/>
            <w:vAlign w:val="center"/>
            <w:hideMark/>
          </w:tcPr>
          <w:p w14:paraId="6D8DD861" w14:textId="77777777" w:rsidR="00A24B14" w:rsidRPr="002616ED" w:rsidRDefault="00A24B14" w:rsidP="00A24B14">
            <w:pPr>
              <w:spacing w:after="0" w:line="240" w:lineRule="auto"/>
              <w:jc w:val="left"/>
              <w:rPr>
                <w:noProof/>
                <w:sz w:val="20"/>
                <w:lang w:eastAsia="en-IE"/>
              </w:rPr>
            </w:pPr>
          </w:p>
        </w:tc>
      </w:tr>
      <w:tr w:rsidR="00DA2EA6" w:rsidRPr="002616ED" w14:paraId="0885B6E9" w14:textId="77777777" w:rsidTr="00DA2EA6">
        <w:trPr>
          <w:trHeight w:val="300"/>
        </w:trPr>
        <w:tc>
          <w:tcPr>
            <w:tcW w:w="4253" w:type="dxa"/>
            <w:tcBorders>
              <w:top w:val="nil"/>
              <w:left w:val="nil"/>
              <w:bottom w:val="nil"/>
              <w:right w:val="nil"/>
            </w:tcBorders>
            <w:shd w:val="clear" w:color="000000" w:fill="BE5014"/>
            <w:noWrap/>
            <w:vAlign w:val="bottom"/>
            <w:hideMark/>
          </w:tcPr>
          <w:p w14:paraId="6C06A35B" w14:textId="77777777" w:rsidR="00A24B14" w:rsidRPr="002616ED" w:rsidRDefault="00A24B14" w:rsidP="00A24B14">
            <w:pPr>
              <w:spacing w:after="0" w:line="240" w:lineRule="auto"/>
              <w:jc w:val="left"/>
              <w:rPr>
                <w:rFonts w:ascii="Aptos Narrow" w:hAnsi="Aptos Narrow"/>
                <w:b/>
                <w:bCs/>
                <w:noProof/>
                <w:color w:val="FFFFFF"/>
                <w:sz w:val="20"/>
                <w:lang w:eastAsia="en-IE"/>
              </w:rPr>
            </w:pPr>
            <w:r w:rsidRPr="002616ED">
              <w:rPr>
                <w:rFonts w:ascii="Aptos Narrow" w:hAnsi="Aptos Narrow"/>
                <w:b/>
                <w:bCs/>
                <w:noProof/>
                <w:color w:val="FFFFFF"/>
                <w:sz w:val="20"/>
                <w:lang w:eastAsia="en-IE"/>
              </w:rPr>
              <w:t>TOTAL</w:t>
            </w:r>
          </w:p>
        </w:tc>
        <w:tc>
          <w:tcPr>
            <w:tcW w:w="1601" w:type="dxa"/>
            <w:tcBorders>
              <w:top w:val="nil"/>
              <w:left w:val="nil"/>
              <w:bottom w:val="nil"/>
              <w:right w:val="nil"/>
            </w:tcBorders>
            <w:shd w:val="clear" w:color="000000" w:fill="BE5014"/>
            <w:noWrap/>
            <w:vAlign w:val="bottom"/>
            <w:hideMark/>
          </w:tcPr>
          <w:p w14:paraId="55B5BD7D" w14:textId="6F6CFE0F" w:rsidR="00A24B14" w:rsidRPr="002616ED" w:rsidRDefault="00A24B14" w:rsidP="00A24B14">
            <w:pPr>
              <w:spacing w:after="0" w:line="240" w:lineRule="auto"/>
              <w:jc w:val="right"/>
              <w:rPr>
                <w:rFonts w:ascii="Aptos Narrow" w:hAnsi="Aptos Narrow"/>
                <w:b/>
                <w:bCs/>
                <w:noProof/>
                <w:color w:val="FFFFFF"/>
                <w:sz w:val="20"/>
                <w:lang w:eastAsia="en-IE"/>
              </w:rPr>
            </w:pPr>
            <w:r w:rsidRPr="002616ED">
              <w:rPr>
                <w:rFonts w:ascii="Aptos Narrow" w:hAnsi="Aptos Narrow"/>
                <w:b/>
                <w:bCs/>
                <w:noProof/>
                <w:color w:val="FFFFFF"/>
                <w:sz w:val="20"/>
                <w:lang w:eastAsia="en-IE"/>
              </w:rPr>
              <w:t>3</w:t>
            </w:r>
            <w:r w:rsidR="00FD3708">
              <w:rPr>
                <w:rFonts w:ascii="Aptos Narrow" w:hAnsi="Aptos Narrow"/>
                <w:b/>
                <w:bCs/>
                <w:noProof/>
                <w:color w:val="FFFFFF"/>
                <w:sz w:val="20"/>
                <w:lang w:eastAsia="en-IE"/>
              </w:rPr>
              <w:t> </w:t>
            </w:r>
            <w:r w:rsidRPr="002616ED">
              <w:rPr>
                <w:rFonts w:ascii="Aptos Narrow" w:hAnsi="Aptos Narrow"/>
                <w:b/>
                <w:bCs/>
                <w:noProof/>
                <w:color w:val="FFFFFF"/>
                <w:sz w:val="20"/>
                <w:lang w:eastAsia="en-IE"/>
              </w:rPr>
              <w:t>158</w:t>
            </w:r>
          </w:p>
        </w:tc>
        <w:tc>
          <w:tcPr>
            <w:tcW w:w="1134" w:type="dxa"/>
            <w:tcBorders>
              <w:top w:val="nil"/>
              <w:left w:val="nil"/>
              <w:bottom w:val="nil"/>
              <w:right w:val="nil"/>
            </w:tcBorders>
            <w:shd w:val="clear" w:color="000000" w:fill="BE5014"/>
            <w:noWrap/>
            <w:vAlign w:val="bottom"/>
            <w:hideMark/>
          </w:tcPr>
          <w:p w14:paraId="38333FC0" w14:textId="27F836DE" w:rsidR="00A24B14" w:rsidRPr="002616ED" w:rsidRDefault="00A24B14" w:rsidP="00A24B14">
            <w:pPr>
              <w:spacing w:after="0" w:line="240" w:lineRule="auto"/>
              <w:jc w:val="right"/>
              <w:rPr>
                <w:rFonts w:ascii="Aptos Narrow" w:hAnsi="Aptos Narrow"/>
                <w:b/>
                <w:bCs/>
                <w:noProof/>
                <w:color w:val="FFFFFF"/>
                <w:sz w:val="20"/>
                <w:lang w:eastAsia="en-IE"/>
              </w:rPr>
            </w:pPr>
            <w:r w:rsidRPr="002616ED">
              <w:rPr>
                <w:rFonts w:ascii="Aptos Narrow" w:hAnsi="Aptos Narrow"/>
                <w:b/>
                <w:bCs/>
                <w:noProof/>
                <w:color w:val="FFFFFF"/>
                <w:sz w:val="20"/>
                <w:lang w:eastAsia="en-IE"/>
              </w:rPr>
              <w:t>2</w:t>
            </w:r>
            <w:r w:rsidR="00FD3708">
              <w:rPr>
                <w:rFonts w:ascii="Aptos Narrow" w:hAnsi="Aptos Narrow"/>
                <w:b/>
                <w:bCs/>
                <w:noProof/>
                <w:color w:val="FFFFFF"/>
                <w:sz w:val="20"/>
                <w:lang w:eastAsia="en-IE"/>
              </w:rPr>
              <w:t> </w:t>
            </w:r>
            <w:r w:rsidRPr="002616ED">
              <w:rPr>
                <w:rFonts w:ascii="Aptos Narrow" w:hAnsi="Aptos Narrow"/>
                <w:b/>
                <w:bCs/>
                <w:noProof/>
                <w:color w:val="FFFFFF"/>
                <w:sz w:val="20"/>
                <w:lang w:eastAsia="en-IE"/>
              </w:rPr>
              <w:t>945</w:t>
            </w:r>
          </w:p>
        </w:tc>
        <w:tc>
          <w:tcPr>
            <w:tcW w:w="1674" w:type="dxa"/>
            <w:tcBorders>
              <w:top w:val="nil"/>
              <w:left w:val="nil"/>
              <w:bottom w:val="nil"/>
              <w:right w:val="nil"/>
            </w:tcBorders>
            <w:shd w:val="clear" w:color="000000" w:fill="BE5014"/>
            <w:noWrap/>
            <w:vAlign w:val="bottom"/>
            <w:hideMark/>
          </w:tcPr>
          <w:p w14:paraId="21216C56" w14:textId="77777777" w:rsidR="00A24B14" w:rsidRPr="002616ED" w:rsidRDefault="00A24B14" w:rsidP="00A24B14">
            <w:pPr>
              <w:spacing w:after="0" w:line="240" w:lineRule="auto"/>
              <w:jc w:val="right"/>
              <w:rPr>
                <w:rFonts w:ascii="Aptos Narrow" w:hAnsi="Aptos Narrow"/>
                <w:b/>
                <w:bCs/>
                <w:noProof/>
                <w:color w:val="FFFFFF"/>
                <w:sz w:val="20"/>
                <w:lang w:eastAsia="en-IE"/>
              </w:rPr>
            </w:pPr>
            <w:r w:rsidRPr="002616ED">
              <w:rPr>
                <w:rFonts w:ascii="Aptos Narrow" w:hAnsi="Aptos Narrow"/>
                <w:b/>
                <w:bCs/>
                <w:noProof/>
                <w:color w:val="FFFFFF"/>
                <w:sz w:val="20"/>
                <w:lang w:eastAsia="en-IE"/>
              </w:rPr>
              <w:t>424</w:t>
            </w:r>
          </w:p>
        </w:tc>
        <w:tc>
          <w:tcPr>
            <w:tcW w:w="222" w:type="dxa"/>
            <w:vAlign w:val="center"/>
            <w:hideMark/>
          </w:tcPr>
          <w:p w14:paraId="1A45F2F1" w14:textId="77777777" w:rsidR="00A24B14" w:rsidRPr="002616ED" w:rsidRDefault="00A24B14" w:rsidP="00A24B14">
            <w:pPr>
              <w:spacing w:after="0" w:line="240" w:lineRule="auto"/>
              <w:jc w:val="left"/>
              <w:rPr>
                <w:noProof/>
                <w:sz w:val="20"/>
                <w:lang w:eastAsia="en-IE"/>
              </w:rPr>
            </w:pPr>
          </w:p>
        </w:tc>
      </w:tr>
      <w:tr w:rsidR="00DA2EA6" w:rsidRPr="002616ED" w14:paraId="7605B36E" w14:textId="77777777" w:rsidTr="00D4588C">
        <w:trPr>
          <w:trHeight w:val="205"/>
        </w:trPr>
        <w:tc>
          <w:tcPr>
            <w:tcW w:w="4253" w:type="dxa"/>
            <w:tcBorders>
              <w:top w:val="nil"/>
              <w:left w:val="nil"/>
              <w:bottom w:val="nil"/>
              <w:right w:val="nil"/>
            </w:tcBorders>
            <w:shd w:val="clear" w:color="000000" w:fill="FFFFFF"/>
            <w:noWrap/>
            <w:vAlign w:val="bottom"/>
            <w:hideMark/>
          </w:tcPr>
          <w:p w14:paraId="0CC6B455"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 </w:t>
            </w:r>
          </w:p>
        </w:tc>
        <w:tc>
          <w:tcPr>
            <w:tcW w:w="1601" w:type="dxa"/>
            <w:tcBorders>
              <w:top w:val="nil"/>
              <w:left w:val="nil"/>
              <w:bottom w:val="nil"/>
              <w:right w:val="nil"/>
            </w:tcBorders>
            <w:shd w:val="clear" w:color="000000" w:fill="FFFFFF"/>
            <w:noWrap/>
            <w:vAlign w:val="bottom"/>
            <w:hideMark/>
          </w:tcPr>
          <w:p w14:paraId="3E00D062"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 </w:t>
            </w:r>
          </w:p>
        </w:tc>
        <w:tc>
          <w:tcPr>
            <w:tcW w:w="1134" w:type="dxa"/>
            <w:tcBorders>
              <w:top w:val="nil"/>
              <w:left w:val="nil"/>
              <w:bottom w:val="nil"/>
              <w:right w:val="nil"/>
            </w:tcBorders>
            <w:shd w:val="clear" w:color="000000" w:fill="FFFFFF"/>
            <w:noWrap/>
            <w:vAlign w:val="bottom"/>
            <w:hideMark/>
          </w:tcPr>
          <w:p w14:paraId="40471F96"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 </w:t>
            </w:r>
          </w:p>
        </w:tc>
        <w:tc>
          <w:tcPr>
            <w:tcW w:w="1674" w:type="dxa"/>
            <w:tcBorders>
              <w:top w:val="nil"/>
              <w:left w:val="nil"/>
              <w:bottom w:val="nil"/>
              <w:right w:val="nil"/>
            </w:tcBorders>
            <w:shd w:val="clear" w:color="000000" w:fill="FFFFFF"/>
            <w:noWrap/>
            <w:vAlign w:val="bottom"/>
            <w:hideMark/>
          </w:tcPr>
          <w:p w14:paraId="03938B1F" w14:textId="77777777" w:rsidR="00A24B14" w:rsidRPr="002616ED" w:rsidRDefault="00A24B14" w:rsidP="00A24B14">
            <w:pPr>
              <w:spacing w:after="0" w:line="240" w:lineRule="auto"/>
              <w:jc w:val="left"/>
              <w:rPr>
                <w:rFonts w:ascii="Aptos Narrow" w:hAnsi="Aptos Narrow"/>
                <w:noProof/>
                <w:color w:val="000000"/>
                <w:sz w:val="20"/>
                <w:lang w:eastAsia="en-IE"/>
              </w:rPr>
            </w:pPr>
            <w:r w:rsidRPr="002616ED">
              <w:rPr>
                <w:rFonts w:ascii="Aptos Narrow" w:hAnsi="Aptos Narrow"/>
                <w:noProof/>
                <w:color w:val="000000"/>
                <w:sz w:val="20"/>
                <w:lang w:eastAsia="en-IE"/>
              </w:rPr>
              <w:t> </w:t>
            </w:r>
          </w:p>
        </w:tc>
        <w:tc>
          <w:tcPr>
            <w:tcW w:w="222" w:type="dxa"/>
            <w:vAlign w:val="center"/>
            <w:hideMark/>
          </w:tcPr>
          <w:p w14:paraId="4E4CDEA1" w14:textId="77777777" w:rsidR="00A24B14" w:rsidRPr="002616ED" w:rsidRDefault="00A24B14" w:rsidP="00A24B14">
            <w:pPr>
              <w:spacing w:after="0" w:line="240" w:lineRule="auto"/>
              <w:jc w:val="left"/>
              <w:rPr>
                <w:noProof/>
                <w:sz w:val="20"/>
                <w:lang w:eastAsia="en-IE"/>
              </w:rPr>
            </w:pPr>
          </w:p>
        </w:tc>
      </w:tr>
      <w:tr w:rsidR="00DA2EA6" w:rsidRPr="002616ED" w14:paraId="67CDC0D1" w14:textId="77777777" w:rsidTr="00677892">
        <w:trPr>
          <w:trHeight w:val="371"/>
        </w:trPr>
        <w:tc>
          <w:tcPr>
            <w:tcW w:w="8664" w:type="dxa"/>
            <w:gridSpan w:val="4"/>
            <w:tcBorders>
              <w:top w:val="nil"/>
              <w:left w:val="nil"/>
              <w:bottom w:val="nil"/>
              <w:right w:val="nil"/>
            </w:tcBorders>
            <w:shd w:val="clear" w:color="000000" w:fill="FBE2D5"/>
            <w:vAlign w:val="bottom"/>
            <w:hideMark/>
          </w:tcPr>
          <w:p w14:paraId="6EEF0A28" w14:textId="77777777" w:rsidR="00A24B14" w:rsidRPr="00677892" w:rsidRDefault="00A24B14" w:rsidP="00A24B14">
            <w:pPr>
              <w:spacing w:after="0" w:line="240" w:lineRule="auto"/>
              <w:jc w:val="left"/>
              <w:rPr>
                <w:rFonts w:ascii="Aptos Narrow" w:hAnsi="Aptos Narrow"/>
                <w:i/>
                <w:iCs/>
                <w:noProof/>
                <w:color w:val="000000"/>
                <w:sz w:val="16"/>
                <w:szCs w:val="16"/>
                <w:lang w:eastAsia="en-IE"/>
              </w:rPr>
            </w:pPr>
            <w:r w:rsidRPr="00677892">
              <w:rPr>
                <w:rFonts w:ascii="Aptos Narrow" w:hAnsi="Aptos Narrow"/>
                <w:noProof/>
                <w:color w:val="000000"/>
                <w:sz w:val="16"/>
                <w:szCs w:val="16"/>
                <w:lang w:eastAsia="en-IE"/>
              </w:rPr>
              <w:t>*</w:t>
            </w:r>
            <w:r w:rsidRPr="00677892">
              <w:rPr>
                <w:rFonts w:ascii="Aptos Narrow" w:hAnsi="Aptos Narrow"/>
                <w:i/>
                <w:iCs/>
                <w:noProof/>
                <w:color w:val="000000"/>
                <w:sz w:val="16"/>
                <w:szCs w:val="16"/>
                <w:lang w:eastAsia="en-IE"/>
              </w:rPr>
              <w:t xml:space="preserve"> For the limitations concerning data from national authorities, please see </w:t>
            </w:r>
            <w:r w:rsidRPr="00677892">
              <w:rPr>
                <w:rFonts w:ascii="Aptos Narrow" w:hAnsi="Aptos Narrow"/>
                <w:b/>
                <w:bCs/>
                <w:i/>
                <w:iCs/>
                <w:noProof/>
                <w:color w:val="000000"/>
                <w:sz w:val="16"/>
                <w:szCs w:val="16"/>
                <w:lang w:eastAsia="en-IE"/>
              </w:rPr>
              <w:t>methodological note 4</w:t>
            </w:r>
            <w:r w:rsidR="004D1ADC" w:rsidRPr="00677892">
              <w:rPr>
                <w:rFonts w:ascii="Aptos Narrow" w:hAnsi="Aptos Narrow"/>
                <w:i/>
                <w:iCs/>
                <w:noProof/>
                <w:color w:val="000000"/>
                <w:sz w:val="16"/>
                <w:szCs w:val="16"/>
                <w:lang w:eastAsia="en-IE"/>
              </w:rPr>
              <w:t>.</w:t>
            </w:r>
          </w:p>
          <w:p w14:paraId="53C18735" w14:textId="779B30E2" w:rsidR="004D1ADC" w:rsidRPr="00677892" w:rsidRDefault="00E0444B" w:rsidP="00A24B14">
            <w:pPr>
              <w:spacing w:after="0" w:line="240" w:lineRule="auto"/>
              <w:jc w:val="left"/>
              <w:rPr>
                <w:rFonts w:ascii="Aptos Narrow" w:hAnsi="Aptos Narrow"/>
                <w:noProof/>
                <w:color w:val="000000"/>
                <w:sz w:val="16"/>
                <w:szCs w:val="16"/>
                <w:lang w:eastAsia="en-IE"/>
              </w:rPr>
            </w:pPr>
            <w:r w:rsidRPr="00677892">
              <w:rPr>
                <w:rFonts w:ascii="Aptos Narrow" w:hAnsi="Aptos Narrow"/>
                <w:noProof/>
                <w:color w:val="000000"/>
                <w:sz w:val="16"/>
                <w:szCs w:val="16"/>
                <w:lang w:eastAsia="en-IE"/>
              </w:rPr>
              <w:t>738 Revenue - TOR cases include all open fraudulent cases for which either the investigation or the financial follow-up is ongoing.</w:t>
            </w:r>
          </w:p>
        </w:tc>
        <w:tc>
          <w:tcPr>
            <w:tcW w:w="222" w:type="dxa"/>
            <w:vAlign w:val="center"/>
            <w:hideMark/>
          </w:tcPr>
          <w:p w14:paraId="426CED05" w14:textId="77777777" w:rsidR="00A24B14" w:rsidRPr="002616ED" w:rsidRDefault="00A24B14" w:rsidP="00A24B14">
            <w:pPr>
              <w:spacing w:after="0" w:line="240" w:lineRule="auto"/>
              <w:jc w:val="left"/>
              <w:rPr>
                <w:noProof/>
                <w:sz w:val="20"/>
                <w:lang w:eastAsia="en-IE"/>
              </w:rPr>
            </w:pPr>
          </w:p>
        </w:tc>
      </w:tr>
      <w:tr w:rsidR="00DA2EA6" w:rsidRPr="002616ED" w14:paraId="20942F35" w14:textId="77777777" w:rsidTr="00677892">
        <w:trPr>
          <w:trHeight w:val="406"/>
        </w:trPr>
        <w:tc>
          <w:tcPr>
            <w:tcW w:w="8664" w:type="dxa"/>
            <w:gridSpan w:val="4"/>
            <w:tcBorders>
              <w:top w:val="nil"/>
              <w:left w:val="nil"/>
              <w:bottom w:val="nil"/>
              <w:right w:val="nil"/>
            </w:tcBorders>
            <w:shd w:val="clear" w:color="000000" w:fill="F7C7AC"/>
            <w:vAlign w:val="bottom"/>
            <w:hideMark/>
          </w:tcPr>
          <w:p w14:paraId="5B6AF042" w14:textId="74F2258D" w:rsidR="00A24B14" w:rsidRPr="00677892" w:rsidRDefault="00A24B14" w:rsidP="00703ED5">
            <w:pPr>
              <w:spacing w:after="0" w:line="240" w:lineRule="auto"/>
              <w:jc w:val="left"/>
              <w:rPr>
                <w:rFonts w:ascii="Aptos Narrow" w:hAnsi="Aptos Narrow"/>
                <w:noProof/>
                <w:color w:val="000000"/>
                <w:sz w:val="16"/>
                <w:szCs w:val="16"/>
                <w:lang w:eastAsia="en-IE"/>
              </w:rPr>
            </w:pPr>
            <w:r w:rsidRPr="00677892">
              <w:rPr>
                <w:rFonts w:ascii="Aptos Narrow" w:hAnsi="Aptos Narrow"/>
                <w:noProof/>
                <w:color w:val="000000"/>
                <w:sz w:val="16"/>
                <w:szCs w:val="16"/>
                <w:lang w:eastAsia="en-IE"/>
              </w:rPr>
              <w:lastRenderedPageBreak/>
              <w:t>**</w:t>
            </w:r>
            <w:r w:rsidRPr="00677892">
              <w:rPr>
                <w:rFonts w:ascii="Aptos Narrow" w:hAnsi="Aptos Narrow"/>
                <w:i/>
                <w:iCs/>
                <w:noProof/>
                <w:color w:val="000000"/>
                <w:sz w:val="16"/>
                <w:szCs w:val="16"/>
                <w:lang w:eastAsia="en-IE"/>
              </w:rPr>
              <w:t xml:space="preserve"> Source:</w:t>
            </w:r>
            <w:r w:rsidRPr="00677892">
              <w:rPr>
                <w:rFonts w:ascii="Aptos Narrow" w:hAnsi="Aptos Narrow"/>
                <w:noProof/>
                <w:color w:val="000000"/>
                <w:sz w:val="16"/>
                <w:szCs w:val="16"/>
                <w:lang w:eastAsia="en-IE"/>
              </w:rPr>
              <w:t xml:space="preserve"> </w:t>
            </w:r>
            <w:r w:rsidR="007E3048" w:rsidRPr="00677892">
              <w:rPr>
                <w:rFonts w:ascii="Aptos Narrow" w:hAnsi="Aptos Narrow"/>
                <w:noProof/>
                <w:color w:val="000000"/>
                <w:sz w:val="16"/>
                <w:szCs w:val="16"/>
                <w:lang w:eastAsia="en-IE"/>
              </w:rPr>
              <w:t xml:space="preserve">Commission calculation on data provided by the </w:t>
            </w:r>
            <w:r w:rsidRPr="00677892">
              <w:rPr>
                <w:rFonts w:ascii="Aptos Narrow" w:hAnsi="Aptos Narrow"/>
                <w:noProof/>
                <w:color w:val="000000"/>
                <w:sz w:val="16"/>
                <w:szCs w:val="16"/>
                <w:lang w:eastAsia="en-IE"/>
              </w:rPr>
              <w:t>EPPO</w:t>
            </w:r>
            <w:r w:rsidR="007E3048" w:rsidRPr="00677892">
              <w:rPr>
                <w:rFonts w:ascii="Aptos Narrow" w:hAnsi="Aptos Narrow"/>
                <w:noProof/>
                <w:color w:val="000000"/>
                <w:sz w:val="16"/>
                <w:szCs w:val="16"/>
                <w:lang w:eastAsia="en-IE"/>
              </w:rPr>
              <w:t>.</w:t>
            </w:r>
            <w:r w:rsidRPr="00677892">
              <w:rPr>
                <w:rFonts w:ascii="Aptos Narrow" w:hAnsi="Aptos Narrow"/>
                <w:noProof/>
                <w:color w:val="000000"/>
                <w:sz w:val="16"/>
                <w:szCs w:val="16"/>
                <w:lang w:eastAsia="en-IE"/>
              </w:rPr>
              <w:t xml:space="preserve"> 648 investigations into VAT have not been included for comparability reasons. For another 478 investigations, the types of </w:t>
            </w:r>
            <w:r w:rsidR="00CF3D97" w:rsidRPr="00677892">
              <w:rPr>
                <w:rFonts w:ascii="Aptos Narrow" w:hAnsi="Aptos Narrow"/>
                <w:noProof/>
                <w:color w:val="000000"/>
                <w:sz w:val="16"/>
                <w:szCs w:val="16"/>
                <w:lang w:eastAsia="en-IE"/>
              </w:rPr>
              <w:t>programmes</w:t>
            </w:r>
            <w:r w:rsidRPr="00677892">
              <w:rPr>
                <w:rFonts w:ascii="Aptos Narrow" w:hAnsi="Aptos Narrow"/>
                <w:noProof/>
                <w:color w:val="000000"/>
                <w:sz w:val="16"/>
                <w:szCs w:val="16"/>
                <w:lang w:eastAsia="en-IE"/>
              </w:rPr>
              <w:t xml:space="preserve"> concerned were not specified. </w:t>
            </w:r>
          </w:p>
        </w:tc>
        <w:tc>
          <w:tcPr>
            <w:tcW w:w="222" w:type="dxa"/>
            <w:vAlign w:val="center"/>
            <w:hideMark/>
          </w:tcPr>
          <w:p w14:paraId="3090081E" w14:textId="77777777" w:rsidR="00A24B14" w:rsidRPr="002616ED" w:rsidRDefault="00A24B14" w:rsidP="00A24B14">
            <w:pPr>
              <w:spacing w:after="0" w:line="240" w:lineRule="auto"/>
              <w:jc w:val="left"/>
              <w:rPr>
                <w:noProof/>
                <w:sz w:val="20"/>
                <w:lang w:eastAsia="en-IE"/>
              </w:rPr>
            </w:pPr>
          </w:p>
        </w:tc>
      </w:tr>
      <w:tr w:rsidR="00DA2EA6" w:rsidRPr="002616ED" w14:paraId="7FABD7EA" w14:textId="77777777" w:rsidTr="00677892">
        <w:trPr>
          <w:trHeight w:val="426"/>
        </w:trPr>
        <w:tc>
          <w:tcPr>
            <w:tcW w:w="8664" w:type="dxa"/>
            <w:gridSpan w:val="4"/>
            <w:tcBorders>
              <w:top w:val="nil"/>
              <w:left w:val="nil"/>
              <w:bottom w:val="nil"/>
              <w:right w:val="nil"/>
            </w:tcBorders>
            <w:shd w:val="clear" w:color="000000" w:fill="FBE2D5"/>
            <w:vAlign w:val="bottom"/>
            <w:hideMark/>
          </w:tcPr>
          <w:p w14:paraId="6FE3C297" w14:textId="77777777" w:rsidR="00A24B14" w:rsidRPr="00677892" w:rsidRDefault="00A24B14" w:rsidP="00A24B14">
            <w:pPr>
              <w:spacing w:after="0" w:line="240" w:lineRule="auto"/>
              <w:jc w:val="left"/>
              <w:rPr>
                <w:rFonts w:ascii="Aptos Narrow" w:hAnsi="Aptos Narrow"/>
                <w:noProof/>
                <w:color w:val="000000"/>
                <w:sz w:val="16"/>
                <w:szCs w:val="16"/>
                <w:lang w:eastAsia="en-IE"/>
              </w:rPr>
            </w:pPr>
            <w:r w:rsidRPr="00677892">
              <w:rPr>
                <w:rFonts w:ascii="Aptos Narrow" w:hAnsi="Aptos Narrow"/>
                <w:noProof/>
                <w:color w:val="000000"/>
                <w:sz w:val="16"/>
                <w:szCs w:val="16"/>
                <w:lang w:eastAsia="en-IE"/>
              </w:rPr>
              <w:t>***</w:t>
            </w:r>
            <w:r w:rsidRPr="00677892">
              <w:rPr>
                <w:rFonts w:ascii="Aptos Narrow" w:hAnsi="Aptos Narrow"/>
                <w:i/>
                <w:iCs/>
                <w:noProof/>
                <w:color w:val="000000"/>
                <w:sz w:val="16"/>
                <w:szCs w:val="16"/>
                <w:lang w:eastAsia="en-IE"/>
              </w:rPr>
              <w:t xml:space="preserve"> Source:</w:t>
            </w:r>
            <w:r w:rsidRPr="00677892">
              <w:rPr>
                <w:rFonts w:ascii="Aptos Narrow" w:hAnsi="Aptos Narrow"/>
                <w:noProof/>
                <w:color w:val="000000"/>
                <w:sz w:val="16"/>
                <w:szCs w:val="16"/>
                <w:lang w:eastAsia="en-IE"/>
              </w:rPr>
              <w:t xml:space="preserve"> OLAF annual report 2025 and data provided by OLAF. Sum of individual entries does not correspond to TOTAL, as one investigation may refer to more than one area</w:t>
            </w:r>
          </w:p>
        </w:tc>
        <w:tc>
          <w:tcPr>
            <w:tcW w:w="222" w:type="dxa"/>
            <w:vAlign w:val="center"/>
            <w:hideMark/>
          </w:tcPr>
          <w:p w14:paraId="0FAD1FDB" w14:textId="77777777" w:rsidR="00A24B14" w:rsidRPr="002616ED" w:rsidRDefault="00A24B14" w:rsidP="00A24B14">
            <w:pPr>
              <w:spacing w:after="0" w:line="240" w:lineRule="auto"/>
              <w:jc w:val="left"/>
              <w:rPr>
                <w:noProof/>
                <w:sz w:val="20"/>
                <w:lang w:eastAsia="en-IE"/>
              </w:rPr>
            </w:pPr>
          </w:p>
        </w:tc>
      </w:tr>
    </w:tbl>
    <w:p w14:paraId="27621FCD" w14:textId="1D10C43E" w:rsidR="00342035" w:rsidRPr="00DE3A6F" w:rsidRDefault="00342035" w:rsidP="00FE4FCF">
      <w:pPr>
        <w:spacing w:before="120"/>
        <w:rPr>
          <w:noProof/>
        </w:rPr>
      </w:pPr>
      <w:r w:rsidRPr="00D4588C">
        <w:rPr>
          <w:noProof/>
        </w:rPr>
        <w:t xml:space="preserve">Data from national authorities, </w:t>
      </w:r>
      <w:r w:rsidR="00F60B5A" w:rsidRPr="00D4588C">
        <w:rPr>
          <w:noProof/>
        </w:rPr>
        <w:t xml:space="preserve">the </w:t>
      </w:r>
      <w:r w:rsidRPr="00D4588C">
        <w:rPr>
          <w:noProof/>
        </w:rPr>
        <w:t xml:space="preserve">EPPO and OLAF cover areas that are only partially overlapping. </w:t>
      </w:r>
    </w:p>
    <w:p w14:paraId="7A6AC87F" w14:textId="0880CCA4" w:rsidR="00342035" w:rsidRPr="00D4588C" w:rsidRDefault="00996C96" w:rsidP="28D37C99">
      <w:pPr>
        <w:pStyle w:val="ListParagraph"/>
        <w:numPr>
          <w:ilvl w:val="0"/>
          <w:numId w:val="25"/>
        </w:numPr>
        <w:spacing w:after="120"/>
        <w:ind w:left="714" w:hanging="357"/>
        <w:jc w:val="both"/>
        <w:rPr>
          <w:rFonts w:ascii="Times New Roman" w:hAnsi="Times New Roman"/>
          <w:noProof/>
        </w:rPr>
      </w:pPr>
      <w:r w:rsidRPr="00D4588C">
        <w:rPr>
          <w:rFonts w:ascii="Times New Roman" w:hAnsi="Times New Roman"/>
          <w:noProof/>
        </w:rPr>
        <w:t>A significant part of o</w:t>
      </w:r>
      <w:r w:rsidR="005E138E" w:rsidRPr="00D4588C">
        <w:rPr>
          <w:rFonts w:ascii="Times New Roman" w:hAnsi="Times New Roman"/>
          <w:noProof/>
        </w:rPr>
        <w:t>ngoing</w:t>
      </w:r>
      <w:r w:rsidR="689138D4" w:rsidRPr="00D4588C">
        <w:rPr>
          <w:rFonts w:ascii="Times New Roman" w:hAnsi="Times New Roman"/>
          <w:noProof/>
        </w:rPr>
        <w:t xml:space="preserve"> EPPO and OLAF investigations are unlikely to have been </w:t>
      </w:r>
      <w:r w:rsidR="005E138E" w:rsidRPr="00D4588C">
        <w:rPr>
          <w:rFonts w:ascii="Times New Roman" w:hAnsi="Times New Roman"/>
          <w:noProof/>
        </w:rPr>
        <w:t xml:space="preserve">disclosed to </w:t>
      </w:r>
      <w:r w:rsidR="689138D4" w:rsidRPr="00D4588C">
        <w:rPr>
          <w:rFonts w:ascii="Times New Roman" w:hAnsi="Times New Roman"/>
          <w:noProof/>
        </w:rPr>
        <w:t xml:space="preserve">national authorities and therefore already reported via IMS. </w:t>
      </w:r>
      <w:r w:rsidR="760819D9" w:rsidRPr="00D4588C">
        <w:rPr>
          <w:rFonts w:ascii="Times New Roman" w:hAnsi="Times New Roman"/>
          <w:noProof/>
        </w:rPr>
        <w:t>However</w:t>
      </w:r>
      <w:r w:rsidR="689138D4" w:rsidRPr="00D4588C">
        <w:rPr>
          <w:rFonts w:ascii="Times New Roman" w:hAnsi="Times New Roman"/>
          <w:noProof/>
        </w:rPr>
        <w:t xml:space="preserve">, </w:t>
      </w:r>
      <w:r w:rsidR="760819D9" w:rsidRPr="00D4588C">
        <w:rPr>
          <w:rFonts w:ascii="Times New Roman" w:hAnsi="Times New Roman"/>
          <w:noProof/>
        </w:rPr>
        <w:t xml:space="preserve">they </w:t>
      </w:r>
      <w:r w:rsidR="02F8A58E" w:rsidRPr="00D4588C">
        <w:rPr>
          <w:rFonts w:ascii="Times New Roman" w:hAnsi="Times New Roman"/>
          <w:noProof/>
        </w:rPr>
        <w:t xml:space="preserve">indicate </w:t>
      </w:r>
      <w:r w:rsidR="760819D9" w:rsidRPr="00D4588C">
        <w:rPr>
          <w:rFonts w:ascii="Times New Roman" w:hAnsi="Times New Roman"/>
          <w:noProof/>
        </w:rPr>
        <w:t>potential</w:t>
      </w:r>
      <w:r w:rsidR="689138D4" w:rsidRPr="00D4588C">
        <w:rPr>
          <w:rFonts w:ascii="Times New Roman" w:hAnsi="Times New Roman"/>
          <w:noProof/>
        </w:rPr>
        <w:t xml:space="preserve"> future </w:t>
      </w:r>
      <w:r w:rsidR="0E128B91" w:rsidRPr="00D4588C">
        <w:rPr>
          <w:rFonts w:ascii="Times New Roman" w:hAnsi="Times New Roman"/>
          <w:noProof/>
        </w:rPr>
        <w:t>cases</w:t>
      </w:r>
      <w:r w:rsidR="4046D66B" w:rsidRPr="00D4588C">
        <w:rPr>
          <w:rFonts w:ascii="Times New Roman" w:hAnsi="Times New Roman"/>
          <w:noProof/>
        </w:rPr>
        <w:t xml:space="preserve"> that will be reported </w:t>
      </w:r>
      <w:r w:rsidR="689138D4" w:rsidRPr="00D4588C">
        <w:rPr>
          <w:rFonts w:ascii="Times New Roman" w:hAnsi="Times New Roman"/>
          <w:noProof/>
        </w:rPr>
        <w:t>in the coming years, depending on their outcome.</w:t>
      </w:r>
    </w:p>
    <w:p w14:paraId="6D9AA5D9" w14:textId="503767EC" w:rsidR="00342035" w:rsidRPr="00D4588C" w:rsidRDefault="689138D4" w:rsidP="28D37C99">
      <w:pPr>
        <w:pStyle w:val="ListParagraph"/>
        <w:numPr>
          <w:ilvl w:val="0"/>
          <w:numId w:val="25"/>
        </w:numPr>
        <w:spacing w:after="120"/>
        <w:ind w:left="714" w:hanging="357"/>
        <w:jc w:val="both"/>
        <w:rPr>
          <w:rFonts w:ascii="Times New Roman" w:hAnsi="Times New Roman"/>
          <w:noProof/>
        </w:rPr>
      </w:pPr>
      <w:r w:rsidRPr="00D4588C">
        <w:rPr>
          <w:rFonts w:ascii="Times New Roman" w:hAnsi="Times New Roman"/>
          <w:noProof/>
        </w:rPr>
        <w:t xml:space="preserve">Member States are </w:t>
      </w:r>
      <w:r w:rsidR="59D6C40C" w:rsidRPr="00D4588C">
        <w:rPr>
          <w:rFonts w:ascii="Times New Roman" w:hAnsi="Times New Roman"/>
          <w:noProof/>
        </w:rPr>
        <w:t xml:space="preserve">required </w:t>
      </w:r>
      <w:r w:rsidRPr="00D4588C">
        <w:rPr>
          <w:rFonts w:ascii="Times New Roman" w:hAnsi="Times New Roman"/>
          <w:noProof/>
        </w:rPr>
        <w:t xml:space="preserve">to report irregularities and fraud in IMS only in shared management and, to a limited extent, in relation to European Neighbourhood programmes (ENI) with </w:t>
      </w:r>
      <w:r w:rsidR="00342035" w:rsidRPr="00D4588C">
        <w:rPr>
          <w:rFonts w:ascii="Times New Roman" w:hAnsi="Times New Roman"/>
          <w:noProof/>
        </w:rPr>
        <w:t>participating third countries</w:t>
      </w:r>
      <w:r w:rsidRPr="00D4588C">
        <w:rPr>
          <w:rFonts w:ascii="Times New Roman" w:hAnsi="Times New Roman"/>
          <w:noProof/>
        </w:rPr>
        <w:t>.</w:t>
      </w:r>
      <w:r w:rsidR="006E6102" w:rsidRPr="00D4588C">
        <w:rPr>
          <w:rFonts w:ascii="Times New Roman" w:hAnsi="Times New Roman"/>
          <w:noProof/>
        </w:rPr>
        <w:t xml:space="preserve"> </w:t>
      </w:r>
      <w:r w:rsidR="00A12F32" w:rsidRPr="00D4588C">
        <w:rPr>
          <w:rFonts w:ascii="Times New Roman" w:hAnsi="Times New Roman"/>
          <w:noProof/>
        </w:rPr>
        <w:t>Candidate countries are also required to report irregularities and fraud in IMS in relation to pre-accession instruments (indirect management).</w:t>
      </w:r>
    </w:p>
    <w:p w14:paraId="60D95D75" w14:textId="77777777" w:rsidR="00342035" w:rsidRPr="00DE3A6F" w:rsidRDefault="00342035" w:rsidP="00342035">
      <w:pPr>
        <w:pStyle w:val="ListParagraph"/>
        <w:numPr>
          <w:ilvl w:val="0"/>
          <w:numId w:val="25"/>
        </w:numPr>
        <w:spacing w:after="120"/>
        <w:ind w:left="714" w:hanging="357"/>
        <w:jc w:val="both"/>
        <w:rPr>
          <w:rFonts w:ascii="Times New Roman" w:hAnsi="Times New Roman"/>
          <w:noProof/>
        </w:rPr>
      </w:pPr>
      <w:r w:rsidRPr="00DE3A6F">
        <w:rPr>
          <w:rFonts w:ascii="Times New Roman" w:hAnsi="Times New Roman"/>
          <w:noProof/>
        </w:rPr>
        <w:t>EPPO data cover only participating Member States.</w:t>
      </w:r>
    </w:p>
    <w:p w14:paraId="0DE33370" w14:textId="7D337321" w:rsidR="00342035" w:rsidRPr="00DE3A6F" w:rsidRDefault="00342035" w:rsidP="00342035">
      <w:pPr>
        <w:pStyle w:val="ListParagraph"/>
        <w:numPr>
          <w:ilvl w:val="0"/>
          <w:numId w:val="25"/>
        </w:numPr>
        <w:spacing w:after="120"/>
        <w:ind w:left="714" w:hanging="357"/>
        <w:jc w:val="both"/>
        <w:rPr>
          <w:rFonts w:ascii="Times New Roman" w:hAnsi="Times New Roman"/>
          <w:noProof/>
        </w:rPr>
      </w:pPr>
      <w:r w:rsidRPr="00DE3A6F">
        <w:rPr>
          <w:rFonts w:ascii="Times New Roman" w:hAnsi="Times New Roman"/>
          <w:noProof/>
        </w:rPr>
        <w:t xml:space="preserve">Limitations in the way data are captured in IMS may </w:t>
      </w:r>
      <w:r w:rsidR="00EF066F" w:rsidRPr="00DE3A6F">
        <w:rPr>
          <w:rFonts w:ascii="Times New Roman" w:hAnsi="Times New Roman"/>
          <w:noProof/>
        </w:rPr>
        <w:t xml:space="preserve">result in </w:t>
      </w:r>
      <w:r w:rsidRPr="00DE3A6F">
        <w:rPr>
          <w:rFonts w:ascii="Times New Roman" w:hAnsi="Times New Roman"/>
          <w:noProof/>
        </w:rPr>
        <w:t>the number of ongoing cases</w:t>
      </w:r>
      <w:r w:rsidR="00EF066F" w:rsidRPr="00CA1602">
        <w:rPr>
          <w:rFonts w:ascii="Times New Roman" w:hAnsi="Times New Roman"/>
          <w:noProof/>
        </w:rPr>
        <w:t xml:space="preserve"> being overestimated</w:t>
      </w:r>
      <w:r w:rsidR="00C20CFE" w:rsidRPr="00DE3A6F">
        <w:rPr>
          <w:rFonts w:ascii="Times New Roman" w:hAnsi="Times New Roman"/>
          <w:noProof/>
        </w:rPr>
        <w:t xml:space="preserve">, as </w:t>
      </w:r>
      <w:r w:rsidR="00EF066F" w:rsidRPr="00CA1602">
        <w:rPr>
          <w:rFonts w:ascii="Times New Roman" w:hAnsi="Times New Roman"/>
          <w:noProof/>
        </w:rPr>
        <w:t xml:space="preserve">the data </w:t>
      </w:r>
      <w:r w:rsidRPr="00DE3A6F">
        <w:rPr>
          <w:rFonts w:ascii="Times New Roman" w:hAnsi="Times New Roman"/>
          <w:noProof/>
        </w:rPr>
        <w:t xml:space="preserve">may also include cases </w:t>
      </w:r>
      <w:r w:rsidR="00870030" w:rsidRPr="00DE3A6F">
        <w:rPr>
          <w:rFonts w:ascii="Times New Roman" w:hAnsi="Times New Roman"/>
          <w:noProof/>
        </w:rPr>
        <w:t xml:space="preserve">already </w:t>
      </w:r>
      <w:r w:rsidR="004A56C4" w:rsidRPr="00CA1602">
        <w:rPr>
          <w:rFonts w:ascii="Times New Roman" w:hAnsi="Times New Roman"/>
          <w:noProof/>
        </w:rPr>
        <w:t>at</w:t>
      </w:r>
      <w:r w:rsidR="00B84EEE" w:rsidRPr="00CA1602">
        <w:rPr>
          <w:rFonts w:ascii="Times New Roman" w:hAnsi="Times New Roman"/>
          <w:noProof/>
        </w:rPr>
        <w:t xml:space="preserve"> the </w:t>
      </w:r>
      <w:r w:rsidRPr="00DE3A6F">
        <w:rPr>
          <w:rFonts w:ascii="Times New Roman" w:hAnsi="Times New Roman"/>
          <w:noProof/>
        </w:rPr>
        <w:t>trial</w:t>
      </w:r>
      <w:r w:rsidR="00870030" w:rsidRPr="00DE3A6F">
        <w:rPr>
          <w:rFonts w:ascii="Times New Roman" w:hAnsi="Times New Roman"/>
          <w:noProof/>
        </w:rPr>
        <w:t xml:space="preserve"> </w:t>
      </w:r>
      <w:r w:rsidR="00B84EEE" w:rsidRPr="00CA1602">
        <w:rPr>
          <w:rFonts w:ascii="Times New Roman" w:hAnsi="Times New Roman"/>
          <w:noProof/>
        </w:rPr>
        <w:t xml:space="preserve">stage </w:t>
      </w:r>
      <w:r w:rsidR="00870030" w:rsidRPr="00DE3A6F">
        <w:rPr>
          <w:rFonts w:ascii="Times New Roman" w:hAnsi="Times New Roman"/>
          <w:noProof/>
        </w:rPr>
        <w:t>rather than under active investigation</w:t>
      </w:r>
      <w:r w:rsidRPr="00DE3A6F">
        <w:rPr>
          <w:rFonts w:ascii="Times New Roman" w:hAnsi="Times New Roman"/>
          <w:noProof/>
        </w:rPr>
        <w:t>.</w:t>
      </w:r>
    </w:p>
    <w:p w14:paraId="603912AC" w14:textId="786FAD41" w:rsidR="00342035" w:rsidRPr="00DE3A6F" w:rsidRDefault="00342035" w:rsidP="00342035">
      <w:pPr>
        <w:pStyle w:val="ListParagraph"/>
        <w:numPr>
          <w:ilvl w:val="0"/>
          <w:numId w:val="25"/>
        </w:numPr>
        <w:spacing w:after="120"/>
        <w:ind w:left="714" w:hanging="357"/>
        <w:jc w:val="both"/>
        <w:rPr>
          <w:rFonts w:ascii="Times New Roman" w:hAnsi="Times New Roman"/>
          <w:noProof/>
        </w:rPr>
      </w:pPr>
      <w:r w:rsidRPr="00DE3A6F">
        <w:rPr>
          <w:rFonts w:ascii="Times New Roman" w:hAnsi="Times New Roman"/>
          <w:noProof/>
        </w:rPr>
        <w:t xml:space="preserve">Investigations from the EPPO into VAT fraud </w:t>
      </w:r>
      <w:r w:rsidR="001C0EB1" w:rsidRPr="00DE3A6F">
        <w:rPr>
          <w:rFonts w:ascii="Times New Roman" w:hAnsi="Times New Roman"/>
          <w:noProof/>
        </w:rPr>
        <w:t>are omitted</w:t>
      </w:r>
      <w:r w:rsidRPr="00DE3A6F">
        <w:rPr>
          <w:rFonts w:ascii="Times New Roman" w:hAnsi="Times New Roman"/>
          <w:noProof/>
        </w:rPr>
        <w:t xml:space="preserve"> in </w:t>
      </w:r>
      <w:r w:rsidRPr="00DE3A6F">
        <w:rPr>
          <w:rFonts w:ascii="Times New Roman" w:hAnsi="Times New Roman"/>
          <w:b/>
          <w:bCs/>
          <w:noProof/>
        </w:rPr>
        <w:t xml:space="preserve">Figure </w:t>
      </w:r>
      <w:r w:rsidR="00FF43FA" w:rsidRPr="00CA1602">
        <w:rPr>
          <w:rFonts w:ascii="Times New Roman" w:hAnsi="Times New Roman"/>
          <w:b/>
          <w:bCs/>
          <w:noProof/>
        </w:rPr>
        <w:t>1</w:t>
      </w:r>
      <w:r w:rsidR="00D67C26" w:rsidRPr="00CA1602">
        <w:rPr>
          <w:rFonts w:ascii="Times New Roman" w:hAnsi="Times New Roman"/>
          <w:b/>
          <w:bCs/>
          <w:noProof/>
        </w:rPr>
        <w:t>5</w:t>
      </w:r>
      <w:r w:rsidR="00FF43FA" w:rsidRPr="00CA1602">
        <w:rPr>
          <w:rFonts w:ascii="Times New Roman" w:hAnsi="Times New Roman"/>
          <w:b/>
          <w:bCs/>
          <w:noProof/>
        </w:rPr>
        <w:t xml:space="preserve"> </w:t>
      </w:r>
      <w:r w:rsidRPr="00DE3A6F">
        <w:rPr>
          <w:rFonts w:ascii="Times New Roman" w:hAnsi="Times New Roman"/>
          <w:noProof/>
        </w:rPr>
        <w:t xml:space="preserve">to </w:t>
      </w:r>
      <w:r w:rsidR="00FE4FCF">
        <w:rPr>
          <w:rFonts w:ascii="Times New Roman" w:hAnsi="Times New Roman"/>
          <w:noProof/>
        </w:rPr>
        <w:t>increase</w:t>
      </w:r>
      <w:r w:rsidR="003F487E" w:rsidRPr="00DE3A6F">
        <w:rPr>
          <w:rFonts w:ascii="Times New Roman" w:hAnsi="Times New Roman"/>
          <w:noProof/>
        </w:rPr>
        <w:t xml:space="preserve"> </w:t>
      </w:r>
      <w:r w:rsidRPr="00DE3A6F">
        <w:rPr>
          <w:rFonts w:ascii="Times New Roman" w:hAnsi="Times New Roman"/>
          <w:noProof/>
        </w:rPr>
        <w:t>comparability.</w:t>
      </w:r>
    </w:p>
    <w:p w14:paraId="088E392A" w14:textId="7EB4BEE6" w:rsidR="00342035" w:rsidRPr="00DE3A6F" w:rsidRDefault="00C20510" w:rsidP="00342035">
      <w:pPr>
        <w:rPr>
          <w:noProof/>
        </w:rPr>
      </w:pPr>
      <w:r w:rsidRPr="00D4588C">
        <w:rPr>
          <w:noProof/>
        </w:rPr>
        <w:t xml:space="preserve">Despite </w:t>
      </w:r>
      <w:r w:rsidR="00342035" w:rsidRPr="00D4588C">
        <w:rPr>
          <w:noProof/>
        </w:rPr>
        <w:t>th</w:t>
      </w:r>
      <w:r w:rsidR="0074016D" w:rsidRPr="00D4588C">
        <w:rPr>
          <w:noProof/>
        </w:rPr>
        <w:t>ese</w:t>
      </w:r>
      <w:r w:rsidR="00342035" w:rsidRPr="00D4588C">
        <w:rPr>
          <w:noProof/>
        </w:rPr>
        <w:t xml:space="preserve"> differences</w:t>
      </w:r>
      <w:r w:rsidR="00470C4E" w:rsidRPr="00D4588C">
        <w:rPr>
          <w:noProof/>
        </w:rPr>
        <w:t xml:space="preserve"> and keeping in mind the specific data </w:t>
      </w:r>
      <w:r w:rsidR="0036148D" w:rsidRPr="00D4588C">
        <w:rPr>
          <w:noProof/>
        </w:rPr>
        <w:t>characteristics</w:t>
      </w:r>
      <w:r w:rsidR="00342035" w:rsidRPr="00D4588C">
        <w:rPr>
          <w:noProof/>
        </w:rPr>
        <w:t xml:space="preserve">, </w:t>
      </w:r>
      <w:r w:rsidR="00934377" w:rsidRPr="00D4588C">
        <w:rPr>
          <w:noProof/>
        </w:rPr>
        <w:t xml:space="preserve">the </w:t>
      </w:r>
      <w:r w:rsidR="00342035" w:rsidRPr="00D4588C">
        <w:rPr>
          <w:noProof/>
        </w:rPr>
        <w:t xml:space="preserve">data </w:t>
      </w:r>
      <w:r w:rsidR="001A0082" w:rsidRPr="00D4588C">
        <w:rPr>
          <w:noProof/>
        </w:rPr>
        <w:t xml:space="preserve">offer a comprehensive view of ongoing investigative </w:t>
      </w:r>
      <w:r w:rsidR="00342035" w:rsidRPr="00D4588C">
        <w:rPr>
          <w:noProof/>
        </w:rPr>
        <w:t xml:space="preserve">efforts </w:t>
      </w:r>
      <w:r w:rsidR="009A68ED" w:rsidRPr="00D4588C">
        <w:rPr>
          <w:noProof/>
        </w:rPr>
        <w:t xml:space="preserve">to </w:t>
      </w:r>
      <w:r w:rsidR="00342035" w:rsidRPr="00D4588C">
        <w:rPr>
          <w:noProof/>
        </w:rPr>
        <w:t>protect the EU’s financial interests.</w:t>
      </w:r>
    </w:p>
    <w:p w14:paraId="6145551E" w14:textId="32DA28E6" w:rsidR="00A14CD4" w:rsidRDefault="00A14CD4" w:rsidP="00A14CD4">
      <w:pPr>
        <w:pStyle w:val="Caption"/>
        <w:keepNext/>
        <w:rPr>
          <w:noProof/>
        </w:rPr>
      </w:pPr>
      <w:r w:rsidRPr="00DE3A6F">
        <w:rPr>
          <w:noProof/>
        </w:rPr>
        <w:t xml:space="preserve">Figure </w:t>
      </w:r>
      <w:r w:rsidR="00AD6FF3" w:rsidRPr="00DE3A6F">
        <w:rPr>
          <w:noProof/>
        </w:rPr>
        <w:fldChar w:fldCharType="begin"/>
      </w:r>
      <w:r w:rsidR="00AD6FF3" w:rsidRPr="00DE3A6F">
        <w:rPr>
          <w:noProof/>
        </w:rPr>
        <w:instrText xml:space="preserve"> SEQ Figure \* ARABIC </w:instrText>
      </w:r>
      <w:r w:rsidR="00AD6FF3" w:rsidRPr="00DE3A6F">
        <w:rPr>
          <w:noProof/>
        </w:rPr>
        <w:fldChar w:fldCharType="separate"/>
      </w:r>
      <w:r w:rsidR="008E10E9">
        <w:rPr>
          <w:noProof/>
        </w:rPr>
        <w:t>16</w:t>
      </w:r>
      <w:r w:rsidR="00AD6FF3" w:rsidRPr="00DE3A6F">
        <w:rPr>
          <w:noProof/>
        </w:rPr>
        <w:fldChar w:fldCharType="end"/>
      </w:r>
      <w:r w:rsidRPr="00DE3A6F">
        <w:rPr>
          <w:noProof/>
        </w:rPr>
        <w:t xml:space="preserve">: </w:t>
      </w:r>
      <w:r w:rsidR="009A68ED" w:rsidRPr="00CA1602">
        <w:rPr>
          <w:noProof/>
        </w:rPr>
        <w:t>R</w:t>
      </w:r>
      <w:r w:rsidRPr="00DE3A6F">
        <w:rPr>
          <w:noProof/>
        </w:rPr>
        <w:t>esults of investigations and prosecution</w:t>
      </w:r>
    </w:p>
    <w:tbl>
      <w:tblPr>
        <w:tblW w:w="8678" w:type="dxa"/>
        <w:tblLook w:val="04A0" w:firstRow="1" w:lastRow="0" w:firstColumn="1" w:lastColumn="0" w:noHBand="0" w:noVBand="1"/>
      </w:tblPr>
      <w:tblGrid>
        <w:gridCol w:w="1985"/>
        <w:gridCol w:w="1171"/>
        <w:gridCol w:w="1097"/>
        <w:gridCol w:w="1067"/>
        <w:gridCol w:w="1085"/>
        <w:gridCol w:w="1188"/>
        <w:gridCol w:w="1085"/>
      </w:tblGrid>
      <w:tr w:rsidR="00CD59D7" w:rsidRPr="00CD59D7" w14:paraId="30EE6A0B" w14:textId="77777777" w:rsidTr="00CD59D7">
        <w:trPr>
          <w:trHeight w:val="375"/>
        </w:trPr>
        <w:tc>
          <w:tcPr>
            <w:tcW w:w="1985" w:type="dxa"/>
            <w:tcBorders>
              <w:top w:val="nil"/>
              <w:left w:val="nil"/>
              <w:bottom w:val="nil"/>
              <w:right w:val="nil"/>
            </w:tcBorders>
            <w:noWrap/>
            <w:vAlign w:val="bottom"/>
            <w:hideMark/>
          </w:tcPr>
          <w:p w14:paraId="1A5E7D33" w14:textId="77777777" w:rsidR="00CD59D7" w:rsidRPr="00CD59D7" w:rsidRDefault="00CD59D7" w:rsidP="00CD59D7">
            <w:pPr>
              <w:spacing w:after="0" w:line="240" w:lineRule="auto"/>
              <w:jc w:val="left"/>
              <w:rPr>
                <w:noProof/>
                <w:sz w:val="20"/>
                <w:lang w:val="en-IE" w:eastAsia="en-IE"/>
              </w:rPr>
            </w:pPr>
          </w:p>
        </w:tc>
        <w:tc>
          <w:tcPr>
            <w:tcW w:w="6693" w:type="dxa"/>
            <w:gridSpan w:val="6"/>
            <w:tcBorders>
              <w:top w:val="nil"/>
              <w:left w:val="nil"/>
              <w:bottom w:val="nil"/>
              <w:right w:val="nil"/>
            </w:tcBorders>
            <w:shd w:val="clear" w:color="000000" w:fill="7E350E"/>
            <w:noWrap/>
            <w:vAlign w:val="bottom"/>
            <w:hideMark/>
          </w:tcPr>
          <w:p w14:paraId="35F5C75F" w14:textId="77777777" w:rsidR="00CD59D7" w:rsidRPr="00CD59D7" w:rsidRDefault="00CD59D7" w:rsidP="00CD59D7">
            <w:pPr>
              <w:spacing w:after="0" w:line="240" w:lineRule="auto"/>
              <w:jc w:val="center"/>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Results of investigations</w:t>
            </w:r>
          </w:p>
        </w:tc>
      </w:tr>
      <w:tr w:rsidR="00CD59D7" w:rsidRPr="00CD59D7" w14:paraId="21C85EC7" w14:textId="77777777" w:rsidTr="00CD59D7">
        <w:trPr>
          <w:trHeight w:val="1416"/>
        </w:trPr>
        <w:tc>
          <w:tcPr>
            <w:tcW w:w="1985" w:type="dxa"/>
            <w:tcBorders>
              <w:top w:val="nil"/>
              <w:left w:val="nil"/>
              <w:bottom w:val="nil"/>
              <w:right w:val="nil"/>
            </w:tcBorders>
            <w:shd w:val="clear" w:color="000000" w:fill="BE5014"/>
            <w:vAlign w:val="bottom"/>
            <w:hideMark/>
          </w:tcPr>
          <w:p w14:paraId="4566FC5E" w14:textId="757E4ED6" w:rsidR="00CD59D7" w:rsidRPr="00CD59D7" w:rsidRDefault="00CD59D7" w:rsidP="00CD59D7">
            <w:pPr>
              <w:spacing w:after="0" w:line="240" w:lineRule="auto"/>
              <w:jc w:val="left"/>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Shared management sector (data reported by Member States from 2014 to 2025)</w:t>
            </w:r>
          </w:p>
        </w:tc>
        <w:tc>
          <w:tcPr>
            <w:tcW w:w="1171" w:type="dxa"/>
            <w:tcBorders>
              <w:top w:val="nil"/>
              <w:left w:val="nil"/>
              <w:bottom w:val="nil"/>
              <w:right w:val="nil"/>
            </w:tcBorders>
            <w:shd w:val="clear" w:color="000000" w:fill="BE5014"/>
            <w:vAlign w:val="bottom"/>
            <w:hideMark/>
          </w:tcPr>
          <w:p w14:paraId="1AEC69DB" w14:textId="77777777" w:rsidR="00CD59D7" w:rsidRPr="00CD59D7" w:rsidRDefault="00CD59D7" w:rsidP="00CD59D7">
            <w:pPr>
              <w:spacing w:after="0" w:line="240" w:lineRule="auto"/>
              <w:jc w:val="left"/>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Number of fraudulent cases finalised</w:t>
            </w:r>
          </w:p>
        </w:tc>
        <w:tc>
          <w:tcPr>
            <w:tcW w:w="1097" w:type="dxa"/>
            <w:tcBorders>
              <w:top w:val="nil"/>
              <w:left w:val="nil"/>
              <w:bottom w:val="nil"/>
              <w:right w:val="nil"/>
            </w:tcBorders>
            <w:shd w:val="clear" w:color="000000" w:fill="BE5014"/>
            <w:vAlign w:val="bottom"/>
            <w:hideMark/>
          </w:tcPr>
          <w:p w14:paraId="7AA5C9E0" w14:textId="77777777" w:rsidR="00CD59D7" w:rsidRPr="00CD59D7" w:rsidRDefault="00CD59D7" w:rsidP="00CD59D7">
            <w:pPr>
              <w:spacing w:after="0" w:line="240" w:lineRule="auto"/>
              <w:jc w:val="left"/>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 on total fraudulent cases</w:t>
            </w:r>
          </w:p>
        </w:tc>
        <w:tc>
          <w:tcPr>
            <w:tcW w:w="1067" w:type="dxa"/>
            <w:tcBorders>
              <w:top w:val="nil"/>
              <w:left w:val="nil"/>
              <w:bottom w:val="nil"/>
              <w:right w:val="nil"/>
            </w:tcBorders>
            <w:shd w:val="clear" w:color="000000" w:fill="BE5014"/>
            <w:vAlign w:val="bottom"/>
            <w:hideMark/>
          </w:tcPr>
          <w:p w14:paraId="453E95FA" w14:textId="77777777" w:rsidR="00CD59D7" w:rsidRPr="00CD59D7" w:rsidRDefault="00CD59D7" w:rsidP="00CD59D7">
            <w:pPr>
              <w:spacing w:after="0" w:line="240" w:lineRule="auto"/>
              <w:jc w:val="left"/>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Number of finalised cases dismissed</w:t>
            </w:r>
          </w:p>
        </w:tc>
        <w:tc>
          <w:tcPr>
            <w:tcW w:w="1085" w:type="dxa"/>
            <w:tcBorders>
              <w:top w:val="nil"/>
              <w:left w:val="nil"/>
              <w:bottom w:val="nil"/>
              <w:right w:val="nil"/>
            </w:tcBorders>
            <w:shd w:val="clear" w:color="000000" w:fill="BE5014"/>
            <w:vAlign w:val="bottom"/>
            <w:hideMark/>
          </w:tcPr>
          <w:p w14:paraId="0D0C7E8D" w14:textId="77777777" w:rsidR="00CD59D7" w:rsidRPr="00CD59D7" w:rsidRDefault="00CD59D7" w:rsidP="00CD59D7">
            <w:pPr>
              <w:spacing w:after="0" w:line="240" w:lineRule="auto"/>
              <w:jc w:val="left"/>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 on fraudulent cases finalised</w:t>
            </w:r>
          </w:p>
        </w:tc>
        <w:tc>
          <w:tcPr>
            <w:tcW w:w="1188" w:type="dxa"/>
            <w:tcBorders>
              <w:top w:val="nil"/>
              <w:left w:val="nil"/>
              <w:bottom w:val="nil"/>
              <w:right w:val="nil"/>
            </w:tcBorders>
            <w:shd w:val="clear" w:color="000000" w:fill="BE5014"/>
            <w:vAlign w:val="bottom"/>
            <w:hideMark/>
          </w:tcPr>
          <w:p w14:paraId="335F9BD3" w14:textId="77777777" w:rsidR="00CD59D7" w:rsidRPr="00CD59D7" w:rsidRDefault="00CD59D7" w:rsidP="00CD59D7">
            <w:pPr>
              <w:spacing w:after="0" w:line="240" w:lineRule="auto"/>
              <w:jc w:val="left"/>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Number of finalised cases with fraud established</w:t>
            </w:r>
          </w:p>
        </w:tc>
        <w:tc>
          <w:tcPr>
            <w:tcW w:w="1085" w:type="dxa"/>
            <w:tcBorders>
              <w:top w:val="nil"/>
              <w:left w:val="nil"/>
              <w:bottom w:val="nil"/>
              <w:right w:val="nil"/>
            </w:tcBorders>
            <w:shd w:val="clear" w:color="000000" w:fill="BE5014"/>
            <w:vAlign w:val="bottom"/>
            <w:hideMark/>
          </w:tcPr>
          <w:p w14:paraId="75E9B4C2" w14:textId="77777777" w:rsidR="00CD59D7" w:rsidRPr="00CD59D7" w:rsidRDefault="00CD59D7" w:rsidP="00CD59D7">
            <w:pPr>
              <w:spacing w:after="0" w:line="240" w:lineRule="auto"/>
              <w:jc w:val="left"/>
              <w:rPr>
                <w:rFonts w:ascii="Aptos Narrow" w:hAnsi="Aptos Narrow"/>
                <w:b/>
                <w:bCs/>
                <w:noProof/>
                <w:color w:val="FFFFFF"/>
                <w:sz w:val="20"/>
                <w:lang w:val="en-IE" w:eastAsia="en-IE"/>
              </w:rPr>
            </w:pPr>
            <w:r w:rsidRPr="00CD59D7">
              <w:rPr>
                <w:rFonts w:ascii="Aptos Narrow" w:hAnsi="Aptos Narrow"/>
                <w:b/>
                <w:bCs/>
                <w:noProof/>
                <w:color w:val="FFFFFF"/>
                <w:sz w:val="20"/>
                <w:lang w:val="en-IE" w:eastAsia="en-IE"/>
              </w:rPr>
              <w:t>% on fraudulent cases finalised</w:t>
            </w:r>
          </w:p>
        </w:tc>
      </w:tr>
      <w:tr w:rsidR="00CD59D7" w:rsidRPr="00CD59D7" w14:paraId="4A019E16" w14:textId="77777777" w:rsidTr="00CD59D7">
        <w:trPr>
          <w:trHeight w:val="300"/>
        </w:trPr>
        <w:tc>
          <w:tcPr>
            <w:tcW w:w="1985" w:type="dxa"/>
            <w:tcBorders>
              <w:top w:val="nil"/>
              <w:left w:val="nil"/>
              <w:bottom w:val="nil"/>
              <w:right w:val="nil"/>
            </w:tcBorders>
            <w:shd w:val="clear" w:color="000000" w:fill="FFFFFF"/>
            <w:noWrap/>
            <w:vAlign w:val="bottom"/>
            <w:hideMark/>
          </w:tcPr>
          <w:p w14:paraId="1EE8CC24" w14:textId="77777777" w:rsidR="00CD59D7" w:rsidRPr="00CD59D7" w:rsidRDefault="00CD59D7" w:rsidP="00CD59D7">
            <w:pPr>
              <w:spacing w:after="0" w:line="240" w:lineRule="auto"/>
              <w:jc w:val="left"/>
              <w:rPr>
                <w:rFonts w:ascii="Aptos Narrow" w:hAnsi="Aptos Narrow"/>
                <w:b/>
                <w:bCs/>
                <w:noProof/>
                <w:color w:val="000000"/>
                <w:sz w:val="20"/>
                <w:lang w:val="en-IE" w:eastAsia="en-IE"/>
              </w:rPr>
            </w:pPr>
            <w:r w:rsidRPr="00CD59D7">
              <w:rPr>
                <w:rFonts w:ascii="Aptos Narrow" w:hAnsi="Aptos Narrow"/>
                <w:b/>
                <w:bCs/>
                <w:noProof/>
                <w:color w:val="000000"/>
                <w:sz w:val="20"/>
                <w:lang w:val="en-IE" w:eastAsia="en-IE"/>
              </w:rPr>
              <w:t>Agriculture (2014-2025)</w:t>
            </w:r>
          </w:p>
        </w:tc>
        <w:tc>
          <w:tcPr>
            <w:tcW w:w="1171" w:type="dxa"/>
            <w:tcBorders>
              <w:top w:val="nil"/>
              <w:left w:val="nil"/>
              <w:bottom w:val="nil"/>
              <w:right w:val="nil"/>
            </w:tcBorders>
            <w:shd w:val="clear" w:color="000000" w:fill="FFFFFF"/>
            <w:noWrap/>
            <w:vAlign w:val="bottom"/>
            <w:hideMark/>
          </w:tcPr>
          <w:p w14:paraId="63EC3E5E" w14:textId="765FDF89"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1</w:t>
            </w:r>
            <w:r>
              <w:rPr>
                <w:rFonts w:ascii="Aptos Narrow" w:hAnsi="Aptos Narrow"/>
                <w:noProof/>
                <w:color w:val="000000"/>
                <w:sz w:val="20"/>
                <w:lang w:val="en-IE" w:eastAsia="en-IE"/>
              </w:rPr>
              <w:t> </w:t>
            </w:r>
            <w:r w:rsidRPr="00CD59D7">
              <w:rPr>
                <w:rFonts w:ascii="Aptos Narrow" w:hAnsi="Aptos Narrow"/>
                <w:noProof/>
                <w:color w:val="000000"/>
                <w:sz w:val="20"/>
                <w:lang w:val="en-IE" w:eastAsia="en-IE"/>
              </w:rPr>
              <w:t>319</w:t>
            </w:r>
          </w:p>
        </w:tc>
        <w:tc>
          <w:tcPr>
            <w:tcW w:w="1097" w:type="dxa"/>
            <w:tcBorders>
              <w:top w:val="nil"/>
              <w:left w:val="nil"/>
              <w:bottom w:val="nil"/>
              <w:right w:val="nil"/>
            </w:tcBorders>
            <w:shd w:val="clear" w:color="000000" w:fill="FFFFFF"/>
            <w:noWrap/>
            <w:vAlign w:val="bottom"/>
            <w:hideMark/>
          </w:tcPr>
          <w:p w14:paraId="79218C50"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31%</w:t>
            </w:r>
          </w:p>
        </w:tc>
        <w:tc>
          <w:tcPr>
            <w:tcW w:w="1067" w:type="dxa"/>
            <w:tcBorders>
              <w:top w:val="nil"/>
              <w:left w:val="nil"/>
              <w:bottom w:val="nil"/>
              <w:right w:val="nil"/>
            </w:tcBorders>
            <w:shd w:val="clear" w:color="000000" w:fill="FFFFFF"/>
            <w:noWrap/>
            <w:vAlign w:val="bottom"/>
            <w:hideMark/>
          </w:tcPr>
          <w:p w14:paraId="1710D60C"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515</w:t>
            </w:r>
          </w:p>
        </w:tc>
        <w:tc>
          <w:tcPr>
            <w:tcW w:w="1085" w:type="dxa"/>
            <w:tcBorders>
              <w:top w:val="nil"/>
              <w:left w:val="nil"/>
              <w:bottom w:val="nil"/>
              <w:right w:val="nil"/>
            </w:tcBorders>
            <w:shd w:val="clear" w:color="000000" w:fill="FFFFFF"/>
            <w:noWrap/>
            <w:vAlign w:val="bottom"/>
            <w:hideMark/>
          </w:tcPr>
          <w:p w14:paraId="7BF03CEF"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39%</w:t>
            </w:r>
          </w:p>
        </w:tc>
        <w:tc>
          <w:tcPr>
            <w:tcW w:w="1188" w:type="dxa"/>
            <w:tcBorders>
              <w:top w:val="nil"/>
              <w:left w:val="nil"/>
              <w:bottom w:val="nil"/>
              <w:right w:val="nil"/>
            </w:tcBorders>
            <w:shd w:val="clear" w:color="000000" w:fill="FFFFFF"/>
            <w:noWrap/>
            <w:vAlign w:val="bottom"/>
            <w:hideMark/>
          </w:tcPr>
          <w:p w14:paraId="4A5E8DF7"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804</w:t>
            </w:r>
          </w:p>
        </w:tc>
        <w:tc>
          <w:tcPr>
            <w:tcW w:w="1085" w:type="dxa"/>
            <w:tcBorders>
              <w:top w:val="nil"/>
              <w:left w:val="nil"/>
              <w:bottom w:val="nil"/>
              <w:right w:val="nil"/>
            </w:tcBorders>
            <w:shd w:val="clear" w:color="000000" w:fill="FFFFFF"/>
            <w:noWrap/>
            <w:vAlign w:val="bottom"/>
            <w:hideMark/>
          </w:tcPr>
          <w:p w14:paraId="2879215C"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61%</w:t>
            </w:r>
          </w:p>
        </w:tc>
      </w:tr>
      <w:tr w:rsidR="00CD59D7" w:rsidRPr="00CD59D7" w14:paraId="6A0E0E7F" w14:textId="77777777" w:rsidTr="00CD59D7">
        <w:trPr>
          <w:trHeight w:val="300"/>
        </w:trPr>
        <w:tc>
          <w:tcPr>
            <w:tcW w:w="1985" w:type="dxa"/>
            <w:tcBorders>
              <w:top w:val="nil"/>
              <w:left w:val="nil"/>
              <w:bottom w:val="nil"/>
              <w:right w:val="nil"/>
            </w:tcBorders>
            <w:shd w:val="clear" w:color="000000" w:fill="FFFFFF"/>
            <w:noWrap/>
            <w:vAlign w:val="bottom"/>
            <w:hideMark/>
          </w:tcPr>
          <w:p w14:paraId="3B1A9FC3" w14:textId="77777777" w:rsidR="00CD59D7" w:rsidRPr="00CD59D7" w:rsidRDefault="00CD59D7" w:rsidP="00CD59D7">
            <w:pPr>
              <w:spacing w:after="0" w:line="240" w:lineRule="auto"/>
              <w:jc w:val="left"/>
              <w:rPr>
                <w:rFonts w:ascii="Aptos Narrow" w:hAnsi="Aptos Narrow"/>
                <w:b/>
                <w:bCs/>
                <w:noProof/>
                <w:color w:val="000000"/>
                <w:sz w:val="20"/>
                <w:lang w:val="en-IE" w:eastAsia="en-IE"/>
              </w:rPr>
            </w:pPr>
            <w:r w:rsidRPr="00CD59D7">
              <w:rPr>
                <w:rFonts w:ascii="Aptos Narrow" w:hAnsi="Aptos Narrow"/>
                <w:b/>
                <w:bCs/>
                <w:noProof/>
                <w:color w:val="000000"/>
                <w:sz w:val="20"/>
                <w:lang w:val="en-IE" w:eastAsia="en-IE"/>
              </w:rPr>
              <w:t>Agriculture (2021-2025)</w:t>
            </w:r>
          </w:p>
        </w:tc>
        <w:tc>
          <w:tcPr>
            <w:tcW w:w="1171" w:type="dxa"/>
            <w:tcBorders>
              <w:top w:val="nil"/>
              <w:left w:val="nil"/>
              <w:bottom w:val="nil"/>
              <w:right w:val="nil"/>
            </w:tcBorders>
            <w:shd w:val="clear" w:color="000000" w:fill="FFFFFF"/>
            <w:noWrap/>
            <w:vAlign w:val="bottom"/>
            <w:hideMark/>
          </w:tcPr>
          <w:p w14:paraId="076FD9A7"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396</w:t>
            </w:r>
          </w:p>
        </w:tc>
        <w:tc>
          <w:tcPr>
            <w:tcW w:w="1097" w:type="dxa"/>
            <w:tcBorders>
              <w:top w:val="nil"/>
              <w:left w:val="nil"/>
              <w:bottom w:val="nil"/>
              <w:right w:val="nil"/>
            </w:tcBorders>
            <w:shd w:val="clear" w:color="000000" w:fill="FFFFFF"/>
            <w:noWrap/>
            <w:vAlign w:val="bottom"/>
            <w:hideMark/>
          </w:tcPr>
          <w:p w14:paraId="68FD9F07"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22%</w:t>
            </w:r>
          </w:p>
        </w:tc>
        <w:tc>
          <w:tcPr>
            <w:tcW w:w="1067" w:type="dxa"/>
            <w:tcBorders>
              <w:top w:val="nil"/>
              <w:left w:val="nil"/>
              <w:bottom w:val="nil"/>
              <w:right w:val="nil"/>
            </w:tcBorders>
            <w:shd w:val="clear" w:color="000000" w:fill="FFFFFF"/>
            <w:noWrap/>
            <w:vAlign w:val="bottom"/>
            <w:hideMark/>
          </w:tcPr>
          <w:p w14:paraId="64CAB4B2"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107</w:t>
            </w:r>
          </w:p>
        </w:tc>
        <w:tc>
          <w:tcPr>
            <w:tcW w:w="1085" w:type="dxa"/>
            <w:tcBorders>
              <w:top w:val="nil"/>
              <w:left w:val="nil"/>
              <w:bottom w:val="nil"/>
              <w:right w:val="nil"/>
            </w:tcBorders>
            <w:shd w:val="clear" w:color="000000" w:fill="FFFFFF"/>
            <w:noWrap/>
            <w:vAlign w:val="bottom"/>
            <w:hideMark/>
          </w:tcPr>
          <w:p w14:paraId="4F82F2BF"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27%</w:t>
            </w:r>
          </w:p>
        </w:tc>
        <w:tc>
          <w:tcPr>
            <w:tcW w:w="1188" w:type="dxa"/>
            <w:tcBorders>
              <w:top w:val="nil"/>
              <w:left w:val="nil"/>
              <w:bottom w:val="nil"/>
              <w:right w:val="nil"/>
            </w:tcBorders>
            <w:shd w:val="clear" w:color="000000" w:fill="FFFFFF"/>
            <w:noWrap/>
            <w:vAlign w:val="bottom"/>
            <w:hideMark/>
          </w:tcPr>
          <w:p w14:paraId="6DA75A4F"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289</w:t>
            </w:r>
          </w:p>
        </w:tc>
        <w:tc>
          <w:tcPr>
            <w:tcW w:w="1085" w:type="dxa"/>
            <w:tcBorders>
              <w:top w:val="nil"/>
              <w:left w:val="nil"/>
              <w:bottom w:val="nil"/>
              <w:right w:val="nil"/>
            </w:tcBorders>
            <w:shd w:val="clear" w:color="000000" w:fill="FFFFFF"/>
            <w:noWrap/>
            <w:vAlign w:val="bottom"/>
            <w:hideMark/>
          </w:tcPr>
          <w:p w14:paraId="48406922"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73%</w:t>
            </w:r>
          </w:p>
        </w:tc>
      </w:tr>
      <w:tr w:rsidR="00CD59D7" w:rsidRPr="00CD59D7" w14:paraId="55F66579" w14:textId="77777777" w:rsidTr="00CD59D7">
        <w:trPr>
          <w:trHeight w:val="300"/>
        </w:trPr>
        <w:tc>
          <w:tcPr>
            <w:tcW w:w="1985" w:type="dxa"/>
            <w:tcBorders>
              <w:top w:val="nil"/>
              <w:left w:val="nil"/>
              <w:bottom w:val="nil"/>
              <w:right w:val="nil"/>
            </w:tcBorders>
            <w:shd w:val="clear" w:color="000000" w:fill="F7C7AC"/>
            <w:noWrap/>
            <w:vAlign w:val="bottom"/>
            <w:hideMark/>
          </w:tcPr>
          <w:p w14:paraId="384F137A" w14:textId="77777777" w:rsidR="00CD59D7" w:rsidRPr="00CD59D7" w:rsidRDefault="00CD59D7" w:rsidP="00CD59D7">
            <w:pPr>
              <w:spacing w:after="0" w:line="240" w:lineRule="auto"/>
              <w:jc w:val="left"/>
              <w:rPr>
                <w:rFonts w:ascii="Aptos Narrow" w:hAnsi="Aptos Narrow"/>
                <w:b/>
                <w:bCs/>
                <w:noProof/>
                <w:color w:val="000000"/>
                <w:sz w:val="20"/>
                <w:lang w:val="en-IE" w:eastAsia="en-IE"/>
              </w:rPr>
            </w:pPr>
            <w:r w:rsidRPr="00CD59D7">
              <w:rPr>
                <w:rFonts w:ascii="Aptos Narrow" w:hAnsi="Aptos Narrow"/>
                <w:b/>
                <w:bCs/>
                <w:noProof/>
                <w:color w:val="000000"/>
                <w:sz w:val="20"/>
                <w:lang w:val="en-IE" w:eastAsia="en-IE"/>
              </w:rPr>
              <w:t>Cohesion policy and fisheries (2014-2025)</w:t>
            </w:r>
          </w:p>
        </w:tc>
        <w:tc>
          <w:tcPr>
            <w:tcW w:w="1171" w:type="dxa"/>
            <w:tcBorders>
              <w:top w:val="nil"/>
              <w:left w:val="nil"/>
              <w:bottom w:val="nil"/>
              <w:right w:val="nil"/>
            </w:tcBorders>
            <w:shd w:val="clear" w:color="000000" w:fill="F7C7AC"/>
            <w:noWrap/>
            <w:vAlign w:val="bottom"/>
            <w:hideMark/>
          </w:tcPr>
          <w:p w14:paraId="4CAAF407" w14:textId="570F7EC2"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1</w:t>
            </w:r>
            <w:r>
              <w:rPr>
                <w:rFonts w:ascii="Aptos Narrow" w:hAnsi="Aptos Narrow"/>
                <w:noProof/>
                <w:color w:val="000000"/>
                <w:sz w:val="20"/>
                <w:lang w:val="en-IE" w:eastAsia="en-IE"/>
              </w:rPr>
              <w:t> </w:t>
            </w:r>
            <w:r w:rsidRPr="00CD59D7">
              <w:rPr>
                <w:rFonts w:ascii="Aptos Narrow" w:hAnsi="Aptos Narrow"/>
                <w:noProof/>
                <w:color w:val="000000"/>
                <w:sz w:val="20"/>
                <w:lang w:val="en-IE" w:eastAsia="en-IE"/>
              </w:rPr>
              <w:t>207</w:t>
            </w:r>
          </w:p>
        </w:tc>
        <w:tc>
          <w:tcPr>
            <w:tcW w:w="1097" w:type="dxa"/>
            <w:tcBorders>
              <w:top w:val="nil"/>
              <w:left w:val="nil"/>
              <w:bottom w:val="nil"/>
              <w:right w:val="nil"/>
            </w:tcBorders>
            <w:shd w:val="clear" w:color="000000" w:fill="F7C7AC"/>
            <w:noWrap/>
            <w:vAlign w:val="bottom"/>
            <w:hideMark/>
          </w:tcPr>
          <w:p w14:paraId="5560A009"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35%</w:t>
            </w:r>
          </w:p>
        </w:tc>
        <w:tc>
          <w:tcPr>
            <w:tcW w:w="1067" w:type="dxa"/>
            <w:tcBorders>
              <w:top w:val="nil"/>
              <w:left w:val="nil"/>
              <w:bottom w:val="nil"/>
              <w:right w:val="nil"/>
            </w:tcBorders>
            <w:shd w:val="clear" w:color="000000" w:fill="F7C7AC"/>
            <w:noWrap/>
            <w:vAlign w:val="bottom"/>
            <w:hideMark/>
          </w:tcPr>
          <w:p w14:paraId="76E85DE5"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628</w:t>
            </w:r>
          </w:p>
        </w:tc>
        <w:tc>
          <w:tcPr>
            <w:tcW w:w="1085" w:type="dxa"/>
            <w:tcBorders>
              <w:top w:val="nil"/>
              <w:left w:val="nil"/>
              <w:bottom w:val="nil"/>
              <w:right w:val="nil"/>
            </w:tcBorders>
            <w:shd w:val="clear" w:color="000000" w:fill="F7C7AC"/>
            <w:noWrap/>
            <w:vAlign w:val="bottom"/>
            <w:hideMark/>
          </w:tcPr>
          <w:p w14:paraId="4B671838"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52%</w:t>
            </w:r>
          </w:p>
        </w:tc>
        <w:tc>
          <w:tcPr>
            <w:tcW w:w="1188" w:type="dxa"/>
            <w:tcBorders>
              <w:top w:val="nil"/>
              <w:left w:val="nil"/>
              <w:bottom w:val="nil"/>
              <w:right w:val="nil"/>
            </w:tcBorders>
            <w:shd w:val="clear" w:color="000000" w:fill="F7C7AC"/>
            <w:noWrap/>
            <w:vAlign w:val="bottom"/>
            <w:hideMark/>
          </w:tcPr>
          <w:p w14:paraId="4D190A43"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579</w:t>
            </w:r>
          </w:p>
        </w:tc>
        <w:tc>
          <w:tcPr>
            <w:tcW w:w="1085" w:type="dxa"/>
            <w:tcBorders>
              <w:top w:val="nil"/>
              <w:left w:val="nil"/>
              <w:bottom w:val="nil"/>
              <w:right w:val="nil"/>
            </w:tcBorders>
            <w:shd w:val="clear" w:color="000000" w:fill="F7C7AC"/>
            <w:noWrap/>
            <w:vAlign w:val="bottom"/>
            <w:hideMark/>
          </w:tcPr>
          <w:p w14:paraId="54AB9816"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48%</w:t>
            </w:r>
          </w:p>
        </w:tc>
      </w:tr>
      <w:tr w:rsidR="00CD59D7" w:rsidRPr="00CD59D7" w14:paraId="7C380EC2" w14:textId="77777777" w:rsidTr="00CD59D7">
        <w:trPr>
          <w:trHeight w:val="300"/>
        </w:trPr>
        <w:tc>
          <w:tcPr>
            <w:tcW w:w="1985" w:type="dxa"/>
            <w:tcBorders>
              <w:top w:val="nil"/>
              <w:left w:val="nil"/>
              <w:bottom w:val="nil"/>
              <w:right w:val="nil"/>
            </w:tcBorders>
            <w:shd w:val="clear" w:color="000000" w:fill="F7C7AC"/>
            <w:noWrap/>
            <w:vAlign w:val="bottom"/>
            <w:hideMark/>
          </w:tcPr>
          <w:p w14:paraId="689FB8DB" w14:textId="77777777" w:rsidR="00CD59D7" w:rsidRPr="00CD59D7" w:rsidRDefault="00CD59D7" w:rsidP="00CD59D7">
            <w:pPr>
              <w:spacing w:after="0" w:line="240" w:lineRule="auto"/>
              <w:jc w:val="left"/>
              <w:rPr>
                <w:rFonts w:ascii="Aptos Narrow" w:hAnsi="Aptos Narrow"/>
                <w:b/>
                <w:bCs/>
                <w:noProof/>
                <w:color w:val="000000"/>
                <w:sz w:val="20"/>
                <w:lang w:val="en-IE" w:eastAsia="en-IE"/>
              </w:rPr>
            </w:pPr>
            <w:r w:rsidRPr="00CD59D7">
              <w:rPr>
                <w:rFonts w:ascii="Aptos Narrow" w:hAnsi="Aptos Narrow"/>
                <w:b/>
                <w:bCs/>
                <w:noProof/>
                <w:color w:val="000000"/>
                <w:sz w:val="20"/>
                <w:lang w:val="en-IE" w:eastAsia="en-IE"/>
              </w:rPr>
              <w:t>Cohesion policy and fisheries (2021-2025)</w:t>
            </w:r>
          </w:p>
        </w:tc>
        <w:tc>
          <w:tcPr>
            <w:tcW w:w="1171" w:type="dxa"/>
            <w:tcBorders>
              <w:top w:val="nil"/>
              <w:left w:val="nil"/>
              <w:bottom w:val="nil"/>
              <w:right w:val="nil"/>
            </w:tcBorders>
            <w:shd w:val="clear" w:color="000000" w:fill="F7C7AC"/>
            <w:noWrap/>
            <w:vAlign w:val="bottom"/>
            <w:hideMark/>
          </w:tcPr>
          <w:p w14:paraId="5283AAF5"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288</w:t>
            </w:r>
          </w:p>
        </w:tc>
        <w:tc>
          <w:tcPr>
            <w:tcW w:w="1097" w:type="dxa"/>
            <w:tcBorders>
              <w:top w:val="nil"/>
              <w:left w:val="nil"/>
              <w:bottom w:val="nil"/>
              <w:right w:val="nil"/>
            </w:tcBorders>
            <w:shd w:val="clear" w:color="000000" w:fill="F7C7AC"/>
            <w:noWrap/>
            <w:vAlign w:val="bottom"/>
            <w:hideMark/>
          </w:tcPr>
          <w:p w14:paraId="20426D72"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20%</w:t>
            </w:r>
          </w:p>
        </w:tc>
        <w:tc>
          <w:tcPr>
            <w:tcW w:w="1067" w:type="dxa"/>
            <w:tcBorders>
              <w:top w:val="nil"/>
              <w:left w:val="nil"/>
              <w:bottom w:val="nil"/>
              <w:right w:val="nil"/>
            </w:tcBorders>
            <w:shd w:val="clear" w:color="000000" w:fill="F7C7AC"/>
            <w:noWrap/>
            <w:vAlign w:val="bottom"/>
            <w:hideMark/>
          </w:tcPr>
          <w:p w14:paraId="2F6D6C3B"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93</w:t>
            </w:r>
          </w:p>
        </w:tc>
        <w:tc>
          <w:tcPr>
            <w:tcW w:w="1085" w:type="dxa"/>
            <w:tcBorders>
              <w:top w:val="nil"/>
              <w:left w:val="nil"/>
              <w:bottom w:val="nil"/>
              <w:right w:val="nil"/>
            </w:tcBorders>
            <w:shd w:val="clear" w:color="000000" w:fill="F7C7AC"/>
            <w:noWrap/>
            <w:vAlign w:val="bottom"/>
            <w:hideMark/>
          </w:tcPr>
          <w:p w14:paraId="13DDE7A8"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32%</w:t>
            </w:r>
          </w:p>
        </w:tc>
        <w:tc>
          <w:tcPr>
            <w:tcW w:w="1188" w:type="dxa"/>
            <w:tcBorders>
              <w:top w:val="nil"/>
              <w:left w:val="nil"/>
              <w:bottom w:val="nil"/>
              <w:right w:val="nil"/>
            </w:tcBorders>
            <w:shd w:val="clear" w:color="000000" w:fill="F7C7AC"/>
            <w:noWrap/>
            <w:vAlign w:val="bottom"/>
            <w:hideMark/>
          </w:tcPr>
          <w:p w14:paraId="430CD1CD"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195</w:t>
            </w:r>
          </w:p>
        </w:tc>
        <w:tc>
          <w:tcPr>
            <w:tcW w:w="1085" w:type="dxa"/>
            <w:tcBorders>
              <w:top w:val="nil"/>
              <w:left w:val="nil"/>
              <w:bottom w:val="nil"/>
              <w:right w:val="nil"/>
            </w:tcBorders>
            <w:shd w:val="clear" w:color="000000" w:fill="F7C7AC"/>
            <w:noWrap/>
            <w:vAlign w:val="bottom"/>
            <w:hideMark/>
          </w:tcPr>
          <w:p w14:paraId="5DD98109" w14:textId="77777777" w:rsidR="00CD59D7" w:rsidRPr="00CD59D7" w:rsidRDefault="00CD59D7" w:rsidP="00CD59D7">
            <w:pPr>
              <w:spacing w:after="0" w:line="240" w:lineRule="auto"/>
              <w:jc w:val="right"/>
              <w:rPr>
                <w:rFonts w:ascii="Aptos Narrow" w:hAnsi="Aptos Narrow"/>
                <w:noProof/>
                <w:color w:val="000000"/>
                <w:sz w:val="20"/>
                <w:lang w:val="en-IE" w:eastAsia="en-IE"/>
              </w:rPr>
            </w:pPr>
            <w:r w:rsidRPr="00CD59D7">
              <w:rPr>
                <w:rFonts w:ascii="Aptos Narrow" w:hAnsi="Aptos Narrow"/>
                <w:noProof/>
                <w:color w:val="000000"/>
                <w:sz w:val="20"/>
                <w:lang w:val="en-IE" w:eastAsia="en-IE"/>
              </w:rPr>
              <w:t>68%</w:t>
            </w:r>
          </w:p>
        </w:tc>
      </w:tr>
    </w:tbl>
    <w:p w14:paraId="6F80F915" w14:textId="77777777" w:rsidR="00CD59D7" w:rsidRPr="00CD59D7" w:rsidRDefault="00CD59D7" w:rsidP="00CD59D7">
      <w:pPr>
        <w:rPr>
          <w:noProof/>
        </w:rPr>
      </w:pPr>
    </w:p>
    <w:tbl>
      <w:tblPr>
        <w:tblW w:w="8684" w:type="dxa"/>
        <w:tblLook w:val="04A0" w:firstRow="1" w:lastRow="0" w:firstColumn="1" w:lastColumn="0" w:noHBand="0" w:noVBand="1"/>
      </w:tblPr>
      <w:tblGrid>
        <w:gridCol w:w="3402"/>
        <w:gridCol w:w="1662"/>
        <w:gridCol w:w="1734"/>
        <w:gridCol w:w="1886"/>
      </w:tblGrid>
      <w:tr w:rsidR="00710D79" w:rsidRPr="00CA1602" w14:paraId="24E93362" w14:textId="77777777" w:rsidTr="00D35864">
        <w:trPr>
          <w:trHeight w:val="620"/>
        </w:trPr>
        <w:tc>
          <w:tcPr>
            <w:tcW w:w="3402" w:type="dxa"/>
            <w:tcBorders>
              <w:top w:val="nil"/>
              <w:left w:val="nil"/>
              <w:bottom w:val="nil"/>
              <w:right w:val="nil"/>
            </w:tcBorders>
            <w:shd w:val="clear" w:color="000000" w:fill="FFFFFF"/>
            <w:noWrap/>
            <w:vAlign w:val="bottom"/>
            <w:hideMark/>
          </w:tcPr>
          <w:p w14:paraId="40028B28" w14:textId="77777777" w:rsidR="005D118B" w:rsidRPr="00CD1E13" w:rsidRDefault="005D118B" w:rsidP="00703ED5">
            <w:pPr>
              <w:keepNext/>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662" w:type="dxa"/>
            <w:tcBorders>
              <w:top w:val="nil"/>
              <w:left w:val="nil"/>
              <w:bottom w:val="nil"/>
              <w:right w:val="nil"/>
            </w:tcBorders>
            <w:shd w:val="clear" w:color="000000" w:fill="FFFFFF"/>
            <w:noWrap/>
            <w:vAlign w:val="bottom"/>
            <w:hideMark/>
          </w:tcPr>
          <w:p w14:paraId="3CA14F34" w14:textId="77777777" w:rsidR="005D118B" w:rsidRPr="00CD1E13" w:rsidRDefault="005D118B" w:rsidP="00703ED5">
            <w:pPr>
              <w:keepNext/>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3620" w:type="dxa"/>
            <w:gridSpan w:val="2"/>
            <w:tcBorders>
              <w:top w:val="nil"/>
              <w:left w:val="nil"/>
              <w:bottom w:val="nil"/>
              <w:right w:val="nil"/>
            </w:tcBorders>
            <w:shd w:val="clear" w:color="000000" w:fill="7E350E"/>
            <w:vAlign w:val="bottom"/>
            <w:hideMark/>
          </w:tcPr>
          <w:p w14:paraId="13685748" w14:textId="1F3D8221" w:rsidR="005D118B" w:rsidRPr="00CD1E13" w:rsidRDefault="005D118B" w:rsidP="00703ED5">
            <w:pPr>
              <w:keepNext/>
              <w:spacing w:after="0" w:line="240" w:lineRule="auto"/>
              <w:jc w:val="center"/>
              <w:rPr>
                <w:rFonts w:ascii="Aptos Narrow" w:hAnsi="Aptos Narrow"/>
                <w:b/>
                <w:bCs/>
                <w:noProof/>
                <w:color w:val="FFFFFF"/>
                <w:szCs w:val="22"/>
                <w:lang w:eastAsia="en-IE"/>
              </w:rPr>
            </w:pPr>
            <w:r w:rsidRPr="00CD1E13">
              <w:rPr>
                <w:rFonts w:ascii="Aptos Narrow" w:hAnsi="Aptos Narrow"/>
                <w:b/>
                <w:bCs/>
                <w:noProof/>
                <w:color w:val="FFFFFF"/>
                <w:szCs w:val="22"/>
                <w:lang w:eastAsia="en-IE"/>
              </w:rPr>
              <w:t xml:space="preserve">Estimated damage notified to the Commission and the IBOAs </w:t>
            </w:r>
          </w:p>
        </w:tc>
      </w:tr>
      <w:tr w:rsidR="00ED1719" w:rsidRPr="00CA1602" w14:paraId="0DF60895" w14:textId="77777777" w:rsidTr="00470539">
        <w:trPr>
          <w:trHeight w:val="300"/>
        </w:trPr>
        <w:tc>
          <w:tcPr>
            <w:tcW w:w="3402" w:type="dxa"/>
            <w:vMerge w:val="restart"/>
            <w:tcBorders>
              <w:top w:val="nil"/>
              <w:left w:val="nil"/>
              <w:right w:val="nil"/>
            </w:tcBorders>
            <w:shd w:val="clear" w:color="000000" w:fill="BE5014"/>
            <w:noWrap/>
            <w:vAlign w:val="bottom"/>
            <w:hideMark/>
          </w:tcPr>
          <w:p w14:paraId="2165025B" w14:textId="77777777" w:rsidR="00ED1719" w:rsidRPr="00CD1E13" w:rsidRDefault="00ED1719" w:rsidP="00703ED5">
            <w:pPr>
              <w:keepNext/>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EPPO (2025)*</w:t>
            </w:r>
          </w:p>
        </w:tc>
        <w:tc>
          <w:tcPr>
            <w:tcW w:w="1662" w:type="dxa"/>
            <w:tcBorders>
              <w:top w:val="nil"/>
              <w:left w:val="nil"/>
              <w:bottom w:val="nil"/>
              <w:right w:val="nil"/>
            </w:tcBorders>
            <w:shd w:val="clear" w:color="000000" w:fill="BE5014"/>
            <w:noWrap/>
            <w:vAlign w:val="bottom"/>
            <w:hideMark/>
          </w:tcPr>
          <w:p w14:paraId="3B182909" w14:textId="77777777" w:rsidR="00ED1719" w:rsidRPr="00CD1E13" w:rsidRDefault="00ED1719" w:rsidP="00703ED5">
            <w:pPr>
              <w:keepNext/>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Number of cases</w:t>
            </w:r>
          </w:p>
        </w:tc>
        <w:tc>
          <w:tcPr>
            <w:tcW w:w="1734" w:type="dxa"/>
            <w:tcBorders>
              <w:top w:val="nil"/>
              <w:left w:val="nil"/>
              <w:bottom w:val="nil"/>
              <w:right w:val="nil"/>
            </w:tcBorders>
            <w:shd w:val="clear" w:color="000000" w:fill="BE5014"/>
            <w:noWrap/>
            <w:vAlign w:val="bottom"/>
            <w:hideMark/>
          </w:tcPr>
          <w:p w14:paraId="28EB1F27" w14:textId="02421EC1" w:rsidR="00ED1719" w:rsidRPr="00CD1E13" w:rsidRDefault="00ED1719" w:rsidP="00703ED5">
            <w:pPr>
              <w:keepNext/>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Expenditure fraud</w:t>
            </w:r>
            <w:r w:rsidR="00FE0A08">
              <w:rPr>
                <w:rFonts w:ascii="Aptos Narrow" w:hAnsi="Aptos Narrow"/>
                <w:b/>
                <w:bCs/>
                <w:noProof/>
                <w:color w:val="FFFFFF"/>
                <w:szCs w:val="22"/>
                <w:lang w:eastAsia="en-IE"/>
              </w:rPr>
              <w:t xml:space="preserve"> </w:t>
            </w:r>
          </w:p>
        </w:tc>
        <w:tc>
          <w:tcPr>
            <w:tcW w:w="1886" w:type="dxa"/>
            <w:tcBorders>
              <w:top w:val="nil"/>
              <w:left w:val="nil"/>
              <w:bottom w:val="nil"/>
              <w:right w:val="nil"/>
            </w:tcBorders>
            <w:shd w:val="clear" w:color="000000" w:fill="BE5014"/>
            <w:noWrap/>
            <w:vAlign w:val="bottom"/>
            <w:hideMark/>
          </w:tcPr>
          <w:p w14:paraId="5F16EFAF" w14:textId="77777777" w:rsidR="00ED1719" w:rsidRPr="00CD1E13" w:rsidRDefault="00ED1719" w:rsidP="00703ED5">
            <w:pPr>
              <w:keepNext/>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Revenue fraud</w:t>
            </w:r>
          </w:p>
        </w:tc>
      </w:tr>
      <w:tr w:rsidR="00A972B9" w:rsidRPr="00CA1602" w14:paraId="55FA5058" w14:textId="77777777" w:rsidTr="00FE0A08">
        <w:trPr>
          <w:trHeight w:val="300"/>
        </w:trPr>
        <w:tc>
          <w:tcPr>
            <w:tcW w:w="3402" w:type="dxa"/>
            <w:vMerge/>
            <w:tcBorders>
              <w:left w:val="nil"/>
              <w:bottom w:val="nil"/>
              <w:right w:val="nil"/>
            </w:tcBorders>
            <w:shd w:val="clear" w:color="000000" w:fill="BE5014"/>
            <w:noWrap/>
            <w:vAlign w:val="bottom"/>
          </w:tcPr>
          <w:p w14:paraId="17ADFFBD" w14:textId="77777777" w:rsidR="00ED1719" w:rsidRPr="00CD1E13" w:rsidRDefault="00ED1719" w:rsidP="005D118B">
            <w:pPr>
              <w:spacing w:after="0" w:line="240" w:lineRule="auto"/>
              <w:jc w:val="left"/>
              <w:rPr>
                <w:rFonts w:ascii="Aptos Narrow" w:hAnsi="Aptos Narrow"/>
                <w:b/>
                <w:bCs/>
                <w:noProof/>
                <w:color w:val="FFFFFF"/>
                <w:szCs w:val="22"/>
                <w:lang w:eastAsia="en-IE"/>
              </w:rPr>
            </w:pPr>
          </w:p>
        </w:tc>
        <w:tc>
          <w:tcPr>
            <w:tcW w:w="1662" w:type="dxa"/>
            <w:tcBorders>
              <w:top w:val="nil"/>
              <w:left w:val="nil"/>
              <w:bottom w:val="nil"/>
              <w:right w:val="nil"/>
            </w:tcBorders>
            <w:shd w:val="clear" w:color="auto" w:fill="F4B083" w:themeFill="accent2" w:themeFillTint="99"/>
            <w:noWrap/>
            <w:vAlign w:val="bottom"/>
          </w:tcPr>
          <w:p w14:paraId="0938C071" w14:textId="45F2E209" w:rsidR="00ED1719" w:rsidRPr="00CD1E13" w:rsidRDefault="00ED1719" w:rsidP="00FE0A08">
            <w:pPr>
              <w:spacing w:after="0" w:line="240" w:lineRule="auto"/>
              <w:jc w:val="center"/>
              <w:rPr>
                <w:rFonts w:ascii="Aptos Narrow" w:hAnsi="Aptos Narrow"/>
                <w:b/>
                <w:bCs/>
                <w:noProof/>
                <w:color w:val="FFFFFF"/>
                <w:szCs w:val="22"/>
                <w:lang w:eastAsia="en-IE"/>
              </w:rPr>
            </w:pPr>
            <w:r>
              <w:rPr>
                <w:rFonts w:ascii="Aptos Narrow" w:hAnsi="Aptos Narrow"/>
                <w:b/>
                <w:bCs/>
                <w:noProof/>
                <w:color w:val="FFFFFF"/>
                <w:szCs w:val="22"/>
                <w:lang w:eastAsia="en-IE"/>
              </w:rPr>
              <w:t>N</w:t>
            </w:r>
          </w:p>
        </w:tc>
        <w:tc>
          <w:tcPr>
            <w:tcW w:w="1734" w:type="dxa"/>
            <w:tcBorders>
              <w:top w:val="nil"/>
              <w:left w:val="nil"/>
              <w:bottom w:val="nil"/>
              <w:right w:val="nil"/>
            </w:tcBorders>
            <w:shd w:val="clear" w:color="auto" w:fill="F4B083" w:themeFill="accent2" w:themeFillTint="99"/>
            <w:noWrap/>
            <w:vAlign w:val="bottom"/>
          </w:tcPr>
          <w:p w14:paraId="613B6D2A" w14:textId="4D9D4EC3" w:rsidR="00ED1719" w:rsidRPr="00CD1E13" w:rsidRDefault="00FE0A08" w:rsidP="005D118B">
            <w:pPr>
              <w:spacing w:after="0" w:line="240" w:lineRule="auto"/>
              <w:jc w:val="left"/>
              <w:rPr>
                <w:rFonts w:ascii="Aptos Narrow" w:hAnsi="Aptos Narrow"/>
                <w:b/>
                <w:bCs/>
                <w:noProof/>
                <w:color w:val="FFFFFF"/>
                <w:szCs w:val="22"/>
                <w:lang w:eastAsia="en-IE"/>
              </w:rPr>
            </w:pPr>
            <w:r>
              <w:rPr>
                <w:rFonts w:ascii="Aptos Narrow" w:hAnsi="Aptos Narrow"/>
                <w:b/>
                <w:bCs/>
                <w:noProof/>
                <w:color w:val="FFFFFF"/>
                <w:szCs w:val="22"/>
                <w:lang w:eastAsia="en-IE"/>
              </w:rPr>
              <w:t>EUR million</w:t>
            </w:r>
          </w:p>
        </w:tc>
        <w:tc>
          <w:tcPr>
            <w:tcW w:w="1886" w:type="dxa"/>
            <w:tcBorders>
              <w:top w:val="nil"/>
              <w:left w:val="nil"/>
              <w:bottom w:val="nil"/>
              <w:right w:val="nil"/>
            </w:tcBorders>
            <w:shd w:val="clear" w:color="auto" w:fill="F4B083" w:themeFill="accent2" w:themeFillTint="99"/>
            <w:noWrap/>
            <w:vAlign w:val="bottom"/>
          </w:tcPr>
          <w:p w14:paraId="3FD7D45A" w14:textId="2592F97D" w:rsidR="00ED1719" w:rsidRPr="00CD1E13" w:rsidRDefault="00FE0A08" w:rsidP="005D118B">
            <w:pPr>
              <w:spacing w:after="0" w:line="240" w:lineRule="auto"/>
              <w:jc w:val="left"/>
              <w:rPr>
                <w:rFonts w:ascii="Aptos Narrow" w:hAnsi="Aptos Narrow"/>
                <w:b/>
                <w:bCs/>
                <w:noProof/>
                <w:color w:val="FFFFFF"/>
                <w:szCs w:val="22"/>
                <w:lang w:eastAsia="en-IE"/>
              </w:rPr>
            </w:pPr>
            <w:r>
              <w:rPr>
                <w:rFonts w:ascii="Aptos Narrow" w:hAnsi="Aptos Narrow"/>
                <w:b/>
                <w:bCs/>
                <w:noProof/>
                <w:color w:val="FFFFFF"/>
                <w:szCs w:val="22"/>
                <w:lang w:eastAsia="en-IE"/>
              </w:rPr>
              <w:t>EUR million</w:t>
            </w:r>
          </w:p>
        </w:tc>
      </w:tr>
      <w:tr w:rsidR="00710D79" w:rsidRPr="00CA1602" w14:paraId="5B6B4A8C" w14:textId="77777777" w:rsidTr="00C43D00">
        <w:trPr>
          <w:trHeight w:val="300"/>
        </w:trPr>
        <w:tc>
          <w:tcPr>
            <w:tcW w:w="3402" w:type="dxa"/>
            <w:tcBorders>
              <w:top w:val="nil"/>
              <w:left w:val="nil"/>
              <w:bottom w:val="nil"/>
              <w:right w:val="nil"/>
            </w:tcBorders>
            <w:shd w:val="clear" w:color="000000" w:fill="FFFFFF"/>
            <w:noWrap/>
            <w:vAlign w:val="bottom"/>
            <w:hideMark/>
          </w:tcPr>
          <w:p w14:paraId="32B40735"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Indictments</w:t>
            </w:r>
          </w:p>
        </w:tc>
        <w:tc>
          <w:tcPr>
            <w:tcW w:w="1662" w:type="dxa"/>
            <w:tcBorders>
              <w:top w:val="nil"/>
              <w:left w:val="nil"/>
              <w:bottom w:val="nil"/>
              <w:right w:val="nil"/>
            </w:tcBorders>
            <w:shd w:val="clear" w:color="000000" w:fill="FFFFFF"/>
            <w:noWrap/>
            <w:vAlign w:val="bottom"/>
            <w:hideMark/>
          </w:tcPr>
          <w:p w14:paraId="3F85563E"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275</w:t>
            </w:r>
          </w:p>
        </w:tc>
        <w:tc>
          <w:tcPr>
            <w:tcW w:w="1734" w:type="dxa"/>
            <w:tcBorders>
              <w:top w:val="nil"/>
              <w:left w:val="nil"/>
              <w:bottom w:val="nil"/>
              <w:right w:val="nil"/>
            </w:tcBorders>
            <w:shd w:val="clear" w:color="000000" w:fill="FFFFFF"/>
            <w:noWrap/>
            <w:vAlign w:val="bottom"/>
            <w:hideMark/>
          </w:tcPr>
          <w:p w14:paraId="794A6821"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162.7</w:t>
            </w:r>
          </w:p>
        </w:tc>
        <w:tc>
          <w:tcPr>
            <w:tcW w:w="1886" w:type="dxa"/>
            <w:tcBorders>
              <w:top w:val="nil"/>
              <w:left w:val="nil"/>
              <w:bottom w:val="nil"/>
              <w:right w:val="nil"/>
            </w:tcBorders>
            <w:shd w:val="clear" w:color="000000" w:fill="FFFFFF"/>
            <w:noWrap/>
            <w:vAlign w:val="bottom"/>
            <w:hideMark/>
          </w:tcPr>
          <w:p w14:paraId="3689B180"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1 180</w:t>
            </w:r>
          </w:p>
        </w:tc>
      </w:tr>
      <w:tr w:rsidR="00710D79" w:rsidRPr="00CA1602" w14:paraId="31023805" w14:textId="77777777" w:rsidTr="00C43D00">
        <w:trPr>
          <w:trHeight w:val="300"/>
        </w:trPr>
        <w:tc>
          <w:tcPr>
            <w:tcW w:w="3402" w:type="dxa"/>
            <w:tcBorders>
              <w:top w:val="nil"/>
              <w:left w:val="nil"/>
              <w:bottom w:val="nil"/>
              <w:right w:val="nil"/>
            </w:tcBorders>
            <w:shd w:val="clear" w:color="000000" w:fill="FBE2D5"/>
            <w:noWrap/>
            <w:vAlign w:val="bottom"/>
            <w:hideMark/>
          </w:tcPr>
          <w:p w14:paraId="3E17CEE7"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Dismissals</w:t>
            </w:r>
          </w:p>
        </w:tc>
        <w:tc>
          <w:tcPr>
            <w:tcW w:w="1662" w:type="dxa"/>
            <w:tcBorders>
              <w:top w:val="nil"/>
              <w:left w:val="nil"/>
              <w:bottom w:val="nil"/>
              <w:right w:val="nil"/>
            </w:tcBorders>
            <w:shd w:val="clear" w:color="000000" w:fill="FBE2D5"/>
            <w:noWrap/>
            <w:vAlign w:val="bottom"/>
            <w:hideMark/>
          </w:tcPr>
          <w:p w14:paraId="326938EE"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292</w:t>
            </w:r>
          </w:p>
        </w:tc>
        <w:tc>
          <w:tcPr>
            <w:tcW w:w="1734" w:type="dxa"/>
            <w:tcBorders>
              <w:top w:val="nil"/>
              <w:left w:val="nil"/>
              <w:bottom w:val="nil"/>
              <w:right w:val="nil"/>
            </w:tcBorders>
            <w:shd w:val="clear" w:color="000000" w:fill="FBE2D5"/>
            <w:noWrap/>
            <w:vAlign w:val="bottom"/>
            <w:hideMark/>
          </w:tcPr>
          <w:p w14:paraId="09B9C11B"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c>
          <w:tcPr>
            <w:tcW w:w="1886" w:type="dxa"/>
            <w:tcBorders>
              <w:top w:val="nil"/>
              <w:left w:val="nil"/>
              <w:bottom w:val="nil"/>
              <w:right w:val="nil"/>
            </w:tcBorders>
            <w:shd w:val="clear" w:color="000000" w:fill="FBE2D5"/>
            <w:noWrap/>
            <w:vAlign w:val="bottom"/>
            <w:hideMark/>
          </w:tcPr>
          <w:p w14:paraId="3631D697"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r>
      <w:tr w:rsidR="00710D79" w:rsidRPr="00CA1602" w14:paraId="0D70CFCA" w14:textId="77777777" w:rsidTr="00C43D00">
        <w:trPr>
          <w:trHeight w:val="300"/>
        </w:trPr>
        <w:tc>
          <w:tcPr>
            <w:tcW w:w="3402" w:type="dxa"/>
            <w:tcBorders>
              <w:top w:val="nil"/>
              <w:left w:val="nil"/>
              <w:bottom w:val="nil"/>
              <w:right w:val="nil"/>
            </w:tcBorders>
            <w:shd w:val="clear" w:color="000000" w:fill="FFFFFF"/>
            <w:noWrap/>
            <w:vAlign w:val="bottom"/>
            <w:hideMark/>
          </w:tcPr>
          <w:p w14:paraId="3D2BF780"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Simplified prosecution procedures</w:t>
            </w:r>
          </w:p>
        </w:tc>
        <w:tc>
          <w:tcPr>
            <w:tcW w:w="1662" w:type="dxa"/>
            <w:tcBorders>
              <w:top w:val="nil"/>
              <w:left w:val="nil"/>
              <w:bottom w:val="nil"/>
              <w:right w:val="nil"/>
            </w:tcBorders>
            <w:shd w:val="clear" w:color="000000" w:fill="FFFFFF"/>
            <w:noWrap/>
            <w:vAlign w:val="bottom"/>
            <w:hideMark/>
          </w:tcPr>
          <w:p w14:paraId="5AC2C19D"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99</w:t>
            </w:r>
          </w:p>
        </w:tc>
        <w:tc>
          <w:tcPr>
            <w:tcW w:w="1734" w:type="dxa"/>
            <w:tcBorders>
              <w:top w:val="nil"/>
              <w:left w:val="nil"/>
              <w:bottom w:val="nil"/>
              <w:right w:val="nil"/>
            </w:tcBorders>
            <w:shd w:val="clear" w:color="000000" w:fill="FFFFFF"/>
            <w:noWrap/>
            <w:vAlign w:val="bottom"/>
            <w:hideMark/>
          </w:tcPr>
          <w:p w14:paraId="7C8A9540"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8.6</w:t>
            </w:r>
          </w:p>
        </w:tc>
        <w:tc>
          <w:tcPr>
            <w:tcW w:w="1886" w:type="dxa"/>
            <w:tcBorders>
              <w:top w:val="nil"/>
              <w:left w:val="nil"/>
              <w:bottom w:val="nil"/>
              <w:right w:val="nil"/>
            </w:tcBorders>
            <w:shd w:val="clear" w:color="000000" w:fill="FFFFFF"/>
            <w:noWrap/>
            <w:vAlign w:val="bottom"/>
            <w:hideMark/>
          </w:tcPr>
          <w:p w14:paraId="6B8CA3B2"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11.8</w:t>
            </w:r>
          </w:p>
        </w:tc>
      </w:tr>
      <w:tr w:rsidR="00710D79" w:rsidRPr="00CA1602" w14:paraId="30ACBDF9" w14:textId="77777777" w:rsidTr="00C43D00">
        <w:trPr>
          <w:trHeight w:val="300"/>
        </w:trPr>
        <w:tc>
          <w:tcPr>
            <w:tcW w:w="3402" w:type="dxa"/>
            <w:tcBorders>
              <w:top w:val="nil"/>
              <w:left w:val="nil"/>
              <w:bottom w:val="nil"/>
              <w:right w:val="nil"/>
            </w:tcBorders>
            <w:shd w:val="clear" w:color="000000" w:fill="FBE2D5"/>
            <w:noWrap/>
            <w:vAlign w:val="bottom"/>
            <w:hideMark/>
          </w:tcPr>
          <w:p w14:paraId="3BE0300E"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Final court decisions</w:t>
            </w:r>
          </w:p>
        </w:tc>
        <w:tc>
          <w:tcPr>
            <w:tcW w:w="1662" w:type="dxa"/>
            <w:tcBorders>
              <w:top w:val="nil"/>
              <w:left w:val="nil"/>
              <w:bottom w:val="nil"/>
              <w:right w:val="nil"/>
            </w:tcBorders>
            <w:shd w:val="clear" w:color="000000" w:fill="FBE2D5"/>
            <w:noWrap/>
            <w:vAlign w:val="bottom"/>
            <w:hideMark/>
          </w:tcPr>
          <w:p w14:paraId="22A0615B"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168</w:t>
            </w:r>
          </w:p>
        </w:tc>
        <w:tc>
          <w:tcPr>
            <w:tcW w:w="1734" w:type="dxa"/>
            <w:tcBorders>
              <w:top w:val="nil"/>
              <w:left w:val="nil"/>
              <w:bottom w:val="nil"/>
              <w:right w:val="nil"/>
            </w:tcBorders>
            <w:shd w:val="clear" w:color="000000" w:fill="FBE2D5"/>
            <w:noWrap/>
            <w:vAlign w:val="bottom"/>
            <w:hideMark/>
          </w:tcPr>
          <w:p w14:paraId="7DC3927B"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c>
          <w:tcPr>
            <w:tcW w:w="1886" w:type="dxa"/>
            <w:tcBorders>
              <w:top w:val="nil"/>
              <w:left w:val="nil"/>
              <w:bottom w:val="nil"/>
              <w:right w:val="nil"/>
            </w:tcBorders>
            <w:shd w:val="clear" w:color="000000" w:fill="FBE2D5"/>
            <w:noWrap/>
            <w:vAlign w:val="bottom"/>
            <w:hideMark/>
          </w:tcPr>
          <w:p w14:paraId="52D78240"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r>
      <w:tr w:rsidR="00710D79" w:rsidRPr="00CA1602" w14:paraId="0E6D839D" w14:textId="77777777" w:rsidTr="00C43D00">
        <w:trPr>
          <w:trHeight w:val="300"/>
        </w:trPr>
        <w:tc>
          <w:tcPr>
            <w:tcW w:w="3402" w:type="dxa"/>
            <w:tcBorders>
              <w:top w:val="nil"/>
              <w:left w:val="nil"/>
              <w:bottom w:val="nil"/>
              <w:right w:val="nil"/>
            </w:tcBorders>
            <w:shd w:val="clear" w:color="000000" w:fill="FFFFFF"/>
            <w:noWrap/>
            <w:vAlign w:val="bottom"/>
            <w:hideMark/>
          </w:tcPr>
          <w:p w14:paraId="6E00C26F"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Convictions</w:t>
            </w:r>
          </w:p>
        </w:tc>
        <w:tc>
          <w:tcPr>
            <w:tcW w:w="1662" w:type="dxa"/>
            <w:tcBorders>
              <w:top w:val="nil"/>
              <w:left w:val="nil"/>
              <w:bottom w:val="nil"/>
              <w:right w:val="nil"/>
            </w:tcBorders>
            <w:shd w:val="clear" w:color="000000" w:fill="FFFFFF"/>
            <w:noWrap/>
            <w:vAlign w:val="bottom"/>
            <w:hideMark/>
          </w:tcPr>
          <w:p w14:paraId="2E301962"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159</w:t>
            </w:r>
          </w:p>
        </w:tc>
        <w:tc>
          <w:tcPr>
            <w:tcW w:w="1734" w:type="dxa"/>
            <w:tcBorders>
              <w:top w:val="nil"/>
              <w:left w:val="nil"/>
              <w:bottom w:val="nil"/>
              <w:right w:val="nil"/>
            </w:tcBorders>
            <w:shd w:val="clear" w:color="000000" w:fill="FFFFFF"/>
            <w:noWrap/>
            <w:vAlign w:val="bottom"/>
            <w:hideMark/>
          </w:tcPr>
          <w:p w14:paraId="064A7E3A"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c>
          <w:tcPr>
            <w:tcW w:w="1886" w:type="dxa"/>
            <w:tcBorders>
              <w:top w:val="nil"/>
              <w:left w:val="nil"/>
              <w:bottom w:val="nil"/>
              <w:right w:val="nil"/>
            </w:tcBorders>
            <w:shd w:val="clear" w:color="000000" w:fill="FFFFFF"/>
            <w:noWrap/>
            <w:vAlign w:val="bottom"/>
            <w:hideMark/>
          </w:tcPr>
          <w:p w14:paraId="72D91E54"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r>
      <w:tr w:rsidR="00C43D00" w:rsidRPr="00CA1602" w14:paraId="311BA7BE" w14:textId="77777777" w:rsidTr="0087230B">
        <w:trPr>
          <w:trHeight w:val="300"/>
        </w:trPr>
        <w:tc>
          <w:tcPr>
            <w:tcW w:w="8684" w:type="dxa"/>
            <w:gridSpan w:val="4"/>
            <w:tcBorders>
              <w:top w:val="nil"/>
              <w:left w:val="nil"/>
              <w:bottom w:val="nil"/>
              <w:right w:val="nil"/>
            </w:tcBorders>
            <w:shd w:val="clear" w:color="000000" w:fill="F1A983"/>
            <w:noWrap/>
            <w:vAlign w:val="bottom"/>
            <w:hideMark/>
          </w:tcPr>
          <w:p w14:paraId="45783F27" w14:textId="087EB936" w:rsidR="00C43D00" w:rsidRPr="005924BF" w:rsidRDefault="00C43D00" w:rsidP="005D118B">
            <w:pPr>
              <w:spacing w:after="0" w:line="240" w:lineRule="auto"/>
              <w:jc w:val="left"/>
              <w:rPr>
                <w:rFonts w:ascii="Aptos Narrow" w:hAnsi="Aptos Narrow"/>
                <w:b/>
                <w:bCs/>
                <w:noProof/>
                <w:color w:val="000000"/>
                <w:szCs w:val="22"/>
                <w:lang w:eastAsia="en-IE"/>
              </w:rPr>
            </w:pPr>
            <w:r w:rsidRPr="00CD1E13">
              <w:rPr>
                <w:rFonts w:ascii="Aptos Narrow" w:hAnsi="Aptos Narrow"/>
                <w:noProof/>
                <w:color w:val="000000"/>
                <w:szCs w:val="22"/>
                <w:lang w:eastAsia="en-IE"/>
              </w:rPr>
              <w:lastRenderedPageBreak/>
              <w:t xml:space="preserve">* </w:t>
            </w:r>
            <w:r w:rsidRPr="00CD1E13">
              <w:rPr>
                <w:rFonts w:ascii="Aptos Narrow" w:hAnsi="Aptos Narrow"/>
                <w:i/>
                <w:iCs/>
                <w:noProof/>
                <w:color w:val="000000"/>
                <w:szCs w:val="22"/>
                <w:lang w:eastAsia="en-IE"/>
              </w:rPr>
              <w:t xml:space="preserve">Source: </w:t>
            </w:r>
            <w:r w:rsidRPr="00CD1E13">
              <w:rPr>
                <w:rFonts w:ascii="Aptos Narrow" w:hAnsi="Aptos Narrow"/>
                <w:noProof/>
                <w:color w:val="000000"/>
                <w:szCs w:val="22"/>
                <w:lang w:eastAsia="en-IE"/>
              </w:rPr>
              <w:t>EPPO annual report 2025 - may include RRF fraud cases</w:t>
            </w:r>
            <w:r>
              <w:rPr>
                <w:rFonts w:ascii="Aptos Narrow" w:hAnsi="Aptos Narrow"/>
                <w:noProof/>
                <w:color w:val="000000"/>
                <w:szCs w:val="22"/>
                <w:lang w:eastAsia="en-IE"/>
              </w:rPr>
              <w:t>. Revenue fraud cases refer a</w:t>
            </w:r>
            <w:r w:rsidRPr="007B03BF">
              <w:rPr>
                <w:rFonts w:ascii="Aptos Narrow" w:hAnsi="Aptos Narrow"/>
                <w:noProof/>
                <w:color w:val="000000"/>
                <w:szCs w:val="22"/>
                <w:lang w:eastAsia="en-IE"/>
              </w:rPr>
              <w:t xml:space="preserve">lmost exclusively </w:t>
            </w:r>
            <w:r>
              <w:rPr>
                <w:rFonts w:ascii="Aptos Narrow" w:hAnsi="Aptos Narrow"/>
                <w:noProof/>
                <w:color w:val="000000"/>
                <w:szCs w:val="22"/>
                <w:lang w:eastAsia="en-IE"/>
              </w:rPr>
              <w:t xml:space="preserve">to </w:t>
            </w:r>
            <w:r w:rsidRPr="007B03BF">
              <w:rPr>
                <w:rFonts w:ascii="Aptos Narrow" w:hAnsi="Aptos Narrow"/>
                <w:noProof/>
                <w:color w:val="000000"/>
                <w:szCs w:val="22"/>
                <w:lang w:eastAsia="en-IE"/>
              </w:rPr>
              <w:t>VAT fraud (estimated damage to national budgets).</w:t>
            </w:r>
            <w:r w:rsidRPr="00CD1E13">
              <w:rPr>
                <w:rFonts w:ascii="Aptos Narrow" w:hAnsi="Aptos Narrow"/>
                <w:noProof/>
                <w:color w:val="000000"/>
                <w:szCs w:val="22"/>
                <w:lang w:eastAsia="en-IE"/>
              </w:rPr>
              <w:t> </w:t>
            </w:r>
            <w:r w:rsidR="005924BF">
              <w:rPr>
                <w:rFonts w:ascii="Aptos Narrow" w:hAnsi="Aptos Narrow"/>
                <w:noProof/>
                <w:color w:val="000000"/>
                <w:szCs w:val="22"/>
                <w:lang w:eastAsia="en-IE"/>
              </w:rPr>
              <w:t xml:space="preserve">See </w:t>
            </w:r>
            <w:r w:rsidR="005924BF">
              <w:rPr>
                <w:rFonts w:ascii="Aptos Narrow" w:hAnsi="Aptos Narrow"/>
                <w:b/>
                <w:bCs/>
                <w:noProof/>
                <w:color w:val="000000"/>
                <w:szCs w:val="22"/>
                <w:lang w:eastAsia="en-IE"/>
              </w:rPr>
              <w:t>Snapshot 8.</w:t>
            </w:r>
          </w:p>
        </w:tc>
      </w:tr>
      <w:tr w:rsidR="00710D79" w:rsidRPr="00CA1602" w14:paraId="128BB68B" w14:textId="77777777" w:rsidTr="00C43D00">
        <w:trPr>
          <w:trHeight w:val="300"/>
        </w:trPr>
        <w:tc>
          <w:tcPr>
            <w:tcW w:w="3402" w:type="dxa"/>
            <w:tcBorders>
              <w:top w:val="nil"/>
              <w:left w:val="nil"/>
              <w:bottom w:val="nil"/>
              <w:right w:val="nil"/>
            </w:tcBorders>
            <w:shd w:val="clear" w:color="000000" w:fill="FFFFFF"/>
            <w:noWrap/>
            <w:vAlign w:val="bottom"/>
            <w:hideMark/>
          </w:tcPr>
          <w:p w14:paraId="0CFEDF12"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662" w:type="dxa"/>
            <w:tcBorders>
              <w:top w:val="nil"/>
              <w:left w:val="nil"/>
              <w:bottom w:val="nil"/>
              <w:right w:val="nil"/>
            </w:tcBorders>
            <w:shd w:val="clear" w:color="000000" w:fill="FFFFFF"/>
            <w:noWrap/>
            <w:vAlign w:val="bottom"/>
            <w:hideMark/>
          </w:tcPr>
          <w:p w14:paraId="28C06E1D"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734" w:type="dxa"/>
            <w:tcBorders>
              <w:top w:val="nil"/>
              <w:left w:val="nil"/>
              <w:bottom w:val="nil"/>
              <w:right w:val="nil"/>
            </w:tcBorders>
            <w:shd w:val="clear" w:color="000000" w:fill="FFFFFF"/>
            <w:noWrap/>
            <w:vAlign w:val="bottom"/>
            <w:hideMark/>
          </w:tcPr>
          <w:p w14:paraId="794D0754"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886" w:type="dxa"/>
            <w:tcBorders>
              <w:top w:val="nil"/>
              <w:left w:val="nil"/>
              <w:bottom w:val="nil"/>
              <w:right w:val="nil"/>
            </w:tcBorders>
            <w:shd w:val="clear" w:color="000000" w:fill="FFFFFF"/>
            <w:noWrap/>
            <w:vAlign w:val="bottom"/>
            <w:hideMark/>
          </w:tcPr>
          <w:p w14:paraId="1B1F1595"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r>
      <w:tr w:rsidR="00710D79" w:rsidRPr="00CA1602" w14:paraId="27253CEB" w14:textId="77777777" w:rsidTr="00C43D00">
        <w:trPr>
          <w:trHeight w:val="300"/>
        </w:trPr>
        <w:tc>
          <w:tcPr>
            <w:tcW w:w="3402" w:type="dxa"/>
            <w:tcBorders>
              <w:top w:val="nil"/>
              <w:left w:val="nil"/>
              <w:bottom w:val="nil"/>
              <w:right w:val="nil"/>
            </w:tcBorders>
            <w:shd w:val="clear" w:color="000000" w:fill="FFFFFF"/>
            <w:noWrap/>
            <w:vAlign w:val="bottom"/>
            <w:hideMark/>
          </w:tcPr>
          <w:p w14:paraId="14E6BBEE"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662" w:type="dxa"/>
            <w:tcBorders>
              <w:top w:val="nil"/>
              <w:left w:val="nil"/>
              <w:bottom w:val="nil"/>
              <w:right w:val="nil"/>
            </w:tcBorders>
            <w:shd w:val="clear" w:color="000000" w:fill="FFFFFF"/>
            <w:noWrap/>
            <w:vAlign w:val="bottom"/>
            <w:hideMark/>
          </w:tcPr>
          <w:p w14:paraId="72C44D3C"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734" w:type="dxa"/>
            <w:tcBorders>
              <w:top w:val="nil"/>
              <w:left w:val="nil"/>
              <w:bottom w:val="nil"/>
              <w:right w:val="nil"/>
            </w:tcBorders>
            <w:shd w:val="clear" w:color="000000" w:fill="FFFFFF"/>
            <w:noWrap/>
            <w:vAlign w:val="bottom"/>
            <w:hideMark/>
          </w:tcPr>
          <w:p w14:paraId="6FD3E457"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886" w:type="dxa"/>
            <w:tcBorders>
              <w:top w:val="nil"/>
              <w:left w:val="nil"/>
              <w:bottom w:val="nil"/>
              <w:right w:val="nil"/>
            </w:tcBorders>
            <w:shd w:val="clear" w:color="000000" w:fill="FFFFFF"/>
            <w:noWrap/>
            <w:vAlign w:val="bottom"/>
            <w:hideMark/>
          </w:tcPr>
          <w:p w14:paraId="2EEBCD06"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r>
      <w:tr w:rsidR="00F44B20" w:rsidRPr="00F44B20" w14:paraId="03749DF9" w14:textId="77777777" w:rsidTr="00EF490A">
        <w:trPr>
          <w:trHeight w:val="300"/>
        </w:trPr>
        <w:tc>
          <w:tcPr>
            <w:tcW w:w="3402" w:type="dxa"/>
            <w:tcBorders>
              <w:top w:val="nil"/>
              <w:left w:val="nil"/>
              <w:bottom w:val="nil"/>
              <w:right w:val="nil"/>
            </w:tcBorders>
            <w:shd w:val="clear" w:color="000000" w:fill="FFFFFF"/>
            <w:noWrap/>
            <w:vAlign w:val="bottom"/>
            <w:hideMark/>
          </w:tcPr>
          <w:p w14:paraId="5A9EBFC3" w14:textId="77777777" w:rsidR="00F44B20" w:rsidRPr="00CD1E13" w:rsidRDefault="00F44B20"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5282" w:type="dxa"/>
            <w:gridSpan w:val="3"/>
            <w:tcBorders>
              <w:top w:val="nil"/>
              <w:left w:val="nil"/>
              <w:bottom w:val="nil"/>
              <w:right w:val="nil"/>
            </w:tcBorders>
            <w:shd w:val="clear" w:color="auto" w:fill="833C0B" w:themeFill="accent2" w:themeFillShade="80"/>
            <w:noWrap/>
            <w:vAlign w:val="bottom"/>
            <w:hideMark/>
          </w:tcPr>
          <w:p w14:paraId="15128B3F" w14:textId="318F1603" w:rsidR="00F44B20" w:rsidRPr="00D33DBB" w:rsidRDefault="00F44B20" w:rsidP="005D118B">
            <w:pPr>
              <w:spacing w:after="0" w:line="240" w:lineRule="auto"/>
              <w:jc w:val="center"/>
              <w:rPr>
                <w:rFonts w:ascii="Aptos Narrow" w:hAnsi="Aptos Narrow"/>
                <w:b/>
                <w:bCs/>
                <w:noProof/>
                <w:color w:val="FFFFFF"/>
                <w:szCs w:val="22"/>
                <w:lang w:val="fr-BE" w:eastAsia="en-IE"/>
              </w:rPr>
            </w:pPr>
            <w:r w:rsidRPr="00EF490A">
              <w:rPr>
                <w:rFonts w:ascii="Aptos Narrow" w:hAnsi="Aptos Narrow"/>
                <w:b/>
                <w:bCs/>
                <w:noProof/>
                <w:color w:val="FFFFFF" w:themeColor="background1"/>
                <w:szCs w:val="22"/>
                <w:shd w:val="clear" w:color="auto" w:fill="833C0B" w:themeFill="accent2" w:themeFillShade="80"/>
                <w:lang w:val="fr-BE" w:eastAsia="en-IE"/>
              </w:rPr>
              <w:t xml:space="preserve">Financial </w:t>
            </w:r>
            <w:r w:rsidR="004A56C4" w:rsidRPr="00EF490A">
              <w:rPr>
                <w:rFonts w:ascii="Aptos Narrow" w:hAnsi="Aptos Narrow"/>
                <w:b/>
                <w:bCs/>
                <w:noProof/>
                <w:color w:val="FFFFFF" w:themeColor="background1"/>
                <w:szCs w:val="22"/>
                <w:shd w:val="clear" w:color="auto" w:fill="833C0B" w:themeFill="accent2" w:themeFillShade="80"/>
                <w:lang w:val="fr-BE" w:eastAsia="en-IE"/>
              </w:rPr>
              <w:t>recommandations</w:t>
            </w:r>
          </w:p>
        </w:tc>
      </w:tr>
      <w:tr w:rsidR="00134143" w:rsidRPr="00CA1602" w14:paraId="01C2ACD8" w14:textId="77777777" w:rsidTr="00147503">
        <w:trPr>
          <w:trHeight w:val="300"/>
        </w:trPr>
        <w:tc>
          <w:tcPr>
            <w:tcW w:w="3402" w:type="dxa"/>
            <w:vMerge w:val="restart"/>
            <w:tcBorders>
              <w:top w:val="nil"/>
              <w:left w:val="nil"/>
              <w:right w:val="nil"/>
            </w:tcBorders>
            <w:shd w:val="clear" w:color="000000" w:fill="BE5014"/>
            <w:vAlign w:val="bottom"/>
            <w:hideMark/>
          </w:tcPr>
          <w:p w14:paraId="2BDD01C5" w14:textId="77777777" w:rsidR="00134143" w:rsidRPr="00CD1E13" w:rsidRDefault="00134143" w:rsidP="005D118B">
            <w:pPr>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OLAF (2025)**</w:t>
            </w:r>
          </w:p>
        </w:tc>
        <w:tc>
          <w:tcPr>
            <w:tcW w:w="1662" w:type="dxa"/>
            <w:tcBorders>
              <w:top w:val="nil"/>
              <w:left w:val="nil"/>
              <w:bottom w:val="nil"/>
              <w:right w:val="nil"/>
            </w:tcBorders>
            <w:shd w:val="clear" w:color="000000" w:fill="BE5014"/>
            <w:vAlign w:val="bottom"/>
            <w:hideMark/>
          </w:tcPr>
          <w:p w14:paraId="5899B1C4" w14:textId="77777777" w:rsidR="00134143" w:rsidRPr="00CD1E13" w:rsidRDefault="00134143" w:rsidP="005D118B">
            <w:pPr>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Number</w:t>
            </w:r>
          </w:p>
        </w:tc>
        <w:tc>
          <w:tcPr>
            <w:tcW w:w="1734" w:type="dxa"/>
            <w:tcBorders>
              <w:top w:val="nil"/>
              <w:left w:val="nil"/>
              <w:bottom w:val="nil"/>
              <w:right w:val="nil"/>
            </w:tcBorders>
            <w:shd w:val="clear" w:color="000000" w:fill="BE5014"/>
            <w:vAlign w:val="bottom"/>
            <w:hideMark/>
          </w:tcPr>
          <w:p w14:paraId="1B4585D2" w14:textId="77777777" w:rsidR="00134143" w:rsidRPr="00CD1E13" w:rsidRDefault="00134143" w:rsidP="005D118B">
            <w:pPr>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For recovery</w:t>
            </w:r>
          </w:p>
        </w:tc>
        <w:tc>
          <w:tcPr>
            <w:tcW w:w="1886" w:type="dxa"/>
            <w:tcBorders>
              <w:top w:val="nil"/>
              <w:left w:val="nil"/>
              <w:bottom w:val="nil"/>
              <w:right w:val="nil"/>
            </w:tcBorders>
            <w:shd w:val="clear" w:color="000000" w:fill="BE5014"/>
            <w:vAlign w:val="bottom"/>
            <w:hideMark/>
          </w:tcPr>
          <w:p w14:paraId="552B860E" w14:textId="77777777" w:rsidR="00134143" w:rsidRPr="00CD1E13" w:rsidRDefault="00134143" w:rsidP="005D118B">
            <w:pPr>
              <w:spacing w:after="0" w:line="240" w:lineRule="auto"/>
              <w:jc w:val="left"/>
              <w:rPr>
                <w:rFonts w:ascii="Aptos Narrow" w:hAnsi="Aptos Narrow"/>
                <w:b/>
                <w:bCs/>
                <w:noProof/>
                <w:color w:val="FFFFFF"/>
                <w:szCs w:val="22"/>
                <w:lang w:eastAsia="en-IE"/>
              </w:rPr>
            </w:pPr>
            <w:r w:rsidRPr="00CD1E13">
              <w:rPr>
                <w:rFonts w:ascii="Aptos Narrow" w:hAnsi="Aptos Narrow"/>
                <w:b/>
                <w:bCs/>
                <w:noProof/>
                <w:color w:val="FFFFFF"/>
                <w:szCs w:val="22"/>
                <w:lang w:eastAsia="en-IE"/>
              </w:rPr>
              <w:t>for prevention</w:t>
            </w:r>
          </w:p>
        </w:tc>
      </w:tr>
      <w:tr w:rsidR="00BC534D" w:rsidRPr="00CA1602" w14:paraId="40CC9D46" w14:textId="77777777" w:rsidTr="00134143">
        <w:trPr>
          <w:trHeight w:val="300"/>
        </w:trPr>
        <w:tc>
          <w:tcPr>
            <w:tcW w:w="3402" w:type="dxa"/>
            <w:vMerge/>
            <w:tcBorders>
              <w:left w:val="nil"/>
              <w:bottom w:val="nil"/>
              <w:right w:val="nil"/>
            </w:tcBorders>
            <w:shd w:val="clear" w:color="000000" w:fill="FFFFFF"/>
            <w:noWrap/>
            <w:vAlign w:val="bottom"/>
          </w:tcPr>
          <w:p w14:paraId="79B0637A" w14:textId="77777777" w:rsidR="00134143" w:rsidRPr="00CD1E13" w:rsidRDefault="00134143" w:rsidP="005D118B">
            <w:pPr>
              <w:spacing w:after="0" w:line="240" w:lineRule="auto"/>
              <w:jc w:val="left"/>
              <w:rPr>
                <w:rFonts w:ascii="Aptos Narrow" w:hAnsi="Aptos Narrow"/>
                <w:b/>
                <w:bCs/>
                <w:noProof/>
                <w:color w:val="000000"/>
                <w:szCs w:val="22"/>
                <w:lang w:eastAsia="en-IE"/>
              </w:rPr>
            </w:pPr>
          </w:p>
        </w:tc>
        <w:tc>
          <w:tcPr>
            <w:tcW w:w="1662" w:type="dxa"/>
            <w:tcBorders>
              <w:top w:val="nil"/>
              <w:left w:val="nil"/>
              <w:bottom w:val="nil"/>
              <w:right w:val="nil"/>
            </w:tcBorders>
            <w:shd w:val="clear" w:color="auto" w:fill="F4B083" w:themeFill="accent2" w:themeFillTint="99"/>
            <w:noWrap/>
            <w:vAlign w:val="bottom"/>
          </w:tcPr>
          <w:p w14:paraId="7EE5296A" w14:textId="205A183D" w:rsidR="00134143" w:rsidRPr="00EF490A" w:rsidRDefault="00134143" w:rsidP="00EF490A">
            <w:pPr>
              <w:spacing w:after="0" w:line="240" w:lineRule="auto"/>
              <w:jc w:val="center"/>
              <w:rPr>
                <w:rFonts w:ascii="Aptos Narrow" w:hAnsi="Aptos Narrow"/>
                <w:b/>
                <w:bCs/>
                <w:noProof/>
                <w:color w:val="FFFFFF" w:themeColor="background1"/>
                <w:sz w:val="20"/>
                <w:lang w:eastAsia="en-IE"/>
              </w:rPr>
            </w:pPr>
            <w:r w:rsidRPr="00EF490A">
              <w:rPr>
                <w:rFonts w:ascii="Aptos Narrow" w:hAnsi="Aptos Narrow"/>
                <w:b/>
                <w:bCs/>
                <w:noProof/>
                <w:color w:val="FFFFFF" w:themeColor="background1"/>
                <w:sz w:val="20"/>
                <w:lang w:eastAsia="en-IE"/>
              </w:rPr>
              <w:t>N</w:t>
            </w:r>
          </w:p>
        </w:tc>
        <w:tc>
          <w:tcPr>
            <w:tcW w:w="1734" w:type="dxa"/>
            <w:tcBorders>
              <w:top w:val="nil"/>
              <w:left w:val="nil"/>
              <w:bottom w:val="nil"/>
              <w:right w:val="nil"/>
            </w:tcBorders>
            <w:shd w:val="clear" w:color="auto" w:fill="F4B083" w:themeFill="accent2" w:themeFillTint="99"/>
            <w:noWrap/>
            <w:vAlign w:val="bottom"/>
          </w:tcPr>
          <w:p w14:paraId="3872CF81" w14:textId="20AB1EC6" w:rsidR="00134143" w:rsidRPr="00EF490A" w:rsidRDefault="00134143" w:rsidP="00EF490A">
            <w:pPr>
              <w:spacing w:after="0" w:line="240" w:lineRule="auto"/>
              <w:jc w:val="center"/>
              <w:rPr>
                <w:rFonts w:ascii="Aptos Narrow" w:hAnsi="Aptos Narrow"/>
                <w:b/>
                <w:bCs/>
                <w:noProof/>
                <w:color w:val="FFFFFF" w:themeColor="background1"/>
                <w:sz w:val="20"/>
                <w:lang w:eastAsia="en-IE"/>
              </w:rPr>
            </w:pPr>
            <w:r w:rsidRPr="00EF490A">
              <w:rPr>
                <w:rFonts w:ascii="Aptos Narrow" w:hAnsi="Aptos Narrow"/>
                <w:b/>
                <w:bCs/>
                <w:noProof/>
                <w:color w:val="FFFFFF" w:themeColor="background1"/>
                <w:sz w:val="20"/>
                <w:lang w:eastAsia="en-IE"/>
              </w:rPr>
              <w:t>EUR million</w:t>
            </w:r>
          </w:p>
        </w:tc>
        <w:tc>
          <w:tcPr>
            <w:tcW w:w="1886" w:type="dxa"/>
            <w:tcBorders>
              <w:top w:val="nil"/>
              <w:left w:val="nil"/>
              <w:bottom w:val="nil"/>
              <w:right w:val="nil"/>
            </w:tcBorders>
            <w:shd w:val="clear" w:color="auto" w:fill="F4B083" w:themeFill="accent2" w:themeFillTint="99"/>
            <w:noWrap/>
            <w:vAlign w:val="bottom"/>
          </w:tcPr>
          <w:p w14:paraId="278F556A" w14:textId="71AB3239" w:rsidR="00134143" w:rsidRPr="00EF490A" w:rsidRDefault="00134143" w:rsidP="00EF490A">
            <w:pPr>
              <w:spacing w:after="0" w:line="240" w:lineRule="auto"/>
              <w:jc w:val="center"/>
              <w:rPr>
                <w:rFonts w:ascii="Aptos Narrow" w:hAnsi="Aptos Narrow"/>
                <w:b/>
                <w:bCs/>
                <w:noProof/>
                <w:color w:val="FFFFFF" w:themeColor="background1"/>
                <w:sz w:val="20"/>
                <w:lang w:eastAsia="en-IE"/>
              </w:rPr>
            </w:pPr>
            <w:r w:rsidRPr="00EF490A">
              <w:rPr>
                <w:rFonts w:ascii="Aptos Narrow" w:hAnsi="Aptos Narrow"/>
                <w:b/>
                <w:bCs/>
                <w:noProof/>
                <w:color w:val="FFFFFF" w:themeColor="background1"/>
                <w:sz w:val="20"/>
                <w:lang w:eastAsia="en-IE"/>
              </w:rPr>
              <w:t>EUR million</w:t>
            </w:r>
          </w:p>
        </w:tc>
      </w:tr>
      <w:tr w:rsidR="00710D79" w:rsidRPr="00CA1602" w14:paraId="30C386F9" w14:textId="77777777" w:rsidTr="00C43D00">
        <w:trPr>
          <w:trHeight w:val="300"/>
        </w:trPr>
        <w:tc>
          <w:tcPr>
            <w:tcW w:w="3402" w:type="dxa"/>
            <w:tcBorders>
              <w:top w:val="nil"/>
              <w:left w:val="nil"/>
              <w:bottom w:val="nil"/>
              <w:right w:val="nil"/>
            </w:tcBorders>
            <w:shd w:val="clear" w:color="000000" w:fill="FFFFFF"/>
            <w:noWrap/>
            <w:vAlign w:val="bottom"/>
            <w:hideMark/>
          </w:tcPr>
          <w:p w14:paraId="246D8135"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Investigations concluded</w:t>
            </w:r>
          </w:p>
        </w:tc>
        <w:tc>
          <w:tcPr>
            <w:tcW w:w="1662" w:type="dxa"/>
            <w:tcBorders>
              <w:top w:val="nil"/>
              <w:left w:val="nil"/>
              <w:bottom w:val="nil"/>
              <w:right w:val="nil"/>
            </w:tcBorders>
            <w:shd w:val="clear" w:color="000000" w:fill="FFFFFF"/>
            <w:noWrap/>
            <w:vAlign w:val="bottom"/>
            <w:hideMark/>
          </w:tcPr>
          <w:p w14:paraId="1802A494"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209</w:t>
            </w:r>
          </w:p>
        </w:tc>
        <w:tc>
          <w:tcPr>
            <w:tcW w:w="1734" w:type="dxa"/>
            <w:tcBorders>
              <w:top w:val="nil"/>
              <w:left w:val="nil"/>
              <w:bottom w:val="nil"/>
              <w:right w:val="nil"/>
            </w:tcBorders>
            <w:shd w:val="clear" w:color="000000" w:fill="FFFFFF"/>
            <w:noWrap/>
            <w:vAlign w:val="bottom"/>
            <w:hideMark/>
          </w:tcPr>
          <w:p w14:paraId="38706F79"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c>
          <w:tcPr>
            <w:tcW w:w="1886" w:type="dxa"/>
            <w:tcBorders>
              <w:top w:val="nil"/>
              <w:left w:val="nil"/>
              <w:bottom w:val="nil"/>
              <w:right w:val="nil"/>
            </w:tcBorders>
            <w:shd w:val="clear" w:color="000000" w:fill="FFFFFF"/>
            <w:noWrap/>
            <w:vAlign w:val="bottom"/>
            <w:hideMark/>
          </w:tcPr>
          <w:p w14:paraId="4C714727"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r>
      <w:tr w:rsidR="00710D79" w:rsidRPr="00CA1602" w14:paraId="28A0EA6A" w14:textId="77777777" w:rsidTr="00C43D00">
        <w:trPr>
          <w:trHeight w:val="300"/>
        </w:trPr>
        <w:tc>
          <w:tcPr>
            <w:tcW w:w="3402" w:type="dxa"/>
            <w:tcBorders>
              <w:top w:val="nil"/>
              <w:left w:val="nil"/>
              <w:bottom w:val="nil"/>
              <w:right w:val="nil"/>
            </w:tcBorders>
            <w:shd w:val="clear" w:color="000000" w:fill="FBE2D5"/>
            <w:noWrap/>
            <w:vAlign w:val="bottom"/>
            <w:hideMark/>
          </w:tcPr>
          <w:p w14:paraId="581DD632"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Financial recommendations</w:t>
            </w:r>
          </w:p>
        </w:tc>
        <w:tc>
          <w:tcPr>
            <w:tcW w:w="1662" w:type="dxa"/>
            <w:tcBorders>
              <w:top w:val="nil"/>
              <w:left w:val="nil"/>
              <w:bottom w:val="nil"/>
              <w:right w:val="nil"/>
            </w:tcBorders>
            <w:shd w:val="clear" w:color="000000" w:fill="FBE2D5"/>
            <w:noWrap/>
            <w:vAlign w:val="bottom"/>
            <w:hideMark/>
          </w:tcPr>
          <w:p w14:paraId="0BAF30E8"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141</w:t>
            </w:r>
          </w:p>
        </w:tc>
        <w:tc>
          <w:tcPr>
            <w:tcW w:w="1734" w:type="dxa"/>
            <w:tcBorders>
              <w:top w:val="nil"/>
              <w:left w:val="nil"/>
              <w:bottom w:val="nil"/>
              <w:right w:val="nil"/>
            </w:tcBorders>
            <w:shd w:val="clear" w:color="000000" w:fill="FBE2D5"/>
            <w:noWrap/>
            <w:vAlign w:val="bottom"/>
            <w:hideMark/>
          </w:tcPr>
          <w:p w14:paraId="5AF3E79B"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597</w:t>
            </w:r>
          </w:p>
        </w:tc>
        <w:tc>
          <w:tcPr>
            <w:tcW w:w="1886" w:type="dxa"/>
            <w:tcBorders>
              <w:top w:val="nil"/>
              <w:left w:val="nil"/>
              <w:bottom w:val="nil"/>
              <w:right w:val="nil"/>
            </w:tcBorders>
            <w:shd w:val="clear" w:color="000000" w:fill="FBE2D5"/>
            <w:noWrap/>
            <w:vAlign w:val="bottom"/>
            <w:hideMark/>
          </w:tcPr>
          <w:p w14:paraId="5A090F68"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18</w:t>
            </w:r>
          </w:p>
        </w:tc>
      </w:tr>
      <w:tr w:rsidR="00710D79" w:rsidRPr="00CA1602" w14:paraId="7157B479" w14:textId="77777777" w:rsidTr="00C43D00">
        <w:trPr>
          <w:trHeight w:val="300"/>
        </w:trPr>
        <w:tc>
          <w:tcPr>
            <w:tcW w:w="3402" w:type="dxa"/>
            <w:tcBorders>
              <w:top w:val="nil"/>
              <w:left w:val="nil"/>
              <w:bottom w:val="nil"/>
              <w:right w:val="nil"/>
            </w:tcBorders>
            <w:shd w:val="clear" w:color="000000" w:fill="FFFFFF"/>
            <w:noWrap/>
            <w:vAlign w:val="bottom"/>
            <w:hideMark/>
          </w:tcPr>
          <w:p w14:paraId="404DB1FC" w14:textId="77777777" w:rsidR="005D118B" w:rsidRPr="00CD1E13" w:rsidRDefault="005D118B" w:rsidP="005D118B">
            <w:pPr>
              <w:spacing w:after="0" w:line="240" w:lineRule="auto"/>
              <w:jc w:val="left"/>
              <w:rPr>
                <w:rFonts w:ascii="Aptos Narrow" w:hAnsi="Aptos Narrow"/>
                <w:b/>
                <w:bCs/>
                <w:noProof/>
                <w:color w:val="000000"/>
                <w:szCs w:val="22"/>
                <w:lang w:eastAsia="en-IE"/>
              </w:rPr>
            </w:pPr>
            <w:r w:rsidRPr="00CD1E13">
              <w:rPr>
                <w:rFonts w:ascii="Aptos Narrow" w:hAnsi="Aptos Narrow"/>
                <w:b/>
                <w:bCs/>
                <w:noProof/>
                <w:color w:val="000000"/>
                <w:szCs w:val="22"/>
                <w:lang w:eastAsia="en-IE"/>
              </w:rPr>
              <w:t>Judicial recommendations</w:t>
            </w:r>
          </w:p>
        </w:tc>
        <w:tc>
          <w:tcPr>
            <w:tcW w:w="1662" w:type="dxa"/>
            <w:tcBorders>
              <w:top w:val="nil"/>
              <w:left w:val="nil"/>
              <w:bottom w:val="nil"/>
              <w:right w:val="nil"/>
            </w:tcBorders>
            <w:shd w:val="clear" w:color="000000" w:fill="FFFFFF"/>
            <w:noWrap/>
            <w:vAlign w:val="bottom"/>
            <w:hideMark/>
          </w:tcPr>
          <w:p w14:paraId="7FB1E357"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11</w:t>
            </w:r>
          </w:p>
        </w:tc>
        <w:tc>
          <w:tcPr>
            <w:tcW w:w="1734" w:type="dxa"/>
            <w:tcBorders>
              <w:top w:val="nil"/>
              <w:left w:val="nil"/>
              <w:bottom w:val="nil"/>
              <w:right w:val="nil"/>
            </w:tcBorders>
            <w:shd w:val="clear" w:color="000000" w:fill="FFFFFF"/>
            <w:noWrap/>
            <w:vAlign w:val="bottom"/>
            <w:hideMark/>
          </w:tcPr>
          <w:p w14:paraId="666B75CB"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c>
          <w:tcPr>
            <w:tcW w:w="1886" w:type="dxa"/>
            <w:tcBorders>
              <w:top w:val="nil"/>
              <w:left w:val="nil"/>
              <w:bottom w:val="nil"/>
              <w:right w:val="nil"/>
            </w:tcBorders>
            <w:shd w:val="clear" w:color="000000" w:fill="FFFFFF"/>
            <w:noWrap/>
            <w:vAlign w:val="bottom"/>
            <w:hideMark/>
          </w:tcPr>
          <w:p w14:paraId="4392C9E2" w14:textId="77777777" w:rsidR="005D118B" w:rsidRPr="00CD1E13" w:rsidRDefault="005D118B" w:rsidP="005D118B">
            <w:pPr>
              <w:spacing w:after="0" w:line="240" w:lineRule="auto"/>
              <w:jc w:val="right"/>
              <w:rPr>
                <w:rFonts w:ascii="Aptos Narrow" w:hAnsi="Aptos Narrow"/>
                <w:noProof/>
                <w:color w:val="000000"/>
                <w:szCs w:val="22"/>
                <w:lang w:eastAsia="en-IE"/>
              </w:rPr>
            </w:pPr>
            <w:r w:rsidRPr="00CD1E13">
              <w:rPr>
                <w:rFonts w:ascii="Aptos Narrow" w:hAnsi="Aptos Narrow"/>
                <w:noProof/>
                <w:color w:val="000000"/>
                <w:szCs w:val="22"/>
                <w:lang w:eastAsia="en-IE"/>
              </w:rPr>
              <w:t>-</w:t>
            </w:r>
          </w:p>
        </w:tc>
      </w:tr>
      <w:tr w:rsidR="00710D79" w:rsidRPr="00CA1602" w14:paraId="25E1DFA6" w14:textId="77777777" w:rsidTr="00710D79">
        <w:trPr>
          <w:trHeight w:val="300"/>
        </w:trPr>
        <w:tc>
          <w:tcPr>
            <w:tcW w:w="5064" w:type="dxa"/>
            <w:gridSpan w:val="2"/>
            <w:tcBorders>
              <w:top w:val="nil"/>
              <w:left w:val="nil"/>
              <w:bottom w:val="nil"/>
              <w:right w:val="nil"/>
            </w:tcBorders>
            <w:shd w:val="clear" w:color="000000" w:fill="F7C7AC"/>
            <w:noWrap/>
            <w:vAlign w:val="bottom"/>
            <w:hideMark/>
          </w:tcPr>
          <w:p w14:paraId="4CB369D6"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i/>
                <w:iCs/>
                <w:noProof/>
                <w:color w:val="000000"/>
                <w:szCs w:val="22"/>
                <w:lang w:eastAsia="en-IE"/>
              </w:rPr>
              <w:t xml:space="preserve">Source: </w:t>
            </w:r>
            <w:r w:rsidRPr="00CD1E13">
              <w:rPr>
                <w:rFonts w:ascii="Aptos Narrow" w:hAnsi="Aptos Narrow"/>
                <w:noProof/>
                <w:color w:val="000000"/>
                <w:szCs w:val="22"/>
                <w:lang w:eastAsia="en-IE"/>
              </w:rPr>
              <w:t>OLAF annual report 2025 - may include RRF cases</w:t>
            </w:r>
          </w:p>
        </w:tc>
        <w:tc>
          <w:tcPr>
            <w:tcW w:w="1734" w:type="dxa"/>
            <w:tcBorders>
              <w:top w:val="nil"/>
              <w:left w:val="nil"/>
              <w:bottom w:val="nil"/>
              <w:right w:val="nil"/>
            </w:tcBorders>
            <w:shd w:val="clear" w:color="000000" w:fill="F7C7AC"/>
            <w:noWrap/>
            <w:vAlign w:val="bottom"/>
            <w:hideMark/>
          </w:tcPr>
          <w:p w14:paraId="19F01587"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c>
          <w:tcPr>
            <w:tcW w:w="1886" w:type="dxa"/>
            <w:tcBorders>
              <w:top w:val="nil"/>
              <w:left w:val="nil"/>
              <w:bottom w:val="nil"/>
              <w:right w:val="nil"/>
            </w:tcBorders>
            <w:shd w:val="clear" w:color="000000" w:fill="F7C7AC"/>
            <w:noWrap/>
            <w:vAlign w:val="bottom"/>
            <w:hideMark/>
          </w:tcPr>
          <w:p w14:paraId="2A76AD44" w14:textId="77777777" w:rsidR="005D118B" w:rsidRPr="00CD1E13" w:rsidRDefault="005D118B" w:rsidP="005D118B">
            <w:pPr>
              <w:spacing w:after="0" w:line="240" w:lineRule="auto"/>
              <w:jc w:val="left"/>
              <w:rPr>
                <w:rFonts w:ascii="Aptos Narrow" w:hAnsi="Aptos Narrow"/>
                <w:noProof/>
                <w:color w:val="000000"/>
                <w:szCs w:val="22"/>
                <w:lang w:eastAsia="en-IE"/>
              </w:rPr>
            </w:pPr>
            <w:r w:rsidRPr="00CD1E13">
              <w:rPr>
                <w:rFonts w:ascii="Aptos Narrow" w:hAnsi="Aptos Narrow"/>
                <w:noProof/>
                <w:color w:val="000000"/>
                <w:szCs w:val="22"/>
                <w:lang w:eastAsia="en-IE"/>
              </w:rPr>
              <w:t> </w:t>
            </w:r>
          </w:p>
        </w:tc>
      </w:tr>
    </w:tbl>
    <w:p w14:paraId="0655CD06" w14:textId="00941334" w:rsidR="00A14CD4" w:rsidRPr="00DE3A6F" w:rsidRDefault="00A14CD4" w:rsidP="00A14CD4">
      <w:pPr>
        <w:pStyle w:val="Caption"/>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Focus point </w:t>
      </w:r>
      <w:r w:rsidR="00134320" w:rsidRPr="00DE3A6F">
        <w:rPr>
          <w:noProof/>
        </w:rPr>
        <w:fldChar w:fldCharType="begin"/>
      </w:r>
      <w:r w:rsidR="00134320" w:rsidRPr="00DE3A6F">
        <w:rPr>
          <w:noProof/>
        </w:rPr>
        <w:instrText xml:space="preserve"> SEQ Focus_point \* ARABIC </w:instrText>
      </w:r>
      <w:r w:rsidR="00134320" w:rsidRPr="00DE3A6F">
        <w:rPr>
          <w:noProof/>
        </w:rPr>
        <w:fldChar w:fldCharType="separate"/>
      </w:r>
      <w:r w:rsidR="00134320" w:rsidRPr="00DE3A6F">
        <w:rPr>
          <w:noProof/>
        </w:rPr>
        <w:t>4</w:t>
      </w:r>
      <w:r w:rsidR="00134320" w:rsidRPr="00DE3A6F">
        <w:rPr>
          <w:noProof/>
        </w:rPr>
        <w:fldChar w:fldCharType="end"/>
      </w:r>
      <w:r w:rsidRPr="00DE3A6F">
        <w:rPr>
          <w:noProof/>
        </w:rPr>
        <w:t xml:space="preserve">: </w:t>
      </w:r>
      <w:r w:rsidR="0001727B" w:rsidRPr="00DE3A6F">
        <w:rPr>
          <w:noProof/>
        </w:rPr>
        <w:t>F</w:t>
      </w:r>
      <w:r w:rsidRPr="00DE3A6F">
        <w:rPr>
          <w:noProof/>
        </w:rPr>
        <w:t xml:space="preserve">uture </w:t>
      </w:r>
      <w:r w:rsidR="005B1075" w:rsidRPr="00CA1602">
        <w:rPr>
          <w:noProof/>
        </w:rPr>
        <w:t xml:space="preserve">improvements </w:t>
      </w:r>
      <w:r w:rsidRPr="00DE3A6F">
        <w:rPr>
          <w:noProof/>
        </w:rPr>
        <w:t>in data capturing</w:t>
      </w:r>
    </w:p>
    <w:p w14:paraId="5ED4D96D" w14:textId="7025D1D6" w:rsidR="000B6228" w:rsidRPr="00DE3A6F" w:rsidRDefault="000B6228" w:rsidP="00A14CD4">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The comparability </w:t>
      </w:r>
      <w:r w:rsidR="005B1075" w:rsidRPr="00CA1602">
        <w:rPr>
          <w:noProof/>
        </w:rPr>
        <w:t xml:space="preserve">of the </w:t>
      </w:r>
      <w:r w:rsidRPr="00DE3A6F">
        <w:rPr>
          <w:noProof/>
        </w:rPr>
        <w:t xml:space="preserve">data </w:t>
      </w:r>
      <w:r w:rsidR="005B1075" w:rsidRPr="00CA1602">
        <w:rPr>
          <w:noProof/>
        </w:rPr>
        <w:t xml:space="preserve">presented </w:t>
      </w:r>
      <w:r w:rsidRPr="00DE3A6F">
        <w:rPr>
          <w:noProof/>
        </w:rPr>
        <w:t xml:space="preserve">in this section is limited for </w:t>
      </w:r>
      <w:r w:rsidR="00183796" w:rsidRPr="00DE3A6F">
        <w:rPr>
          <w:noProof/>
        </w:rPr>
        <w:t xml:space="preserve">the reasons </w:t>
      </w:r>
      <w:r w:rsidR="0092150B" w:rsidRPr="00DE3A6F">
        <w:rPr>
          <w:noProof/>
        </w:rPr>
        <w:t>outlined above</w:t>
      </w:r>
      <w:r w:rsidR="00183796" w:rsidRPr="00DE3A6F">
        <w:rPr>
          <w:noProof/>
        </w:rPr>
        <w:t xml:space="preserve">. </w:t>
      </w:r>
      <w:r w:rsidR="0092150B" w:rsidRPr="00DE3A6F">
        <w:rPr>
          <w:noProof/>
        </w:rPr>
        <w:t xml:space="preserve">Further </w:t>
      </w:r>
      <w:r w:rsidRPr="00DE3A6F">
        <w:rPr>
          <w:noProof/>
        </w:rPr>
        <w:t xml:space="preserve">work is needed to </w:t>
      </w:r>
      <w:r w:rsidR="000B54A0" w:rsidRPr="00DE3A6F">
        <w:rPr>
          <w:noProof/>
        </w:rPr>
        <w:t>improve data collection</w:t>
      </w:r>
      <w:r w:rsidRPr="00DE3A6F">
        <w:rPr>
          <w:noProof/>
        </w:rPr>
        <w:t>.</w:t>
      </w:r>
    </w:p>
    <w:p w14:paraId="24A70120" w14:textId="44B399B6" w:rsidR="00A14CD4" w:rsidRPr="00DE3A6F" w:rsidRDefault="00A14CD4" w:rsidP="00A14CD4">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The Commission</w:t>
      </w:r>
      <w:r w:rsidR="000B54A0" w:rsidRPr="00DE3A6F">
        <w:rPr>
          <w:noProof/>
        </w:rPr>
        <w:t>/OLAF</w:t>
      </w:r>
      <w:r w:rsidRPr="00DE3A6F">
        <w:rPr>
          <w:noProof/>
        </w:rPr>
        <w:t xml:space="preserve"> has already launched </w:t>
      </w:r>
      <w:r w:rsidR="005B1075" w:rsidRPr="00CA1602">
        <w:rPr>
          <w:noProof/>
        </w:rPr>
        <w:t xml:space="preserve">a </w:t>
      </w:r>
      <w:r w:rsidRPr="00DE3A6F">
        <w:rPr>
          <w:noProof/>
        </w:rPr>
        <w:t xml:space="preserve">revision of how data on criminal and administrative proceedings are captured in IMS. The </w:t>
      </w:r>
      <w:r w:rsidR="004B354D" w:rsidRPr="00DE3A6F">
        <w:rPr>
          <w:noProof/>
        </w:rPr>
        <w:t xml:space="preserve">planned </w:t>
      </w:r>
      <w:r w:rsidRPr="00DE3A6F">
        <w:rPr>
          <w:noProof/>
        </w:rPr>
        <w:t xml:space="preserve">changes will apply </w:t>
      </w:r>
      <w:r w:rsidR="004B354D" w:rsidRPr="00DE3A6F">
        <w:rPr>
          <w:noProof/>
        </w:rPr>
        <w:t xml:space="preserve">from </w:t>
      </w:r>
      <w:r w:rsidRPr="00DE3A6F">
        <w:rPr>
          <w:noProof/>
        </w:rPr>
        <w:t xml:space="preserve">June 2026 </w:t>
      </w:r>
      <w:r w:rsidR="004B354D" w:rsidRPr="00DE3A6F">
        <w:rPr>
          <w:noProof/>
        </w:rPr>
        <w:t xml:space="preserve">for </w:t>
      </w:r>
      <w:r w:rsidRPr="00DE3A6F">
        <w:rPr>
          <w:noProof/>
        </w:rPr>
        <w:t xml:space="preserve">all irregularities related to the </w:t>
      </w:r>
      <w:r w:rsidR="00DF3F3D" w:rsidRPr="00CA1602">
        <w:rPr>
          <w:noProof/>
        </w:rPr>
        <w:t xml:space="preserve">2021-2027 </w:t>
      </w:r>
      <w:r w:rsidR="00303D81" w:rsidRPr="00DE3A6F">
        <w:rPr>
          <w:noProof/>
        </w:rPr>
        <w:t xml:space="preserve">programming period </w:t>
      </w:r>
      <w:r w:rsidR="00BD1B73" w:rsidRPr="00DE3A6F">
        <w:rPr>
          <w:noProof/>
        </w:rPr>
        <w:t>and beyond</w:t>
      </w:r>
      <w:r w:rsidRPr="00DE3A6F">
        <w:rPr>
          <w:noProof/>
        </w:rPr>
        <w:t>.</w:t>
      </w:r>
    </w:p>
    <w:p w14:paraId="35E2E6F7" w14:textId="1F1FF81E" w:rsidR="00A14CD4" w:rsidRPr="00DE3A6F" w:rsidRDefault="00A14CD4"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CD1E13">
        <w:rPr>
          <w:noProof/>
        </w:rPr>
        <w:t>In OWNRES</w:t>
      </w:r>
      <w:r w:rsidR="00695730" w:rsidRPr="00CD1E13">
        <w:rPr>
          <w:noProof/>
        </w:rPr>
        <w:t xml:space="preserve">, new features will include a dedicated field to indicate whether a case </w:t>
      </w:r>
      <w:r w:rsidR="007B03BF">
        <w:rPr>
          <w:noProof/>
        </w:rPr>
        <w:t xml:space="preserve">is linked to an </w:t>
      </w:r>
      <w:r w:rsidR="00695730" w:rsidRPr="00CD1E13">
        <w:rPr>
          <w:noProof/>
        </w:rPr>
        <w:t>EPPO</w:t>
      </w:r>
      <w:r w:rsidR="007B03BF">
        <w:rPr>
          <w:noProof/>
        </w:rPr>
        <w:t xml:space="preserve"> investigation</w:t>
      </w:r>
      <w:r w:rsidR="000B6228" w:rsidRPr="00CD1E13">
        <w:rPr>
          <w:noProof/>
        </w:rPr>
        <w:t>.</w:t>
      </w:r>
    </w:p>
    <w:p w14:paraId="1283205F" w14:textId="528E0921" w:rsidR="00C63101" w:rsidRPr="00DE3A6F" w:rsidRDefault="00E444EE" w:rsidP="00F43E85">
      <w:pPr>
        <w:pStyle w:val="Heading3"/>
        <w:rPr>
          <w:noProof/>
        </w:rPr>
      </w:pPr>
      <w:bookmarkStart w:id="66" w:name="_Toc234447072"/>
      <w:r w:rsidRPr="00DE3A6F">
        <w:rPr>
          <w:noProof/>
        </w:rPr>
        <w:t>Recovery and sanctioning</w:t>
      </w:r>
      <w:bookmarkEnd w:id="66"/>
    </w:p>
    <w:p w14:paraId="7FD41ACE" w14:textId="656FBB88" w:rsidR="00545B95" w:rsidRPr="00DE3A6F" w:rsidRDefault="00F43E85" w:rsidP="00711703">
      <w:pPr>
        <w:pStyle w:val="Heading4"/>
        <w:rPr>
          <w:noProof/>
        </w:rPr>
      </w:pPr>
      <w:bookmarkStart w:id="67" w:name="_Toc234447073"/>
      <w:r w:rsidRPr="00CA1602">
        <w:rPr>
          <w:noProof/>
        </w:rPr>
        <w:t>Recovery</w:t>
      </w:r>
      <w:bookmarkEnd w:id="67"/>
    </w:p>
    <w:p w14:paraId="42F8F6A7" w14:textId="287E46DB" w:rsidR="00FD56DF" w:rsidRPr="00DE3A6F" w:rsidRDefault="004F5327" w:rsidP="003576BF">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Methodological note </w:t>
      </w:r>
      <w:r w:rsidRPr="00DE3A6F">
        <w:rPr>
          <w:noProof/>
        </w:rPr>
        <w:fldChar w:fldCharType="begin"/>
      </w:r>
      <w:r w:rsidRPr="00DE3A6F">
        <w:rPr>
          <w:noProof/>
        </w:rPr>
        <w:instrText xml:space="preserve"> SEQ Methodological_note \* ARABIC </w:instrText>
      </w:r>
      <w:r w:rsidRPr="00DE3A6F">
        <w:rPr>
          <w:noProof/>
        </w:rPr>
        <w:fldChar w:fldCharType="separate"/>
      </w:r>
      <w:r w:rsidRPr="00DE3A6F">
        <w:rPr>
          <w:noProof/>
        </w:rPr>
        <w:t>5</w:t>
      </w:r>
      <w:r w:rsidRPr="00DE3A6F">
        <w:rPr>
          <w:noProof/>
        </w:rPr>
        <w:fldChar w:fldCharType="end"/>
      </w:r>
      <w:r w:rsidRPr="00DE3A6F">
        <w:rPr>
          <w:noProof/>
        </w:rPr>
        <w:t xml:space="preserve">: </w:t>
      </w:r>
      <w:r w:rsidR="00D1700C" w:rsidRPr="00DE3A6F">
        <w:rPr>
          <w:noProof/>
        </w:rPr>
        <w:t xml:space="preserve">Scope of data </w:t>
      </w:r>
      <w:r w:rsidR="00332549" w:rsidRPr="00CA1602">
        <w:rPr>
          <w:noProof/>
        </w:rPr>
        <w:t xml:space="preserve">on </w:t>
      </w:r>
      <w:r w:rsidR="00D1700C" w:rsidRPr="00DE3A6F">
        <w:rPr>
          <w:noProof/>
        </w:rPr>
        <w:t>recoveries</w:t>
      </w:r>
    </w:p>
    <w:p w14:paraId="593A089F" w14:textId="77777777" w:rsidR="00707AEA" w:rsidRDefault="00033405"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711703">
        <w:rPr>
          <w:noProof/>
        </w:rPr>
        <w:t xml:space="preserve">Recovery is </w:t>
      </w:r>
      <w:r w:rsidR="005E44F6" w:rsidRPr="00711703">
        <w:rPr>
          <w:noProof/>
        </w:rPr>
        <w:t xml:space="preserve">a </w:t>
      </w:r>
      <w:r w:rsidRPr="00711703">
        <w:rPr>
          <w:noProof/>
        </w:rPr>
        <w:t xml:space="preserve">key </w:t>
      </w:r>
      <w:r w:rsidR="005E44F6" w:rsidRPr="00711703">
        <w:rPr>
          <w:noProof/>
        </w:rPr>
        <w:t xml:space="preserve">element </w:t>
      </w:r>
      <w:r w:rsidR="005949BE" w:rsidRPr="00711703">
        <w:rPr>
          <w:noProof/>
        </w:rPr>
        <w:t xml:space="preserve">of </w:t>
      </w:r>
      <w:r w:rsidRPr="00711703">
        <w:rPr>
          <w:noProof/>
        </w:rPr>
        <w:t xml:space="preserve">the anti-fraud cycle. </w:t>
      </w:r>
    </w:p>
    <w:p w14:paraId="0BDA2FE8" w14:textId="12F22498" w:rsidR="00AA1319" w:rsidRPr="00DE3A6F" w:rsidRDefault="00707AEA"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Pr>
          <w:noProof/>
        </w:rPr>
        <w:t>For expenditure, i</w:t>
      </w:r>
      <w:r w:rsidR="00033405" w:rsidRPr="00711703">
        <w:rPr>
          <w:noProof/>
        </w:rPr>
        <w:t xml:space="preserve">t </w:t>
      </w:r>
      <w:r w:rsidR="005949BE" w:rsidRPr="00711703">
        <w:rPr>
          <w:noProof/>
        </w:rPr>
        <w:t xml:space="preserve">represents the point at which </w:t>
      </w:r>
      <w:r w:rsidR="00437BA3" w:rsidRPr="00711703">
        <w:rPr>
          <w:noProof/>
        </w:rPr>
        <w:t xml:space="preserve">anti-fraud efforts succeed in ensuring that </w:t>
      </w:r>
      <w:r w:rsidR="005949BE" w:rsidRPr="00711703">
        <w:rPr>
          <w:noProof/>
        </w:rPr>
        <w:t xml:space="preserve">misappropriated </w:t>
      </w:r>
      <w:r w:rsidR="00437BA3" w:rsidRPr="00711703">
        <w:rPr>
          <w:noProof/>
        </w:rPr>
        <w:t>funds</w:t>
      </w:r>
      <w:r w:rsidR="574623A4" w:rsidRPr="00711703">
        <w:rPr>
          <w:noProof/>
        </w:rPr>
        <w:t xml:space="preserve"> </w:t>
      </w:r>
      <w:r w:rsidR="003E307E" w:rsidRPr="00711703">
        <w:rPr>
          <w:noProof/>
        </w:rPr>
        <w:t>are</w:t>
      </w:r>
      <w:r w:rsidR="00437BA3" w:rsidRPr="00711703">
        <w:rPr>
          <w:noProof/>
        </w:rPr>
        <w:t xml:space="preserve"> return</w:t>
      </w:r>
      <w:r w:rsidR="003E307E" w:rsidRPr="00711703">
        <w:rPr>
          <w:noProof/>
        </w:rPr>
        <w:t>ed</w:t>
      </w:r>
      <w:r w:rsidR="00437BA3" w:rsidRPr="00711703">
        <w:rPr>
          <w:noProof/>
        </w:rPr>
        <w:t xml:space="preserve"> to </w:t>
      </w:r>
      <w:r w:rsidR="003E307E" w:rsidRPr="00711703">
        <w:rPr>
          <w:noProof/>
        </w:rPr>
        <w:t xml:space="preserve">finance </w:t>
      </w:r>
      <w:r w:rsidR="00AA1319" w:rsidRPr="00711703">
        <w:rPr>
          <w:noProof/>
        </w:rPr>
        <w:t xml:space="preserve">legitimate operations or </w:t>
      </w:r>
      <w:r w:rsidR="003E307E" w:rsidRPr="00711703">
        <w:rPr>
          <w:noProof/>
        </w:rPr>
        <w:t>are reinstated in</w:t>
      </w:r>
      <w:r w:rsidR="00AA1319" w:rsidRPr="00711703">
        <w:rPr>
          <w:noProof/>
        </w:rPr>
        <w:t xml:space="preserve"> the EU budget.</w:t>
      </w:r>
      <w:r w:rsidR="004F1C50">
        <w:rPr>
          <w:noProof/>
        </w:rPr>
        <w:t xml:space="preserve"> </w:t>
      </w:r>
      <w:r w:rsidR="001F20F8">
        <w:rPr>
          <w:noProof/>
        </w:rPr>
        <w:t>P</w:t>
      </w:r>
      <w:r w:rsidR="000D4C1F" w:rsidRPr="00711703">
        <w:rPr>
          <w:noProof/>
        </w:rPr>
        <w:t xml:space="preserve">rotecting the </w:t>
      </w:r>
      <w:r w:rsidR="00D343D8" w:rsidRPr="00711703">
        <w:rPr>
          <w:noProof/>
        </w:rPr>
        <w:t>EU’s financial interests on the expenditure side is complex and depends</w:t>
      </w:r>
      <w:r w:rsidR="00534173" w:rsidRPr="00711703">
        <w:rPr>
          <w:noProof/>
        </w:rPr>
        <w:t xml:space="preserve"> largely</w:t>
      </w:r>
      <w:r w:rsidR="00D343D8" w:rsidRPr="00711703">
        <w:rPr>
          <w:noProof/>
        </w:rPr>
        <w:t xml:space="preserve"> on the management mode.</w:t>
      </w:r>
    </w:p>
    <w:p w14:paraId="43A14615" w14:textId="03DFC755" w:rsidR="00D343D8" w:rsidRPr="00DE3A6F" w:rsidRDefault="00AF0508"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711703">
        <w:rPr>
          <w:noProof/>
        </w:rPr>
        <w:t xml:space="preserve">When, for example, funds are directly managed by the Commission or other IBOAs, </w:t>
      </w:r>
      <w:r w:rsidR="006207D5" w:rsidRPr="00711703">
        <w:rPr>
          <w:noProof/>
        </w:rPr>
        <w:t xml:space="preserve">they </w:t>
      </w:r>
      <w:r w:rsidR="00654318" w:rsidRPr="00711703">
        <w:rPr>
          <w:noProof/>
        </w:rPr>
        <w:t xml:space="preserve">can be effectively recovered. </w:t>
      </w:r>
      <w:r w:rsidR="00534173" w:rsidRPr="00711703">
        <w:rPr>
          <w:noProof/>
        </w:rPr>
        <w:t xml:space="preserve">However, </w:t>
      </w:r>
      <w:r w:rsidR="00654318" w:rsidRPr="00711703">
        <w:rPr>
          <w:noProof/>
        </w:rPr>
        <w:t xml:space="preserve">under shared or indirect management, </w:t>
      </w:r>
      <w:r w:rsidR="007B24EE" w:rsidRPr="00711703">
        <w:rPr>
          <w:noProof/>
        </w:rPr>
        <w:t>only a fraction of the total amounts</w:t>
      </w:r>
      <w:r w:rsidR="00D56AA8" w:rsidRPr="00711703">
        <w:rPr>
          <w:noProof/>
        </w:rPr>
        <w:t xml:space="preserve"> is actually recovered</w:t>
      </w:r>
      <w:r w:rsidR="007B24EE" w:rsidRPr="00711703">
        <w:rPr>
          <w:noProof/>
        </w:rPr>
        <w:t xml:space="preserve">, </w:t>
      </w:r>
      <w:r w:rsidR="00DD3B3F" w:rsidRPr="00711703">
        <w:rPr>
          <w:noProof/>
        </w:rPr>
        <w:t xml:space="preserve">depending on </w:t>
      </w:r>
      <w:r w:rsidR="007B24EE" w:rsidRPr="00711703">
        <w:rPr>
          <w:noProof/>
        </w:rPr>
        <w:t>specific circumstances</w:t>
      </w:r>
      <w:r w:rsidR="00C30471" w:rsidRPr="00711703">
        <w:rPr>
          <w:noProof/>
        </w:rPr>
        <w:t xml:space="preserve">. In most cases, </w:t>
      </w:r>
      <w:r w:rsidR="007B24EE" w:rsidRPr="00711703">
        <w:rPr>
          <w:noProof/>
        </w:rPr>
        <w:t>the bulk of these resources undergo</w:t>
      </w:r>
      <w:r w:rsidR="00035693" w:rsidRPr="00711703">
        <w:rPr>
          <w:noProof/>
        </w:rPr>
        <w:t>es</w:t>
      </w:r>
      <w:r w:rsidR="007B24EE" w:rsidRPr="00711703">
        <w:rPr>
          <w:noProof/>
        </w:rPr>
        <w:t xml:space="preserve"> financial corrections, </w:t>
      </w:r>
      <w:r w:rsidR="00035693" w:rsidRPr="00711703">
        <w:rPr>
          <w:noProof/>
        </w:rPr>
        <w:t xml:space="preserve">meaning </w:t>
      </w:r>
      <w:r w:rsidR="002D6A95" w:rsidRPr="00711703">
        <w:rPr>
          <w:noProof/>
        </w:rPr>
        <w:t xml:space="preserve">that the projects affected by irregularities </w:t>
      </w:r>
      <w:r w:rsidR="00D56AA8" w:rsidRPr="00711703">
        <w:rPr>
          <w:noProof/>
        </w:rPr>
        <w:t xml:space="preserve">are </w:t>
      </w:r>
      <w:r w:rsidR="002D6A95" w:rsidRPr="00711703">
        <w:rPr>
          <w:noProof/>
        </w:rPr>
        <w:t xml:space="preserve">excluded from EU financing </w:t>
      </w:r>
      <w:r w:rsidR="00FC6ACE" w:rsidRPr="00711703">
        <w:rPr>
          <w:noProof/>
        </w:rPr>
        <w:t xml:space="preserve">and replaced by </w:t>
      </w:r>
      <w:r w:rsidR="00B4594C" w:rsidRPr="00711703">
        <w:rPr>
          <w:noProof/>
        </w:rPr>
        <w:t xml:space="preserve">other </w:t>
      </w:r>
      <w:r w:rsidR="00BC199D" w:rsidRPr="00711703">
        <w:rPr>
          <w:noProof/>
        </w:rPr>
        <w:t>projects. I</w:t>
      </w:r>
      <w:r w:rsidR="008D2045" w:rsidRPr="00711703">
        <w:rPr>
          <w:noProof/>
        </w:rPr>
        <w:t xml:space="preserve">n practice, </w:t>
      </w:r>
      <w:r w:rsidR="000C492E" w:rsidRPr="00711703">
        <w:rPr>
          <w:noProof/>
        </w:rPr>
        <w:t xml:space="preserve">a </w:t>
      </w:r>
      <w:r w:rsidR="008D2045" w:rsidRPr="00711703">
        <w:rPr>
          <w:noProof/>
        </w:rPr>
        <w:t>project affected by irregularit</w:t>
      </w:r>
      <w:r w:rsidR="000C492E" w:rsidRPr="00711703">
        <w:rPr>
          <w:noProof/>
        </w:rPr>
        <w:t>ies</w:t>
      </w:r>
      <w:r w:rsidR="008D2045" w:rsidRPr="00711703">
        <w:rPr>
          <w:noProof/>
        </w:rPr>
        <w:t xml:space="preserve"> </w:t>
      </w:r>
      <w:r w:rsidR="00055447" w:rsidRPr="00711703">
        <w:rPr>
          <w:noProof/>
        </w:rPr>
        <w:t xml:space="preserve">becomes </w:t>
      </w:r>
      <w:r w:rsidR="008D2045" w:rsidRPr="00711703">
        <w:rPr>
          <w:noProof/>
        </w:rPr>
        <w:t xml:space="preserve">financed by other sources of funding (national or other) and it </w:t>
      </w:r>
      <w:r w:rsidR="00055447" w:rsidRPr="00711703">
        <w:rPr>
          <w:noProof/>
        </w:rPr>
        <w:t xml:space="preserve">is </w:t>
      </w:r>
      <w:r w:rsidR="00F11607" w:rsidRPr="00711703">
        <w:rPr>
          <w:noProof/>
        </w:rPr>
        <w:t xml:space="preserve">for </w:t>
      </w:r>
      <w:r w:rsidR="00E04810" w:rsidRPr="00711703">
        <w:rPr>
          <w:noProof/>
        </w:rPr>
        <w:t xml:space="preserve">the new </w:t>
      </w:r>
      <w:r w:rsidR="001A5697" w:rsidRPr="00711703">
        <w:rPr>
          <w:noProof/>
        </w:rPr>
        <w:t>‘</w:t>
      </w:r>
      <w:r w:rsidR="00E04810" w:rsidRPr="00711703">
        <w:rPr>
          <w:noProof/>
        </w:rPr>
        <w:t>creditor</w:t>
      </w:r>
      <w:r w:rsidR="001A5697" w:rsidRPr="00711703">
        <w:rPr>
          <w:noProof/>
        </w:rPr>
        <w:t>’</w:t>
      </w:r>
      <w:r w:rsidR="00E04810" w:rsidRPr="00711703">
        <w:rPr>
          <w:noProof/>
        </w:rPr>
        <w:t xml:space="preserve"> to </w:t>
      </w:r>
      <w:r w:rsidR="001A5697" w:rsidRPr="00711703">
        <w:rPr>
          <w:noProof/>
        </w:rPr>
        <w:t xml:space="preserve">recover </w:t>
      </w:r>
      <w:r w:rsidR="00E04810" w:rsidRPr="00711703">
        <w:rPr>
          <w:noProof/>
        </w:rPr>
        <w:t>the debt.</w:t>
      </w:r>
    </w:p>
    <w:p w14:paraId="348343D9" w14:textId="71E17763" w:rsidR="00E04810" w:rsidRDefault="0AFFD1FC"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130AA1">
        <w:rPr>
          <w:noProof/>
        </w:rPr>
        <w:t xml:space="preserve">For this reason, </w:t>
      </w:r>
      <w:r w:rsidR="00055447" w:rsidRPr="00130AA1">
        <w:rPr>
          <w:noProof/>
        </w:rPr>
        <w:t xml:space="preserve">especially </w:t>
      </w:r>
      <w:r w:rsidRPr="00130AA1">
        <w:rPr>
          <w:noProof/>
        </w:rPr>
        <w:t xml:space="preserve">in relation to shared management irregularities reported by the Member States, </w:t>
      </w:r>
      <w:r w:rsidR="2099DAE4" w:rsidRPr="00130AA1">
        <w:rPr>
          <w:noProof/>
        </w:rPr>
        <w:t xml:space="preserve">the protection of the EU’s financial interests can take the form of recovery or withdrawal. In this section, both measures are considered as </w:t>
      </w:r>
      <w:r w:rsidR="657C9615" w:rsidRPr="00130AA1">
        <w:rPr>
          <w:noProof/>
        </w:rPr>
        <w:t>recovery (</w:t>
      </w:r>
      <w:r w:rsidR="00540C7A" w:rsidRPr="00130AA1">
        <w:rPr>
          <w:rStyle w:val="FootnoteReference"/>
          <w:noProof/>
        </w:rPr>
        <w:footnoteReference w:id="61"/>
      </w:r>
      <w:r w:rsidR="657C9615" w:rsidRPr="00130AA1">
        <w:rPr>
          <w:noProof/>
        </w:rPr>
        <w:t>).</w:t>
      </w:r>
    </w:p>
    <w:p w14:paraId="3EEFA6CB" w14:textId="2CAA89F4" w:rsidR="00D631CE" w:rsidRPr="00C73E60" w:rsidRDefault="00D631CE" w:rsidP="00D631CE">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Pr>
          <w:noProof/>
        </w:rPr>
        <w:lastRenderedPageBreak/>
        <w:t>F</w:t>
      </w:r>
      <w:r w:rsidRPr="00C73E60">
        <w:rPr>
          <w:noProof/>
          <w:szCs w:val="22"/>
        </w:rPr>
        <w:t>or revenue, customs fraud can lead to shortfalls in own resources collection. Member States are financially responsible for an effective establishment and collection of the customs duties due</w:t>
      </w:r>
      <w:r w:rsidR="00130AA1">
        <w:rPr>
          <w:noProof/>
          <w:szCs w:val="22"/>
        </w:rPr>
        <w:t>.</w:t>
      </w:r>
      <w:r w:rsidRPr="00C73E60">
        <w:rPr>
          <w:noProof/>
          <w:szCs w:val="22"/>
        </w:rPr>
        <w:t xml:space="preserve"> Customs duties recovered by national authorities are made available to the EU budget as traditional own resources. For customs duties irrecoverable from the economic operators, the Commission verifies if national authorities carried out their obligations effectively. If that is not confirmed, Member States are requested to compensate the EU budget for the losses of traditional own resources. </w:t>
      </w:r>
    </w:p>
    <w:p w14:paraId="0EC7274A" w14:textId="0ADEA2CD" w:rsidR="00D631CE" w:rsidRPr="00DE3A6F" w:rsidRDefault="00D631CE" w:rsidP="00D631CE">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Pr>
          <w:noProof/>
        </w:rPr>
        <w:t xml:space="preserve">As regards VAT (national revenue), </w:t>
      </w:r>
      <w:r w:rsidRPr="00215967">
        <w:rPr>
          <w:noProof/>
          <w:lang w:val="en-US"/>
        </w:rPr>
        <w:t>fraud affects the collection of tax revenue for the Member States. There is no direct impact on the VAT-based own resource and the EU budget, as the VAT base relevant for the calculation of that own resource is determined by the VAT collected by the Member States. However, an</w:t>
      </w:r>
      <w:r>
        <w:rPr>
          <w:noProof/>
        </w:rPr>
        <w:t>y VAT recoveries by national authorities are added to the VAT base used to calculate the corresponding own resource, resulting in higher VAT-based own resources being called.</w:t>
      </w:r>
    </w:p>
    <w:p w14:paraId="5001C34D" w14:textId="1E39E8D2" w:rsidR="008E10E9" w:rsidRDefault="009C1AC6" w:rsidP="009C1AC6">
      <w:pPr>
        <w:spacing w:after="0" w:line="240" w:lineRule="auto"/>
        <w:rPr>
          <w:b/>
          <w:i/>
          <w:noProof/>
        </w:rPr>
      </w:pPr>
      <w:r w:rsidRPr="00CA1602">
        <w:rPr>
          <w:b/>
          <w:bCs/>
          <w:noProof/>
        </w:rPr>
        <w:t>Figure 1</w:t>
      </w:r>
      <w:r>
        <w:rPr>
          <w:b/>
          <w:bCs/>
          <w:noProof/>
        </w:rPr>
        <w:t>7</w:t>
      </w:r>
      <w:r w:rsidRPr="00CA1602">
        <w:rPr>
          <w:b/>
          <w:bCs/>
          <w:noProof/>
        </w:rPr>
        <w:t xml:space="preserve"> </w:t>
      </w:r>
      <w:r w:rsidRPr="00CA1602">
        <w:rPr>
          <w:noProof/>
        </w:rPr>
        <w:t xml:space="preserve">presents the main indicators on recoveries </w:t>
      </w:r>
      <w:r>
        <w:rPr>
          <w:noProof/>
        </w:rPr>
        <w:t xml:space="preserve">based on data </w:t>
      </w:r>
      <w:r w:rsidRPr="00CA1602">
        <w:rPr>
          <w:noProof/>
        </w:rPr>
        <w:t>reported by the Member States in the areas of traditional own resources and shared management.</w:t>
      </w:r>
    </w:p>
    <w:p w14:paraId="35196C82" w14:textId="7AD81DF2" w:rsidR="00E444EE" w:rsidRPr="00DE3A6F" w:rsidRDefault="001E5D97" w:rsidP="001E5D97">
      <w:pPr>
        <w:pStyle w:val="Caption"/>
        <w:rPr>
          <w:noProof/>
        </w:rPr>
      </w:pPr>
      <w:r w:rsidRPr="00DE3A6F">
        <w:rPr>
          <w:noProof/>
        </w:rPr>
        <w:t xml:space="preserve">Figure </w:t>
      </w:r>
      <w:r w:rsidR="00121A10" w:rsidRPr="00DE3A6F">
        <w:rPr>
          <w:noProof/>
        </w:rPr>
        <w:fldChar w:fldCharType="begin"/>
      </w:r>
      <w:r w:rsidR="00121A10" w:rsidRPr="00DE3A6F">
        <w:rPr>
          <w:noProof/>
        </w:rPr>
        <w:instrText xml:space="preserve"> SEQ Figure \* ARABIC </w:instrText>
      </w:r>
      <w:r w:rsidR="00121A10" w:rsidRPr="00DE3A6F">
        <w:rPr>
          <w:noProof/>
        </w:rPr>
        <w:fldChar w:fldCharType="separate"/>
      </w:r>
      <w:r w:rsidR="00EF490A">
        <w:rPr>
          <w:noProof/>
        </w:rPr>
        <w:t>17</w:t>
      </w:r>
      <w:r w:rsidR="00121A10" w:rsidRPr="00DE3A6F">
        <w:rPr>
          <w:noProof/>
        </w:rPr>
        <w:fldChar w:fldCharType="end"/>
      </w:r>
      <w:r w:rsidRPr="00DE3A6F">
        <w:rPr>
          <w:noProof/>
        </w:rPr>
        <w:t xml:space="preserve">: </w:t>
      </w:r>
      <w:r w:rsidR="00FD56DF" w:rsidRPr="009C1AC6">
        <w:rPr>
          <w:noProof/>
        </w:rPr>
        <w:t>Recovery rates for TOR</w:t>
      </w:r>
      <w:r w:rsidR="00FD56DF" w:rsidRPr="00DE3A6F">
        <w:rPr>
          <w:noProof/>
        </w:rPr>
        <w:t xml:space="preserve"> and shared management</w:t>
      </w:r>
    </w:p>
    <w:tbl>
      <w:tblPr>
        <w:tblW w:w="8768" w:type="dxa"/>
        <w:tblLayout w:type="fixed"/>
        <w:tblLook w:val="04A0" w:firstRow="1" w:lastRow="0" w:firstColumn="1" w:lastColumn="0" w:noHBand="0" w:noVBand="1"/>
      </w:tblPr>
      <w:tblGrid>
        <w:gridCol w:w="1413"/>
        <w:gridCol w:w="1134"/>
        <w:gridCol w:w="567"/>
        <w:gridCol w:w="567"/>
        <w:gridCol w:w="992"/>
        <w:gridCol w:w="850"/>
        <w:gridCol w:w="681"/>
        <w:gridCol w:w="708"/>
        <w:gridCol w:w="993"/>
        <w:gridCol w:w="853"/>
        <w:gridCol w:w="10"/>
      </w:tblGrid>
      <w:tr w:rsidR="00DC49CC" w:rsidRPr="00CA1602" w14:paraId="64F36F48" w14:textId="77777777" w:rsidTr="008E1E89">
        <w:trPr>
          <w:gridAfter w:val="1"/>
          <w:wAfter w:w="10" w:type="dxa"/>
          <w:trHeight w:val="315"/>
        </w:trPr>
        <w:tc>
          <w:tcPr>
            <w:tcW w:w="1413" w:type="dxa"/>
            <w:vMerge w:val="restart"/>
            <w:tcBorders>
              <w:top w:val="single" w:sz="4" w:space="0" w:color="auto"/>
              <w:left w:val="single" w:sz="4" w:space="0" w:color="auto"/>
              <w:bottom w:val="nil"/>
              <w:right w:val="single" w:sz="4" w:space="0" w:color="auto"/>
            </w:tcBorders>
            <w:shd w:val="clear" w:color="000000" w:fill="782170"/>
            <w:noWrap/>
            <w:vAlign w:val="bottom"/>
            <w:hideMark/>
          </w:tcPr>
          <w:p w14:paraId="4A45AD22" w14:textId="77777777" w:rsidR="00D66BD4" w:rsidRPr="00870C52" w:rsidRDefault="00D66BD4" w:rsidP="00D66BD4">
            <w:pPr>
              <w:spacing w:after="0" w:line="240" w:lineRule="auto"/>
              <w:jc w:val="center"/>
              <w:rPr>
                <w:rFonts w:ascii="Aptos Narrow" w:hAnsi="Aptos Narrow"/>
                <w:b/>
                <w:bCs/>
                <w:noProof/>
                <w:color w:val="FFFFFF"/>
                <w:sz w:val="20"/>
                <w:lang w:eastAsia="en-IE"/>
              </w:rPr>
            </w:pPr>
            <w:r w:rsidRPr="00870C52">
              <w:rPr>
                <w:rFonts w:ascii="Aptos Narrow" w:hAnsi="Aptos Narrow"/>
                <w:b/>
                <w:bCs/>
                <w:noProof/>
                <w:color w:val="FFFFFF"/>
                <w:sz w:val="20"/>
                <w:lang w:eastAsia="en-IE"/>
              </w:rPr>
              <w:t>Budgetary sector</w:t>
            </w:r>
          </w:p>
        </w:tc>
        <w:tc>
          <w:tcPr>
            <w:tcW w:w="1134" w:type="dxa"/>
            <w:vMerge w:val="restart"/>
            <w:tcBorders>
              <w:top w:val="single" w:sz="4" w:space="0" w:color="auto"/>
              <w:left w:val="single" w:sz="4" w:space="0" w:color="auto"/>
              <w:bottom w:val="nil"/>
              <w:right w:val="single" w:sz="4" w:space="0" w:color="auto"/>
            </w:tcBorders>
            <w:shd w:val="clear" w:color="000000" w:fill="782170"/>
            <w:vAlign w:val="bottom"/>
            <w:hideMark/>
          </w:tcPr>
          <w:p w14:paraId="6E0FDE5F" w14:textId="77777777" w:rsidR="00D66BD4" w:rsidRPr="00870C52" w:rsidRDefault="00D66BD4" w:rsidP="00D66BD4">
            <w:pPr>
              <w:spacing w:after="0" w:line="240" w:lineRule="auto"/>
              <w:jc w:val="center"/>
              <w:rPr>
                <w:rFonts w:ascii="Aptos Narrow" w:hAnsi="Aptos Narrow"/>
                <w:b/>
                <w:bCs/>
                <w:noProof/>
                <w:color w:val="FFFFFF"/>
                <w:sz w:val="18"/>
                <w:szCs w:val="18"/>
                <w:lang w:eastAsia="en-IE"/>
              </w:rPr>
            </w:pPr>
            <w:r w:rsidRPr="00870C52">
              <w:rPr>
                <w:rFonts w:ascii="Aptos Narrow" w:hAnsi="Aptos Narrow"/>
                <w:b/>
                <w:bCs/>
                <w:noProof/>
                <w:color w:val="FFFFFF"/>
                <w:sz w:val="18"/>
                <w:szCs w:val="18"/>
                <w:lang w:eastAsia="en-IE"/>
              </w:rPr>
              <w:t>Reference period</w:t>
            </w:r>
          </w:p>
        </w:tc>
        <w:tc>
          <w:tcPr>
            <w:tcW w:w="2976" w:type="dxa"/>
            <w:gridSpan w:val="4"/>
            <w:tcBorders>
              <w:top w:val="single" w:sz="4" w:space="0" w:color="auto"/>
              <w:left w:val="nil"/>
              <w:bottom w:val="single" w:sz="4" w:space="0" w:color="auto"/>
              <w:right w:val="single" w:sz="4" w:space="0" w:color="auto"/>
            </w:tcBorders>
            <w:shd w:val="clear" w:color="000000" w:fill="782170"/>
            <w:noWrap/>
            <w:vAlign w:val="bottom"/>
            <w:hideMark/>
          </w:tcPr>
          <w:p w14:paraId="71D2C75D" w14:textId="77777777" w:rsidR="00D66BD4" w:rsidRPr="00870C52" w:rsidRDefault="00D66BD4" w:rsidP="00D66BD4">
            <w:pPr>
              <w:spacing w:after="0" w:line="240" w:lineRule="auto"/>
              <w:jc w:val="center"/>
              <w:rPr>
                <w:rFonts w:ascii="Aptos Narrow" w:hAnsi="Aptos Narrow"/>
                <w:b/>
                <w:bCs/>
                <w:noProof/>
                <w:color w:val="FFFFFF"/>
                <w:szCs w:val="22"/>
                <w:lang w:eastAsia="en-IE"/>
              </w:rPr>
            </w:pPr>
            <w:r w:rsidRPr="00870C52">
              <w:rPr>
                <w:rFonts w:ascii="Aptos Narrow" w:hAnsi="Aptos Narrow"/>
                <w:b/>
                <w:bCs/>
                <w:noProof/>
                <w:color w:val="FFFFFF"/>
                <w:szCs w:val="22"/>
                <w:lang w:eastAsia="en-IE"/>
              </w:rPr>
              <w:t>Fraudulent irregularities</w:t>
            </w:r>
          </w:p>
        </w:tc>
        <w:tc>
          <w:tcPr>
            <w:tcW w:w="3235" w:type="dxa"/>
            <w:gridSpan w:val="4"/>
            <w:tcBorders>
              <w:top w:val="single" w:sz="4" w:space="0" w:color="auto"/>
              <w:left w:val="nil"/>
              <w:bottom w:val="single" w:sz="4" w:space="0" w:color="auto"/>
              <w:right w:val="single" w:sz="4" w:space="0" w:color="auto"/>
            </w:tcBorders>
            <w:shd w:val="clear" w:color="000000" w:fill="782170"/>
            <w:noWrap/>
            <w:vAlign w:val="bottom"/>
            <w:hideMark/>
          </w:tcPr>
          <w:p w14:paraId="3E372782" w14:textId="77777777" w:rsidR="00D66BD4" w:rsidRPr="00870C52" w:rsidRDefault="00D66BD4" w:rsidP="00D66BD4">
            <w:pPr>
              <w:spacing w:after="0" w:line="240" w:lineRule="auto"/>
              <w:jc w:val="center"/>
              <w:rPr>
                <w:rFonts w:ascii="Aptos Narrow" w:hAnsi="Aptos Narrow"/>
                <w:b/>
                <w:bCs/>
                <w:noProof/>
                <w:color w:val="FFFFFF"/>
                <w:szCs w:val="22"/>
                <w:lang w:eastAsia="en-IE"/>
              </w:rPr>
            </w:pPr>
            <w:r w:rsidRPr="00870C52">
              <w:rPr>
                <w:rFonts w:ascii="Aptos Narrow" w:hAnsi="Aptos Narrow"/>
                <w:b/>
                <w:bCs/>
                <w:noProof/>
                <w:color w:val="FFFFFF"/>
                <w:szCs w:val="22"/>
                <w:lang w:eastAsia="en-IE"/>
              </w:rPr>
              <w:t>Non-fraudulent irregularities</w:t>
            </w:r>
          </w:p>
        </w:tc>
      </w:tr>
      <w:tr w:rsidR="00DC49CC" w:rsidRPr="00CA1602" w14:paraId="53C19E04" w14:textId="77777777" w:rsidTr="008E1E89">
        <w:trPr>
          <w:gridAfter w:val="1"/>
          <w:wAfter w:w="10" w:type="dxa"/>
          <w:trHeight w:val="895"/>
        </w:trPr>
        <w:tc>
          <w:tcPr>
            <w:tcW w:w="1413" w:type="dxa"/>
            <w:vMerge/>
            <w:tcBorders>
              <w:top w:val="single" w:sz="4" w:space="0" w:color="auto"/>
              <w:left w:val="single" w:sz="4" w:space="0" w:color="auto"/>
              <w:bottom w:val="nil"/>
              <w:right w:val="single" w:sz="4" w:space="0" w:color="auto"/>
            </w:tcBorders>
            <w:vAlign w:val="center"/>
            <w:hideMark/>
          </w:tcPr>
          <w:p w14:paraId="6A00FAD0" w14:textId="77777777" w:rsidR="00D66BD4" w:rsidRPr="00DE241B" w:rsidRDefault="00D66BD4" w:rsidP="00D66BD4">
            <w:pPr>
              <w:spacing w:after="0" w:line="240" w:lineRule="auto"/>
              <w:jc w:val="left"/>
              <w:rPr>
                <w:rFonts w:ascii="Aptos Narrow" w:hAnsi="Aptos Narrow"/>
                <w:b/>
                <w:bCs/>
                <w:noProof/>
                <w:color w:val="FFFFFF"/>
                <w:sz w:val="20"/>
                <w:lang w:eastAsia="en-IE"/>
              </w:rPr>
            </w:pPr>
          </w:p>
        </w:tc>
        <w:tc>
          <w:tcPr>
            <w:tcW w:w="1134" w:type="dxa"/>
            <w:vMerge/>
            <w:tcBorders>
              <w:top w:val="single" w:sz="4" w:space="0" w:color="auto"/>
              <w:left w:val="single" w:sz="4" w:space="0" w:color="auto"/>
              <w:bottom w:val="nil"/>
              <w:right w:val="single" w:sz="4" w:space="0" w:color="auto"/>
            </w:tcBorders>
            <w:vAlign w:val="center"/>
            <w:hideMark/>
          </w:tcPr>
          <w:p w14:paraId="42A2FFB7" w14:textId="77777777" w:rsidR="00D66BD4" w:rsidRPr="00DE241B" w:rsidRDefault="00D66BD4" w:rsidP="00DE241B">
            <w:pPr>
              <w:spacing w:after="0" w:line="240" w:lineRule="auto"/>
              <w:jc w:val="center"/>
              <w:rPr>
                <w:rFonts w:ascii="Aptos Narrow" w:hAnsi="Aptos Narrow"/>
                <w:b/>
                <w:bCs/>
                <w:noProof/>
                <w:color w:val="FFFFFF"/>
                <w:sz w:val="18"/>
                <w:szCs w:val="18"/>
                <w:lang w:eastAsia="en-IE"/>
              </w:rPr>
            </w:pPr>
          </w:p>
        </w:tc>
        <w:tc>
          <w:tcPr>
            <w:tcW w:w="567" w:type="dxa"/>
            <w:tcBorders>
              <w:top w:val="nil"/>
              <w:left w:val="nil"/>
              <w:bottom w:val="nil"/>
              <w:right w:val="single" w:sz="4" w:space="0" w:color="auto"/>
            </w:tcBorders>
            <w:shd w:val="clear" w:color="000000" w:fill="782170"/>
            <w:noWrap/>
            <w:vAlign w:val="bottom"/>
            <w:hideMark/>
          </w:tcPr>
          <w:p w14:paraId="0238D684" w14:textId="77777777" w:rsidR="00D66BD4" w:rsidRPr="00DE241B" w:rsidRDefault="00D66BD4" w:rsidP="00994E56">
            <w:pPr>
              <w:spacing w:after="0" w:line="240" w:lineRule="auto"/>
              <w:jc w:val="center"/>
              <w:rPr>
                <w:rFonts w:ascii="Aptos Narrow" w:hAnsi="Aptos Narrow"/>
                <w:b/>
                <w:bCs/>
                <w:noProof/>
                <w:color w:val="FFFFFF"/>
                <w:sz w:val="18"/>
                <w:szCs w:val="18"/>
                <w:lang w:eastAsia="en-IE"/>
              </w:rPr>
            </w:pPr>
            <w:r w:rsidRPr="00DE241B">
              <w:rPr>
                <w:rFonts w:ascii="Aptos Narrow" w:hAnsi="Aptos Narrow"/>
                <w:b/>
                <w:bCs/>
                <w:noProof/>
                <w:color w:val="FFFFFF"/>
                <w:sz w:val="18"/>
                <w:szCs w:val="18"/>
                <w:lang w:eastAsia="en-IE"/>
              </w:rPr>
              <w:t>N</w:t>
            </w:r>
          </w:p>
        </w:tc>
        <w:tc>
          <w:tcPr>
            <w:tcW w:w="567" w:type="dxa"/>
            <w:tcBorders>
              <w:top w:val="nil"/>
              <w:left w:val="nil"/>
              <w:bottom w:val="nil"/>
              <w:right w:val="single" w:sz="4" w:space="0" w:color="auto"/>
            </w:tcBorders>
            <w:shd w:val="clear" w:color="000000" w:fill="782170"/>
            <w:vAlign w:val="bottom"/>
            <w:hideMark/>
          </w:tcPr>
          <w:p w14:paraId="598A40EC" w14:textId="77777777" w:rsidR="00D66BD4" w:rsidRPr="00DE241B" w:rsidRDefault="00D66BD4" w:rsidP="00994E56">
            <w:pPr>
              <w:spacing w:after="0" w:line="240" w:lineRule="auto"/>
              <w:jc w:val="center"/>
              <w:rPr>
                <w:rFonts w:ascii="Aptos Narrow" w:hAnsi="Aptos Narrow"/>
                <w:b/>
                <w:bCs/>
                <w:noProof/>
                <w:color w:val="FFFFFF"/>
                <w:sz w:val="18"/>
                <w:szCs w:val="18"/>
                <w:lang w:eastAsia="en-IE"/>
              </w:rPr>
            </w:pPr>
            <w:r w:rsidRPr="00DE241B">
              <w:rPr>
                <w:rFonts w:ascii="Aptos Narrow" w:hAnsi="Aptos Narrow"/>
                <w:b/>
                <w:bCs/>
                <w:noProof/>
                <w:color w:val="FFFFFF"/>
                <w:sz w:val="18"/>
                <w:szCs w:val="18"/>
                <w:lang w:eastAsia="en-IE"/>
              </w:rPr>
              <w:t>% of total</w:t>
            </w:r>
          </w:p>
        </w:tc>
        <w:tc>
          <w:tcPr>
            <w:tcW w:w="992" w:type="dxa"/>
            <w:tcBorders>
              <w:top w:val="nil"/>
              <w:left w:val="nil"/>
              <w:bottom w:val="nil"/>
              <w:right w:val="single" w:sz="4" w:space="0" w:color="auto"/>
            </w:tcBorders>
            <w:shd w:val="clear" w:color="000000" w:fill="782170"/>
            <w:vAlign w:val="bottom"/>
            <w:hideMark/>
          </w:tcPr>
          <w:p w14:paraId="27E975B4" w14:textId="77777777" w:rsidR="00D66BD4" w:rsidRPr="00870C52" w:rsidRDefault="00D66BD4" w:rsidP="00994E56">
            <w:pPr>
              <w:spacing w:after="0" w:line="240" w:lineRule="auto"/>
              <w:jc w:val="center"/>
              <w:rPr>
                <w:rFonts w:ascii="Aptos Narrow" w:hAnsi="Aptos Narrow"/>
                <w:b/>
                <w:bCs/>
                <w:noProof/>
                <w:color w:val="FFFFFF"/>
                <w:sz w:val="16"/>
                <w:szCs w:val="16"/>
                <w:lang w:eastAsia="en-IE"/>
              </w:rPr>
            </w:pPr>
            <w:r w:rsidRPr="00870C52">
              <w:rPr>
                <w:rFonts w:ascii="Aptos Narrow" w:hAnsi="Aptos Narrow"/>
                <w:b/>
                <w:bCs/>
                <w:noProof/>
                <w:color w:val="FFFFFF"/>
                <w:sz w:val="16"/>
                <w:szCs w:val="16"/>
                <w:lang w:eastAsia="en-IE"/>
              </w:rPr>
              <w:t>Amounts recovered (EUR million)</w:t>
            </w:r>
          </w:p>
        </w:tc>
        <w:tc>
          <w:tcPr>
            <w:tcW w:w="850" w:type="dxa"/>
            <w:tcBorders>
              <w:top w:val="nil"/>
              <w:left w:val="nil"/>
              <w:bottom w:val="nil"/>
              <w:right w:val="single" w:sz="4" w:space="0" w:color="auto"/>
            </w:tcBorders>
            <w:shd w:val="clear" w:color="000000" w:fill="782170"/>
            <w:vAlign w:val="bottom"/>
            <w:hideMark/>
          </w:tcPr>
          <w:p w14:paraId="42554E4F" w14:textId="77777777" w:rsidR="00D66BD4" w:rsidRPr="00870C52" w:rsidRDefault="00D66BD4" w:rsidP="00994E56">
            <w:pPr>
              <w:spacing w:after="0" w:line="240" w:lineRule="auto"/>
              <w:jc w:val="center"/>
              <w:rPr>
                <w:rFonts w:ascii="Aptos Narrow" w:hAnsi="Aptos Narrow"/>
                <w:b/>
                <w:bCs/>
                <w:noProof/>
                <w:color w:val="FFFFFF"/>
                <w:sz w:val="16"/>
                <w:szCs w:val="16"/>
                <w:lang w:eastAsia="en-IE"/>
              </w:rPr>
            </w:pPr>
            <w:r w:rsidRPr="00870C52">
              <w:rPr>
                <w:rFonts w:ascii="Aptos Narrow" w:hAnsi="Aptos Narrow"/>
                <w:b/>
                <w:bCs/>
                <w:noProof/>
                <w:color w:val="FFFFFF"/>
                <w:sz w:val="16"/>
                <w:szCs w:val="16"/>
                <w:lang w:eastAsia="en-IE"/>
              </w:rPr>
              <w:t>Recovery rate</w:t>
            </w:r>
          </w:p>
        </w:tc>
        <w:tc>
          <w:tcPr>
            <w:tcW w:w="681" w:type="dxa"/>
            <w:tcBorders>
              <w:top w:val="nil"/>
              <w:left w:val="nil"/>
              <w:bottom w:val="nil"/>
              <w:right w:val="single" w:sz="4" w:space="0" w:color="auto"/>
            </w:tcBorders>
            <w:shd w:val="clear" w:color="000000" w:fill="782170"/>
            <w:noWrap/>
            <w:vAlign w:val="bottom"/>
            <w:hideMark/>
          </w:tcPr>
          <w:p w14:paraId="5DAA1752" w14:textId="77777777" w:rsidR="00D66BD4" w:rsidRPr="00870C52" w:rsidRDefault="00D66BD4" w:rsidP="00994E56">
            <w:pPr>
              <w:spacing w:after="0" w:line="240" w:lineRule="auto"/>
              <w:jc w:val="center"/>
              <w:rPr>
                <w:rFonts w:ascii="Aptos Narrow" w:hAnsi="Aptos Narrow"/>
                <w:b/>
                <w:bCs/>
                <w:noProof/>
                <w:color w:val="FFFFFF"/>
                <w:sz w:val="18"/>
                <w:szCs w:val="18"/>
                <w:lang w:eastAsia="en-IE"/>
              </w:rPr>
            </w:pPr>
            <w:r w:rsidRPr="00870C52">
              <w:rPr>
                <w:rFonts w:ascii="Aptos Narrow" w:hAnsi="Aptos Narrow"/>
                <w:b/>
                <w:bCs/>
                <w:noProof/>
                <w:color w:val="FFFFFF"/>
                <w:sz w:val="18"/>
                <w:szCs w:val="18"/>
                <w:lang w:eastAsia="en-IE"/>
              </w:rPr>
              <w:t>N</w:t>
            </w:r>
          </w:p>
        </w:tc>
        <w:tc>
          <w:tcPr>
            <w:tcW w:w="708" w:type="dxa"/>
            <w:tcBorders>
              <w:top w:val="nil"/>
              <w:left w:val="nil"/>
              <w:bottom w:val="nil"/>
              <w:right w:val="single" w:sz="4" w:space="0" w:color="auto"/>
            </w:tcBorders>
            <w:shd w:val="clear" w:color="000000" w:fill="782170"/>
            <w:vAlign w:val="bottom"/>
            <w:hideMark/>
          </w:tcPr>
          <w:p w14:paraId="614D90D5" w14:textId="77777777" w:rsidR="00D66BD4" w:rsidRPr="00870C52" w:rsidRDefault="00D66BD4" w:rsidP="00994E56">
            <w:pPr>
              <w:spacing w:after="0" w:line="240" w:lineRule="auto"/>
              <w:jc w:val="center"/>
              <w:rPr>
                <w:rFonts w:ascii="Aptos Narrow" w:hAnsi="Aptos Narrow"/>
                <w:b/>
                <w:bCs/>
                <w:noProof/>
                <w:color w:val="FFFFFF"/>
                <w:sz w:val="18"/>
                <w:szCs w:val="18"/>
                <w:lang w:eastAsia="en-IE"/>
              </w:rPr>
            </w:pPr>
            <w:r w:rsidRPr="00870C52">
              <w:rPr>
                <w:rFonts w:ascii="Aptos Narrow" w:hAnsi="Aptos Narrow"/>
                <w:b/>
                <w:bCs/>
                <w:noProof/>
                <w:color w:val="FFFFFF"/>
                <w:sz w:val="18"/>
                <w:szCs w:val="18"/>
                <w:lang w:eastAsia="en-IE"/>
              </w:rPr>
              <w:t>% of total</w:t>
            </w:r>
          </w:p>
        </w:tc>
        <w:tc>
          <w:tcPr>
            <w:tcW w:w="993" w:type="dxa"/>
            <w:tcBorders>
              <w:top w:val="nil"/>
              <w:left w:val="nil"/>
              <w:bottom w:val="nil"/>
              <w:right w:val="single" w:sz="4" w:space="0" w:color="auto"/>
            </w:tcBorders>
            <w:shd w:val="clear" w:color="000000" w:fill="782170"/>
            <w:vAlign w:val="bottom"/>
            <w:hideMark/>
          </w:tcPr>
          <w:p w14:paraId="77BA38BB" w14:textId="77777777" w:rsidR="00D66BD4" w:rsidRPr="00870C52" w:rsidRDefault="00D66BD4" w:rsidP="00994E56">
            <w:pPr>
              <w:spacing w:after="0" w:line="240" w:lineRule="auto"/>
              <w:jc w:val="center"/>
              <w:rPr>
                <w:rFonts w:ascii="Aptos Narrow" w:hAnsi="Aptos Narrow"/>
                <w:b/>
                <w:bCs/>
                <w:noProof/>
                <w:color w:val="FFFFFF"/>
                <w:sz w:val="16"/>
                <w:szCs w:val="16"/>
                <w:lang w:eastAsia="en-IE"/>
              </w:rPr>
            </w:pPr>
            <w:r w:rsidRPr="00870C52">
              <w:rPr>
                <w:rFonts w:ascii="Aptos Narrow" w:hAnsi="Aptos Narrow"/>
                <w:b/>
                <w:bCs/>
                <w:noProof/>
                <w:color w:val="FFFFFF"/>
                <w:sz w:val="16"/>
                <w:szCs w:val="16"/>
                <w:lang w:eastAsia="en-IE"/>
              </w:rPr>
              <w:t>Amounts recovered (EUR million)</w:t>
            </w:r>
          </w:p>
        </w:tc>
        <w:tc>
          <w:tcPr>
            <w:tcW w:w="853" w:type="dxa"/>
            <w:tcBorders>
              <w:top w:val="nil"/>
              <w:left w:val="nil"/>
              <w:bottom w:val="nil"/>
              <w:right w:val="single" w:sz="4" w:space="0" w:color="auto"/>
            </w:tcBorders>
            <w:shd w:val="clear" w:color="000000" w:fill="782170"/>
            <w:vAlign w:val="bottom"/>
            <w:hideMark/>
          </w:tcPr>
          <w:p w14:paraId="3E1F59B7" w14:textId="77777777" w:rsidR="00D66BD4" w:rsidRPr="00870C52" w:rsidRDefault="00D66BD4" w:rsidP="00994E56">
            <w:pPr>
              <w:spacing w:after="0" w:line="240" w:lineRule="auto"/>
              <w:jc w:val="center"/>
              <w:rPr>
                <w:rFonts w:ascii="Aptos Narrow" w:hAnsi="Aptos Narrow"/>
                <w:b/>
                <w:bCs/>
                <w:noProof/>
                <w:color w:val="FFFFFF"/>
                <w:sz w:val="18"/>
                <w:szCs w:val="18"/>
                <w:lang w:eastAsia="en-IE"/>
              </w:rPr>
            </w:pPr>
            <w:r w:rsidRPr="00870C52">
              <w:rPr>
                <w:rFonts w:ascii="Aptos Narrow" w:hAnsi="Aptos Narrow"/>
                <w:b/>
                <w:bCs/>
                <w:noProof/>
                <w:color w:val="FFFFFF"/>
                <w:sz w:val="16"/>
                <w:szCs w:val="16"/>
                <w:lang w:eastAsia="en-IE"/>
              </w:rPr>
              <w:t>Recovery rate</w:t>
            </w:r>
          </w:p>
        </w:tc>
      </w:tr>
      <w:tr w:rsidR="00495107" w:rsidRPr="00CA1602" w14:paraId="0189F50D" w14:textId="77777777" w:rsidTr="008E1E89">
        <w:trPr>
          <w:gridAfter w:val="1"/>
          <w:wAfter w:w="10" w:type="dxa"/>
          <w:trHeight w:val="315"/>
        </w:trPr>
        <w:tc>
          <w:tcPr>
            <w:tcW w:w="1413" w:type="dxa"/>
            <w:tcBorders>
              <w:top w:val="single" w:sz="4" w:space="0" w:color="auto"/>
              <w:left w:val="single" w:sz="4" w:space="0" w:color="auto"/>
              <w:bottom w:val="nil"/>
              <w:right w:val="nil"/>
            </w:tcBorders>
            <w:shd w:val="clear" w:color="000000" w:fill="E49EDD"/>
            <w:noWrap/>
            <w:vAlign w:val="bottom"/>
            <w:hideMark/>
          </w:tcPr>
          <w:p w14:paraId="45D7E5CE" w14:textId="39E75DA2" w:rsidR="00D66BD4" w:rsidRPr="00870C52" w:rsidRDefault="00D66BD4" w:rsidP="00D66BD4">
            <w:pPr>
              <w:spacing w:after="0" w:line="240" w:lineRule="auto"/>
              <w:jc w:val="left"/>
              <w:rPr>
                <w:rFonts w:ascii="Aptos Narrow" w:hAnsi="Aptos Narrow"/>
                <w:b/>
                <w:bCs/>
                <w:noProof/>
                <w:color w:val="000000"/>
                <w:sz w:val="20"/>
                <w:lang w:eastAsia="en-IE"/>
              </w:rPr>
            </w:pPr>
            <w:r w:rsidRPr="00870C52">
              <w:rPr>
                <w:rFonts w:ascii="Aptos Narrow" w:hAnsi="Aptos Narrow"/>
                <w:b/>
                <w:bCs/>
                <w:noProof/>
                <w:color w:val="000000"/>
                <w:sz w:val="20"/>
                <w:lang w:eastAsia="en-IE"/>
              </w:rPr>
              <w:t xml:space="preserve">Traditional </w:t>
            </w:r>
            <w:r w:rsidR="008D3293" w:rsidRPr="00870C52">
              <w:rPr>
                <w:rFonts w:ascii="Aptos Narrow" w:hAnsi="Aptos Narrow"/>
                <w:b/>
                <w:bCs/>
                <w:noProof/>
                <w:color w:val="000000"/>
                <w:sz w:val="20"/>
                <w:lang w:eastAsia="en-IE"/>
              </w:rPr>
              <w:t>o</w:t>
            </w:r>
            <w:r w:rsidRPr="00870C52">
              <w:rPr>
                <w:rFonts w:ascii="Aptos Narrow" w:hAnsi="Aptos Narrow"/>
                <w:b/>
                <w:bCs/>
                <w:noProof/>
                <w:color w:val="000000"/>
                <w:sz w:val="20"/>
                <w:lang w:eastAsia="en-IE"/>
              </w:rPr>
              <w:t xml:space="preserve">wn </w:t>
            </w:r>
            <w:r w:rsidR="008D3293" w:rsidRPr="00870C52">
              <w:rPr>
                <w:rFonts w:ascii="Aptos Narrow" w:hAnsi="Aptos Narrow"/>
                <w:b/>
                <w:bCs/>
                <w:noProof/>
                <w:color w:val="000000"/>
                <w:sz w:val="20"/>
                <w:lang w:eastAsia="en-IE"/>
              </w:rPr>
              <w:t>r</w:t>
            </w:r>
            <w:r w:rsidRPr="00870C52">
              <w:rPr>
                <w:rFonts w:ascii="Aptos Narrow" w:hAnsi="Aptos Narrow"/>
                <w:b/>
                <w:bCs/>
                <w:noProof/>
                <w:color w:val="000000"/>
                <w:sz w:val="20"/>
                <w:lang w:eastAsia="en-IE"/>
              </w:rPr>
              <w:t>esources</w:t>
            </w:r>
            <w:r w:rsidR="00A70152">
              <w:rPr>
                <w:rFonts w:ascii="Aptos Narrow" w:hAnsi="Aptos Narrow"/>
                <w:b/>
                <w:bCs/>
                <w:noProof/>
                <w:color w:val="000000"/>
                <w:sz w:val="20"/>
                <w:lang w:eastAsia="en-IE"/>
              </w:rPr>
              <w:t>*</w:t>
            </w:r>
          </w:p>
        </w:tc>
        <w:tc>
          <w:tcPr>
            <w:tcW w:w="1134" w:type="dxa"/>
            <w:tcBorders>
              <w:top w:val="single" w:sz="4" w:space="0" w:color="auto"/>
              <w:left w:val="single" w:sz="4" w:space="0" w:color="auto"/>
              <w:bottom w:val="nil"/>
              <w:right w:val="single" w:sz="4" w:space="0" w:color="auto"/>
            </w:tcBorders>
            <w:shd w:val="clear" w:color="000000" w:fill="E49EDD"/>
            <w:noWrap/>
            <w:vAlign w:val="bottom"/>
            <w:hideMark/>
          </w:tcPr>
          <w:p w14:paraId="0697EE53" w14:textId="77777777" w:rsidR="00D66BD4" w:rsidRPr="00870C52" w:rsidRDefault="00D66BD4" w:rsidP="00D66BD4">
            <w:pPr>
              <w:spacing w:after="0" w:line="240" w:lineRule="auto"/>
              <w:jc w:val="lef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2025</w:t>
            </w:r>
          </w:p>
        </w:tc>
        <w:tc>
          <w:tcPr>
            <w:tcW w:w="567" w:type="dxa"/>
            <w:tcBorders>
              <w:top w:val="single" w:sz="4" w:space="0" w:color="auto"/>
              <w:left w:val="nil"/>
              <w:bottom w:val="nil"/>
              <w:right w:val="single" w:sz="4" w:space="0" w:color="auto"/>
            </w:tcBorders>
            <w:shd w:val="clear" w:color="000000" w:fill="E49EDD"/>
            <w:noWrap/>
            <w:vAlign w:val="bottom"/>
            <w:hideMark/>
          </w:tcPr>
          <w:p w14:paraId="0D9E9B81"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567" w:type="dxa"/>
            <w:tcBorders>
              <w:top w:val="single" w:sz="4" w:space="0" w:color="auto"/>
              <w:left w:val="nil"/>
              <w:bottom w:val="nil"/>
              <w:right w:val="nil"/>
            </w:tcBorders>
            <w:shd w:val="clear" w:color="000000" w:fill="E49EDD"/>
            <w:noWrap/>
            <w:vAlign w:val="bottom"/>
            <w:hideMark/>
          </w:tcPr>
          <w:p w14:paraId="18C063EE"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992" w:type="dxa"/>
            <w:tcBorders>
              <w:top w:val="single" w:sz="4" w:space="0" w:color="auto"/>
              <w:left w:val="single" w:sz="4" w:space="0" w:color="auto"/>
              <w:bottom w:val="nil"/>
              <w:right w:val="single" w:sz="4" w:space="0" w:color="auto"/>
            </w:tcBorders>
            <w:shd w:val="clear" w:color="000000" w:fill="E49EDD"/>
            <w:noWrap/>
            <w:vAlign w:val="bottom"/>
            <w:hideMark/>
          </w:tcPr>
          <w:p w14:paraId="27C6608D"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19.9</w:t>
            </w:r>
          </w:p>
        </w:tc>
        <w:tc>
          <w:tcPr>
            <w:tcW w:w="850" w:type="dxa"/>
            <w:tcBorders>
              <w:top w:val="single" w:sz="4" w:space="0" w:color="auto"/>
              <w:left w:val="nil"/>
              <w:bottom w:val="nil"/>
              <w:right w:val="nil"/>
            </w:tcBorders>
            <w:shd w:val="clear" w:color="000000" w:fill="E49EDD"/>
            <w:noWrap/>
            <w:vAlign w:val="bottom"/>
            <w:hideMark/>
          </w:tcPr>
          <w:p w14:paraId="0072D8D1"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28%</w:t>
            </w:r>
          </w:p>
        </w:tc>
        <w:tc>
          <w:tcPr>
            <w:tcW w:w="681" w:type="dxa"/>
            <w:tcBorders>
              <w:top w:val="single" w:sz="4" w:space="0" w:color="auto"/>
              <w:left w:val="single" w:sz="4" w:space="0" w:color="auto"/>
              <w:bottom w:val="nil"/>
              <w:right w:val="single" w:sz="4" w:space="0" w:color="auto"/>
            </w:tcBorders>
            <w:shd w:val="clear" w:color="000000" w:fill="E49EDD"/>
            <w:noWrap/>
            <w:vAlign w:val="bottom"/>
            <w:hideMark/>
          </w:tcPr>
          <w:p w14:paraId="50F48A5D"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708" w:type="dxa"/>
            <w:tcBorders>
              <w:top w:val="single" w:sz="4" w:space="0" w:color="auto"/>
              <w:left w:val="nil"/>
              <w:bottom w:val="nil"/>
              <w:right w:val="nil"/>
            </w:tcBorders>
            <w:shd w:val="clear" w:color="000000" w:fill="E49EDD"/>
            <w:noWrap/>
            <w:vAlign w:val="bottom"/>
            <w:hideMark/>
          </w:tcPr>
          <w:p w14:paraId="506CF3B8"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993" w:type="dxa"/>
            <w:tcBorders>
              <w:top w:val="single" w:sz="4" w:space="0" w:color="auto"/>
              <w:left w:val="single" w:sz="4" w:space="0" w:color="auto"/>
              <w:bottom w:val="nil"/>
              <w:right w:val="single" w:sz="4" w:space="0" w:color="auto"/>
            </w:tcBorders>
            <w:shd w:val="clear" w:color="000000" w:fill="E49EDD"/>
            <w:noWrap/>
            <w:vAlign w:val="bottom"/>
            <w:hideMark/>
          </w:tcPr>
          <w:p w14:paraId="7ECEA84A"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602.6</w:t>
            </w:r>
          </w:p>
        </w:tc>
        <w:tc>
          <w:tcPr>
            <w:tcW w:w="853" w:type="dxa"/>
            <w:tcBorders>
              <w:top w:val="single" w:sz="4" w:space="0" w:color="auto"/>
              <w:left w:val="nil"/>
              <w:bottom w:val="nil"/>
              <w:right w:val="single" w:sz="4" w:space="0" w:color="auto"/>
            </w:tcBorders>
            <w:shd w:val="clear" w:color="000000" w:fill="E49EDD"/>
            <w:noWrap/>
            <w:vAlign w:val="bottom"/>
            <w:hideMark/>
          </w:tcPr>
          <w:p w14:paraId="591B25E7"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82%</w:t>
            </w:r>
          </w:p>
        </w:tc>
      </w:tr>
      <w:tr w:rsidR="00495107" w:rsidRPr="00CA1602" w14:paraId="783475EC" w14:textId="77777777" w:rsidTr="008E1E89">
        <w:trPr>
          <w:gridAfter w:val="1"/>
          <w:wAfter w:w="10" w:type="dxa"/>
          <w:trHeight w:val="315"/>
        </w:trPr>
        <w:tc>
          <w:tcPr>
            <w:tcW w:w="1413" w:type="dxa"/>
            <w:tcBorders>
              <w:top w:val="single" w:sz="4" w:space="0" w:color="auto"/>
              <w:left w:val="single" w:sz="4" w:space="0" w:color="auto"/>
              <w:bottom w:val="nil"/>
              <w:right w:val="nil"/>
            </w:tcBorders>
            <w:shd w:val="clear" w:color="000000" w:fill="E49EDD"/>
            <w:noWrap/>
            <w:vAlign w:val="bottom"/>
            <w:hideMark/>
          </w:tcPr>
          <w:p w14:paraId="248A96F1" w14:textId="77777777" w:rsidR="00D66BD4" w:rsidRPr="00870C52" w:rsidRDefault="00D66BD4" w:rsidP="00D66BD4">
            <w:pPr>
              <w:spacing w:after="0" w:line="240" w:lineRule="auto"/>
              <w:jc w:val="left"/>
              <w:rPr>
                <w:rFonts w:ascii="Aptos Narrow" w:hAnsi="Aptos Narrow"/>
                <w:b/>
                <w:bCs/>
                <w:noProof/>
                <w:color w:val="000000"/>
                <w:sz w:val="20"/>
                <w:lang w:eastAsia="en-IE"/>
              </w:rPr>
            </w:pPr>
            <w:r w:rsidRPr="00870C52">
              <w:rPr>
                <w:rFonts w:ascii="Aptos Narrow" w:hAnsi="Aptos Narrow"/>
                <w:b/>
                <w:bCs/>
                <w:noProof/>
                <w:color w:val="000000"/>
                <w:sz w:val="20"/>
                <w:lang w:eastAsia="en-IE"/>
              </w:rPr>
              <w:t> </w:t>
            </w:r>
          </w:p>
        </w:tc>
        <w:tc>
          <w:tcPr>
            <w:tcW w:w="1134" w:type="dxa"/>
            <w:tcBorders>
              <w:top w:val="single" w:sz="4" w:space="0" w:color="auto"/>
              <w:left w:val="single" w:sz="4" w:space="0" w:color="auto"/>
              <w:bottom w:val="nil"/>
              <w:right w:val="single" w:sz="4" w:space="0" w:color="auto"/>
            </w:tcBorders>
            <w:shd w:val="clear" w:color="000000" w:fill="E49EDD"/>
            <w:noWrap/>
            <w:vAlign w:val="bottom"/>
            <w:hideMark/>
          </w:tcPr>
          <w:p w14:paraId="73CD5D43" w14:textId="77777777" w:rsidR="00D66BD4" w:rsidRPr="00870C52" w:rsidRDefault="00D66BD4" w:rsidP="00D66BD4">
            <w:pPr>
              <w:spacing w:after="0" w:line="240" w:lineRule="auto"/>
              <w:jc w:val="lef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1989-2022</w:t>
            </w:r>
          </w:p>
        </w:tc>
        <w:tc>
          <w:tcPr>
            <w:tcW w:w="567" w:type="dxa"/>
            <w:tcBorders>
              <w:top w:val="single" w:sz="4" w:space="0" w:color="auto"/>
              <w:left w:val="nil"/>
              <w:bottom w:val="nil"/>
              <w:right w:val="single" w:sz="4" w:space="0" w:color="auto"/>
            </w:tcBorders>
            <w:shd w:val="clear" w:color="000000" w:fill="E49EDD"/>
            <w:noWrap/>
            <w:vAlign w:val="bottom"/>
            <w:hideMark/>
          </w:tcPr>
          <w:p w14:paraId="287FC425"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567" w:type="dxa"/>
            <w:tcBorders>
              <w:top w:val="single" w:sz="4" w:space="0" w:color="auto"/>
              <w:left w:val="nil"/>
              <w:bottom w:val="nil"/>
              <w:right w:val="nil"/>
            </w:tcBorders>
            <w:shd w:val="clear" w:color="000000" w:fill="E49EDD"/>
            <w:noWrap/>
            <w:vAlign w:val="bottom"/>
            <w:hideMark/>
          </w:tcPr>
          <w:p w14:paraId="489497C8"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992" w:type="dxa"/>
            <w:tcBorders>
              <w:top w:val="single" w:sz="4" w:space="0" w:color="auto"/>
              <w:left w:val="single" w:sz="4" w:space="0" w:color="auto"/>
              <w:bottom w:val="nil"/>
              <w:right w:val="single" w:sz="4" w:space="0" w:color="auto"/>
            </w:tcBorders>
            <w:shd w:val="clear" w:color="000000" w:fill="E49EDD"/>
            <w:noWrap/>
            <w:vAlign w:val="bottom"/>
            <w:hideMark/>
          </w:tcPr>
          <w:p w14:paraId="078FB36B"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850" w:type="dxa"/>
            <w:tcBorders>
              <w:top w:val="single" w:sz="4" w:space="0" w:color="auto"/>
              <w:left w:val="nil"/>
              <w:bottom w:val="nil"/>
              <w:right w:val="nil"/>
            </w:tcBorders>
            <w:shd w:val="clear" w:color="000000" w:fill="E49EDD"/>
            <w:noWrap/>
            <w:vAlign w:val="bottom"/>
            <w:hideMark/>
          </w:tcPr>
          <w:p w14:paraId="2EE2C898"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71%</w:t>
            </w:r>
          </w:p>
        </w:tc>
        <w:tc>
          <w:tcPr>
            <w:tcW w:w="681" w:type="dxa"/>
            <w:tcBorders>
              <w:top w:val="single" w:sz="4" w:space="0" w:color="auto"/>
              <w:left w:val="single" w:sz="4" w:space="0" w:color="auto"/>
              <w:bottom w:val="nil"/>
              <w:right w:val="single" w:sz="4" w:space="0" w:color="auto"/>
            </w:tcBorders>
            <w:shd w:val="clear" w:color="000000" w:fill="E49EDD"/>
            <w:noWrap/>
            <w:vAlign w:val="bottom"/>
            <w:hideMark/>
          </w:tcPr>
          <w:p w14:paraId="4D3635F3"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708" w:type="dxa"/>
            <w:tcBorders>
              <w:top w:val="single" w:sz="4" w:space="0" w:color="auto"/>
              <w:left w:val="nil"/>
              <w:bottom w:val="nil"/>
              <w:right w:val="nil"/>
            </w:tcBorders>
            <w:shd w:val="clear" w:color="000000" w:fill="E49EDD"/>
            <w:noWrap/>
            <w:vAlign w:val="bottom"/>
            <w:hideMark/>
          </w:tcPr>
          <w:p w14:paraId="33C0971A"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993" w:type="dxa"/>
            <w:tcBorders>
              <w:top w:val="single" w:sz="4" w:space="0" w:color="auto"/>
              <w:left w:val="single" w:sz="4" w:space="0" w:color="auto"/>
              <w:bottom w:val="nil"/>
              <w:right w:val="single" w:sz="4" w:space="0" w:color="auto"/>
            </w:tcBorders>
            <w:shd w:val="clear" w:color="000000" w:fill="E49EDD"/>
            <w:noWrap/>
            <w:vAlign w:val="bottom"/>
            <w:hideMark/>
          </w:tcPr>
          <w:p w14:paraId="7E718287"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w:t>
            </w:r>
          </w:p>
        </w:tc>
        <w:tc>
          <w:tcPr>
            <w:tcW w:w="853" w:type="dxa"/>
            <w:tcBorders>
              <w:top w:val="single" w:sz="4" w:space="0" w:color="auto"/>
              <w:left w:val="nil"/>
              <w:bottom w:val="nil"/>
              <w:right w:val="single" w:sz="4" w:space="0" w:color="auto"/>
            </w:tcBorders>
            <w:shd w:val="clear" w:color="000000" w:fill="E49EDD"/>
            <w:noWrap/>
            <w:vAlign w:val="bottom"/>
            <w:hideMark/>
          </w:tcPr>
          <w:p w14:paraId="63A97D30" w14:textId="77777777" w:rsidR="00D66BD4" w:rsidRPr="00870C52" w:rsidRDefault="00D66BD4" w:rsidP="00D66BD4">
            <w:pPr>
              <w:spacing w:after="0" w:line="240" w:lineRule="auto"/>
              <w:jc w:val="center"/>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91%</w:t>
            </w:r>
          </w:p>
        </w:tc>
      </w:tr>
      <w:tr w:rsidR="00495107" w:rsidRPr="00CA1602" w14:paraId="2175CAF7" w14:textId="77777777" w:rsidTr="008E1E89">
        <w:trPr>
          <w:gridAfter w:val="1"/>
          <w:wAfter w:w="10" w:type="dxa"/>
          <w:trHeight w:val="315"/>
        </w:trPr>
        <w:tc>
          <w:tcPr>
            <w:tcW w:w="1413" w:type="dxa"/>
            <w:tcBorders>
              <w:top w:val="single" w:sz="4" w:space="0" w:color="auto"/>
              <w:left w:val="single" w:sz="4" w:space="0" w:color="auto"/>
              <w:bottom w:val="nil"/>
              <w:right w:val="nil"/>
            </w:tcBorders>
            <w:shd w:val="clear" w:color="000000" w:fill="D86DCD"/>
            <w:noWrap/>
            <w:vAlign w:val="bottom"/>
            <w:hideMark/>
          </w:tcPr>
          <w:p w14:paraId="0F9CD69F" w14:textId="569476BA" w:rsidR="00D66BD4" w:rsidRPr="00870C52" w:rsidRDefault="00D66BD4" w:rsidP="00D66BD4">
            <w:pPr>
              <w:spacing w:after="0" w:line="240" w:lineRule="auto"/>
              <w:jc w:val="left"/>
              <w:rPr>
                <w:rFonts w:ascii="Aptos Narrow" w:hAnsi="Aptos Narrow"/>
                <w:b/>
                <w:bCs/>
                <w:noProof/>
                <w:color w:val="000000"/>
                <w:sz w:val="20"/>
                <w:lang w:eastAsia="en-IE"/>
              </w:rPr>
            </w:pPr>
            <w:r w:rsidRPr="00870C52">
              <w:rPr>
                <w:rFonts w:ascii="Aptos Narrow" w:hAnsi="Aptos Narrow"/>
                <w:b/>
                <w:bCs/>
                <w:noProof/>
                <w:color w:val="000000"/>
                <w:sz w:val="20"/>
                <w:lang w:eastAsia="en-IE"/>
              </w:rPr>
              <w:t>Agriculture</w:t>
            </w:r>
            <w:r w:rsidR="006B7EF2">
              <w:rPr>
                <w:rFonts w:ascii="Aptos Narrow" w:hAnsi="Aptos Narrow"/>
                <w:b/>
                <w:bCs/>
                <w:noProof/>
                <w:color w:val="000000"/>
                <w:sz w:val="20"/>
                <w:lang w:eastAsia="en-IE"/>
              </w:rPr>
              <w:t>**</w:t>
            </w:r>
          </w:p>
        </w:tc>
        <w:tc>
          <w:tcPr>
            <w:tcW w:w="1134" w:type="dxa"/>
            <w:tcBorders>
              <w:top w:val="single" w:sz="4" w:space="0" w:color="auto"/>
              <w:left w:val="single" w:sz="4" w:space="0" w:color="auto"/>
              <w:bottom w:val="nil"/>
              <w:right w:val="single" w:sz="4" w:space="0" w:color="auto"/>
            </w:tcBorders>
            <w:shd w:val="clear" w:color="000000" w:fill="D86DCD"/>
            <w:noWrap/>
            <w:vAlign w:val="bottom"/>
            <w:hideMark/>
          </w:tcPr>
          <w:p w14:paraId="0EE25D38" w14:textId="1BB7850C" w:rsidR="00D66BD4" w:rsidRPr="00870C52" w:rsidRDefault="00352C32" w:rsidP="00D66BD4">
            <w:pPr>
              <w:spacing w:after="0" w:line="240" w:lineRule="auto"/>
              <w:jc w:val="left"/>
              <w:rPr>
                <w:rFonts w:ascii="Aptos Narrow" w:hAnsi="Aptos Narrow"/>
                <w:noProof/>
                <w:color w:val="000000"/>
                <w:sz w:val="16"/>
                <w:szCs w:val="16"/>
                <w:lang w:eastAsia="en-IE"/>
              </w:rPr>
            </w:pPr>
            <w:r w:rsidRPr="00870C52">
              <w:rPr>
                <w:rFonts w:ascii="Aptos Narrow" w:hAnsi="Aptos Narrow"/>
                <w:b/>
                <w:bCs/>
                <w:noProof/>
                <w:color w:val="000000"/>
                <w:sz w:val="16"/>
                <w:szCs w:val="16"/>
                <w:lang w:eastAsia="en-IE"/>
              </w:rPr>
              <w:t>2015-2025</w:t>
            </w:r>
            <w:r w:rsidR="00D66BD4" w:rsidRPr="00870C52">
              <w:rPr>
                <w:rFonts w:ascii="Aptos Narrow" w:hAnsi="Aptos Narrow"/>
                <w:noProof/>
                <w:color w:val="000000"/>
                <w:sz w:val="16"/>
                <w:szCs w:val="16"/>
                <w:lang w:eastAsia="en-IE"/>
              </w:rPr>
              <w:t> </w:t>
            </w:r>
          </w:p>
        </w:tc>
        <w:tc>
          <w:tcPr>
            <w:tcW w:w="567" w:type="dxa"/>
            <w:tcBorders>
              <w:top w:val="single" w:sz="4" w:space="0" w:color="auto"/>
              <w:left w:val="nil"/>
              <w:bottom w:val="nil"/>
              <w:right w:val="single" w:sz="4" w:space="0" w:color="auto"/>
            </w:tcBorders>
            <w:shd w:val="clear" w:color="000000" w:fill="D86DCD"/>
            <w:noWrap/>
            <w:vAlign w:val="bottom"/>
            <w:hideMark/>
          </w:tcPr>
          <w:p w14:paraId="1D1EDD73" w14:textId="7BFFE0D9" w:rsidR="00D66BD4" w:rsidRPr="00870C52" w:rsidRDefault="006A3F73"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274</w:t>
            </w:r>
          </w:p>
        </w:tc>
        <w:tc>
          <w:tcPr>
            <w:tcW w:w="567" w:type="dxa"/>
            <w:tcBorders>
              <w:top w:val="single" w:sz="4" w:space="0" w:color="auto"/>
              <w:left w:val="nil"/>
              <w:bottom w:val="nil"/>
              <w:right w:val="nil"/>
            </w:tcBorders>
            <w:shd w:val="clear" w:color="000000" w:fill="D86DCD"/>
            <w:noWrap/>
            <w:vAlign w:val="bottom"/>
            <w:hideMark/>
          </w:tcPr>
          <w:p w14:paraId="44224FC8" w14:textId="2261CC3C" w:rsidR="00D66BD4" w:rsidRPr="00870C52" w:rsidRDefault="006A3F73"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10%</w:t>
            </w:r>
          </w:p>
        </w:tc>
        <w:tc>
          <w:tcPr>
            <w:tcW w:w="992" w:type="dxa"/>
            <w:tcBorders>
              <w:top w:val="single" w:sz="4" w:space="0" w:color="auto"/>
              <w:left w:val="single" w:sz="4" w:space="0" w:color="auto"/>
              <w:bottom w:val="nil"/>
              <w:right w:val="single" w:sz="4" w:space="0" w:color="auto"/>
            </w:tcBorders>
            <w:shd w:val="clear" w:color="000000" w:fill="D86DCD"/>
            <w:noWrap/>
            <w:vAlign w:val="bottom"/>
            <w:hideMark/>
          </w:tcPr>
          <w:p w14:paraId="735B7EAD" w14:textId="1CE4E6C0" w:rsidR="00D66BD4" w:rsidRPr="00870C52" w:rsidRDefault="006A3F73"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17.7</w:t>
            </w:r>
          </w:p>
        </w:tc>
        <w:tc>
          <w:tcPr>
            <w:tcW w:w="850" w:type="dxa"/>
            <w:tcBorders>
              <w:top w:val="single" w:sz="4" w:space="0" w:color="auto"/>
              <w:left w:val="nil"/>
              <w:bottom w:val="nil"/>
              <w:right w:val="nil"/>
            </w:tcBorders>
            <w:shd w:val="clear" w:color="000000" w:fill="D86DCD"/>
            <w:noWrap/>
            <w:vAlign w:val="bottom"/>
            <w:hideMark/>
          </w:tcPr>
          <w:p w14:paraId="18179694" w14:textId="14751C22" w:rsidR="00D66BD4" w:rsidRPr="00870C52" w:rsidRDefault="00181B12"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54%</w:t>
            </w:r>
          </w:p>
        </w:tc>
        <w:tc>
          <w:tcPr>
            <w:tcW w:w="681" w:type="dxa"/>
            <w:tcBorders>
              <w:top w:val="single" w:sz="4" w:space="0" w:color="auto"/>
              <w:left w:val="single" w:sz="4" w:space="0" w:color="auto"/>
              <w:bottom w:val="nil"/>
              <w:right w:val="single" w:sz="4" w:space="0" w:color="auto"/>
            </w:tcBorders>
            <w:shd w:val="clear" w:color="000000" w:fill="D86DCD"/>
            <w:noWrap/>
            <w:vAlign w:val="bottom"/>
            <w:hideMark/>
          </w:tcPr>
          <w:p w14:paraId="5BF87C9D" w14:textId="6BC509A8" w:rsidR="00D66BD4" w:rsidRPr="00870C52" w:rsidRDefault="00181B12"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12 397</w:t>
            </w:r>
          </w:p>
        </w:tc>
        <w:tc>
          <w:tcPr>
            <w:tcW w:w="708" w:type="dxa"/>
            <w:tcBorders>
              <w:top w:val="single" w:sz="4" w:space="0" w:color="auto"/>
              <w:left w:val="nil"/>
              <w:bottom w:val="nil"/>
              <w:right w:val="nil"/>
            </w:tcBorders>
            <w:shd w:val="clear" w:color="000000" w:fill="D86DCD"/>
            <w:noWrap/>
            <w:vAlign w:val="bottom"/>
            <w:hideMark/>
          </w:tcPr>
          <w:p w14:paraId="66D16C7F" w14:textId="011072E9" w:rsidR="00D66BD4" w:rsidRPr="00870C52" w:rsidRDefault="00181B12"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37%</w:t>
            </w:r>
          </w:p>
        </w:tc>
        <w:tc>
          <w:tcPr>
            <w:tcW w:w="993" w:type="dxa"/>
            <w:tcBorders>
              <w:top w:val="single" w:sz="4" w:space="0" w:color="auto"/>
              <w:left w:val="single" w:sz="4" w:space="0" w:color="auto"/>
              <w:bottom w:val="nil"/>
              <w:right w:val="single" w:sz="4" w:space="0" w:color="auto"/>
            </w:tcBorders>
            <w:shd w:val="clear" w:color="000000" w:fill="D86DCD"/>
            <w:noWrap/>
            <w:vAlign w:val="bottom"/>
            <w:hideMark/>
          </w:tcPr>
          <w:p w14:paraId="0B3C3FB2" w14:textId="6F15184D" w:rsidR="00D66BD4" w:rsidRPr="00870C52" w:rsidRDefault="00181B12"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560.9</w:t>
            </w:r>
          </w:p>
        </w:tc>
        <w:tc>
          <w:tcPr>
            <w:tcW w:w="853" w:type="dxa"/>
            <w:tcBorders>
              <w:top w:val="single" w:sz="4" w:space="0" w:color="auto"/>
              <w:left w:val="nil"/>
              <w:bottom w:val="nil"/>
              <w:right w:val="single" w:sz="4" w:space="0" w:color="auto"/>
            </w:tcBorders>
            <w:shd w:val="clear" w:color="000000" w:fill="D86DCD"/>
            <w:noWrap/>
            <w:vAlign w:val="bottom"/>
            <w:hideMark/>
          </w:tcPr>
          <w:p w14:paraId="2164574C" w14:textId="17524301" w:rsidR="00D66BD4" w:rsidRPr="00870C52" w:rsidRDefault="00F1566A" w:rsidP="00D66BD4">
            <w:pPr>
              <w:spacing w:after="0" w:line="240" w:lineRule="auto"/>
              <w:jc w:val="center"/>
              <w:rPr>
                <w:rFonts w:ascii="Aptos Narrow" w:hAnsi="Aptos Narrow"/>
                <w:b/>
                <w:bCs/>
                <w:noProof/>
                <w:color w:val="000000"/>
                <w:sz w:val="16"/>
                <w:szCs w:val="16"/>
                <w:lang w:eastAsia="en-IE"/>
              </w:rPr>
            </w:pPr>
            <w:r>
              <w:rPr>
                <w:rFonts w:ascii="Aptos Narrow" w:hAnsi="Aptos Narrow"/>
                <w:b/>
                <w:bCs/>
                <w:noProof/>
                <w:color w:val="000000"/>
                <w:sz w:val="16"/>
                <w:szCs w:val="16"/>
                <w:lang w:eastAsia="en-IE"/>
              </w:rPr>
              <w:t>91%</w:t>
            </w:r>
          </w:p>
        </w:tc>
      </w:tr>
      <w:tr w:rsidR="00495107" w:rsidRPr="00CA1602" w14:paraId="3D3E079B" w14:textId="77777777" w:rsidTr="008E1E89">
        <w:trPr>
          <w:gridAfter w:val="1"/>
          <w:wAfter w:w="10" w:type="dxa"/>
          <w:trHeight w:val="300"/>
        </w:trPr>
        <w:tc>
          <w:tcPr>
            <w:tcW w:w="1413" w:type="dxa"/>
            <w:tcBorders>
              <w:top w:val="nil"/>
              <w:left w:val="single" w:sz="4" w:space="0" w:color="auto"/>
              <w:bottom w:val="nil"/>
              <w:right w:val="nil"/>
            </w:tcBorders>
            <w:shd w:val="clear" w:color="000000" w:fill="FFFFFF"/>
            <w:noWrap/>
            <w:vAlign w:val="center"/>
            <w:hideMark/>
          </w:tcPr>
          <w:p w14:paraId="3EF81CBA" w14:textId="77777777" w:rsidR="00D66BD4" w:rsidRPr="00870C52" w:rsidRDefault="00D66BD4" w:rsidP="00D66BD4">
            <w:pPr>
              <w:spacing w:after="0" w:line="240" w:lineRule="auto"/>
              <w:ind w:firstLineChars="100" w:firstLine="200"/>
              <w:jc w:val="left"/>
              <w:rPr>
                <w:rFonts w:ascii="Aptos Narrow" w:hAnsi="Aptos Narrow"/>
                <w:noProof/>
                <w:color w:val="000000"/>
                <w:sz w:val="20"/>
                <w:lang w:eastAsia="en-IE"/>
              </w:rPr>
            </w:pPr>
            <w:r w:rsidRPr="00870C52">
              <w:rPr>
                <w:rFonts w:ascii="Aptos Narrow" w:hAnsi="Aptos Narrow"/>
                <w:noProof/>
                <w:color w:val="000000"/>
                <w:sz w:val="20"/>
                <w:lang w:eastAsia="en-IE"/>
              </w:rPr>
              <w:t>Rural development</w:t>
            </w:r>
          </w:p>
        </w:tc>
        <w:tc>
          <w:tcPr>
            <w:tcW w:w="1134" w:type="dxa"/>
            <w:tcBorders>
              <w:top w:val="nil"/>
              <w:left w:val="single" w:sz="4" w:space="0" w:color="auto"/>
              <w:bottom w:val="nil"/>
              <w:right w:val="single" w:sz="4" w:space="0" w:color="auto"/>
            </w:tcBorders>
            <w:shd w:val="clear" w:color="000000" w:fill="FFFFFF"/>
            <w:noWrap/>
            <w:vAlign w:val="bottom"/>
            <w:hideMark/>
          </w:tcPr>
          <w:p w14:paraId="4F72F1D9" w14:textId="77777777" w:rsidR="00D66BD4" w:rsidRPr="00870C52" w:rsidRDefault="00D66BD4" w:rsidP="00D66BD4">
            <w:pPr>
              <w:spacing w:after="0" w:line="240" w:lineRule="auto"/>
              <w:jc w:val="lef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2015-2025</w:t>
            </w:r>
          </w:p>
        </w:tc>
        <w:tc>
          <w:tcPr>
            <w:tcW w:w="567" w:type="dxa"/>
            <w:tcBorders>
              <w:top w:val="nil"/>
              <w:left w:val="nil"/>
              <w:bottom w:val="nil"/>
              <w:right w:val="single" w:sz="4" w:space="0" w:color="auto"/>
            </w:tcBorders>
            <w:shd w:val="clear" w:color="000000" w:fill="FFFFFF"/>
            <w:noWrap/>
            <w:vAlign w:val="bottom"/>
            <w:hideMark/>
          </w:tcPr>
          <w:p w14:paraId="07B4E95A" w14:textId="77777777"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174</w:t>
            </w:r>
          </w:p>
        </w:tc>
        <w:tc>
          <w:tcPr>
            <w:tcW w:w="567" w:type="dxa"/>
            <w:tcBorders>
              <w:top w:val="nil"/>
              <w:left w:val="nil"/>
              <w:bottom w:val="nil"/>
              <w:right w:val="nil"/>
            </w:tcBorders>
            <w:shd w:val="clear" w:color="000000" w:fill="FFFFFF"/>
            <w:noWrap/>
            <w:vAlign w:val="bottom"/>
            <w:hideMark/>
          </w:tcPr>
          <w:p w14:paraId="4268DB2A" w14:textId="49E13423"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14%</w:t>
            </w:r>
          </w:p>
        </w:tc>
        <w:tc>
          <w:tcPr>
            <w:tcW w:w="992" w:type="dxa"/>
            <w:tcBorders>
              <w:top w:val="nil"/>
              <w:left w:val="single" w:sz="4" w:space="0" w:color="auto"/>
              <w:bottom w:val="nil"/>
              <w:right w:val="single" w:sz="4" w:space="0" w:color="auto"/>
            </w:tcBorders>
            <w:shd w:val="clear" w:color="000000" w:fill="FFFFFF"/>
            <w:noWrap/>
            <w:vAlign w:val="bottom"/>
            <w:hideMark/>
          </w:tcPr>
          <w:p w14:paraId="4BACC04F" w14:textId="77777777"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12.0</w:t>
            </w:r>
          </w:p>
        </w:tc>
        <w:tc>
          <w:tcPr>
            <w:tcW w:w="850" w:type="dxa"/>
            <w:tcBorders>
              <w:top w:val="nil"/>
              <w:left w:val="nil"/>
              <w:bottom w:val="nil"/>
              <w:right w:val="nil"/>
            </w:tcBorders>
            <w:shd w:val="clear" w:color="000000" w:fill="FFFFFF"/>
            <w:noWrap/>
            <w:vAlign w:val="bottom"/>
            <w:hideMark/>
          </w:tcPr>
          <w:p w14:paraId="3D5A7FAD" w14:textId="5F99F416"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81%</w:t>
            </w:r>
          </w:p>
        </w:tc>
        <w:tc>
          <w:tcPr>
            <w:tcW w:w="681" w:type="dxa"/>
            <w:tcBorders>
              <w:top w:val="nil"/>
              <w:left w:val="single" w:sz="4" w:space="0" w:color="auto"/>
              <w:bottom w:val="nil"/>
              <w:right w:val="single" w:sz="4" w:space="0" w:color="auto"/>
            </w:tcBorders>
            <w:shd w:val="clear" w:color="000000" w:fill="FFFFFF"/>
            <w:noWrap/>
            <w:vAlign w:val="bottom"/>
            <w:hideMark/>
          </w:tcPr>
          <w:p w14:paraId="53E0D5AE" w14:textId="2E5D58E4"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8</w:t>
            </w:r>
            <w:r w:rsidR="00F53DB5">
              <w:rPr>
                <w:rFonts w:ascii="Aptos Narrow" w:hAnsi="Aptos Narrow"/>
                <w:noProof/>
                <w:color w:val="000000"/>
                <w:sz w:val="16"/>
                <w:szCs w:val="16"/>
                <w:lang w:eastAsia="en-IE"/>
              </w:rPr>
              <w:t> </w:t>
            </w:r>
            <w:r w:rsidRPr="00870C52">
              <w:rPr>
                <w:rFonts w:ascii="Aptos Narrow" w:hAnsi="Aptos Narrow"/>
                <w:noProof/>
                <w:color w:val="000000"/>
                <w:sz w:val="16"/>
                <w:szCs w:val="16"/>
                <w:lang w:eastAsia="en-IE"/>
              </w:rPr>
              <w:t>532</w:t>
            </w:r>
          </w:p>
        </w:tc>
        <w:tc>
          <w:tcPr>
            <w:tcW w:w="708" w:type="dxa"/>
            <w:tcBorders>
              <w:top w:val="nil"/>
              <w:left w:val="nil"/>
              <w:bottom w:val="nil"/>
              <w:right w:val="nil"/>
            </w:tcBorders>
            <w:shd w:val="clear" w:color="000000" w:fill="FFFFFF"/>
            <w:noWrap/>
            <w:vAlign w:val="bottom"/>
            <w:hideMark/>
          </w:tcPr>
          <w:p w14:paraId="73725923" w14:textId="3035D3DF"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35%</w:t>
            </w:r>
          </w:p>
        </w:tc>
        <w:tc>
          <w:tcPr>
            <w:tcW w:w="993" w:type="dxa"/>
            <w:tcBorders>
              <w:top w:val="nil"/>
              <w:left w:val="single" w:sz="4" w:space="0" w:color="auto"/>
              <w:bottom w:val="nil"/>
              <w:right w:val="single" w:sz="4" w:space="0" w:color="auto"/>
            </w:tcBorders>
            <w:shd w:val="clear" w:color="000000" w:fill="FFFFFF"/>
            <w:noWrap/>
            <w:vAlign w:val="bottom"/>
            <w:hideMark/>
          </w:tcPr>
          <w:p w14:paraId="04D28742" w14:textId="77777777"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387.3</w:t>
            </w:r>
          </w:p>
        </w:tc>
        <w:tc>
          <w:tcPr>
            <w:tcW w:w="853" w:type="dxa"/>
            <w:tcBorders>
              <w:top w:val="nil"/>
              <w:left w:val="nil"/>
              <w:bottom w:val="nil"/>
              <w:right w:val="single" w:sz="4" w:space="0" w:color="auto"/>
            </w:tcBorders>
            <w:shd w:val="clear" w:color="000000" w:fill="FFFFFF"/>
            <w:noWrap/>
            <w:vAlign w:val="bottom"/>
            <w:hideMark/>
          </w:tcPr>
          <w:p w14:paraId="1B9BA60D" w14:textId="1C0DF0B9"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91%</w:t>
            </w:r>
          </w:p>
        </w:tc>
      </w:tr>
      <w:tr w:rsidR="00495107" w:rsidRPr="00CA1602" w14:paraId="6E5C7A3F" w14:textId="77777777" w:rsidTr="008E1E89">
        <w:trPr>
          <w:gridAfter w:val="1"/>
          <w:wAfter w:w="10" w:type="dxa"/>
          <w:trHeight w:val="300"/>
        </w:trPr>
        <w:tc>
          <w:tcPr>
            <w:tcW w:w="1413" w:type="dxa"/>
            <w:tcBorders>
              <w:top w:val="nil"/>
              <w:left w:val="single" w:sz="4" w:space="0" w:color="auto"/>
              <w:bottom w:val="nil"/>
              <w:right w:val="nil"/>
            </w:tcBorders>
            <w:shd w:val="clear" w:color="000000" w:fill="FFFFFF"/>
            <w:noWrap/>
            <w:vAlign w:val="center"/>
            <w:hideMark/>
          </w:tcPr>
          <w:p w14:paraId="0FB698B5" w14:textId="77777777" w:rsidR="00D66BD4" w:rsidRPr="00870C52" w:rsidRDefault="00D66BD4" w:rsidP="00D66BD4">
            <w:pPr>
              <w:spacing w:after="0" w:line="240" w:lineRule="auto"/>
              <w:ind w:firstLineChars="100" w:firstLine="200"/>
              <w:jc w:val="left"/>
              <w:rPr>
                <w:rFonts w:ascii="Aptos Narrow" w:hAnsi="Aptos Narrow"/>
                <w:noProof/>
                <w:color w:val="000000"/>
                <w:sz w:val="20"/>
                <w:lang w:eastAsia="en-IE"/>
              </w:rPr>
            </w:pPr>
            <w:r w:rsidRPr="00870C52">
              <w:rPr>
                <w:rFonts w:ascii="Aptos Narrow" w:hAnsi="Aptos Narrow"/>
                <w:noProof/>
                <w:color w:val="000000"/>
                <w:sz w:val="20"/>
                <w:lang w:eastAsia="en-IE"/>
              </w:rPr>
              <w:t>Support to agriculture</w:t>
            </w:r>
          </w:p>
        </w:tc>
        <w:tc>
          <w:tcPr>
            <w:tcW w:w="1134" w:type="dxa"/>
            <w:tcBorders>
              <w:top w:val="nil"/>
              <w:left w:val="single" w:sz="4" w:space="0" w:color="auto"/>
              <w:bottom w:val="nil"/>
              <w:right w:val="single" w:sz="4" w:space="0" w:color="auto"/>
            </w:tcBorders>
            <w:shd w:val="clear" w:color="000000" w:fill="FFFFFF"/>
            <w:noWrap/>
            <w:vAlign w:val="bottom"/>
            <w:hideMark/>
          </w:tcPr>
          <w:p w14:paraId="6B0D1199" w14:textId="77777777" w:rsidR="00D66BD4" w:rsidRPr="00870C52" w:rsidRDefault="00D66BD4" w:rsidP="00D66BD4">
            <w:pPr>
              <w:spacing w:after="0" w:line="240" w:lineRule="auto"/>
              <w:jc w:val="lef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2015-2025</w:t>
            </w:r>
          </w:p>
        </w:tc>
        <w:tc>
          <w:tcPr>
            <w:tcW w:w="567" w:type="dxa"/>
            <w:tcBorders>
              <w:top w:val="nil"/>
              <w:left w:val="nil"/>
              <w:bottom w:val="nil"/>
              <w:right w:val="single" w:sz="4" w:space="0" w:color="auto"/>
            </w:tcBorders>
            <w:shd w:val="clear" w:color="000000" w:fill="FFFFFF"/>
            <w:noWrap/>
            <w:vAlign w:val="bottom"/>
            <w:hideMark/>
          </w:tcPr>
          <w:p w14:paraId="6F68FD1C" w14:textId="77777777"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100</w:t>
            </w:r>
          </w:p>
        </w:tc>
        <w:tc>
          <w:tcPr>
            <w:tcW w:w="567" w:type="dxa"/>
            <w:tcBorders>
              <w:top w:val="nil"/>
              <w:left w:val="nil"/>
              <w:bottom w:val="nil"/>
              <w:right w:val="nil"/>
            </w:tcBorders>
            <w:shd w:val="clear" w:color="000000" w:fill="FFFFFF"/>
            <w:noWrap/>
            <w:vAlign w:val="bottom"/>
            <w:hideMark/>
          </w:tcPr>
          <w:p w14:paraId="29C315FB" w14:textId="5DD8B376"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7%</w:t>
            </w:r>
          </w:p>
        </w:tc>
        <w:tc>
          <w:tcPr>
            <w:tcW w:w="992" w:type="dxa"/>
            <w:tcBorders>
              <w:top w:val="nil"/>
              <w:left w:val="single" w:sz="4" w:space="0" w:color="auto"/>
              <w:bottom w:val="nil"/>
              <w:right w:val="single" w:sz="4" w:space="0" w:color="auto"/>
            </w:tcBorders>
            <w:shd w:val="clear" w:color="000000" w:fill="FFFFFF"/>
            <w:noWrap/>
            <w:vAlign w:val="bottom"/>
            <w:hideMark/>
          </w:tcPr>
          <w:p w14:paraId="3C2F0CEF" w14:textId="77777777"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5.7</w:t>
            </w:r>
          </w:p>
        </w:tc>
        <w:tc>
          <w:tcPr>
            <w:tcW w:w="850" w:type="dxa"/>
            <w:tcBorders>
              <w:top w:val="nil"/>
              <w:left w:val="nil"/>
              <w:bottom w:val="nil"/>
              <w:right w:val="nil"/>
            </w:tcBorders>
            <w:shd w:val="clear" w:color="000000" w:fill="FFFFFF"/>
            <w:noWrap/>
            <w:vAlign w:val="bottom"/>
            <w:hideMark/>
          </w:tcPr>
          <w:p w14:paraId="741002FD" w14:textId="35C3840A" w:rsidR="00D66BD4" w:rsidRPr="00870C52" w:rsidRDefault="0027395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3</w:t>
            </w:r>
            <w:r>
              <w:rPr>
                <w:rFonts w:ascii="Aptos Narrow" w:hAnsi="Aptos Narrow"/>
                <w:noProof/>
                <w:color w:val="000000"/>
                <w:sz w:val="16"/>
                <w:szCs w:val="16"/>
                <w:lang w:eastAsia="en-IE"/>
              </w:rPr>
              <w:t>2</w:t>
            </w:r>
            <w:r w:rsidR="00D66BD4" w:rsidRPr="00870C52">
              <w:rPr>
                <w:rFonts w:ascii="Aptos Narrow" w:hAnsi="Aptos Narrow"/>
                <w:noProof/>
                <w:color w:val="000000"/>
                <w:sz w:val="16"/>
                <w:szCs w:val="16"/>
                <w:lang w:eastAsia="en-IE"/>
              </w:rPr>
              <w:t>%</w:t>
            </w:r>
          </w:p>
        </w:tc>
        <w:tc>
          <w:tcPr>
            <w:tcW w:w="681" w:type="dxa"/>
            <w:tcBorders>
              <w:top w:val="nil"/>
              <w:left w:val="single" w:sz="4" w:space="0" w:color="auto"/>
              <w:bottom w:val="nil"/>
              <w:right w:val="single" w:sz="4" w:space="0" w:color="auto"/>
            </w:tcBorders>
            <w:shd w:val="clear" w:color="000000" w:fill="FFFFFF"/>
            <w:noWrap/>
            <w:vAlign w:val="bottom"/>
            <w:hideMark/>
          </w:tcPr>
          <w:p w14:paraId="254F9FC5" w14:textId="4E27DE19"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3</w:t>
            </w:r>
            <w:r w:rsidR="00F53DB5">
              <w:rPr>
                <w:rFonts w:ascii="Aptos Narrow" w:hAnsi="Aptos Narrow"/>
                <w:noProof/>
                <w:color w:val="000000"/>
                <w:sz w:val="16"/>
                <w:szCs w:val="16"/>
                <w:lang w:eastAsia="en-IE"/>
              </w:rPr>
              <w:t> </w:t>
            </w:r>
            <w:r w:rsidRPr="00870C52">
              <w:rPr>
                <w:rFonts w:ascii="Aptos Narrow" w:hAnsi="Aptos Narrow"/>
                <w:noProof/>
                <w:color w:val="000000"/>
                <w:sz w:val="16"/>
                <w:szCs w:val="16"/>
                <w:lang w:eastAsia="en-IE"/>
              </w:rPr>
              <w:t>865</w:t>
            </w:r>
          </w:p>
        </w:tc>
        <w:tc>
          <w:tcPr>
            <w:tcW w:w="708" w:type="dxa"/>
            <w:tcBorders>
              <w:top w:val="nil"/>
              <w:left w:val="nil"/>
              <w:bottom w:val="nil"/>
              <w:right w:val="nil"/>
            </w:tcBorders>
            <w:shd w:val="clear" w:color="000000" w:fill="FFFFFF"/>
            <w:noWrap/>
            <w:vAlign w:val="bottom"/>
            <w:hideMark/>
          </w:tcPr>
          <w:p w14:paraId="7AB105C8" w14:textId="28AD40A9"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44%</w:t>
            </w:r>
          </w:p>
        </w:tc>
        <w:tc>
          <w:tcPr>
            <w:tcW w:w="993" w:type="dxa"/>
            <w:tcBorders>
              <w:top w:val="nil"/>
              <w:left w:val="single" w:sz="4" w:space="0" w:color="auto"/>
              <w:bottom w:val="nil"/>
              <w:right w:val="single" w:sz="4" w:space="0" w:color="auto"/>
            </w:tcBorders>
            <w:shd w:val="clear" w:color="000000" w:fill="FFFFFF"/>
            <w:noWrap/>
            <w:vAlign w:val="bottom"/>
            <w:hideMark/>
          </w:tcPr>
          <w:p w14:paraId="7437B2DA" w14:textId="77777777"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173.6</w:t>
            </w:r>
          </w:p>
        </w:tc>
        <w:tc>
          <w:tcPr>
            <w:tcW w:w="853" w:type="dxa"/>
            <w:tcBorders>
              <w:top w:val="nil"/>
              <w:left w:val="nil"/>
              <w:bottom w:val="nil"/>
              <w:right w:val="single" w:sz="4" w:space="0" w:color="auto"/>
            </w:tcBorders>
            <w:shd w:val="clear" w:color="000000" w:fill="FFFFFF"/>
            <w:noWrap/>
            <w:vAlign w:val="bottom"/>
            <w:hideMark/>
          </w:tcPr>
          <w:p w14:paraId="17D5564D" w14:textId="199662BF" w:rsidR="00D66BD4" w:rsidRPr="00870C52" w:rsidRDefault="00D66BD4" w:rsidP="00D66BD4">
            <w:pPr>
              <w:spacing w:after="0" w:line="240" w:lineRule="auto"/>
              <w:jc w:val="right"/>
              <w:rPr>
                <w:rFonts w:ascii="Aptos Narrow" w:hAnsi="Aptos Narrow"/>
                <w:noProof/>
                <w:color w:val="000000"/>
                <w:sz w:val="16"/>
                <w:szCs w:val="16"/>
                <w:lang w:eastAsia="en-IE"/>
              </w:rPr>
            </w:pPr>
            <w:r w:rsidRPr="00870C52">
              <w:rPr>
                <w:rFonts w:ascii="Aptos Narrow" w:hAnsi="Aptos Narrow"/>
                <w:noProof/>
                <w:color w:val="000000"/>
                <w:sz w:val="16"/>
                <w:szCs w:val="16"/>
                <w:lang w:eastAsia="en-IE"/>
              </w:rPr>
              <w:t>9</w:t>
            </w:r>
            <w:r w:rsidR="00163645">
              <w:rPr>
                <w:rFonts w:ascii="Aptos Narrow" w:hAnsi="Aptos Narrow"/>
                <w:noProof/>
                <w:color w:val="000000"/>
                <w:sz w:val="16"/>
                <w:szCs w:val="16"/>
                <w:lang w:eastAsia="en-IE"/>
              </w:rPr>
              <w:t>2</w:t>
            </w:r>
            <w:r w:rsidRPr="00870C52">
              <w:rPr>
                <w:rFonts w:ascii="Aptos Narrow" w:hAnsi="Aptos Narrow"/>
                <w:noProof/>
                <w:color w:val="000000"/>
                <w:sz w:val="16"/>
                <w:szCs w:val="16"/>
                <w:lang w:eastAsia="en-IE"/>
              </w:rPr>
              <w:t>%</w:t>
            </w:r>
          </w:p>
        </w:tc>
      </w:tr>
      <w:tr w:rsidR="00495107" w:rsidRPr="00CA1602" w14:paraId="1F0C214C" w14:textId="77777777" w:rsidTr="008E1E89">
        <w:trPr>
          <w:gridAfter w:val="1"/>
          <w:wAfter w:w="10" w:type="dxa"/>
          <w:trHeight w:val="315"/>
        </w:trPr>
        <w:tc>
          <w:tcPr>
            <w:tcW w:w="1413" w:type="dxa"/>
            <w:tcBorders>
              <w:top w:val="nil"/>
              <w:left w:val="single" w:sz="4" w:space="0" w:color="auto"/>
              <w:bottom w:val="single" w:sz="4" w:space="0" w:color="auto"/>
              <w:right w:val="nil"/>
            </w:tcBorders>
            <w:shd w:val="clear" w:color="000000" w:fill="D86DCD"/>
            <w:noWrap/>
            <w:vAlign w:val="bottom"/>
            <w:hideMark/>
          </w:tcPr>
          <w:p w14:paraId="6CCABE84" w14:textId="47730407" w:rsidR="00D66BD4" w:rsidRPr="00870C52" w:rsidRDefault="00D66BD4" w:rsidP="00D66BD4">
            <w:pPr>
              <w:spacing w:after="0" w:line="240" w:lineRule="auto"/>
              <w:jc w:val="left"/>
              <w:rPr>
                <w:rFonts w:ascii="Aptos Narrow" w:hAnsi="Aptos Narrow"/>
                <w:b/>
                <w:bCs/>
                <w:noProof/>
                <w:color w:val="000000"/>
                <w:sz w:val="20"/>
                <w:lang w:eastAsia="en-IE"/>
              </w:rPr>
            </w:pPr>
            <w:r w:rsidRPr="00870C52">
              <w:rPr>
                <w:rFonts w:ascii="Aptos Narrow" w:hAnsi="Aptos Narrow"/>
                <w:b/>
                <w:bCs/>
                <w:noProof/>
                <w:color w:val="000000"/>
                <w:sz w:val="20"/>
                <w:lang w:eastAsia="en-IE"/>
              </w:rPr>
              <w:t>Cohesion and fisheries</w:t>
            </w:r>
            <w:r w:rsidR="002E4C64">
              <w:rPr>
                <w:rFonts w:ascii="Aptos Narrow" w:hAnsi="Aptos Narrow"/>
                <w:b/>
                <w:bCs/>
                <w:noProof/>
                <w:color w:val="000000"/>
                <w:sz w:val="20"/>
                <w:lang w:eastAsia="en-IE"/>
              </w:rPr>
              <w:t>***</w:t>
            </w:r>
          </w:p>
        </w:tc>
        <w:tc>
          <w:tcPr>
            <w:tcW w:w="1134" w:type="dxa"/>
            <w:tcBorders>
              <w:top w:val="nil"/>
              <w:left w:val="single" w:sz="4" w:space="0" w:color="auto"/>
              <w:bottom w:val="single" w:sz="4" w:space="0" w:color="auto"/>
              <w:right w:val="single" w:sz="4" w:space="0" w:color="auto"/>
            </w:tcBorders>
            <w:shd w:val="clear" w:color="000000" w:fill="D86DCD"/>
            <w:noWrap/>
            <w:vAlign w:val="bottom"/>
            <w:hideMark/>
          </w:tcPr>
          <w:p w14:paraId="38FBC311" w14:textId="77777777" w:rsidR="00D66BD4" w:rsidRPr="00870C52" w:rsidRDefault="00D66BD4" w:rsidP="00D66BD4">
            <w:pPr>
              <w:spacing w:after="0" w:line="240" w:lineRule="auto"/>
              <w:jc w:val="lef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2015-2025</w:t>
            </w:r>
          </w:p>
        </w:tc>
        <w:tc>
          <w:tcPr>
            <w:tcW w:w="567" w:type="dxa"/>
            <w:tcBorders>
              <w:top w:val="nil"/>
              <w:left w:val="nil"/>
              <w:bottom w:val="single" w:sz="4" w:space="0" w:color="auto"/>
              <w:right w:val="single" w:sz="4" w:space="0" w:color="auto"/>
            </w:tcBorders>
            <w:shd w:val="clear" w:color="000000" w:fill="D86DCD"/>
            <w:noWrap/>
            <w:vAlign w:val="bottom"/>
            <w:hideMark/>
          </w:tcPr>
          <w:p w14:paraId="2D77396B" w14:textId="77777777" w:rsidR="00D66BD4" w:rsidRPr="00870C52" w:rsidRDefault="00D66BD4"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430</w:t>
            </w:r>
          </w:p>
        </w:tc>
        <w:tc>
          <w:tcPr>
            <w:tcW w:w="567" w:type="dxa"/>
            <w:tcBorders>
              <w:top w:val="nil"/>
              <w:left w:val="nil"/>
              <w:bottom w:val="single" w:sz="4" w:space="0" w:color="auto"/>
              <w:right w:val="nil"/>
            </w:tcBorders>
            <w:shd w:val="clear" w:color="000000" w:fill="D86DCD"/>
            <w:noWrap/>
            <w:vAlign w:val="bottom"/>
            <w:hideMark/>
          </w:tcPr>
          <w:p w14:paraId="51E29A55" w14:textId="77777777" w:rsidR="00D66BD4" w:rsidRPr="00870C52" w:rsidRDefault="00D66BD4"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19%</w:t>
            </w:r>
          </w:p>
        </w:tc>
        <w:tc>
          <w:tcPr>
            <w:tcW w:w="992" w:type="dxa"/>
            <w:tcBorders>
              <w:top w:val="nil"/>
              <w:left w:val="single" w:sz="4" w:space="0" w:color="auto"/>
              <w:bottom w:val="single" w:sz="4" w:space="0" w:color="auto"/>
              <w:right w:val="single" w:sz="4" w:space="0" w:color="auto"/>
            </w:tcBorders>
            <w:shd w:val="clear" w:color="000000" w:fill="D86DCD"/>
            <w:noWrap/>
            <w:vAlign w:val="bottom"/>
            <w:hideMark/>
          </w:tcPr>
          <w:p w14:paraId="7D478E42" w14:textId="338A6903" w:rsidR="00D66BD4" w:rsidRPr="00870C52" w:rsidRDefault="00D66BD4"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162</w:t>
            </w:r>
            <w:r w:rsidR="00BC1B2B">
              <w:rPr>
                <w:rFonts w:ascii="Aptos Narrow" w:hAnsi="Aptos Narrow"/>
                <w:b/>
                <w:bCs/>
                <w:noProof/>
                <w:color w:val="000000"/>
                <w:sz w:val="16"/>
                <w:szCs w:val="16"/>
                <w:lang w:eastAsia="en-IE"/>
              </w:rPr>
              <w:t>.2</w:t>
            </w:r>
          </w:p>
        </w:tc>
        <w:tc>
          <w:tcPr>
            <w:tcW w:w="850" w:type="dxa"/>
            <w:tcBorders>
              <w:top w:val="nil"/>
              <w:left w:val="nil"/>
              <w:bottom w:val="single" w:sz="4" w:space="0" w:color="auto"/>
              <w:right w:val="nil"/>
            </w:tcBorders>
            <w:shd w:val="clear" w:color="000000" w:fill="D86DCD"/>
            <w:noWrap/>
            <w:vAlign w:val="bottom"/>
            <w:hideMark/>
          </w:tcPr>
          <w:p w14:paraId="3D2982F2" w14:textId="77777777" w:rsidR="00D66BD4" w:rsidRPr="00870C52" w:rsidRDefault="00D66BD4"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96%</w:t>
            </w:r>
          </w:p>
        </w:tc>
        <w:tc>
          <w:tcPr>
            <w:tcW w:w="681" w:type="dxa"/>
            <w:tcBorders>
              <w:top w:val="nil"/>
              <w:left w:val="single" w:sz="4" w:space="0" w:color="auto"/>
              <w:bottom w:val="single" w:sz="4" w:space="0" w:color="auto"/>
              <w:right w:val="single" w:sz="4" w:space="0" w:color="auto"/>
            </w:tcBorders>
            <w:shd w:val="clear" w:color="000000" w:fill="D86DCD"/>
            <w:noWrap/>
            <w:vAlign w:val="bottom"/>
            <w:hideMark/>
          </w:tcPr>
          <w:p w14:paraId="7C915940" w14:textId="3956FA93" w:rsidR="00D66BD4" w:rsidRPr="00870C52" w:rsidRDefault="00F53DB5"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24</w:t>
            </w:r>
            <w:r>
              <w:rPr>
                <w:rFonts w:ascii="Aptos Narrow" w:hAnsi="Aptos Narrow"/>
                <w:b/>
                <w:bCs/>
                <w:noProof/>
                <w:color w:val="000000"/>
                <w:sz w:val="16"/>
                <w:szCs w:val="16"/>
                <w:lang w:eastAsia="en-IE"/>
              </w:rPr>
              <w:t> </w:t>
            </w:r>
            <w:r w:rsidR="00D66BD4" w:rsidRPr="00870C52">
              <w:rPr>
                <w:rFonts w:ascii="Aptos Narrow" w:hAnsi="Aptos Narrow"/>
                <w:b/>
                <w:bCs/>
                <w:noProof/>
                <w:color w:val="000000"/>
                <w:sz w:val="16"/>
                <w:szCs w:val="16"/>
                <w:lang w:eastAsia="en-IE"/>
              </w:rPr>
              <w:t>726</w:t>
            </w:r>
          </w:p>
        </w:tc>
        <w:tc>
          <w:tcPr>
            <w:tcW w:w="708" w:type="dxa"/>
            <w:tcBorders>
              <w:top w:val="nil"/>
              <w:left w:val="nil"/>
              <w:bottom w:val="single" w:sz="4" w:space="0" w:color="auto"/>
              <w:right w:val="nil"/>
            </w:tcBorders>
            <w:shd w:val="clear" w:color="000000" w:fill="D86DCD"/>
            <w:noWrap/>
            <w:vAlign w:val="bottom"/>
            <w:hideMark/>
          </w:tcPr>
          <w:p w14:paraId="6F19D632" w14:textId="77777777" w:rsidR="00D66BD4" w:rsidRPr="00870C52" w:rsidRDefault="00D66BD4"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62%</w:t>
            </w:r>
          </w:p>
        </w:tc>
        <w:tc>
          <w:tcPr>
            <w:tcW w:w="993" w:type="dxa"/>
            <w:tcBorders>
              <w:top w:val="nil"/>
              <w:left w:val="single" w:sz="4" w:space="0" w:color="auto"/>
              <w:bottom w:val="single" w:sz="4" w:space="0" w:color="auto"/>
              <w:right w:val="single" w:sz="4" w:space="0" w:color="auto"/>
            </w:tcBorders>
            <w:shd w:val="clear" w:color="000000" w:fill="D86DCD"/>
            <w:noWrap/>
            <w:vAlign w:val="bottom"/>
            <w:hideMark/>
          </w:tcPr>
          <w:p w14:paraId="4D3B365F" w14:textId="662C6162" w:rsidR="00D66BD4" w:rsidRPr="00870C52" w:rsidRDefault="00D66BD4"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 xml:space="preserve">4 </w:t>
            </w:r>
            <w:r w:rsidR="00BC1B2B" w:rsidRPr="00870C52">
              <w:rPr>
                <w:rFonts w:ascii="Aptos Narrow" w:hAnsi="Aptos Narrow"/>
                <w:b/>
                <w:bCs/>
                <w:noProof/>
                <w:color w:val="000000"/>
                <w:sz w:val="16"/>
                <w:szCs w:val="16"/>
                <w:lang w:eastAsia="en-IE"/>
              </w:rPr>
              <w:t>29</w:t>
            </w:r>
            <w:r w:rsidR="00BC1B2B">
              <w:rPr>
                <w:rFonts w:ascii="Aptos Narrow" w:hAnsi="Aptos Narrow"/>
                <w:b/>
                <w:bCs/>
                <w:noProof/>
                <w:color w:val="000000"/>
                <w:sz w:val="16"/>
                <w:szCs w:val="16"/>
                <w:lang w:eastAsia="en-IE"/>
              </w:rPr>
              <w:t>7</w:t>
            </w:r>
            <w:r w:rsidRPr="00870C52">
              <w:rPr>
                <w:rFonts w:ascii="Aptos Narrow" w:hAnsi="Aptos Narrow"/>
                <w:b/>
                <w:bCs/>
                <w:noProof/>
                <w:color w:val="000000"/>
                <w:sz w:val="16"/>
                <w:szCs w:val="16"/>
                <w:lang w:eastAsia="en-IE"/>
              </w:rPr>
              <w:t>.</w:t>
            </w:r>
            <w:r w:rsidR="00BC1B2B">
              <w:rPr>
                <w:rFonts w:ascii="Aptos Narrow" w:hAnsi="Aptos Narrow"/>
                <w:b/>
                <w:bCs/>
                <w:noProof/>
                <w:color w:val="000000"/>
                <w:sz w:val="16"/>
                <w:szCs w:val="16"/>
                <w:lang w:eastAsia="en-IE"/>
              </w:rPr>
              <w:t>9</w:t>
            </w:r>
          </w:p>
        </w:tc>
        <w:tc>
          <w:tcPr>
            <w:tcW w:w="853" w:type="dxa"/>
            <w:tcBorders>
              <w:top w:val="nil"/>
              <w:left w:val="nil"/>
              <w:bottom w:val="single" w:sz="4" w:space="0" w:color="auto"/>
              <w:right w:val="single" w:sz="4" w:space="0" w:color="auto"/>
            </w:tcBorders>
            <w:shd w:val="clear" w:color="000000" w:fill="D86DCD"/>
            <w:noWrap/>
            <w:vAlign w:val="bottom"/>
            <w:hideMark/>
          </w:tcPr>
          <w:p w14:paraId="73A1BE3D" w14:textId="77777777" w:rsidR="00D66BD4" w:rsidRPr="00870C52" w:rsidRDefault="00D66BD4" w:rsidP="00D66BD4">
            <w:pPr>
              <w:spacing w:after="0" w:line="240" w:lineRule="auto"/>
              <w:jc w:val="right"/>
              <w:rPr>
                <w:rFonts w:ascii="Aptos Narrow" w:hAnsi="Aptos Narrow"/>
                <w:b/>
                <w:bCs/>
                <w:noProof/>
                <w:color w:val="000000"/>
                <w:sz w:val="16"/>
                <w:szCs w:val="16"/>
                <w:lang w:eastAsia="en-IE"/>
              </w:rPr>
            </w:pPr>
            <w:r w:rsidRPr="00870C52">
              <w:rPr>
                <w:rFonts w:ascii="Aptos Narrow" w:hAnsi="Aptos Narrow"/>
                <w:b/>
                <w:bCs/>
                <w:noProof/>
                <w:color w:val="000000"/>
                <w:sz w:val="16"/>
                <w:szCs w:val="16"/>
                <w:lang w:eastAsia="en-IE"/>
              </w:rPr>
              <w:t>99%</w:t>
            </w:r>
          </w:p>
        </w:tc>
      </w:tr>
      <w:tr w:rsidR="008806C7" w:rsidRPr="00CA1602" w14:paraId="71238F36" w14:textId="77777777" w:rsidTr="008E1E89">
        <w:trPr>
          <w:trHeight w:val="156"/>
        </w:trPr>
        <w:tc>
          <w:tcPr>
            <w:tcW w:w="8768" w:type="dxa"/>
            <w:gridSpan w:val="11"/>
            <w:tcBorders>
              <w:top w:val="single" w:sz="4" w:space="0" w:color="auto"/>
              <w:left w:val="single" w:sz="4" w:space="0" w:color="auto"/>
              <w:bottom w:val="nil"/>
              <w:right w:val="single" w:sz="4" w:space="0" w:color="auto"/>
            </w:tcBorders>
            <w:shd w:val="clear" w:color="auto" w:fill="FFFFFF" w:themeFill="background1"/>
            <w:noWrap/>
            <w:vAlign w:val="bottom"/>
          </w:tcPr>
          <w:p w14:paraId="46C79172" w14:textId="77777777" w:rsidR="008806C7" w:rsidRPr="00870C52" w:rsidRDefault="008806C7" w:rsidP="00D66BD4">
            <w:pPr>
              <w:spacing w:after="0" w:line="240" w:lineRule="auto"/>
              <w:jc w:val="right"/>
              <w:rPr>
                <w:rFonts w:ascii="Aptos Narrow" w:hAnsi="Aptos Narrow"/>
                <w:b/>
                <w:bCs/>
                <w:noProof/>
                <w:color w:val="000000"/>
                <w:sz w:val="16"/>
                <w:szCs w:val="16"/>
                <w:lang w:eastAsia="en-IE"/>
              </w:rPr>
            </w:pPr>
          </w:p>
        </w:tc>
      </w:tr>
      <w:tr w:rsidR="008806C7" w:rsidRPr="00CA1602" w14:paraId="78CAF7F9" w14:textId="77777777" w:rsidTr="008E1E89">
        <w:trPr>
          <w:trHeight w:val="398"/>
        </w:trPr>
        <w:tc>
          <w:tcPr>
            <w:tcW w:w="8768" w:type="dxa"/>
            <w:gridSpan w:val="11"/>
            <w:tcBorders>
              <w:top w:val="nil"/>
              <w:left w:val="single" w:sz="4" w:space="0" w:color="auto"/>
              <w:bottom w:val="single" w:sz="4" w:space="0" w:color="auto"/>
              <w:right w:val="single" w:sz="4" w:space="0" w:color="auto"/>
            </w:tcBorders>
            <w:shd w:val="clear" w:color="auto" w:fill="FFFFFF" w:themeFill="background1"/>
            <w:noWrap/>
            <w:vAlign w:val="bottom"/>
          </w:tcPr>
          <w:p w14:paraId="270BE64A" w14:textId="402BA78B" w:rsidR="008806C7" w:rsidRPr="009E4093" w:rsidRDefault="008806C7" w:rsidP="009E4093">
            <w:pPr>
              <w:spacing w:after="0"/>
              <w:rPr>
                <w:rFonts w:ascii="Arial Narrow" w:hAnsi="Arial Narrow"/>
                <w:noProof/>
                <w:color w:val="000000"/>
                <w:sz w:val="16"/>
                <w:szCs w:val="16"/>
                <w:lang w:eastAsia="en-IE"/>
              </w:rPr>
            </w:pPr>
            <w:r w:rsidRPr="009E4093">
              <w:rPr>
                <w:rFonts w:ascii="Arial Narrow" w:hAnsi="Arial Narrow"/>
                <w:noProof/>
                <w:color w:val="000000"/>
                <w:sz w:val="16"/>
                <w:szCs w:val="16"/>
                <w:lang w:eastAsia="en-IE"/>
              </w:rPr>
              <w:t xml:space="preserve">* For additional information </w:t>
            </w:r>
            <w:r w:rsidR="006B7EF2" w:rsidRPr="009E4093">
              <w:rPr>
                <w:rFonts w:ascii="Arial Narrow" w:hAnsi="Arial Narrow"/>
                <w:noProof/>
                <w:color w:val="000000"/>
                <w:sz w:val="16"/>
                <w:szCs w:val="16"/>
                <w:lang w:eastAsia="en-IE"/>
              </w:rPr>
              <w:t>on</w:t>
            </w:r>
            <w:r w:rsidRPr="009E4093">
              <w:rPr>
                <w:rFonts w:ascii="Arial Narrow" w:hAnsi="Arial Narrow"/>
                <w:noProof/>
                <w:color w:val="000000"/>
                <w:sz w:val="16"/>
                <w:szCs w:val="16"/>
                <w:lang w:eastAsia="en-IE"/>
              </w:rPr>
              <w:t xml:space="preserve"> recoveries in</w:t>
            </w:r>
            <w:r w:rsidR="005D7A8D" w:rsidRPr="009E4093">
              <w:rPr>
                <w:rFonts w:ascii="Arial Narrow" w:hAnsi="Arial Narrow"/>
                <w:noProof/>
                <w:color w:val="000000"/>
                <w:sz w:val="16"/>
                <w:szCs w:val="16"/>
                <w:lang w:eastAsia="en-IE"/>
              </w:rPr>
              <w:t xml:space="preserve"> TOR, see </w:t>
            </w:r>
            <w:hyperlink w:anchor="_Revenue_–_traditional_1" w:history="1">
              <w:r w:rsidR="005D7A8D" w:rsidRPr="009E4093">
                <w:rPr>
                  <w:rStyle w:val="Hyperlink"/>
                  <w:rFonts w:ascii="Arial Narrow" w:hAnsi="Arial Narrow"/>
                  <w:noProof/>
                  <w:sz w:val="16"/>
                  <w:szCs w:val="16"/>
                  <w:lang w:eastAsia="en-IE"/>
                </w:rPr>
                <w:t>Section 3.2.1</w:t>
              </w:r>
            </w:hyperlink>
            <w:r w:rsidR="002E4C64" w:rsidRPr="009E4093">
              <w:rPr>
                <w:rFonts w:ascii="Arial Narrow" w:hAnsi="Arial Narrow"/>
                <w:noProof/>
                <w:color w:val="000000"/>
                <w:sz w:val="16"/>
                <w:szCs w:val="16"/>
                <w:lang w:eastAsia="en-IE"/>
              </w:rPr>
              <w:t>.</w:t>
            </w:r>
          </w:p>
          <w:p w14:paraId="0C6C3A0A" w14:textId="77777777" w:rsidR="006B7EF2" w:rsidRPr="009E4093" w:rsidRDefault="006B7EF2" w:rsidP="009E4093">
            <w:pPr>
              <w:spacing w:after="0"/>
              <w:rPr>
                <w:rFonts w:ascii="Arial Narrow" w:hAnsi="Arial Narrow"/>
                <w:noProof/>
                <w:color w:val="000000"/>
                <w:sz w:val="16"/>
                <w:szCs w:val="16"/>
                <w:lang w:eastAsia="en-IE"/>
              </w:rPr>
            </w:pPr>
            <w:r w:rsidRPr="009E4093">
              <w:rPr>
                <w:rFonts w:ascii="Arial Narrow" w:hAnsi="Arial Narrow"/>
                <w:noProof/>
                <w:color w:val="000000"/>
                <w:sz w:val="16"/>
                <w:szCs w:val="16"/>
                <w:lang w:eastAsia="en-IE"/>
              </w:rPr>
              <w:t xml:space="preserve">** For additional information on recoveries in agriculture, see </w:t>
            </w:r>
            <w:hyperlink w:anchor="_Agriculture" w:history="1">
              <w:r w:rsidRPr="009E4093">
                <w:rPr>
                  <w:rStyle w:val="Hyperlink"/>
                  <w:rFonts w:ascii="Arial Narrow" w:hAnsi="Arial Narrow"/>
                  <w:noProof/>
                  <w:sz w:val="16"/>
                  <w:szCs w:val="16"/>
                  <w:lang w:eastAsia="en-IE"/>
                </w:rPr>
                <w:t xml:space="preserve">Section </w:t>
              </w:r>
              <w:r w:rsidR="002E4C64" w:rsidRPr="009E4093">
                <w:rPr>
                  <w:rStyle w:val="Hyperlink"/>
                  <w:rFonts w:ascii="Arial Narrow" w:hAnsi="Arial Narrow"/>
                  <w:noProof/>
                  <w:sz w:val="16"/>
                  <w:szCs w:val="16"/>
                  <w:lang w:eastAsia="en-IE"/>
                </w:rPr>
                <w:t>3.2.2.1</w:t>
              </w:r>
            </w:hyperlink>
            <w:r w:rsidR="002E4C64" w:rsidRPr="009E4093">
              <w:rPr>
                <w:rFonts w:ascii="Arial Narrow" w:hAnsi="Arial Narrow"/>
                <w:noProof/>
                <w:color w:val="000000"/>
                <w:sz w:val="16"/>
                <w:szCs w:val="16"/>
                <w:lang w:eastAsia="en-IE"/>
              </w:rPr>
              <w:t>.</w:t>
            </w:r>
          </w:p>
          <w:p w14:paraId="40402B53" w14:textId="139E8EEA" w:rsidR="002E4C64" w:rsidRPr="009C1AC6" w:rsidRDefault="002E4C64" w:rsidP="009E4093">
            <w:pPr>
              <w:spacing w:after="0"/>
              <w:rPr>
                <w:rFonts w:ascii="Aptos Narrow" w:hAnsi="Aptos Narrow"/>
                <w:b/>
                <w:bCs/>
                <w:noProof/>
                <w:color w:val="000000"/>
                <w:sz w:val="16"/>
                <w:szCs w:val="16"/>
                <w:lang w:eastAsia="en-IE"/>
              </w:rPr>
            </w:pPr>
            <w:r w:rsidRPr="009E4093">
              <w:rPr>
                <w:rFonts w:ascii="Arial Narrow" w:hAnsi="Arial Narrow"/>
                <w:noProof/>
                <w:color w:val="000000"/>
                <w:sz w:val="16"/>
                <w:szCs w:val="16"/>
                <w:lang w:eastAsia="en-IE"/>
              </w:rPr>
              <w:t xml:space="preserve">*** For additional information on recoveries in cohesion policy, see </w:t>
            </w:r>
            <w:hyperlink w:anchor="_Cohesion_policy" w:history="1">
              <w:r w:rsidRPr="009E4093">
                <w:rPr>
                  <w:rStyle w:val="Hyperlink"/>
                  <w:rFonts w:ascii="Arial Narrow" w:hAnsi="Arial Narrow"/>
                  <w:noProof/>
                  <w:sz w:val="16"/>
                  <w:szCs w:val="16"/>
                  <w:lang w:eastAsia="en-IE"/>
                </w:rPr>
                <w:t>Section 3.2.2.2.</w:t>
              </w:r>
            </w:hyperlink>
          </w:p>
        </w:tc>
      </w:tr>
    </w:tbl>
    <w:p w14:paraId="3767CAD8" w14:textId="5969B6E3" w:rsidR="0061708B" w:rsidRPr="00DE3A6F" w:rsidRDefault="0061708B" w:rsidP="009E4093">
      <w:pPr>
        <w:spacing w:before="240" w:after="0"/>
        <w:rPr>
          <w:b/>
          <w:bCs/>
          <w:noProof/>
        </w:rPr>
      </w:pPr>
      <w:r w:rsidRPr="00CA1602">
        <w:rPr>
          <w:b/>
          <w:bCs/>
          <w:noProof/>
        </w:rPr>
        <w:t>Figure 1</w:t>
      </w:r>
      <w:r w:rsidR="00AA6CB6">
        <w:rPr>
          <w:b/>
          <w:bCs/>
          <w:noProof/>
        </w:rPr>
        <w:t>8</w:t>
      </w:r>
      <w:r w:rsidRPr="00CA1602">
        <w:rPr>
          <w:b/>
          <w:bCs/>
          <w:noProof/>
        </w:rPr>
        <w:t xml:space="preserve"> </w:t>
      </w:r>
      <w:r w:rsidRPr="00CA1602">
        <w:rPr>
          <w:noProof/>
        </w:rPr>
        <w:t xml:space="preserve">presents </w:t>
      </w:r>
      <w:r w:rsidR="000D4C16" w:rsidRPr="00CA1602">
        <w:rPr>
          <w:noProof/>
        </w:rPr>
        <w:t>the recovered amounts resulting from OLAF’s financial recommendations for which follow-up was completed.</w:t>
      </w:r>
      <w:r w:rsidR="007B7C5B" w:rsidRPr="00CA1602">
        <w:rPr>
          <w:noProof/>
        </w:rPr>
        <w:t xml:space="preserve"> </w:t>
      </w:r>
      <w:r w:rsidR="00BA3078" w:rsidRPr="00EF490A">
        <w:rPr>
          <w:b/>
          <w:bCs/>
          <w:noProof/>
        </w:rPr>
        <w:t xml:space="preserve">Table 5 </w:t>
      </w:r>
      <w:r w:rsidR="00AA6CB6">
        <w:rPr>
          <w:b/>
          <w:bCs/>
          <w:noProof/>
        </w:rPr>
        <w:t>of</w:t>
      </w:r>
      <w:r w:rsidR="00BA3078">
        <w:rPr>
          <w:noProof/>
        </w:rPr>
        <w:t xml:space="preserve"> </w:t>
      </w:r>
      <w:r w:rsidR="002F1C84" w:rsidRPr="00CA1602">
        <w:rPr>
          <w:b/>
          <w:bCs/>
          <w:noProof/>
        </w:rPr>
        <w:t>A</w:t>
      </w:r>
      <w:r w:rsidR="007B7C5B" w:rsidRPr="00CA1602">
        <w:rPr>
          <w:b/>
          <w:bCs/>
          <w:noProof/>
        </w:rPr>
        <w:t xml:space="preserve">nnex </w:t>
      </w:r>
      <w:r w:rsidR="001F3182">
        <w:rPr>
          <w:b/>
          <w:bCs/>
          <w:noProof/>
        </w:rPr>
        <w:t>4</w:t>
      </w:r>
      <w:r w:rsidR="007B7C5B" w:rsidRPr="00CA1602">
        <w:rPr>
          <w:b/>
          <w:bCs/>
          <w:noProof/>
        </w:rPr>
        <w:t xml:space="preserve"> </w:t>
      </w:r>
      <w:r w:rsidR="007B7C5B" w:rsidRPr="00CA1602">
        <w:rPr>
          <w:noProof/>
        </w:rPr>
        <w:t xml:space="preserve">details </w:t>
      </w:r>
      <w:r w:rsidR="00C545B5" w:rsidRPr="00CA1602">
        <w:rPr>
          <w:noProof/>
        </w:rPr>
        <w:t xml:space="preserve">results for each year from 2016 until 2025. </w:t>
      </w:r>
      <w:r w:rsidR="007B7C5B" w:rsidRPr="00CA1602">
        <w:rPr>
          <w:noProof/>
        </w:rPr>
        <w:t xml:space="preserve">Monitoring of additional </w:t>
      </w:r>
      <w:r w:rsidR="00BA3078">
        <w:rPr>
          <w:noProof/>
        </w:rPr>
        <w:t>639</w:t>
      </w:r>
      <w:r w:rsidR="00C545B5" w:rsidRPr="00CA1602">
        <w:rPr>
          <w:noProof/>
        </w:rPr>
        <w:t xml:space="preserve"> </w:t>
      </w:r>
      <w:r w:rsidR="00BA3078">
        <w:rPr>
          <w:noProof/>
        </w:rPr>
        <w:t xml:space="preserve">financial </w:t>
      </w:r>
      <w:r w:rsidR="00C545B5" w:rsidRPr="00CA1602">
        <w:rPr>
          <w:noProof/>
        </w:rPr>
        <w:t xml:space="preserve">recommendations is still </w:t>
      </w:r>
      <w:r w:rsidR="00BA3078">
        <w:rPr>
          <w:noProof/>
        </w:rPr>
        <w:t xml:space="preserve">ongoing, but </w:t>
      </w:r>
      <w:r w:rsidR="008E6556" w:rsidRPr="00CA1602">
        <w:rPr>
          <w:noProof/>
        </w:rPr>
        <w:t>it has already yielded results amounting to EUR</w:t>
      </w:r>
      <w:r w:rsidR="002F1C84" w:rsidRPr="00CA1602">
        <w:rPr>
          <w:noProof/>
        </w:rPr>
        <w:t> </w:t>
      </w:r>
      <w:r w:rsidR="00B51B19">
        <w:rPr>
          <w:noProof/>
        </w:rPr>
        <w:t>570</w:t>
      </w:r>
      <w:r w:rsidR="002F1C84" w:rsidRPr="00CA1602">
        <w:rPr>
          <w:noProof/>
        </w:rPr>
        <w:t xml:space="preserve"> million. Additional details on these recoveries are presented in </w:t>
      </w:r>
      <w:r w:rsidR="002F1C84" w:rsidRPr="00CA1602">
        <w:rPr>
          <w:b/>
          <w:bCs/>
          <w:noProof/>
        </w:rPr>
        <w:t xml:space="preserve">Table 6 </w:t>
      </w:r>
      <w:r w:rsidR="00AA6CB6">
        <w:rPr>
          <w:b/>
          <w:bCs/>
          <w:noProof/>
        </w:rPr>
        <w:t>of</w:t>
      </w:r>
      <w:r w:rsidR="002F1C84" w:rsidRPr="00CA1602">
        <w:rPr>
          <w:b/>
          <w:bCs/>
          <w:noProof/>
        </w:rPr>
        <w:t xml:space="preserve"> Annex </w:t>
      </w:r>
      <w:r w:rsidR="00D90661">
        <w:rPr>
          <w:b/>
          <w:bCs/>
          <w:noProof/>
        </w:rPr>
        <w:t>4</w:t>
      </w:r>
      <w:r w:rsidR="002F1C84" w:rsidRPr="00CA1602">
        <w:rPr>
          <w:noProof/>
        </w:rPr>
        <w:t>.</w:t>
      </w:r>
    </w:p>
    <w:p w14:paraId="5E933655" w14:textId="5D71EE95" w:rsidR="008F5459" w:rsidRPr="00DE3A6F" w:rsidRDefault="008F5459" w:rsidP="001F78AB">
      <w:pPr>
        <w:pStyle w:val="Caption"/>
        <w:keepNext/>
        <w:rPr>
          <w:noProof/>
        </w:rPr>
      </w:pPr>
      <w:r w:rsidRPr="00DE3A6F">
        <w:rPr>
          <w:noProof/>
        </w:rPr>
        <w:t xml:space="preserve">Figure </w:t>
      </w:r>
      <w:r w:rsidR="00121A10" w:rsidRPr="00DE3A6F">
        <w:rPr>
          <w:noProof/>
        </w:rPr>
        <w:fldChar w:fldCharType="begin"/>
      </w:r>
      <w:r w:rsidR="00121A10" w:rsidRPr="00DE3A6F">
        <w:rPr>
          <w:noProof/>
        </w:rPr>
        <w:instrText xml:space="preserve"> SEQ Figure \* ARABIC </w:instrText>
      </w:r>
      <w:r w:rsidR="00121A10" w:rsidRPr="00DE3A6F">
        <w:rPr>
          <w:noProof/>
        </w:rPr>
        <w:fldChar w:fldCharType="separate"/>
      </w:r>
      <w:r w:rsidR="00AA6CB6">
        <w:rPr>
          <w:noProof/>
        </w:rPr>
        <w:t>18</w:t>
      </w:r>
      <w:r w:rsidR="00121A10" w:rsidRPr="00DE3A6F">
        <w:rPr>
          <w:noProof/>
        </w:rPr>
        <w:fldChar w:fldCharType="end"/>
      </w:r>
      <w:r w:rsidRPr="00DE3A6F">
        <w:rPr>
          <w:noProof/>
        </w:rPr>
        <w:t xml:space="preserve">: Recovery </w:t>
      </w:r>
      <w:r w:rsidR="00653943">
        <w:rPr>
          <w:noProof/>
        </w:rPr>
        <w:t>with follow-up completed based on</w:t>
      </w:r>
      <w:r w:rsidR="00E23EF1" w:rsidRPr="00DE3A6F">
        <w:rPr>
          <w:noProof/>
        </w:rPr>
        <w:t xml:space="preserve"> OLAF’s financial recommendations</w:t>
      </w:r>
      <w:r w:rsidR="00320496" w:rsidRPr="00DE3A6F">
        <w:rPr>
          <w:noProof/>
        </w:rPr>
        <w:t xml:space="preserve"> by </w:t>
      </w:r>
      <w:r w:rsidR="0010757F" w:rsidRPr="00DE3A6F">
        <w:rPr>
          <w:noProof/>
        </w:rPr>
        <w:t xml:space="preserve">area and </w:t>
      </w:r>
      <w:r w:rsidR="00320496" w:rsidRPr="00DE3A6F">
        <w:rPr>
          <w:noProof/>
        </w:rPr>
        <w:t>management mode – 2016-2025</w:t>
      </w:r>
    </w:p>
    <w:tbl>
      <w:tblPr>
        <w:tblW w:w="8647" w:type="dxa"/>
        <w:tblLook w:val="04A0" w:firstRow="1" w:lastRow="0" w:firstColumn="1" w:lastColumn="0" w:noHBand="0" w:noVBand="1"/>
      </w:tblPr>
      <w:tblGrid>
        <w:gridCol w:w="2235"/>
        <w:gridCol w:w="1309"/>
        <w:gridCol w:w="1134"/>
        <w:gridCol w:w="1091"/>
        <w:gridCol w:w="279"/>
        <w:gridCol w:w="861"/>
        <w:gridCol w:w="87"/>
        <w:gridCol w:w="900"/>
        <w:gridCol w:w="189"/>
        <w:gridCol w:w="788"/>
      </w:tblGrid>
      <w:tr w:rsidR="00412451" w:rsidRPr="00AA0990" w14:paraId="632926BF" w14:textId="77777777" w:rsidTr="00EA4F28">
        <w:trPr>
          <w:trHeight w:val="1200"/>
        </w:trPr>
        <w:tc>
          <w:tcPr>
            <w:tcW w:w="2235" w:type="dxa"/>
            <w:vMerge w:val="restart"/>
            <w:tcBorders>
              <w:top w:val="nil"/>
              <w:left w:val="nil"/>
              <w:bottom w:val="nil"/>
              <w:right w:val="nil"/>
            </w:tcBorders>
            <w:shd w:val="clear" w:color="000000" w:fill="782170"/>
            <w:noWrap/>
            <w:vAlign w:val="bottom"/>
            <w:hideMark/>
          </w:tcPr>
          <w:p w14:paraId="1B78F5B5" w14:textId="4FA0D906" w:rsidR="003573FF" w:rsidRPr="00AA0990" w:rsidRDefault="00E94F04" w:rsidP="00EF490A">
            <w:pPr>
              <w:spacing w:after="0" w:line="240" w:lineRule="auto"/>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Budgetary area</w:t>
            </w:r>
          </w:p>
        </w:tc>
        <w:tc>
          <w:tcPr>
            <w:tcW w:w="1309" w:type="dxa"/>
            <w:tcBorders>
              <w:top w:val="nil"/>
              <w:left w:val="nil"/>
              <w:bottom w:val="nil"/>
              <w:right w:val="nil"/>
            </w:tcBorders>
            <w:shd w:val="clear" w:color="000000" w:fill="782170"/>
            <w:vAlign w:val="center"/>
            <w:hideMark/>
          </w:tcPr>
          <w:p w14:paraId="0A76E83D" w14:textId="28A3A12A"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Number of recom</w:t>
            </w:r>
            <w:r w:rsidR="009E4093" w:rsidRPr="00AA0990">
              <w:rPr>
                <w:rFonts w:ascii="Aptos Narrow" w:hAnsi="Aptos Narrow"/>
                <w:b/>
                <w:bCs/>
                <w:noProof/>
                <w:color w:val="FFFFFF"/>
                <w:sz w:val="18"/>
                <w:szCs w:val="18"/>
                <w:lang w:eastAsia="en-IE"/>
              </w:rPr>
              <w:t>-</w:t>
            </w:r>
            <w:r w:rsidRPr="00AA0990">
              <w:rPr>
                <w:rFonts w:ascii="Aptos Narrow" w:hAnsi="Aptos Narrow"/>
                <w:b/>
                <w:bCs/>
                <w:noProof/>
                <w:color w:val="FFFFFF"/>
                <w:sz w:val="18"/>
                <w:szCs w:val="18"/>
                <w:lang w:eastAsia="en-IE"/>
              </w:rPr>
              <w:t>mendations</w:t>
            </w:r>
          </w:p>
        </w:tc>
        <w:tc>
          <w:tcPr>
            <w:tcW w:w="1134" w:type="dxa"/>
            <w:tcBorders>
              <w:top w:val="nil"/>
              <w:left w:val="nil"/>
              <w:bottom w:val="nil"/>
              <w:right w:val="nil"/>
            </w:tcBorders>
            <w:shd w:val="clear" w:color="000000" w:fill="782170"/>
            <w:vAlign w:val="center"/>
            <w:hideMark/>
          </w:tcPr>
          <w:p w14:paraId="0EB82A94" w14:textId="286A9044"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Amount recom</w:t>
            </w:r>
            <w:r w:rsidR="009E4093" w:rsidRPr="00AA0990">
              <w:rPr>
                <w:rFonts w:ascii="Aptos Narrow" w:hAnsi="Aptos Narrow"/>
                <w:b/>
                <w:bCs/>
                <w:noProof/>
                <w:color w:val="FFFFFF"/>
                <w:sz w:val="18"/>
                <w:szCs w:val="18"/>
                <w:lang w:eastAsia="en-IE"/>
              </w:rPr>
              <w:t>-</w:t>
            </w:r>
            <w:r w:rsidRPr="00AA0990">
              <w:rPr>
                <w:rFonts w:ascii="Aptos Narrow" w:hAnsi="Aptos Narrow"/>
                <w:b/>
                <w:bCs/>
                <w:noProof/>
                <w:color w:val="FFFFFF"/>
                <w:sz w:val="18"/>
                <w:szCs w:val="18"/>
                <w:lang w:eastAsia="en-IE"/>
              </w:rPr>
              <w:t>mended for recovery</w:t>
            </w:r>
          </w:p>
        </w:tc>
        <w:tc>
          <w:tcPr>
            <w:tcW w:w="992" w:type="dxa"/>
            <w:tcBorders>
              <w:top w:val="nil"/>
              <w:left w:val="nil"/>
              <w:bottom w:val="nil"/>
              <w:right w:val="nil"/>
            </w:tcBorders>
            <w:shd w:val="clear" w:color="000000" w:fill="782170"/>
            <w:vAlign w:val="center"/>
            <w:hideMark/>
          </w:tcPr>
          <w:p w14:paraId="4A462F01" w14:textId="77777777"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Amount established to be recovered (FAER)</w:t>
            </w:r>
          </w:p>
        </w:tc>
        <w:tc>
          <w:tcPr>
            <w:tcW w:w="1140" w:type="dxa"/>
            <w:gridSpan w:val="2"/>
            <w:tcBorders>
              <w:top w:val="nil"/>
              <w:left w:val="nil"/>
              <w:bottom w:val="nil"/>
              <w:right w:val="nil"/>
            </w:tcBorders>
            <w:shd w:val="clear" w:color="000000" w:fill="782170"/>
            <w:vAlign w:val="center"/>
            <w:hideMark/>
          </w:tcPr>
          <w:p w14:paraId="01861EE5" w14:textId="1B2D4989"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Establish</w:t>
            </w:r>
            <w:r w:rsidR="009E4093" w:rsidRPr="00AA0990">
              <w:rPr>
                <w:rFonts w:ascii="Aptos Narrow" w:hAnsi="Aptos Narrow"/>
                <w:b/>
                <w:bCs/>
                <w:noProof/>
                <w:color w:val="FFFFFF"/>
                <w:sz w:val="18"/>
                <w:szCs w:val="18"/>
                <w:lang w:eastAsia="en-IE"/>
              </w:rPr>
              <w:t>-</w:t>
            </w:r>
            <w:r w:rsidRPr="00AA0990">
              <w:rPr>
                <w:rFonts w:ascii="Aptos Narrow" w:hAnsi="Aptos Narrow"/>
                <w:b/>
                <w:bCs/>
                <w:noProof/>
                <w:color w:val="FFFFFF"/>
                <w:sz w:val="18"/>
                <w:szCs w:val="18"/>
                <w:lang w:eastAsia="en-IE"/>
              </w:rPr>
              <w:t>ment rate for recovery</w:t>
            </w:r>
          </w:p>
        </w:tc>
        <w:tc>
          <w:tcPr>
            <w:tcW w:w="987" w:type="dxa"/>
            <w:gridSpan w:val="2"/>
            <w:tcBorders>
              <w:top w:val="nil"/>
              <w:left w:val="nil"/>
              <w:bottom w:val="nil"/>
              <w:right w:val="nil"/>
            </w:tcBorders>
            <w:shd w:val="clear" w:color="000000" w:fill="782170"/>
            <w:vAlign w:val="center"/>
            <w:hideMark/>
          </w:tcPr>
          <w:p w14:paraId="115BEF64" w14:textId="77777777"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Amount recovered</w:t>
            </w:r>
          </w:p>
        </w:tc>
        <w:tc>
          <w:tcPr>
            <w:tcW w:w="850" w:type="dxa"/>
            <w:gridSpan w:val="2"/>
            <w:tcBorders>
              <w:top w:val="nil"/>
              <w:left w:val="nil"/>
              <w:bottom w:val="nil"/>
              <w:right w:val="nil"/>
            </w:tcBorders>
            <w:shd w:val="clear" w:color="000000" w:fill="782170"/>
            <w:vAlign w:val="center"/>
            <w:hideMark/>
          </w:tcPr>
          <w:p w14:paraId="0EFB8BA6" w14:textId="77777777"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Recovery rate</w:t>
            </w:r>
          </w:p>
        </w:tc>
      </w:tr>
      <w:tr w:rsidR="00412451" w:rsidRPr="00AA0990" w14:paraId="4C7FFBC7" w14:textId="77777777" w:rsidTr="00EA4F28">
        <w:trPr>
          <w:trHeight w:val="330"/>
        </w:trPr>
        <w:tc>
          <w:tcPr>
            <w:tcW w:w="2235" w:type="dxa"/>
            <w:vMerge/>
            <w:tcBorders>
              <w:top w:val="nil"/>
              <w:left w:val="nil"/>
              <w:bottom w:val="nil"/>
              <w:right w:val="nil"/>
            </w:tcBorders>
            <w:vAlign w:val="center"/>
            <w:hideMark/>
          </w:tcPr>
          <w:p w14:paraId="3CC061DD" w14:textId="77777777" w:rsidR="003573FF" w:rsidRPr="00AA0990" w:rsidRDefault="003573FF" w:rsidP="003573FF">
            <w:pPr>
              <w:spacing w:after="0" w:line="240" w:lineRule="auto"/>
              <w:jc w:val="left"/>
              <w:rPr>
                <w:rFonts w:ascii="Aptos Narrow" w:hAnsi="Aptos Narrow"/>
                <w:b/>
                <w:bCs/>
                <w:noProof/>
                <w:color w:val="FFFFFF"/>
                <w:sz w:val="18"/>
                <w:szCs w:val="18"/>
                <w:lang w:eastAsia="en-IE"/>
              </w:rPr>
            </w:pPr>
          </w:p>
        </w:tc>
        <w:tc>
          <w:tcPr>
            <w:tcW w:w="1309" w:type="dxa"/>
            <w:tcBorders>
              <w:top w:val="nil"/>
              <w:left w:val="nil"/>
              <w:bottom w:val="nil"/>
              <w:right w:val="nil"/>
            </w:tcBorders>
            <w:shd w:val="clear" w:color="000000" w:fill="D86DCD"/>
            <w:noWrap/>
            <w:vAlign w:val="bottom"/>
            <w:hideMark/>
          </w:tcPr>
          <w:p w14:paraId="3B772FCE" w14:textId="77777777"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N</w:t>
            </w:r>
          </w:p>
        </w:tc>
        <w:tc>
          <w:tcPr>
            <w:tcW w:w="1134" w:type="dxa"/>
            <w:tcBorders>
              <w:top w:val="nil"/>
              <w:left w:val="nil"/>
              <w:bottom w:val="nil"/>
              <w:right w:val="nil"/>
            </w:tcBorders>
            <w:shd w:val="clear" w:color="000000" w:fill="D86DCD"/>
            <w:vAlign w:val="center"/>
            <w:hideMark/>
          </w:tcPr>
          <w:p w14:paraId="6671C77A" w14:textId="53A04012"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EUR million</w:t>
            </w:r>
          </w:p>
        </w:tc>
        <w:tc>
          <w:tcPr>
            <w:tcW w:w="992" w:type="dxa"/>
            <w:tcBorders>
              <w:top w:val="nil"/>
              <w:left w:val="nil"/>
              <w:bottom w:val="nil"/>
              <w:right w:val="nil"/>
            </w:tcBorders>
            <w:shd w:val="clear" w:color="000000" w:fill="D86DCD"/>
            <w:vAlign w:val="center"/>
            <w:hideMark/>
          </w:tcPr>
          <w:p w14:paraId="35FE84C3" w14:textId="2C915B5F"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EUR million</w:t>
            </w:r>
          </w:p>
        </w:tc>
        <w:tc>
          <w:tcPr>
            <w:tcW w:w="1140" w:type="dxa"/>
            <w:gridSpan w:val="2"/>
            <w:tcBorders>
              <w:top w:val="nil"/>
              <w:left w:val="nil"/>
              <w:bottom w:val="nil"/>
              <w:right w:val="nil"/>
            </w:tcBorders>
            <w:shd w:val="clear" w:color="000000" w:fill="D86DCD"/>
            <w:vAlign w:val="center"/>
            <w:hideMark/>
          </w:tcPr>
          <w:p w14:paraId="003806D5" w14:textId="77777777"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w:t>
            </w:r>
          </w:p>
        </w:tc>
        <w:tc>
          <w:tcPr>
            <w:tcW w:w="987" w:type="dxa"/>
            <w:gridSpan w:val="2"/>
            <w:tcBorders>
              <w:top w:val="nil"/>
              <w:left w:val="nil"/>
              <w:bottom w:val="nil"/>
              <w:right w:val="nil"/>
            </w:tcBorders>
            <w:shd w:val="clear" w:color="000000" w:fill="D86DCD"/>
            <w:vAlign w:val="center"/>
            <w:hideMark/>
          </w:tcPr>
          <w:p w14:paraId="006AD2A1" w14:textId="5F6B17B6"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EUR million</w:t>
            </w:r>
          </w:p>
        </w:tc>
        <w:tc>
          <w:tcPr>
            <w:tcW w:w="850" w:type="dxa"/>
            <w:gridSpan w:val="2"/>
            <w:tcBorders>
              <w:top w:val="nil"/>
              <w:left w:val="nil"/>
              <w:bottom w:val="nil"/>
              <w:right w:val="nil"/>
            </w:tcBorders>
            <w:shd w:val="clear" w:color="000000" w:fill="D86DCD"/>
            <w:vAlign w:val="center"/>
            <w:hideMark/>
          </w:tcPr>
          <w:p w14:paraId="1D1F1547" w14:textId="77777777" w:rsidR="003573FF" w:rsidRPr="00AA0990" w:rsidRDefault="003573FF" w:rsidP="003573FF">
            <w:pPr>
              <w:spacing w:after="0" w:line="240" w:lineRule="auto"/>
              <w:jc w:val="center"/>
              <w:rPr>
                <w:rFonts w:ascii="Aptos Narrow" w:hAnsi="Aptos Narrow"/>
                <w:b/>
                <w:bCs/>
                <w:noProof/>
                <w:color w:val="FFFFFF"/>
                <w:sz w:val="18"/>
                <w:szCs w:val="18"/>
                <w:lang w:eastAsia="en-IE"/>
              </w:rPr>
            </w:pPr>
            <w:r w:rsidRPr="00AA0990">
              <w:rPr>
                <w:rFonts w:ascii="Aptos Narrow" w:hAnsi="Aptos Narrow"/>
                <w:b/>
                <w:bCs/>
                <w:noProof/>
                <w:color w:val="FFFFFF"/>
                <w:sz w:val="18"/>
                <w:szCs w:val="18"/>
                <w:lang w:eastAsia="en-IE"/>
              </w:rPr>
              <w:t>%</w:t>
            </w:r>
          </w:p>
        </w:tc>
      </w:tr>
      <w:tr w:rsidR="00412451" w:rsidRPr="00AA0990" w14:paraId="38AF1A1E" w14:textId="77777777" w:rsidTr="00EA4F28">
        <w:trPr>
          <w:trHeight w:val="330"/>
        </w:trPr>
        <w:tc>
          <w:tcPr>
            <w:tcW w:w="2235" w:type="dxa"/>
            <w:tcBorders>
              <w:top w:val="nil"/>
              <w:left w:val="nil"/>
              <w:bottom w:val="nil"/>
              <w:right w:val="nil"/>
            </w:tcBorders>
            <w:shd w:val="clear" w:color="000000" w:fill="F2CEEF"/>
            <w:noWrap/>
            <w:vAlign w:val="bottom"/>
            <w:hideMark/>
          </w:tcPr>
          <w:p w14:paraId="64EADC2E" w14:textId="77777777" w:rsidR="003573FF" w:rsidRPr="00AA0990" w:rsidRDefault="003573FF" w:rsidP="003573FF">
            <w:pPr>
              <w:spacing w:after="0" w:line="240" w:lineRule="auto"/>
              <w:jc w:val="lef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Revenue</w:t>
            </w:r>
          </w:p>
        </w:tc>
        <w:tc>
          <w:tcPr>
            <w:tcW w:w="1309" w:type="dxa"/>
            <w:tcBorders>
              <w:top w:val="nil"/>
              <w:left w:val="nil"/>
              <w:bottom w:val="nil"/>
              <w:right w:val="nil"/>
            </w:tcBorders>
            <w:shd w:val="clear" w:color="000000" w:fill="F2CEEF"/>
            <w:noWrap/>
            <w:vAlign w:val="bottom"/>
            <w:hideMark/>
          </w:tcPr>
          <w:p w14:paraId="210DB737"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600</w:t>
            </w:r>
          </w:p>
        </w:tc>
        <w:tc>
          <w:tcPr>
            <w:tcW w:w="1134" w:type="dxa"/>
            <w:tcBorders>
              <w:top w:val="nil"/>
              <w:left w:val="nil"/>
              <w:bottom w:val="nil"/>
              <w:right w:val="nil"/>
            </w:tcBorders>
            <w:shd w:val="clear" w:color="000000" w:fill="F2CEEF"/>
            <w:vAlign w:val="center"/>
            <w:hideMark/>
          </w:tcPr>
          <w:p w14:paraId="263A7F0A" w14:textId="7419CD5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4</w:t>
            </w:r>
            <w:r w:rsidR="009C1AC6" w:rsidRPr="00AA0990">
              <w:rPr>
                <w:rFonts w:ascii="Aptos Narrow" w:hAnsi="Aptos Narrow"/>
                <w:b/>
                <w:bCs/>
                <w:noProof/>
                <w:color w:val="000000"/>
                <w:sz w:val="18"/>
                <w:szCs w:val="18"/>
                <w:lang w:eastAsia="en-IE"/>
              </w:rPr>
              <w:t> </w:t>
            </w:r>
            <w:r w:rsidRPr="00AA0990">
              <w:rPr>
                <w:rFonts w:ascii="Aptos Narrow" w:hAnsi="Aptos Narrow"/>
                <w:b/>
                <w:bCs/>
                <w:noProof/>
                <w:color w:val="000000"/>
                <w:sz w:val="18"/>
                <w:szCs w:val="18"/>
                <w:lang w:eastAsia="en-IE"/>
              </w:rPr>
              <w:t>178.5</w:t>
            </w:r>
          </w:p>
        </w:tc>
        <w:tc>
          <w:tcPr>
            <w:tcW w:w="992" w:type="dxa"/>
            <w:tcBorders>
              <w:top w:val="nil"/>
              <w:left w:val="nil"/>
              <w:bottom w:val="nil"/>
              <w:right w:val="nil"/>
            </w:tcBorders>
            <w:shd w:val="clear" w:color="000000" w:fill="F2CEEF"/>
            <w:vAlign w:val="center"/>
            <w:hideMark/>
          </w:tcPr>
          <w:p w14:paraId="2D28761B" w14:textId="76058E3A"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4</w:t>
            </w:r>
            <w:r w:rsidR="009C1AC6" w:rsidRPr="00AA0990">
              <w:rPr>
                <w:rFonts w:ascii="Aptos Narrow" w:hAnsi="Aptos Narrow"/>
                <w:b/>
                <w:bCs/>
                <w:noProof/>
                <w:color w:val="000000"/>
                <w:sz w:val="18"/>
                <w:szCs w:val="18"/>
                <w:lang w:eastAsia="en-IE"/>
              </w:rPr>
              <w:t> </w:t>
            </w:r>
            <w:r w:rsidRPr="00AA0990">
              <w:rPr>
                <w:rFonts w:ascii="Aptos Narrow" w:hAnsi="Aptos Narrow"/>
                <w:b/>
                <w:bCs/>
                <w:noProof/>
                <w:color w:val="000000"/>
                <w:sz w:val="18"/>
                <w:szCs w:val="18"/>
                <w:lang w:eastAsia="en-IE"/>
              </w:rPr>
              <w:t>704.1</w:t>
            </w:r>
          </w:p>
        </w:tc>
        <w:tc>
          <w:tcPr>
            <w:tcW w:w="1140" w:type="dxa"/>
            <w:gridSpan w:val="2"/>
            <w:tcBorders>
              <w:top w:val="nil"/>
              <w:left w:val="nil"/>
              <w:bottom w:val="nil"/>
              <w:right w:val="nil"/>
            </w:tcBorders>
            <w:shd w:val="clear" w:color="000000" w:fill="F2CEEF"/>
            <w:vAlign w:val="center"/>
            <w:hideMark/>
          </w:tcPr>
          <w:p w14:paraId="0447AAA0"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113%</w:t>
            </w:r>
          </w:p>
        </w:tc>
        <w:tc>
          <w:tcPr>
            <w:tcW w:w="987" w:type="dxa"/>
            <w:gridSpan w:val="2"/>
            <w:tcBorders>
              <w:top w:val="nil"/>
              <w:left w:val="nil"/>
              <w:bottom w:val="nil"/>
              <w:right w:val="nil"/>
            </w:tcBorders>
            <w:shd w:val="clear" w:color="000000" w:fill="F2CEEF"/>
            <w:vAlign w:val="center"/>
            <w:hideMark/>
          </w:tcPr>
          <w:p w14:paraId="4C69742C" w14:textId="5CD663C3"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4</w:t>
            </w:r>
            <w:r w:rsidR="009C1AC6" w:rsidRPr="00AA0990">
              <w:rPr>
                <w:rFonts w:ascii="Aptos Narrow" w:hAnsi="Aptos Narrow"/>
                <w:b/>
                <w:bCs/>
                <w:noProof/>
                <w:color w:val="000000"/>
                <w:sz w:val="18"/>
                <w:szCs w:val="18"/>
                <w:lang w:eastAsia="en-IE"/>
              </w:rPr>
              <w:t> </w:t>
            </w:r>
            <w:r w:rsidRPr="00AA0990">
              <w:rPr>
                <w:rFonts w:ascii="Aptos Narrow" w:hAnsi="Aptos Narrow"/>
                <w:b/>
                <w:bCs/>
                <w:noProof/>
                <w:color w:val="000000"/>
                <w:sz w:val="18"/>
                <w:szCs w:val="18"/>
                <w:lang w:eastAsia="en-IE"/>
              </w:rPr>
              <w:t>534.5</w:t>
            </w:r>
          </w:p>
        </w:tc>
        <w:tc>
          <w:tcPr>
            <w:tcW w:w="850" w:type="dxa"/>
            <w:gridSpan w:val="2"/>
            <w:tcBorders>
              <w:top w:val="nil"/>
              <w:left w:val="nil"/>
              <w:bottom w:val="nil"/>
              <w:right w:val="nil"/>
            </w:tcBorders>
            <w:shd w:val="clear" w:color="000000" w:fill="F2CEEF"/>
            <w:vAlign w:val="center"/>
            <w:hideMark/>
          </w:tcPr>
          <w:p w14:paraId="049A90BB"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96%</w:t>
            </w:r>
          </w:p>
        </w:tc>
      </w:tr>
      <w:tr w:rsidR="00412451" w:rsidRPr="00AA0990" w14:paraId="797D8B60" w14:textId="77777777" w:rsidTr="00EA4F28">
        <w:trPr>
          <w:trHeight w:val="315"/>
        </w:trPr>
        <w:tc>
          <w:tcPr>
            <w:tcW w:w="2235" w:type="dxa"/>
            <w:tcBorders>
              <w:top w:val="nil"/>
              <w:left w:val="nil"/>
              <w:bottom w:val="nil"/>
              <w:right w:val="nil"/>
            </w:tcBorders>
            <w:shd w:val="clear" w:color="000000" w:fill="E49EDD"/>
            <w:noWrap/>
            <w:vAlign w:val="bottom"/>
            <w:hideMark/>
          </w:tcPr>
          <w:p w14:paraId="3089D5FA" w14:textId="77777777" w:rsidR="003573FF" w:rsidRPr="00AA0990" w:rsidRDefault="003573FF" w:rsidP="003573FF">
            <w:pPr>
              <w:spacing w:after="0" w:line="240" w:lineRule="auto"/>
              <w:jc w:val="lef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lastRenderedPageBreak/>
              <w:t>Expenditure</w:t>
            </w:r>
          </w:p>
        </w:tc>
        <w:tc>
          <w:tcPr>
            <w:tcW w:w="1309" w:type="dxa"/>
            <w:tcBorders>
              <w:top w:val="nil"/>
              <w:left w:val="nil"/>
              <w:bottom w:val="nil"/>
              <w:right w:val="nil"/>
            </w:tcBorders>
            <w:shd w:val="clear" w:color="000000" w:fill="E49EDD"/>
            <w:noWrap/>
            <w:vAlign w:val="bottom"/>
            <w:hideMark/>
          </w:tcPr>
          <w:p w14:paraId="32E2B2EF"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569</w:t>
            </w:r>
          </w:p>
        </w:tc>
        <w:tc>
          <w:tcPr>
            <w:tcW w:w="1134" w:type="dxa"/>
            <w:tcBorders>
              <w:top w:val="nil"/>
              <w:left w:val="nil"/>
              <w:bottom w:val="nil"/>
              <w:right w:val="nil"/>
            </w:tcBorders>
            <w:shd w:val="clear" w:color="000000" w:fill="E49EDD"/>
            <w:vAlign w:val="center"/>
            <w:hideMark/>
          </w:tcPr>
          <w:p w14:paraId="3DF74FDE" w14:textId="455192A9"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1</w:t>
            </w:r>
            <w:r w:rsidR="009C1AC6" w:rsidRPr="00AA0990">
              <w:rPr>
                <w:rFonts w:ascii="Aptos Narrow" w:hAnsi="Aptos Narrow"/>
                <w:b/>
                <w:bCs/>
                <w:noProof/>
                <w:color w:val="000000"/>
                <w:sz w:val="18"/>
                <w:szCs w:val="18"/>
                <w:lang w:eastAsia="en-IE"/>
              </w:rPr>
              <w:t> </w:t>
            </w:r>
            <w:r w:rsidRPr="00AA0990">
              <w:rPr>
                <w:rFonts w:ascii="Aptos Narrow" w:hAnsi="Aptos Narrow"/>
                <w:b/>
                <w:bCs/>
                <w:noProof/>
                <w:color w:val="000000"/>
                <w:sz w:val="18"/>
                <w:szCs w:val="18"/>
                <w:lang w:eastAsia="en-IE"/>
              </w:rPr>
              <w:t>129.7</w:t>
            </w:r>
          </w:p>
        </w:tc>
        <w:tc>
          <w:tcPr>
            <w:tcW w:w="992" w:type="dxa"/>
            <w:tcBorders>
              <w:top w:val="nil"/>
              <w:left w:val="nil"/>
              <w:bottom w:val="nil"/>
              <w:right w:val="nil"/>
            </w:tcBorders>
            <w:shd w:val="clear" w:color="000000" w:fill="E49EDD"/>
            <w:vAlign w:val="center"/>
            <w:hideMark/>
          </w:tcPr>
          <w:p w14:paraId="53BFD7B5"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854.9</w:t>
            </w:r>
          </w:p>
        </w:tc>
        <w:tc>
          <w:tcPr>
            <w:tcW w:w="1140" w:type="dxa"/>
            <w:gridSpan w:val="2"/>
            <w:tcBorders>
              <w:top w:val="nil"/>
              <w:left w:val="nil"/>
              <w:bottom w:val="nil"/>
              <w:right w:val="nil"/>
            </w:tcBorders>
            <w:shd w:val="clear" w:color="000000" w:fill="E49EDD"/>
            <w:vAlign w:val="center"/>
            <w:hideMark/>
          </w:tcPr>
          <w:p w14:paraId="01C30F5A"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76%</w:t>
            </w:r>
          </w:p>
        </w:tc>
        <w:tc>
          <w:tcPr>
            <w:tcW w:w="987" w:type="dxa"/>
            <w:gridSpan w:val="2"/>
            <w:tcBorders>
              <w:top w:val="nil"/>
              <w:left w:val="nil"/>
              <w:bottom w:val="nil"/>
              <w:right w:val="nil"/>
            </w:tcBorders>
            <w:shd w:val="clear" w:color="000000" w:fill="E49EDD"/>
            <w:vAlign w:val="center"/>
            <w:hideMark/>
          </w:tcPr>
          <w:p w14:paraId="3330A5F2"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824.9</w:t>
            </w:r>
          </w:p>
        </w:tc>
        <w:tc>
          <w:tcPr>
            <w:tcW w:w="850" w:type="dxa"/>
            <w:gridSpan w:val="2"/>
            <w:tcBorders>
              <w:top w:val="nil"/>
              <w:left w:val="nil"/>
              <w:bottom w:val="nil"/>
              <w:right w:val="nil"/>
            </w:tcBorders>
            <w:shd w:val="clear" w:color="000000" w:fill="E49EDD"/>
            <w:vAlign w:val="center"/>
            <w:hideMark/>
          </w:tcPr>
          <w:p w14:paraId="6C5AFBDF" w14:textId="77777777" w:rsidR="003573FF" w:rsidRPr="00AA0990" w:rsidRDefault="003573FF" w:rsidP="003573FF">
            <w:pPr>
              <w:spacing w:after="0" w:line="240" w:lineRule="auto"/>
              <w:jc w:val="right"/>
              <w:rPr>
                <w:rFonts w:ascii="Aptos Narrow" w:hAnsi="Aptos Narrow"/>
                <w:b/>
                <w:bCs/>
                <w:noProof/>
                <w:color w:val="000000"/>
                <w:sz w:val="18"/>
                <w:szCs w:val="18"/>
                <w:lang w:eastAsia="en-IE"/>
              </w:rPr>
            </w:pPr>
            <w:r w:rsidRPr="00AA0990">
              <w:rPr>
                <w:rFonts w:ascii="Aptos Narrow" w:hAnsi="Aptos Narrow"/>
                <w:b/>
                <w:bCs/>
                <w:noProof/>
                <w:color w:val="000000"/>
                <w:sz w:val="18"/>
                <w:szCs w:val="18"/>
                <w:lang w:eastAsia="en-IE"/>
              </w:rPr>
              <w:t>96%</w:t>
            </w:r>
          </w:p>
        </w:tc>
      </w:tr>
      <w:tr w:rsidR="00EA4F28" w:rsidRPr="00AA0990" w14:paraId="0490DA20" w14:textId="77777777" w:rsidTr="00EA4F28">
        <w:trPr>
          <w:trHeight w:val="300"/>
        </w:trPr>
        <w:tc>
          <w:tcPr>
            <w:tcW w:w="2235" w:type="dxa"/>
            <w:tcBorders>
              <w:top w:val="nil"/>
              <w:left w:val="nil"/>
              <w:bottom w:val="nil"/>
              <w:right w:val="nil"/>
            </w:tcBorders>
            <w:shd w:val="clear" w:color="000000" w:fill="F2CEEF"/>
            <w:noWrap/>
            <w:vAlign w:val="bottom"/>
            <w:hideMark/>
          </w:tcPr>
          <w:p w14:paraId="6058DB55" w14:textId="77777777" w:rsidR="003573FF" w:rsidRPr="00AA0990" w:rsidRDefault="003573FF" w:rsidP="003573FF">
            <w:pPr>
              <w:spacing w:after="0" w:line="240" w:lineRule="auto"/>
              <w:ind w:firstLineChars="100" w:firstLine="180"/>
              <w:jc w:val="lef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Shared management</w:t>
            </w:r>
          </w:p>
        </w:tc>
        <w:tc>
          <w:tcPr>
            <w:tcW w:w="1309" w:type="dxa"/>
            <w:tcBorders>
              <w:top w:val="nil"/>
              <w:left w:val="nil"/>
              <w:bottom w:val="nil"/>
              <w:right w:val="nil"/>
            </w:tcBorders>
            <w:shd w:val="clear" w:color="000000" w:fill="F2CEEF"/>
            <w:noWrap/>
            <w:vAlign w:val="bottom"/>
            <w:hideMark/>
          </w:tcPr>
          <w:p w14:paraId="4BE336A7" w14:textId="77777777" w:rsidR="003573FF" w:rsidRPr="00AA0990" w:rsidRDefault="003573FF" w:rsidP="00F21961">
            <w:pPr>
              <w:spacing w:after="0" w:line="240" w:lineRule="auto"/>
              <w:ind w:firstLineChars="100" w:firstLine="180"/>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242</w:t>
            </w:r>
          </w:p>
        </w:tc>
        <w:tc>
          <w:tcPr>
            <w:tcW w:w="1134" w:type="dxa"/>
            <w:tcBorders>
              <w:top w:val="nil"/>
              <w:left w:val="nil"/>
              <w:bottom w:val="nil"/>
              <w:right w:val="nil"/>
            </w:tcBorders>
            <w:shd w:val="clear" w:color="000000" w:fill="F2CEEF"/>
            <w:noWrap/>
            <w:vAlign w:val="bottom"/>
            <w:hideMark/>
          </w:tcPr>
          <w:p w14:paraId="66B47849"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941.1</w:t>
            </w:r>
          </w:p>
        </w:tc>
        <w:tc>
          <w:tcPr>
            <w:tcW w:w="992" w:type="dxa"/>
            <w:tcBorders>
              <w:top w:val="nil"/>
              <w:left w:val="nil"/>
              <w:bottom w:val="nil"/>
              <w:right w:val="nil"/>
            </w:tcBorders>
            <w:shd w:val="clear" w:color="000000" w:fill="F2CEEF"/>
            <w:noWrap/>
            <w:vAlign w:val="bottom"/>
            <w:hideMark/>
          </w:tcPr>
          <w:p w14:paraId="34777DA2"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743.8</w:t>
            </w:r>
          </w:p>
        </w:tc>
        <w:tc>
          <w:tcPr>
            <w:tcW w:w="1140" w:type="dxa"/>
            <w:gridSpan w:val="2"/>
            <w:tcBorders>
              <w:top w:val="nil"/>
              <w:left w:val="nil"/>
              <w:bottom w:val="nil"/>
              <w:right w:val="nil"/>
            </w:tcBorders>
            <w:shd w:val="clear" w:color="000000" w:fill="F2CEEF"/>
            <w:noWrap/>
            <w:vAlign w:val="bottom"/>
            <w:hideMark/>
          </w:tcPr>
          <w:p w14:paraId="671B8604"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79%</w:t>
            </w:r>
          </w:p>
        </w:tc>
        <w:tc>
          <w:tcPr>
            <w:tcW w:w="987" w:type="dxa"/>
            <w:gridSpan w:val="2"/>
            <w:tcBorders>
              <w:top w:val="nil"/>
              <w:left w:val="nil"/>
              <w:bottom w:val="nil"/>
              <w:right w:val="nil"/>
            </w:tcBorders>
            <w:shd w:val="clear" w:color="000000" w:fill="F2CEEF"/>
            <w:noWrap/>
            <w:vAlign w:val="bottom"/>
            <w:hideMark/>
          </w:tcPr>
          <w:p w14:paraId="25F14350"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737</w:t>
            </w:r>
          </w:p>
        </w:tc>
        <w:tc>
          <w:tcPr>
            <w:tcW w:w="850" w:type="dxa"/>
            <w:gridSpan w:val="2"/>
            <w:tcBorders>
              <w:top w:val="nil"/>
              <w:left w:val="nil"/>
              <w:bottom w:val="nil"/>
              <w:right w:val="nil"/>
            </w:tcBorders>
            <w:shd w:val="clear" w:color="000000" w:fill="F2CEEF"/>
            <w:noWrap/>
            <w:vAlign w:val="bottom"/>
            <w:hideMark/>
          </w:tcPr>
          <w:p w14:paraId="33B01134"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99%</w:t>
            </w:r>
          </w:p>
        </w:tc>
      </w:tr>
      <w:tr w:rsidR="00EA4F28" w:rsidRPr="00AA0990" w14:paraId="35BBFC63" w14:textId="77777777" w:rsidTr="00EA4F28">
        <w:trPr>
          <w:trHeight w:val="300"/>
        </w:trPr>
        <w:tc>
          <w:tcPr>
            <w:tcW w:w="2235" w:type="dxa"/>
            <w:tcBorders>
              <w:top w:val="nil"/>
              <w:left w:val="nil"/>
              <w:bottom w:val="nil"/>
              <w:right w:val="nil"/>
            </w:tcBorders>
            <w:shd w:val="clear" w:color="000000" w:fill="FFFFFF"/>
            <w:noWrap/>
            <w:vAlign w:val="bottom"/>
            <w:hideMark/>
          </w:tcPr>
          <w:p w14:paraId="440CB61F" w14:textId="77777777" w:rsidR="003573FF" w:rsidRPr="00AA0990" w:rsidRDefault="003573FF" w:rsidP="003573FF">
            <w:pPr>
              <w:spacing w:after="0" w:line="240" w:lineRule="auto"/>
              <w:ind w:firstLineChars="100" w:firstLine="180"/>
              <w:jc w:val="lef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Indirect management</w:t>
            </w:r>
          </w:p>
        </w:tc>
        <w:tc>
          <w:tcPr>
            <w:tcW w:w="1309" w:type="dxa"/>
            <w:tcBorders>
              <w:top w:val="nil"/>
              <w:left w:val="nil"/>
              <w:bottom w:val="nil"/>
              <w:right w:val="nil"/>
            </w:tcBorders>
            <w:shd w:val="clear" w:color="000000" w:fill="FFFFFF"/>
            <w:noWrap/>
            <w:vAlign w:val="bottom"/>
            <w:hideMark/>
          </w:tcPr>
          <w:p w14:paraId="36B39B74" w14:textId="77777777" w:rsidR="003573FF" w:rsidRPr="00AA0990" w:rsidRDefault="003573FF" w:rsidP="00F21961">
            <w:pPr>
              <w:spacing w:after="0" w:line="240" w:lineRule="auto"/>
              <w:ind w:firstLineChars="100" w:firstLine="180"/>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121</w:t>
            </w:r>
          </w:p>
        </w:tc>
        <w:tc>
          <w:tcPr>
            <w:tcW w:w="1134" w:type="dxa"/>
            <w:tcBorders>
              <w:top w:val="nil"/>
              <w:left w:val="nil"/>
              <w:bottom w:val="nil"/>
              <w:right w:val="nil"/>
            </w:tcBorders>
            <w:shd w:val="clear" w:color="000000" w:fill="FFFFFF"/>
            <w:noWrap/>
            <w:vAlign w:val="bottom"/>
            <w:hideMark/>
          </w:tcPr>
          <w:p w14:paraId="235F82F7"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110.6</w:t>
            </w:r>
          </w:p>
        </w:tc>
        <w:tc>
          <w:tcPr>
            <w:tcW w:w="992" w:type="dxa"/>
            <w:tcBorders>
              <w:top w:val="nil"/>
              <w:left w:val="nil"/>
              <w:bottom w:val="nil"/>
              <w:right w:val="nil"/>
            </w:tcBorders>
            <w:shd w:val="clear" w:color="000000" w:fill="FFFFFF"/>
            <w:noWrap/>
            <w:vAlign w:val="bottom"/>
            <w:hideMark/>
          </w:tcPr>
          <w:p w14:paraId="222FFEB2"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46.8</w:t>
            </w:r>
          </w:p>
        </w:tc>
        <w:tc>
          <w:tcPr>
            <w:tcW w:w="1140" w:type="dxa"/>
            <w:gridSpan w:val="2"/>
            <w:tcBorders>
              <w:top w:val="nil"/>
              <w:left w:val="nil"/>
              <w:bottom w:val="nil"/>
              <w:right w:val="nil"/>
            </w:tcBorders>
            <w:shd w:val="clear" w:color="000000" w:fill="FFFFFF"/>
            <w:noWrap/>
            <w:vAlign w:val="bottom"/>
            <w:hideMark/>
          </w:tcPr>
          <w:p w14:paraId="264AB8A6"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42%</w:t>
            </w:r>
          </w:p>
        </w:tc>
        <w:tc>
          <w:tcPr>
            <w:tcW w:w="987" w:type="dxa"/>
            <w:gridSpan w:val="2"/>
            <w:tcBorders>
              <w:top w:val="nil"/>
              <w:left w:val="nil"/>
              <w:bottom w:val="nil"/>
              <w:right w:val="nil"/>
            </w:tcBorders>
            <w:shd w:val="clear" w:color="000000" w:fill="FFFFFF"/>
            <w:noWrap/>
            <w:vAlign w:val="bottom"/>
            <w:hideMark/>
          </w:tcPr>
          <w:p w14:paraId="1B9A84CF"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41.1</w:t>
            </w:r>
          </w:p>
        </w:tc>
        <w:tc>
          <w:tcPr>
            <w:tcW w:w="850" w:type="dxa"/>
            <w:gridSpan w:val="2"/>
            <w:tcBorders>
              <w:top w:val="nil"/>
              <w:left w:val="nil"/>
              <w:bottom w:val="nil"/>
              <w:right w:val="nil"/>
            </w:tcBorders>
            <w:shd w:val="clear" w:color="000000" w:fill="FFFFFF"/>
            <w:noWrap/>
            <w:vAlign w:val="bottom"/>
            <w:hideMark/>
          </w:tcPr>
          <w:p w14:paraId="11E5BE23"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88%</w:t>
            </w:r>
          </w:p>
        </w:tc>
      </w:tr>
      <w:tr w:rsidR="00EA4F28" w:rsidRPr="00AA0990" w14:paraId="5F0677EB" w14:textId="77777777" w:rsidTr="00EA4F28">
        <w:trPr>
          <w:trHeight w:val="300"/>
        </w:trPr>
        <w:tc>
          <w:tcPr>
            <w:tcW w:w="2235" w:type="dxa"/>
            <w:tcBorders>
              <w:top w:val="nil"/>
              <w:left w:val="nil"/>
              <w:bottom w:val="nil"/>
              <w:right w:val="nil"/>
            </w:tcBorders>
            <w:shd w:val="clear" w:color="000000" w:fill="F2CEEF"/>
            <w:noWrap/>
            <w:vAlign w:val="bottom"/>
            <w:hideMark/>
          </w:tcPr>
          <w:p w14:paraId="07CE3A3C" w14:textId="77777777" w:rsidR="003573FF" w:rsidRPr="00AA0990" w:rsidRDefault="003573FF" w:rsidP="003573FF">
            <w:pPr>
              <w:spacing w:after="0" w:line="240" w:lineRule="auto"/>
              <w:ind w:firstLineChars="100" w:firstLine="180"/>
              <w:jc w:val="lef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Direct management</w:t>
            </w:r>
          </w:p>
        </w:tc>
        <w:tc>
          <w:tcPr>
            <w:tcW w:w="1309" w:type="dxa"/>
            <w:tcBorders>
              <w:top w:val="nil"/>
              <w:left w:val="nil"/>
              <w:bottom w:val="nil"/>
              <w:right w:val="nil"/>
            </w:tcBorders>
            <w:shd w:val="clear" w:color="000000" w:fill="F2CEEF"/>
            <w:noWrap/>
            <w:vAlign w:val="bottom"/>
            <w:hideMark/>
          </w:tcPr>
          <w:p w14:paraId="0D9CC23A" w14:textId="77777777" w:rsidR="003573FF" w:rsidRPr="00AA0990" w:rsidRDefault="003573FF" w:rsidP="00F21961">
            <w:pPr>
              <w:spacing w:after="0" w:line="240" w:lineRule="auto"/>
              <w:ind w:firstLineChars="100" w:firstLine="180"/>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206</w:t>
            </w:r>
          </w:p>
        </w:tc>
        <w:tc>
          <w:tcPr>
            <w:tcW w:w="1134" w:type="dxa"/>
            <w:tcBorders>
              <w:top w:val="nil"/>
              <w:left w:val="nil"/>
              <w:bottom w:val="nil"/>
              <w:right w:val="nil"/>
            </w:tcBorders>
            <w:shd w:val="clear" w:color="000000" w:fill="F2CEEF"/>
            <w:noWrap/>
            <w:vAlign w:val="bottom"/>
            <w:hideMark/>
          </w:tcPr>
          <w:p w14:paraId="51D3E7E9" w14:textId="50938E9C"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78</w:t>
            </w:r>
            <w:r w:rsidR="00F21961" w:rsidRPr="00AA0990">
              <w:rPr>
                <w:rFonts w:ascii="Aptos Narrow" w:hAnsi="Aptos Narrow"/>
                <w:i/>
                <w:iCs/>
                <w:noProof/>
                <w:color w:val="000000"/>
                <w:sz w:val="18"/>
                <w:szCs w:val="18"/>
                <w:lang w:eastAsia="en-IE"/>
              </w:rPr>
              <w:t>.0</w:t>
            </w:r>
          </w:p>
        </w:tc>
        <w:tc>
          <w:tcPr>
            <w:tcW w:w="1271" w:type="dxa"/>
            <w:gridSpan w:val="2"/>
            <w:tcBorders>
              <w:top w:val="nil"/>
              <w:left w:val="nil"/>
              <w:bottom w:val="nil"/>
              <w:right w:val="nil"/>
            </w:tcBorders>
            <w:shd w:val="clear" w:color="000000" w:fill="F2CEEF"/>
            <w:noWrap/>
            <w:vAlign w:val="bottom"/>
            <w:hideMark/>
          </w:tcPr>
          <w:p w14:paraId="4974C25D"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64.3</w:t>
            </w:r>
          </w:p>
        </w:tc>
        <w:tc>
          <w:tcPr>
            <w:tcW w:w="948" w:type="dxa"/>
            <w:gridSpan w:val="2"/>
            <w:tcBorders>
              <w:top w:val="nil"/>
              <w:left w:val="nil"/>
              <w:bottom w:val="nil"/>
              <w:right w:val="nil"/>
            </w:tcBorders>
            <w:shd w:val="clear" w:color="000000" w:fill="F2CEEF"/>
            <w:noWrap/>
            <w:vAlign w:val="bottom"/>
            <w:hideMark/>
          </w:tcPr>
          <w:p w14:paraId="1F515922"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82%</w:t>
            </w:r>
          </w:p>
        </w:tc>
        <w:tc>
          <w:tcPr>
            <w:tcW w:w="1089" w:type="dxa"/>
            <w:gridSpan w:val="2"/>
            <w:tcBorders>
              <w:top w:val="nil"/>
              <w:left w:val="nil"/>
              <w:bottom w:val="nil"/>
              <w:right w:val="nil"/>
            </w:tcBorders>
            <w:shd w:val="clear" w:color="000000" w:fill="F2CEEF"/>
            <w:noWrap/>
            <w:vAlign w:val="bottom"/>
            <w:hideMark/>
          </w:tcPr>
          <w:p w14:paraId="0ED51DAF"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46.7</w:t>
            </w:r>
          </w:p>
        </w:tc>
        <w:tc>
          <w:tcPr>
            <w:tcW w:w="661" w:type="dxa"/>
            <w:tcBorders>
              <w:top w:val="nil"/>
              <w:left w:val="nil"/>
              <w:bottom w:val="nil"/>
              <w:right w:val="nil"/>
            </w:tcBorders>
            <w:shd w:val="clear" w:color="000000" w:fill="F2CEEF"/>
            <w:noWrap/>
            <w:vAlign w:val="bottom"/>
            <w:hideMark/>
          </w:tcPr>
          <w:p w14:paraId="20E07C1F" w14:textId="77777777" w:rsidR="003573FF" w:rsidRPr="00AA0990" w:rsidRDefault="003573FF" w:rsidP="00F21961">
            <w:pPr>
              <w:spacing w:after="0" w:line="240" w:lineRule="auto"/>
              <w:jc w:val="right"/>
              <w:rPr>
                <w:rFonts w:ascii="Aptos Narrow" w:hAnsi="Aptos Narrow"/>
                <w:i/>
                <w:iCs/>
                <w:noProof/>
                <w:color w:val="000000"/>
                <w:sz w:val="18"/>
                <w:szCs w:val="18"/>
                <w:lang w:eastAsia="en-IE"/>
              </w:rPr>
            </w:pPr>
            <w:r w:rsidRPr="00AA0990">
              <w:rPr>
                <w:rFonts w:ascii="Aptos Narrow" w:hAnsi="Aptos Narrow"/>
                <w:i/>
                <w:iCs/>
                <w:noProof/>
                <w:color w:val="000000"/>
                <w:sz w:val="18"/>
                <w:szCs w:val="18"/>
                <w:lang w:eastAsia="en-IE"/>
              </w:rPr>
              <w:t>73%</w:t>
            </w:r>
          </w:p>
        </w:tc>
      </w:tr>
    </w:tbl>
    <w:p w14:paraId="36513B86" w14:textId="5C18E41D" w:rsidR="00320496" w:rsidRPr="00DE3A6F" w:rsidRDefault="00320496" w:rsidP="001F78AB">
      <w:pPr>
        <w:rPr>
          <w:noProof/>
        </w:rPr>
      </w:pPr>
    </w:p>
    <w:p w14:paraId="7659AEF7" w14:textId="711F39EE" w:rsidR="00666B44" w:rsidRPr="00DE3A6F" w:rsidRDefault="00666B44" w:rsidP="003D670F">
      <w:pPr>
        <w:pStyle w:val="Caption"/>
        <w:keepNext/>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Focus point </w:t>
      </w:r>
      <w:r w:rsidRPr="00DE3A6F">
        <w:rPr>
          <w:noProof/>
        </w:rPr>
        <w:fldChar w:fldCharType="begin"/>
      </w:r>
      <w:r w:rsidRPr="00DE3A6F">
        <w:rPr>
          <w:noProof/>
        </w:rPr>
        <w:instrText xml:space="preserve"> SEQ Focus_point \* ARABIC </w:instrText>
      </w:r>
      <w:r w:rsidRPr="00DE3A6F">
        <w:rPr>
          <w:noProof/>
        </w:rPr>
        <w:fldChar w:fldCharType="separate"/>
      </w:r>
      <w:r w:rsidRPr="00DE3A6F">
        <w:rPr>
          <w:noProof/>
        </w:rPr>
        <w:t>5</w:t>
      </w:r>
      <w:r w:rsidRPr="00DE3A6F">
        <w:rPr>
          <w:noProof/>
        </w:rPr>
        <w:fldChar w:fldCharType="end"/>
      </w:r>
      <w:r w:rsidR="00D53BD8" w:rsidRPr="00DE3A6F">
        <w:rPr>
          <w:noProof/>
        </w:rPr>
        <w:t>: Recovery from fraudsters is the most difficult phase</w:t>
      </w:r>
    </w:p>
    <w:p w14:paraId="699A2B2B" w14:textId="080CD89C" w:rsidR="00666B44" w:rsidRPr="00DE3A6F" w:rsidRDefault="00FE2C52"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870C52">
        <w:rPr>
          <w:noProof/>
        </w:rPr>
        <w:t>The d</w:t>
      </w:r>
      <w:r w:rsidR="00D53BD8" w:rsidRPr="00870C52">
        <w:rPr>
          <w:noProof/>
        </w:rPr>
        <w:t xml:space="preserve">ata </w:t>
      </w:r>
      <w:r w:rsidR="00926F0C" w:rsidRPr="00870C52">
        <w:rPr>
          <w:noProof/>
        </w:rPr>
        <w:t xml:space="preserve">on </w:t>
      </w:r>
      <w:r w:rsidR="00D53BD8" w:rsidRPr="00870C52">
        <w:rPr>
          <w:noProof/>
        </w:rPr>
        <w:t xml:space="preserve">all </w:t>
      </w:r>
      <w:r w:rsidR="00926F0C" w:rsidRPr="00870C52">
        <w:rPr>
          <w:noProof/>
        </w:rPr>
        <w:t xml:space="preserve">the </w:t>
      </w:r>
      <w:r w:rsidR="0010757F" w:rsidRPr="00870C52">
        <w:rPr>
          <w:noProof/>
        </w:rPr>
        <w:t xml:space="preserve">sectors </w:t>
      </w:r>
      <w:r w:rsidR="00926F0C" w:rsidRPr="00870C52">
        <w:rPr>
          <w:noProof/>
        </w:rPr>
        <w:t xml:space="preserve">analysed </w:t>
      </w:r>
      <w:r w:rsidR="0010757F" w:rsidRPr="00870C52">
        <w:rPr>
          <w:noProof/>
        </w:rPr>
        <w:t>highlight</w:t>
      </w:r>
      <w:r w:rsidR="00933533" w:rsidRPr="00870C52">
        <w:rPr>
          <w:noProof/>
        </w:rPr>
        <w:t xml:space="preserve"> </w:t>
      </w:r>
      <w:r w:rsidR="004278D4" w:rsidRPr="00870C52">
        <w:rPr>
          <w:noProof/>
        </w:rPr>
        <w:t xml:space="preserve">the inherent difficulties </w:t>
      </w:r>
      <w:r w:rsidR="00933533" w:rsidRPr="00870C52">
        <w:rPr>
          <w:noProof/>
        </w:rPr>
        <w:t xml:space="preserve">in recovering </w:t>
      </w:r>
      <w:r w:rsidR="004278D4" w:rsidRPr="00870C52">
        <w:rPr>
          <w:noProof/>
        </w:rPr>
        <w:t xml:space="preserve">funds </w:t>
      </w:r>
      <w:r w:rsidR="00933533" w:rsidRPr="00870C52">
        <w:rPr>
          <w:noProof/>
        </w:rPr>
        <w:t xml:space="preserve">linked </w:t>
      </w:r>
      <w:r w:rsidR="004278D4" w:rsidRPr="00870C52">
        <w:rPr>
          <w:noProof/>
        </w:rPr>
        <w:t>to fraud</w:t>
      </w:r>
      <w:r w:rsidR="00ED1537" w:rsidRPr="00870C52">
        <w:rPr>
          <w:noProof/>
        </w:rPr>
        <w:t xml:space="preserve"> cases</w:t>
      </w:r>
      <w:r w:rsidR="004278D4" w:rsidRPr="00870C52">
        <w:rPr>
          <w:noProof/>
        </w:rPr>
        <w:t xml:space="preserve">. </w:t>
      </w:r>
    </w:p>
    <w:p w14:paraId="1BF38869" w14:textId="4116A9C4" w:rsidR="00357B54" w:rsidRPr="00DE3A6F" w:rsidRDefault="001A3A38"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870C52">
        <w:rPr>
          <w:noProof/>
        </w:rPr>
        <w:t>The d</w:t>
      </w:r>
      <w:r w:rsidR="00357B54" w:rsidRPr="00870C52">
        <w:rPr>
          <w:noProof/>
        </w:rPr>
        <w:t xml:space="preserve">ata </w:t>
      </w:r>
      <w:r w:rsidR="00805819" w:rsidRPr="00870C52">
        <w:rPr>
          <w:noProof/>
        </w:rPr>
        <w:t>repor</w:t>
      </w:r>
      <w:r w:rsidR="00F44D39" w:rsidRPr="00870C52">
        <w:rPr>
          <w:noProof/>
        </w:rPr>
        <w:t xml:space="preserve">ted by Member States </w:t>
      </w:r>
      <w:r w:rsidR="00357B54" w:rsidRPr="00870C52">
        <w:rPr>
          <w:noProof/>
        </w:rPr>
        <w:t xml:space="preserve">indicate that </w:t>
      </w:r>
      <w:r w:rsidR="00E526A3" w:rsidRPr="00870C52">
        <w:rPr>
          <w:noProof/>
        </w:rPr>
        <w:t xml:space="preserve">only a </w:t>
      </w:r>
      <w:r w:rsidRPr="00870C52">
        <w:rPr>
          <w:noProof/>
        </w:rPr>
        <w:t xml:space="preserve">few </w:t>
      </w:r>
      <w:r w:rsidR="00F36466" w:rsidRPr="00870C52">
        <w:rPr>
          <w:noProof/>
        </w:rPr>
        <w:t xml:space="preserve">criminal </w:t>
      </w:r>
      <w:r w:rsidR="00B1759D" w:rsidRPr="00870C52">
        <w:rPr>
          <w:noProof/>
        </w:rPr>
        <w:t>proceeding</w:t>
      </w:r>
      <w:r w:rsidRPr="00870C52">
        <w:rPr>
          <w:noProof/>
        </w:rPr>
        <w:t>s</w:t>
      </w:r>
      <w:r w:rsidR="00B1759D" w:rsidRPr="00870C52">
        <w:rPr>
          <w:noProof/>
        </w:rPr>
        <w:t xml:space="preserve"> result in successful </w:t>
      </w:r>
      <w:r w:rsidR="003950F9" w:rsidRPr="00870C52">
        <w:rPr>
          <w:noProof/>
        </w:rPr>
        <w:t>recovery of funds</w:t>
      </w:r>
      <w:r w:rsidR="00F54DD1" w:rsidRPr="00870C52">
        <w:rPr>
          <w:noProof/>
        </w:rPr>
        <w:t>.</w:t>
      </w:r>
      <w:r w:rsidR="005F1626" w:rsidRPr="00870C52">
        <w:rPr>
          <w:noProof/>
        </w:rPr>
        <w:t xml:space="preserve"> </w:t>
      </w:r>
      <w:r w:rsidR="00703A93" w:rsidRPr="00870C52">
        <w:rPr>
          <w:noProof/>
        </w:rPr>
        <w:t>From 2015 to 2025</w:t>
      </w:r>
      <w:r w:rsidRPr="00870C52">
        <w:rPr>
          <w:noProof/>
        </w:rPr>
        <w:t>,</w:t>
      </w:r>
      <w:r w:rsidR="00703A93" w:rsidRPr="00870C52">
        <w:rPr>
          <w:noProof/>
        </w:rPr>
        <w:t xml:space="preserve"> </w:t>
      </w:r>
      <w:r w:rsidR="00DA1320" w:rsidRPr="00870C52">
        <w:rPr>
          <w:noProof/>
        </w:rPr>
        <w:t xml:space="preserve">this </w:t>
      </w:r>
      <w:r w:rsidRPr="00870C52">
        <w:rPr>
          <w:noProof/>
        </w:rPr>
        <w:t xml:space="preserve">amounted </w:t>
      </w:r>
      <w:r w:rsidR="00DA1320" w:rsidRPr="00870C52">
        <w:rPr>
          <w:noProof/>
        </w:rPr>
        <w:t xml:space="preserve">to about </w:t>
      </w:r>
      <w:r w:rsidR="00F61EA0" w:rsidRPr="00870C52">
        <w:rPr>
          <w:noProof/>
        </w:rPr>
        <w:t>EUR</w:t>
      </w:r>
      <w:r w:rsidR="00F61EA0">
        <w:rPr>
          <w:noProof/>
        </w:rPr>
        <w:t> </w:t>
      </w:r>
      <w:r w:rsidR="00DA1320" w:rsidRPr="00870C52">
        <w:rPr>
          <w:noProof/>
        </w:rPr>
        <w:t>180 million</w:t>
      </w:r>
      <w:r w:rsidR="00805819" w:rsidRPr="00870C52">
        <w:rPr>
          <w:noProof/>
        </w:rPr>
        <w:t xml:space="preserve"> in shared management.</w:t>
      </w:r>
    </w:p>
    <w:p w14:paraId="24D8BFCF" w14:textId="05735680" w:rsidR="00666B44" w:rsidRPr="00DE3A6F" w:rsidRDefault="00B1759D"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46014F">
        <w:rPr>
          <w:noProof/>
        </w:rPr>
        <w:t>By contrast</w:t>
      </w:r>
      <w:r w:rsidR="002C0020" w:rsidRPr="0046014F">
        <w:rPr>
          <w:noProof/>
        </w:rPr>
        <w:t>, administrative proceeding</w:t>
      </w:r>
      <w:r w:rsidR="005153BD" w:rsidRPr="0046014F">
        <w:rPr>
          <w:noProof/>
        </w:rPr>
        <w:t>s</w:t>
      </w:r>
      <w:r w:rsidR="002C0020" w:rsidRPr="0046014F">
        <w:rPr>
          <w:noProof/>
        </w:rPr>
        <w:t xml:space="preserve"> </w:t>
      </w:r>
      <w:r w:rsidR="00E26B06" w:rsidRPr="0046014F">
        <w:rPr>
          <w:noProof/>
        </w:rPr>
        <w:t xml:space="preserve">yield better </w:t>
      </w:r>
      <w:r w:rsidR="00AC6D8B" w:rsidRPr="0046014F">
        <w:rPr>
          <w:noProof/>
        </w:rPr>
        <w:t>results</w:t>
      </w:r>
      <w:r w:rsidR="002C0020" w:rsidRPr="0046014F">
        <w:rPr>
          <w:noProof/>
        </w:rPr>
        <w:t xml:space="preserve">, as they allow for </w:t>
      </w:r>
      <w:r w:rsidR="00E26B06" w:rsidRPr="0046014F">
        <w:rPr>
          <w:noProof/>
        </w:rPr>
        <w:t>swifter resolution</w:t>
      </w:r>
      <w:r w:rsidR="00FE092A" w:rsidRPr="0046014F">
        <w:rPr>
          <w:noProof/>
        </w:rPr>
        <w:t xml:space="preserve"> of the financial aspects </w:t>
      </w:r>
      <w:r w:rsidR="00C24D05" w:rsidRPr="0046014F">
        <w:rPr>
          <w:noProof/>
        </w:rPr>
        <w:t xml:space="preserve">related </w:t>
      </w:r>
      <w:r w:rsidR="00FE092A" w:rsidRPr="0046014F">
        <w:rPr>
          <w:noProof/>
        </w:rPr>
        <w:t>to irregularities.</w:t>
      </w:r>
      <w:r w:rsidR="00805819" w:rsidRPr="0046014F">
        <w:rPr>
          <w:noProof/>
        </w:rPr>
        <w:t xml:space="preserve"> </w:t>
      </w:r>
      <w:r w:rsidR="006F56AE" w:rsidRPr="0046014F">
        <w:rPr>
          <w:noProof/>
        </w:rPr>
        <w:t>From 2015 to 2025</w:t>
      </w:r>
      <w:r w:rsidR="00805819" w:rsidRPr="0046014F">
        <w:rPr>
          <w:noProof/>
        </w:rPr>
        <w:t xml:space="preserve">, Member States </w:t>
      </w:r>
      <w:r w:rsidR="00F44D39" w:rsidRPr="0046014F">
        <w:rPr>
          <w:noProof/>
        </w:rPr>
        <w:t xml:space="preserve">reported </w:t>
      </w:r>
      <w:r w:rsidR="00AC6D8B" w:rsidRPr="0046014F">
        <w:rPr>
          <w:noProof/>
        </w:rPr>
        <w:t xml:space="preserve">that </w:t>
      </w:r>
      <w:r w:rsidR="00134742" w:rsidRPr="0046014F">
        <w:rPr>
          <w:noProof/>
        </w:rPr>
        <w:t>about</w:t>
      </w:r>
      <w:r w:rsidR="00B14B63" w:rsidRPr="0046014F">
        <w:rPr>
          <w:noProof/>
        </w:rPr>
        <w:t xml:space="preserve"> </w:t>
      </w:r>
      <w:r w:rsidR="00F61EA0" w:rsidRPr="0046014F">
        <w:rPr>
          <w:noProof/>
        </w:rPr>
        <w:t>EUR</w:t>
      </w:r>
      <w:r w:rsidR="00F61EA0">
        <w:rPr>
          <w:noProof/>
        </w:rPr>
        <w:t> </w:t>
      </w:r>
      <w:r w:rsidR="00B14B63" w:rsidRPr="0046014F">
        <w:rPr>
          <w:noProof/>
        </w:rPr>
        <w:t>5 billion</w:t>
      </w:r>
      <w:r w:rsidR="005B078C" w:rsidRPr="0046014F">
        <w:rPr>
          <w:noProof/>
        </w:rPr>
        <w:t xml:space="preserve"> </w:t>
      </w:r>
      <w:r w:rsidR="00371C48" w:rsidRPr="0046014F">
        <w:rPr>
          <w:noProof/>
        </w:rPr>
        <w:t xml:space="preserve">had been recovered </w:t>
      </w:r>
      <w:r w:rsidR="0010757F" w:rsidRPr="0046014F">
        <w:rPr>
          <w:noProof/>
        </w:rPr>
        <w:t>in</w:t>
      </w:r>
      <w:r w:rsidR="005B078C" w:rsidRPr="0046014F">
        <w:rPr>
          <w:noProof/>
        </w:rPr>
        <w:t xml:space="preserve"> shared </w:t>
      </w:r>
      <w:r w:rsidR="0036148D" w:rsidRPr="0046014F">
        <w:rPr>
          <w:noProof/>
        </w:rPr>
        <w:t>management</w:t>
      </w:r>
      <w:r w:rsidR="006F56AE" w:rsidRPr="0046014F">
        <w:rPr>
          <w:noProof/>
        </w:rPr>
        <w:t>.</w:t>
      </w:r>
    </w:p>
    <w:p w14:paraId="70F87A30" w14:textId="4D37B0D3" w:rsidR="005B078C" w:rsidRPr="00DE3A6F" w:rsidRDefault="005B078C" w:rsidP="00666B44">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Over the same period, joint efforts of OLAF and the Commission resulted in </w:t>
      </w:r>
      <w:r w:rsidR="007F06F4" w:rsidRPr="00DE3A6F">
        <w:rPr>
          <w:noProof/>
        </w:rPr>
        <w:t xml:space="preserve">almost </w:t>
      </w:r>
      <w:r w:rsidR="00B3792C" w:rsidRPr="00CA1602">
        <w:rPr>
          <w:noProof/>
        </w:rPr>
        <w:t>EUR </w:t>
      </w:r>
      <w:r w:rsidR="007F06F4" w:rsidRPr="00DE3A6F">
        <w:rPr>
          <w:noProof/>
        </w:rPr>
        <w:t xml:space="preserve">825 million </w:t>
      </w:r>
      <w:r w:rsidR="000D7470">
        <w:rPr>
          <w:noProof/>
        </w:rPr>
        <w:t xml:space="preserve">recovered </w:t>
      </w:r>
      <w:r w:rsidR="007F06F4" w:rsidRPr="00DE3A6F">
        <w:rPr>
          <w:noProof/>
        </w:rPr>
        <w:t>across all management modes, following financial recommendations from OLAF.</w:t>
      </w:r>
    </w:p>
    <w:p w14:paraId="534B5957" w14:textId="77777777" w:rsidR="00730FF7" w:rsidRPr="00DE3A6F" w:rsidRDefault="00730FF7" w:rsidP="008B28F1">
      <w:pPr>
        <w:pStyle w:val="Caption"/>
        <w:rPr>
          <w:noProof/>
        </w:rPr>
      </w:pPr>
    </w:p>
    <w:p w14:paraId="5DBFCD37" w14:textId="1BD25F54" w:rsidR="00E23EF1" w:rsidRPr="00DE3A6F" w:rsidRDefault="008B28F1" w:rsidP="00FE30BA">
      <w:pPr>
        <w:pStyle w:val="Caption"/>
        <w:keepNext/>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DE3A6F">
        <w:rPr>
          <w:noProof/>
        </w:rPr>
        <w:t xml:space="preserve">Snapshot </w:t>
      </w:r>
      <w:r w:rsidRPr="00DE3A6F">
        <w:rPr>
          <w:noProof/>
        </w:rPr>
        <w:fldChar w:fldCharType="begin"/>
      </w:r>
      <w:r w:rsidRPr="00DE3A6F">
        <w:rPr>
          <w:noProof/>
        </w:rPr>
        <w:instrText xml:space="preserve"> SEQ Snapshot \* ARABIC </w:instrText>
      </w:r>
      <w:r w:rsidRPr="00DE3A6F">
        <w:rPr>
          <w:noProof/>
        </w:rPr>
        <w:fldChar w:fldCharType="separate"/>
      </w:r>
      <w:r w:rsidR="009C1AC6">
        <w:rPr>
          <w:noProof/>
        </w:rPr>
        <w:t>8</w:t>
      </w:r>
      <w:r w:rsidRPr="00DE3A6F">
        <w:rPr>
          <w:noProof/>
        </w:rPr>
        <w:fldChar w:fldCharType="end"/>
      </w:r>
      <w:r w:rsidR="00646533" w:rsidRPr="00DE3A6F">
        <w:rPr>
          <w:noProof/>
        </w:rPr>
        <w:t xml:space="preserve">: Recovery following </w:t>
      </w:r>
      <w:r w:rsidR="00CA66AB">
        <w:rPr>
          <w:noProof/>
        </w:rPr>
        <w:t xml:space="preserve">the </w:t>
      </w:r>
      <w:r w:rsidR="00646533" w:rsidRPr="00DE3A6F">
        <w:rPr>
          <w:noProof/>
        </w:rPr>
        <w:t xml:space="preserve">EPPO </w:t>
      </w:r>
      <w:r w:rsidR="0036148D" w:rsidRPr="00DE3A6F">
        <w:rPr>
          <w:noProof/>
        </w:rPr>
        <w:t>notifications</w:t>
      </w:r>
    </w:p>
    <w:p w14:paraId="7E169580" w14:textId="211CA2D2" w:rsidR="00FE74CE" w:rsidRPr="0046014F" w:rsidRDefault="00663CAA" w:rsidP="5CCA96EB">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46014F">
        <w:rPr>
          <w:noProof/>
        </w:rPr>
        <w:t>The Commission</w:t>
      </w:r>
      <w:r w:rsidR="00DA5082" w:rsidRPr="0046014F">
        <w:rPr>
          <w:noProof/>
        </w:rPr>
        <w:t xml:space="preserve"> </w:t>
      </w:r>
      <w:r w:rsidR="008C4554" w:rsidRPr="0046014F">
        <w:rPr>
          <w:noProof/>
        </w:rPr>
        <w:t xml:space="preserve">is </w:t>
      </w:r>
      <w:r w:rsidR="00DA5082" w:rsidRPr="0046014F">
        <w:rPr>
          <w:noProof/>
        </w:rPr>
        <w:t>streamlin</w:t>
      </w:r>
      <w:r w:rsidR="008C4554" w:rsidRPr="0046014F">
        <w:rPr>
          <w:noProof/>
        </w:rPr>
        <w:t>ing</w:t>
      </w:r>
      <w:r w:rsidR="00DA5082" w:rsidRPr="0046014F">
        <w:rPr>
          <w:noProof/>
        </w:rPr>
        <w:t xml:space="preserve"> its procedures to</w:t>
      </w:r>
      <w:r w:rsidR="00A91E69" w:rsidRPr="0046014F">
        <w:rPr>
          <w:noProof/>
        </w:rPr>
        <w:t xml:space="preserve"> </w:t>
      </w:r>
      <w:r w:rsidR="00865903" w:rsidRPr="0046014F">
        <w:rPr>
          <w:noProof/>
        </w:rPr>
        <w:t>follow up</w:t>
      </w:r>
      <w:r w:rsidR="00A91E69" w:rsidRPr="0046014F">
        <w:rPr>
          <w:noProof/>
        </w:rPr>
        <w:t xml:space="preserve"> on notifications received from the EPPO. </w:t>
      </w:r>
    </w:p>
    <w:p w14:paraId="4AA123A6" w14:textId="28606F86" w:rsidR="00646533" w:rsidRPr="00DE3A6F" w:rsidRDefault="00A91E69" w:rsidP="5CCA96EB">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46014F">
        <w:rPr>
          <w:noProof/>
        </w:rPr>
        <w:t xml:space="preserve">The 2025 monitoring exercise </w:t>
      </w:r>
      <w:r w:rsidR="008C1541" w:rsidRPr="0046014F">
        <w:rPr>
          <w:noProof/>
        </w:rPr>
        <w:t>covered 5</w:t>
      </w:r>
      <w:r w:rsidR="6C1046DE" w:rsidRPr="0046014F">
        <w:rPr>
          <w:noProof/>
        </w:rPr>
        <w:t>88</w:t>
      </w:r>
      <w:r w:rsidR="00151FFC" w:rsidRPr="0046014F">
        <w:rPr>
          <w:noProof/>
        </w:rPr>
        <w:t xml:space="preserve"> EPPO</w:t>
      </w:r>
      <w:r w:rsidR="008C1541" w:rsidRPr="0046014F">
        <w:rPr>
          <w:noProof/>
        </w:rPr>
        <w:t xml:space="preserve"> notifications (</w:t>
      </w:r>
      <w:r w:rsidR="00865903" w:rsidRPr="0046014F">
        <w:rPr>
          <w:noProof/>
        </w:rPr>
        <w:t xml:space="preserve">it being noted </w:t>
      </w:r>
      <w:r w:rsidR="00161E58" w:rsidRPr="0046014F">
        <w:rPr>
          <w:noProof/>
        </w:rPr>
        <w:t xml:space="preserve">that several notifications may stem </w:t>
      </w:r>
      <w:r w:rsidR="008C1541" w:rsidRPr="0046014F">
        <w:rPr>
          <w:noProof/>
        </w:rPr>
        <w:t xml:space="preserve">from </w:t>
      </w:r>
      <w:r w:rsidR="003D4C2B" w:rsidRPr="0046014F">
        <w:rPr>
          <w:noProof/>
        </w:rPr>
        <w:t xml:space="preserve">a single </w:t>
      </w:r>
      <w:r w:rsidR="008C1541" w:rsidRPr="0046014F">
        <w:rPr>
          <w:noProof/>
        </w:rPr>
        <w:t>investigation)</w:t>
      </w:r>
      <w:r w:rsidR="0072111A">
        <w:rPr>
          <w:noProof/>
        </w:rPr>
        <w:t xml:space="preserve">. This figure also includes </w:t>
      </w:r>
      <w:r w:rsidR="00653943">
        <w:rPr>
          <w:noProof/>
        </w:rPr>
        <w:t xml:space="preserve">notifications sent in </w:t>
      </w:r>
      <w:r w:rsidR="0072111A">
        <w:rPr>
          <w:noProof/>
        </w:rPr>
        <w:t xml:space="preserve">previous </w:t>
      </w:r>
      <w:r w:rsidR="00653943">
        <w:rPr>
          <w:noProof/>
        </w:rPr>
        <w:t>years.</w:t>
      </w:r>
    </w:p>
    <w:p w14:paraId="53CC2FA2" w14:textId="4B505006" w:rsidR="00BC6181" w:rsidRPr="00DE3A6F" w:rsidRDefault="003D4C2B"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46014F">
        <w:rPr>
          <w:noProof/>
        </w:rPr>
        <w:t xml:space="preserve">On </w:t>
      </w:r>
      <w:r w:rsidR="00BC6181" w:rsidRPr="0046014F">
        <w:rPr>
          <w:b/>
          <w:bCs/>
          <w:noProof/>
        </w:rPr>
        <w:t>revenue</w:t>
      </w:r>
      <w:r w:rsidR="00BC6181" w:rsidRPr="0046014F">
        <w:rPr>
          <w:noProof/>
        </w:rPr>
        <w:t xml:space="preserve">, the EPPO notified the Commission of estimated damage of </w:t>
      </w:r>
      <w:r w:rsidRPr="0046014F">
        <w:rPr>
          <w:noProof/>
        </w:rPr>
        <w:t>EUR </w:t>
      </w:r>
      <w:r w:rsidR="00BC6181" w:rsidRPr="0046014F">
        <w:rPr>
          <w:noProof/>
        </w:rPr>
        <w:t>1.7 billion, a</w:t>
      </w:r>
      <w:r w:rsidR="00B84C69" w:rsidRPr="0046014F">
        <w:rPr>
          <w:noProof/>
        </w:rPr>
        <w:t>l</w:t>
      </w:r>
      <w:r w:rsidR="00BC6181" w:rsidRPr="0046014F">
        <w:rPr>
          <w:noProof/>
        </w:rPr>
        <w:t xml:space="preserve">most exclusively </w:t>
      </w:r>
      <w:r w:rsidR="00B102DE" w:rsidRPr="0046014F">
        <w:rPr>
          <w:noProof/>
        </w:rPr>
        <w:t xml:space="preserve">related </w:t>
      </w:r>
      <w:r w:rsidR="00BC6181" w:rsidRPr="0046014F">
        <w:rPr>
          <w:noProof/>
        </w:rPr>
        <w:t xml:space="preserve">to VAT </w:t>
      </w:r>
      <w:r w:rsidR="00D90887" w:rsidRPr="0046014F">
        <w:rPr>
          <w:noProof/>
        </w:rPr>
        <w:t>and</w:t>
      </w:r>
      <w:r w:rsidR="00B102DE" w:rsidRPr="0046014F">
        <w:rPr>
          <w:noProof/>
        </w:rPr>
        <w:t xml:space="preserve"> thus primarily</w:t>
      </w:r>
      <w:r w:rsidR="00D90887" w:rsidRPr="0046014F">
        <w:rPr>
          <w:noProof/>
        </w:rPr>
        <w:t xml:space="preserve"> affecting national budgets (</w:t>
      </w:r>
      <w:r w:rsidR="00D90887" w:rsidRPr="0046014F">
        <w:rPr>
          <w:rStyle w:val="FootnoteReference"/>
          <w:noProof/>
        </w:rPr>
        <w:footnoteReference w:id="62"/>
      </w:r>
      <w:r w:rsidR="00D90887" w:rsidRPr="0046014F">
        <w:rPr>
          <w:noProof/>
        </w:rPr>
        <w:t>)</w:t>
      </w:r>
      <w:r w:rsidR="00A84946" w:rsidRPr="0046014F">
        <w:rPr>
          <w:noProof/>
        </w:rPr>
        <w:t>.</w:t>
      </w:r>
    </w:p>
    <w:p w14:paraId="209D7B77" w14:textId="4F09B375" w:rsidR="00A84946" w:rsidRDefault="00B102DE" w:rsidP="5CCA96EB">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46014F">
        <w:rPr>
          <w:noProof/>
        </w:rPr>
        <w:t>On the</w:t>
      </w:r>
      <w:r w:rsidR="00A84946" w:rsidRPr="0046014F">
        <w:rPr>
          <w:noProof/>
        </w:rPr>
        <w:t xml:space="preserve"> </w:t>
      </w:r>
      <w:r w:rsidR="00A84946" w:rsidRPr="0046014F">
        <w:rPr>
          <w:b/>
          <w:bCs/>
          <w:noProof/>
        </w:rPr>
        <w:t>expenditure</w:t>
      </w:r>
      <w:r w:rsidRPr="0046014F">
        <w:rPr>
          <w:b/>
          <w:bCs/>
          <w:noProof/>
        </w:rPr>
        <w:t xml:space="preserve"> </w:t>
      </w:r>
      <w:r w:rsidRPr="0046014F">
        <w:rPr>
          <w:noProof/>
        </w:rPr>
        <w:t>side</w:t>
      </w:r>
      <w:r w:rsidR="00A84946" w:rsidRPr="0046014F">
        <w:rPr>
          <w:noProof/>
        </w:rPr>
        <w:t xml:space="preserve">, </w:t>
      </w:r>
      <w:r w:rsidR="00D21613" w:rsidRPr="0046014F">
        <w:rPr>
          <w:noProof/>
        </w:rPr>
        <w:t>the</w:t>
      </w:r>
      <w:r w:rsidR="0077544C" w:rsidRPr="0046014F">
        <w:rPr>
          <w:noProof/>
        </w:rPr>
        <w:t xml:space="preserve"> financial</w:t>
      </w:r>
      <w:r w:rsidR="00D21613" w:rsidRPr="0046014F">
        <w:rPr>
          <w:noProof/>
        </w:rPr>
        <w:t xml:space="preserve"> damage</w:t>
      </w:r>
      <w:r w:rsidR="0077544C" w:rsidRPr="0046014F">
        <w:rPr>
          <w:noProof/>
        </w:rPr>
        <w:t xml:space="preserve"> amounts stated by the EPPO relating to </w:t>
      </w:r>
      <w:r w:rsidR="002B538D" w:rsidRPr="0046014F">
        <w:rPr>
          <w:noProof/>
        </w:rPr>
        <w:t>its investigations</w:t>
      </w:r>
      <w:r w:rsidR="00D21613" w:rsidRPr="0046014F">
        <w:rPr>
          <w:noProof/>
        </w:rPr>
        <w:t xml:space="preserve"> </w:t>
      </w:r>
      <w:r w:rsidR="007564A6" w:rsidRPr="0046014F">
        <w:rPr>
          <w:noProof/>
        </w:rPr>
        <w:t xml:space="preserve">amounts </w:t>
      </w:r>
      <w:r w:rsidR="00BA6FC2" w:rsidRPr="0046014F">
        <w:rPr>
          <w:noProof/>
        </w:rPr>
        <w:t>to</w:t>
      </w:r>
      <w:r w:rsidR="00D21613" w:rsidRPr="0046014F">
        <w:rPr>
          <w:noProof/>
        </w:rPr>
        <w:t xml:space="preserve"> </w:t>
      </w:r>
      <w:r w:rsidR="00BA6FC2" w:rsidRPr="0046014F">
        <w:rPr>
          <w:noProof/>
        </w:rPr>
        <w:t>EUR </w:t>
      </w:r>
      <w:r w:rsidR="00D21613" w:rsidRPr="0046014F">
        <w:rPr>
          <w:noProof/>
        </w:rPr>
        <w:t>90</w:t>
      </w:r>
      <w:r w:rsidR="6E7415ED" w:rsidRPr="0046014F">
        <w:rPr>
          <w:noProof/>
        </w:rPr>
        <w:t>0</w:t>
      </w:r>
      <w:r w:rsidR="00D21613" w:rsidRPr="0046014F">
        <w:rPr>
          <w:noProof/>
        </w:rPr>
        <w:t xml:space="preserve"> million. </w:t>
      </w:r>
      <w:r w:rsidR="00100B58">
        <w:rPr>
          <w:noProof/>
        </w:rPr>
        <w:t>O</w:t>
      </w:r>
      <w:r w:rsidR="002E57EA" w:rsidRPr="0046014F">
        <w:rPr>
          <w:noProof/>
        </w:rPr>
        <w:t xml:space="preserve">ver </w:t>
      </w:r>
      <w:r w:rsidR="2E2AAB57" w:rsidRPr="0046014F">
        <w:rPr>
          <w:noProof/>
        </w:rPr>
        <w:t>72</w:t>
      </w:r>
      <w:r w:rsidR="00D21613" w:rsidRPr="0046014F">
        <w:rPr>
          <w:noProof/>
        </w:rPr>
        <w:t xml:space="preserve">% of this estimated amount refers to ongoing </w:t>
      </w:r>
      <w:r w:rsidR="002B538D" w:rsidRPr="0046014F">
        <w:rPr>
          <w:noProof/>
        </w:rPr>
        <w:t xml:space="preserve">EPPO </w:t>
      </w:r>
      <w:r w:rsidR="00D21613" w:rsidRPr="0046014F">
        <w:rPr>
          <w:noProof/>
        </w:rPr>
        <w:t>investigations</w:t>
      </w:r>
      <w:r w:rsidR="00DD1116" w:rsidRPr="0046014F">
        <w:rPr>
          <w:noProof/>
        </w:rPr>
        <w:t>,</w:t>
      </w:r>
      <w:r w:rsidR="00D21613" w:rsidRPr="0046014F">
        <w:rPr>
          <w:noProof/>
        </w:rPr>
        <w:t xml:space="preserve"> </w:t>
      </w:r>
      <w:r w:rsidR="00322836" w:rsidRPr="0046014F">
        <w:rPr>
          <w:noProof/>
        </w:rPr>
        <w:t>meaning the</w:t>
      </w:r>
      <w:r w:rsidR="00DD1116" w:rsidRPr="0046014F">
        <w:rPr>
          <w:noProof/>
        </w:rPr>
        <w:t xml:space="preserve"> </w:t>
      </w:r>
      <w:r w:rsidR="00D21613" w:rsidRPr="0046014F">
        <w:rPr>
          <w:noProof/>
        </w:rPr>
        <w:t>figure is likely to change</w:t>
      </w:r>
      <w:r w:rsidR="00B6669F" w:rsidRPr="0046014F">
        <w:rPr>
          <w:noProof/>
        </w:rPr>
        <w:t xml:space="preserve"> as cases are concluded in </w:t>
      </w:r>
      <w:r w:rsidR="00322836" w:rsidRPr="0046014F">
        <w:rPr>
          <w:noProof/>
        </w:rPr>
        <w:t xml:space="preserve">the </w:t>
      </w:r>
      <w:r w:rsidR="00B6669F" w:rsidRPr="0046014F">
        <w:rPr>
          <w:noProof/>
        </w:rPr>
        <w:t xml:space="preserve">coming years. The Commission </w:t>
      </w:r>
      <w:r w:rsidR="00DD1116" w:rsidRPr="0046014F">
        <w:rPr>
          <w:noProof/>
        </w:rPr>
        <w:t xml:space="preserve">has </w:t>
      </w:r>
      <w:r w:rsidR="5CFBA74D" w:rsidRPr="0046014F">
        <w:rPr>
          <w:noProof/>
        </w:rPr>
        <w:t>established the damage at EUR</w:t>
      </w:r>
      <w:r w:rsidR="00933395" w:rsidRPr="0046014F">
        <w:rPr>
          <w:noProof/>
        </w:rPr>
        <w:t> </w:t>
      </w:r>
      <w:r w:rsidR="5CFBA74D" w:rsidRPr="0046014F">
        <w:rPr>
          <w:noProof/>
        </w:rPr>
        <w:t>190 million. EUR</w:t>
      </w:r>
      <w:r w:rsidR="00933395" w:rsidRPr="0046014F">
        <w:rPr>
          <w:noProof/>
        </w:rPr>
        <w:t> </w:t>
      </w:r>
      <w:r w:rsidR="5CFBA74D" w:rsidRPr="0046014F">
        <w:rPr>
          <w:noProof/>
        </w:rPr>
        <w:t xml:space="preserve">30 million </w:t>
      </w:r>
      <w:r w:rsidR="00864427" w:rsidRPr="0046014F">
        <w:rPr>
          <w:noProof/>
        </w:rPr>
        <w:t>have</w:t>
      </w:r>
      <w:r w:rsidR="5CFBA74D" w:rsidRPr="0046014F">
        <w:rPr>
          <w:noProof/>
        </w:rPr>
        <w:t xml:space="preserve"> already </w:t>
      </w:r>
      <w:r w:rsidR="00864427" w:rsidRPr="0046014F">
        <w:rPr>
          <w:noProof/>
        </w:rPr>
        <w:t xml:space="preserve">been </w:t>
      </w:r>
      <w:r w:rsidR="5CFBA74D" w:rsidRPr="0046014F">
        <w:rPr>
          <w:noProof/>
        </w:rPr>
        <w:t xml:space="preserve">recovered and </w:t>
      </w:r>
      <w:r w:rsidR="00933395" w:rsidRPr="0046014F">
        <w:rPr>
          <w:noProof/>
        </w:rPr>
        <w:t>EUR </w:t>
      </w:r>
      <w:r w:rsidR="5CFBA74D" w:rsidRPr="0046014F">
        <w:rPr>
          <w:noProof/>
        </w:rPr>
        <w:t>15 million prevented from being unduly spent.</w:t>
      </w:r>
    </w:p>
    <w:p w14:paraId="7DAC8DCF" w14:textId="77777777" w:rsidR="005264E3" w:rsidRPr="00DE3A6F" w:rsidRDefault="005264E3" w:rsidP="005264E3">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46014F">
        <w:rPr>
          <w:noProof/>
        </w:rPr>
        <w:t>The consolidation of these figures in the years ahead will offer a more complete picture of the situation.</w:t>
      </w:r>
    </w:p>
    <w:p w14:paraId="001C0683" w14:textId="133C3604" w:rsidR="00D34AF6" w:rsidRPr="0046014F" w:rsidRDefault="00842296"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Pr>
          <w:noProof/>
        </w:rPr>
        <w:t>When</w:t>
      </w:r>
      <w:r w:rsidRPr="0046014F">
        <w:rPr>
          <w:noProof/>
        </w:rPr>
        <w:t xml:space="preserve"> </w:t>
      </w:r>
      <w:r w:rsidR="00F42CA8" w:rsidRPr="0046014F">
        <w:rPr>
          <w:noProof/>
        </w:rPr>
        <w:t xml:space="preserve">investigations </w:t>
      </w:r>
      <w:r w:rsidR="0046014F">
        <w:rPr>
          <w:noProof/>
        </w:rPr>
        <w:t>or criminal</w:t>
      </w:r>
      <w:r w:rsidR="00F42CA8" w:rsidRPr="0046014F">
        <w:rPr>
          <w:noProof/>
        </w:rPr>
        <w:t xml:space="preserve"> proceedings are </w:t>
      </w:r>
      <w:r>
        <w:rPr>
          <w:noProof/>
        </w:rPr>
        <w:t>completed</w:t>
      </w:r>
      <w:r w:rsidR="00F42CA8" w:rsidRPr="0046014F">
        <w:rPr>
          <w:noProof/>
        </w:rPr>
        <w:t xml:space="preserve">, </w:t>
      </w:r>
      <w:r>
        <w:rPr>
          <w:noProof/>
        </w:rPr>
        <w:t>with the support</w:t>
      </w:r>
      <w:r w:rsidR="00F42CA8" w:rsidRPr="0046014F">
        <w:rPr>
          <w:noProof/>
        </w:rPr>
        <w:t xml:space="preserve"> of </w:t>
      </w:r>
      <w:r w:rsidR="00AE3F77" w:rsidRPr="0046014F">
        <w:rPr>
          <w:noProof/>
        </w:rPr>
        <w:t xml:space="preserve">adequate evidence </w:t>
      </w:r>
      <w:r w:rsidR="00D70ABD" w:rsidRPr="0046014F">
        <w:rPr>
          <w:noProof/>
        </w:rPr>
        <w:t xml:space="preserve">proving </w:t>
      </w:r>
      <w:r w:rsidR="00F17DE6" w:rsidRPr="0046014F">
        <w:rPr>
          <w:noProof/>
        </w:rPr>
        <w:t>fraudulent</w:t>
      </w:r>
      <w:r w:rsidR="00D70ABD" w:rsidRPr="0046014F">
        <w:rPr>
          <w:noProof/>
        </w:rPr>
        <w:t xml:space="preserve"> or irregular behaviour, the Commission can</w:t>
      </w:r>
      <w:r w:rsidR="00892CE7" w:rsidRPr="0046014F">
        <w:rPr>
          <w:noProof/>
        </w:rPr>
        <w:t xml:space="preserve"> successfully proceed to the</w:t>
      </w:r>
      <w:r>
        <w:rPr>
          <w:noProof/>
        </w:rPr>
        <w:t xml:space="preserve"> </w:t>
      </w:r>
      <w:r w:rsidRPr="0046014F">
        <w:rPr>
          <w:noProof/>
        </w:rPr>
        <w:t>adoption of precautionary measures</w:t>
      </w:r>
      <w:r>
        <w:rPr>
          <w:noProof/>
        </w:rPr>
        <w:t xml:space="preserve"> and the</w:t>
      </w:r>
      <w:r w:rsidR="00892CE7" w:rsidRPr="0046014F">
        <w:rPr>
          <w:noProof/>
        </w:rPr>
        <w:t xml:space="preserve"> protection of the affected funds</w:t>
      </w:r>
      <w:r w:rsidR="00730FF7" w:rsidRPr="0046014F">
        <w:rPr>
          <w:noProof/>
        </w:rPr>
        <w:t>.</w:t>
      </w:r>
      <w:r w:rsidR="00F17DE6" w:rsidRPr="0046014F">
        <w:rPr>
          <w:noProof/>
        </w:rPr>
        <w:t xml:space="preserve"> </w:t>
      </w:r>
    </w:p>
    <w:p w14:paraId="6B1261D2" w14:textId="5D5C313F" w:rsidR="00F43E85" w:rsidRPr="00CA1602" w:rsidRDefault="00F43E85" w:rsidP="00F43E85">
      <w:pPr>
        <w:pStyle w:val="Heading4"/>
        <w:rPr>
          <w:noProof/>
        </w:rPr>
      </w:pPr>
      <w:bookmarkStart w:id="68" w:name="_Toc234447074"/>
      <w:r w:rsidRPr="00DE3A6F">
        <w:rPr>
          <w:noProof/>
        </w:rPr>
        <w:t>Sanctioning</w:t>
      </w:r>
      <w:bookmarkEnd w:id="68"/>
    </w:p>
    <w:p w14:paraId="22BCE447" w14:textId="4F3C4F22" w:rsidR="00F43E85" w:rsidRDefault="00817C51" w:rsidP="00F43E85">
      <w:pPr>
        <w:rPr>
          <w:noProof/>
        </w:rPr>
      </w:pPr>
      <w:r>
        <w:rPr>
          <w:noProof/>
        </w:rPr>
        <w:t>Recovering the sums unduly paid or evaded restores the financial damage of fraud and irregularities. However, i</w:t>
      </w:r>
      <w:r w:rsidR="00157DB4" w:rsidRPr="00157DB4">
        <w:rPr>
          <w:noProof/>
        </w:rPr>
        <w:t>mpos</w:t>
      </w:r>
      <w:r>
        <w:rPr>
          <w:noProof/>
        </w:rPr>
        <w:t>ing</w:t>
      </w:r>
      <w:r w:rsidR="00157DB4" w:rsidRPr="00157DB4">
        <w:rPr>
          <w:noProof/>
        </w:rPr>
        <w:t xml:space="preserve"> </w:t>
      </w:r>
      <w:r w:rsidR="00460849">
        <w:rPr>
          <w:noProof/>
        </w:rPr>
        <w:t xml:space="preserve">criminal </w:t>
      </w:r>
      <w:r w:rsidR="00157DB4" w:rsidRPr="00157DB4">
        <w:rPr>
          <w:noProof/>
        </w:rPr>
        <w:t xml:space="preserve">penalties </w:t>
      </w:r>
      <w:r>
        <w:rPr>
          <w:noProof/>
        </w:rPr>
        <w:t>is also</w:t>
      </w:r>
      <w:r w:rsidR="00157DB4" w:rsidRPr="00157DB4">
        <w:rPr>
          <w:noProof/>
        </w:rPr>
        <w:t xml:space="preserve"> critical for crime deterrence</w:t>
      </w:r>
      <w:r w:rsidR="00193F57">
        <w:rPr>
          <w:noProof/>
        </w:rPr>
        <w:t>,</w:t>
      </w:r>
      <w:r w:rsidR="00157DB4" w:rsidRPr="00157DB4">
        <w:rPr>
          <w:noProof/>
        </w:rPr>
        <w:t xml:space="preserve"> because </w:t>
      </w:r>
      <w:r w:rsidR="00157DB4" w:rsidRPr="00157DB4">
        <w:rPr>
          <w:noProof/>
        </w:rPr>
        <w:lastRenderedPageBreak/>
        <w:t xml:space="preserve">the threat of negative consequences </w:t>
      </w:r>
      <w:r w:rsidR="00193F57">
        <w:rPr>
          <w:noProof/>
        </w:rPr>
        <w:t>can</w:t>
      </w:r>
      <w:r w:rsidR="00157DB4" w:rsidRPr="00157DB4">
        <w:rPr>
          <w:noProof/>
        </w:rPr>
        <w:t xml:space="preserve"> dissuade both potential offenders (general deterrence) and the specific individual punished (specific deterrence) from committing future crimes.</w:t>
      </w:r>
    </w:p>
    <w:p w14:paraId="5454425F" w14:textId="087A4DE3" w:rsidR="00193F57" w:rsidRDefault="00193F57" w:rsidP="00F43E85">
      <w:pPr>
        <w:rPr>
          <w:noProof/>
        </w:rPr>
      </w:pPr>
      <w:r>
        <w:rPr>
          <w:b/>
          <w:bCs/>
          <w:noProof/>
        </w:rPr>
        <w:t xml:space="preserve">Figure 16 </w:t>
      </w:r>
      <w:r>
        <w:rPr>
          <w:noProof/>
        </w:rPr>
        <w:t xml:space="preserve">presents data on the number of </w:t>
      </w:r>
      <w:r w:rsidR="00A972B9">
        <w:rPr>
          <w:noProof/>
        </w:rPr>
        <w:t xml:space="preserve">cases concluded with established fraud as reported by the Member States </w:t>
      </w:r>
      <w:r w:rsidR="00A2313C">
        <w:rPr>
          <w:noProof/>
        </w:rPr>
        <w:t xml:space="preserve">in shared management </w:t>
      </w:r>
      <w:r w:rsidR="00A972B9">
        <w:rPr>
          <w:noProof/>
        </w:rPr>
        <w:t>(over the period 2016-2025) and the number of convictions following the EPPO’s investigations (in 2025).</w:t>
      </w:r>
    </w:p>
    <w:p w14:paraId="12216CA2" w14:textId="49F3627C" w:rsidR="006521B4" w:rsidRPr="00193F57" w:rsidRDefault="00A2313C" w:rsidP="00F43E85">
      <w:pPr>
        <w:rPr>
          <w:noProof/>
        </w:rPr>
      </w:pPr>
      <w:r>
        <w:rPr>
          <w:noProof/>
        </w:rPr>
        <w:t xml:space="preserve">IMS data offer additional details on the types of penalties imposed. </w:t>
      </w:r>
      <w:r w:rsidR="00701B55">
        <w:rPr>
          <w:noProof/>
        </w:rPr>
        <w:t>I</w:t>
      </w:r>
      <w:r w:rsidR="00701B55" w:rsidRPr="00FA753B">
        <w:rPr>
          <w:noProof/>
        </w:rPr>
        <w:t xml:space="preserve">nformation about imposed sanctions </w:t>
      </w:r>
      <w:r w:rsidR="00701B55">
        <w:rPr>
          <w:noProof/>
        </w:rPr>
        <w:t xml:space="preserve">have been provided </w:t>
      </w:r>
      <w:r w:rsidR="00701B55" w:rsidRPr="00FA753B">
        <w:rPr>
          <w:noProof/>
        </w:rPr>
        <w:t xml:space="preserve">for about half of the closed fraudulent irregularities </w:t>
      </w:r>
      <w:r w:rsidR="00701B55" w:rsidRPr="003D0068">
        <w:rPr>
          <w:noProof/>
        </w:rPr>
        <w:t>reported during 2015-2025</w:t>
      </w:r>
      <w:r w:rsidR="00601E77">
        <w:rPr>
          <w:noProof/>
        </w:rPr>
        <w:t xml:space="preserve"> in shared management</w:t>
      </w:r>
      <w:r w:rsidR="00701B55" w:rsidRPr="003D0068">
        <w:rPr>
          <w:noProof/>
        </w:rPr>
        <w:t xml:space="preserve">. </w:t>
      </w:r>
      <w:r w:rsidR="00701B55">
        <w:rPr>
          <w:noProof/>
        </w:rPr>
        <w:t>In some</w:t>
      </w:r>
      <w:r w:rsidR="00701B55" w:rsidRPr="003D0068">
        <w:rPr>
          <w:noProof/>
        </w:rPr>
        <w:t xml:space="preserve"> cases, these were just administrative sanctions. Most criminal sanctions involved imprisonment or proportional fines. Different categories of penalties were not frequently combined. Imprisonment was rarely accompanied by other penalties to protect the EU’s financial interests, such as exclusion from future subsidies. Criminal and administrative penalties were rarely combined.</w:t>
      </w:r>
    </w:p>
    <w:p w14:paraId="46639F68" w14:textId="2ADC9379" w:rsidR="00A60392" w:rsidRPr="00DE3A6F" w:rsidRDefault="000B4CAA" w:rsidP="00A60392">
      <w:pPr>
        <w:pStyle w:val="Heading2"/>
        <w:rPr>
          <w:noProof/>
        </w:rPr>
      </w:pPr>
      <w:bookmarkStart w:id="69" w:name="_Toc234447075"/>
      <w:r w:rsidRPr="00DE3A6F">
        <w:rPr>
          <w:noProof/>
        </w:rPr>
        <w:t>Main findings by budgetary sector</w:t>
      </w:r>
      <w:bookmarkEnd w:id="69"/>
    </w:p>
    <w:p w14:paraId="7516B422" w14:textId="26ECD42B" w:rsidR="000B4CAA" w:rsidRPr="00DE3A6F" w:rsidRDefault="000B4CAA" w:rsidP="003A3116">
      <w:pPr>
        <w:rPr>
          <w:noProof/>
        </w:rPr>
      </w:pPr>
      <w:r w:rsidRPr="00DE3A6F">
        <w:rPr>
          <w:noProof/>
        </w:rPr>
        <w:t xml:space="preserve">This section </w:t>
      </w:r>
      <w:r w:rsidR="005A3D36" w:rsidRPr="00DE3A6F">
        <w:rPr>
          <w:noProof/>
        </w:rPr>
        <w:t xml:space="preserve">examines </w:t>
      </w:r>
      <w:r w:rsidR="003A3116" w:rsidRPr="00DE3A6F">
        <w:rPr>
          <w:noProof/>
        </w:rPr>
        <w:t xml:space="preserve">the </w:t>
      </w:r>
      <w:r w:rsidR="005A3D36" w:rsidRPr="00DE3A6F">
        <w:rPr>
          <w:noProof/>
        </w:rPr>
        <w:t xml:space="preserve">key </w:t>
      </w:r>
      <w:r w:rsidR="003A3116" w:rsidRPr="00DE3A6F">
        <w:rPr>
          <w:noProof/>
        </w:rPr>
        <w:t>budgeta</w:t>
      </w:r>
      <w:r w:rsidR="00BA16CE" w:rsidRPr="00DE3A6F">
        <w:rPr>
          <w:noProof/>
        </w:rPr>
        <w:t>r</w:t>
      </w:r>
      <w:r w:rsidR="003A3116" w:rsidRPr="00DE3A6F">
        <w:rPr>
          <w:noProof/>
        </w:rPr>
        <w:t>y areas</w:t>
      </w:r>
      <w:r w:rsidR="0084212C" w:rsidRPr="00DE3A6F">
        <w:rPr>
          <w:noProof/>
        </w:rPr>
        <w:t>,</w:t>
      </w:r>
      <w:r w:rsidR="003A3116" w:rsidRPr="00DE3A6F">
        <w:rPr>
          <w:noProof/>
        </w:rPr>
        <w:t xml:space="preserve"> highlight</w:t>
      </w:r>
      <w:r w:rsidR="0084212C" w:rsidRPr="00DE3A6F">
        <w:rPr>
          <w:noProof/>
        </w:rPr>
        <w:t>ing</w:t>
      </w:r>
      <w:r w:rsidR="003A3116" w:rsidRPr="00DE3A6F">
        <w:rPr>
          <w:noProof/>
        </w:rPr>
        <w:t xml:space="preserve"> the most </w:t>
      </w:r>
      <w:r w:rsidR="0084212C" w:rsidRPr="00DE3A6F">
        <w:rPr>
          <w:noProof/>
        </w:rPr>
        <w:t xml:space="preserve">significant </w:t>
      </w:r>
      <w:r w:rsidR="002D5700" w:rsidRPr="00DE3A6F">
        <w:rPr>
          <w:noProof/>
        </w:rPr>
        <w:t xml:space="preserve">findings and </w:t>
      </w:r>
      <w:r w:rsidR="0084212C" w:rsidRPr="00DE3A6F">
        <w:rPr>
          <w:noProof/>
        </w:rPr>
        <w:t xml:space="preserve">specific features associated </w:t>
      </w:r>
      <w:r w:rsidR="00C817B8" w:rsidRPr="00DE3A6F">
        <w:rPr>
          <w:noProof/>
        </w:rPr>
        <w:t>with</w:t>
      </w:r>
      <w:r w:rsidR="002D5700" w:rsidRPr="00DE3A6F">
        <w:rPr>
          <w:noProof/>
        </w:rPr>
        <w:t xml:space="preserve"> them.</w:t>
      </w:r>
      <w:r w:rsidR="0071205F" w:rsidRPr="00DE3A6F">
        <w:rPr>
          <w:noProof/>
        </w:rPr>
        <w:t xml:space="preserve"> </w:t>
      </w:r>
      <w:r w:rsidR="00C817B8" w:rsidRPr="00DE3A6F">
        <w:rPr>
          <w:noProof/>
        </w:rPr>
        <w:t>I</w:t>
      </w:r>
      <w:r w:rsidR="0071205F" w:rsidRPr="00DE3A6F">
        <w:rPr>
          <w:noProof/>
        </w:rPr>
        <w:t xml:space="preserve">ndicators </w:t>
      </w:r>
      <w:r w:rsidR="00C817B8" w:rsidRPr="00DE3A6F">
        <w:rPr>
          <w:noProof/>
        </w:rPr>
        <w:t xml:space="preserve">already presented in </w:t>
      </w:r>
      <w:hyperlink w:anchor="_The_protection_of" w:history="1">
        <w:r w:rsidR="00A81BD6" w:rsidRPr="00CA1602">
          <w:rPr>
            <w:rStyle w:val="Hyperlink"/>
            <w:noProof/>
          </w:rPr>
          <w:t>Section 3.1</w:t>
        </w:r>
      </w:hyperlink>
      <w:r w:rsidR="00C817B8" w:rsidRPr="00DE3A6F">
        <w:rPr>
          <w:noProof/>
        </w:rPr>
        <w:t xml:space="preserve"> are not repeated here</w:t>
      </w:r>
      <w:r w:rsidR="00052C28" w:rsidRPr="00DE3A6F">
        <w:rPr>
          <w:noProof/>
        </w:rPr>
        <w:t xml:space="preserve">. </w:t>
      </w:r>
      <w:r w:rsidR="00295C8F" w:rsidRPr="00DE3A6F">
        <w:rPr>
          <w:noProof/>
        </w:rPr>
        <w:t>However, s</w:t>
      </w:r>
      <w:r w:rsidR="00052C28" w:rsidRPr="00DE3A6F">
        <w:rPr>
          <w:noProof/>
        </w:rPr>
        <w:t xml:space="preserve">ome </w:t>
      </w:r>
      <w:r w:rsidR="00295C8F" w:rsidRPr="00DE3A6F">
        <w:rPr>
          <w:noProof/>
        </w:rPr>
        <w:t>may be explored in greater depth where specific aspects require further analysis.</w:t>
      </w:r>
    </w:p>
    <w:p w14:paraId="3A6414FE" w14:textId="72B7FF78" w:rsidR="008C7C14" w:rsidRPr="00DE3A6F" w:rsidRDefault="77781074" w:rsidP="00F43E85">
      <w:pPr>
        <w:pStyle w:val="Heading3"/>
        <w:rPr>
          <w:noProof/>
        </w:rPr>
      </w:pPr>
      <w:bookmarkStart w:id="70" w:name="_Revenue_–_traditional_1"/>
      <w:bookmarkStart w:id="71" w:name="_Toc234447076"/>
      <w:bookmarkEnd w:id="70"/>
      <w:r w:rsidRPr="00DE3A6F">
        <w:rPr>
          <w:noProof/>
        </w:rPr>
        <w:t>Revenue</w:t>
      </w:r>
      <w:r w:rsidR="7C665791" w:rsidRPr="00DE3A6F">
        <w:rPr>
          <w:noProof/>
        </w:rPr>
        <w:t xml:space="preserve"> – traditional own resources</w:t>
      </w:r>
      <w:bookmarkEnd w:id="71"/>
      <w:r w:rsidR="3EB650D6" w:rsidRPr="00DE3A6F">
        <w:rPr>
          <w:noProof/>
        </w:rPr>
        <w:t xml:space="preserve"> </w:t>
      </w:r>
      <w:bookmarkEnd w:id="61"/>
    </w:p>
    <w:p w14:paraId="2C862EDD" w14:textId="45C0077F" w:rsidR="0061605C" w:rsidRPr="00DE3A6F" w:rsidRDefault="00F075E0" w:rsidP="00F075E0">
      <w:pPr>
        <w:rPr>
          <w:noProof/>
        </w:rPr>
      </w:pPr>
      <w:r w:rsidRPr="00083776">
        <w:rPr>
          <w:noProof/>
        </w:rPr>
        <w:t>Th</w:t>
      </w:r>
      <w:r w:rsidR="000E544E" w:rsidRPr="00083776">
        <w:rPr>
          <w:noProof/>
        </w:rPr>
        <w:t>is</w:t>
      </w:r>
      <w:r w:rsidRPr="00083776">
        <w:rPr>
          <w:noProof/>
        </w:rPr>
        <w:t xml:space="preserve"> </w:t>
      </w:r>
      <w:r w:rsidR="00902ADA" w:rsidRPr="00083776">
        <w:rPr>
          <w:noProof/>
        </w:rPr>
        <w:t>sub</w:t>
      </w:r>
      <w:r w:rsidRPr="00083776">
        <w:rPr>
          <w:noProof/>
        </w:rPr>
        <w:t xml:space="preserve">section presents data </w:t>
      </w:r>
      <w:r w:rsidR="00902ADA" w:rsidRPr="00083776">
        <w:rPr>
          <w:noProof/>
        </w:rPr>
        <w:t xml:space="preserve">on </w:t>
      </w:r>
      <w:r w:rsidRPr="00083776">
        <w:rPr>
          <w:noProof/>
        </w:rPr>
        <w:t xml:space="preserve">fraud and irregularities </w:t>
      </w:r>
      <w:r w:rsidR="006D1BCD" w:rsidRPr="00083776">
        <w:rPr>
          <w:noProof/>
        </w:rPr>
        <w:t>detected and reported</w:t>
      </w:r>
      <w:r w:rsidR="00311190">
        <w:rPr>
          <w:noProof/>
        </w:rPr>
        <w:t xml:space="preserve"> by Member States</w:t>
      </w:r>
      <w:r w:rsidR="006D1BCD" w:rsidRPr="00083776">
        <w:rPr>
          <w:noProof/>
        </w:rPr>
        <w:t xml:space="preserve"> in the area of </w:t>
      </w:r>
      <w:r w:rsidR="00BF4FD6" w:rsidRPr="00083776">
        <w:rPr>
          <w:noProof/>
        </w:rPr>
        <w:t>traditional own resources</w:t>
      </w:r>
      <w:r w:rsidR="000212F4" w:rsidRPr="00083776">
        <w:rPr>
          <w:noProof/>
        </w:rPr>
        <w:t xml:space="preserve"> (TOR)</w:t>
      </w:r>
      <w:r w:rsidR="003E651F" w:rsidRPr="003E651F">
        <w:rPr>
          <w:noProof/>
        </w:rPr>
        <w:t xml:space="preserve"> </w:t>
      </w:r>
      <w:r w:rsidR="003E651F" w:rsidRPr="00DE3A6F">
        <w:rPr>
          <w:noProof/>
        </w:rPr>
        <w:t>(</w:t>
      </w:r>
      <w:r w:rsidR="003E651F" w:rsidRPr="00DE3A6F">
        <w:rPr>
          <w:rStyle w:val="FootnoteReference"/>
          <w:noProof/>
        </w:rPr>
        <w:footnoteReference w:id="63"/>
      </w:r>
      <w:r w:rsidR="003E651F" w:rsidRPr="00DE3A6F">
        <w:rPr>
          <w:noProof/>
        </w:rPr>
        <w:t>)</w:t>
      </w:r>
      <w:r w:rsidRPr="00083776">
        <w:rPr>
          <w:noProof/>
        </w:rPr>
        <w:t xml:space="preserve">. </w:t>
      </w:r>
    </w:p>
    <w:p w14:paraId="75C310DB" w14:textId="79338464" w:rsidR="00593FF0" w:rsidRPr="00DE3A6F" w:rsidRDefault="00593FF0" w:rsidP="00593FF0">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bookmarkStart w:id="72" w:name="_Revenue_–_traditional"/>
      <w:bookmarkEnd w:id="62"/>
      <w:bookmarkEnd w:id="72"/>
      <w:r w:rsidRPr="00DE3A6F">
        <w:rPr>
          <w:noProof/>
        </w:rPr>
        <w:t xml:space="preserve">Methodological note </w:t>
      </w:r>
      <w:r w:rsidRPr="00DE3A6F">
        <w:rPr>
          <w:noProof/>
        </w:rPr>
        <w:fldChar w:fldCharType="begin"/>
      </w:r>
      <w:r w:rsidRPr="00DE3A6F">
        <w:rPr>
          <w:noProof/>
        </w:rPr>
        <w:instrText xml:space="preserve"> SEQ Methodological_note \* ARABIC </w:instrText>
      </w:r>
      <w:r w:rsidRPr="00DE3A6F">
        <w:rPr>
          <w:noProof/>
        </w:rPr>
        <w:fldChar w:fldCharType="separate"/>
      </w:r>
      <w:r w:rsidRPr="00DE3A6F">
        <w:rPr>
          <w:noProof/>
        </w:rPr>
        <w:t>6</w:t>
      </w:r>
      <w:r w:rsidRPr="00DE3A6F">
        <w:rPr>
          <w:noProof/>
        </w:rPr>
        <w:fldChar w:fldCharType="end"/>
      </w:r>
      <w:r w:rsidRPr="00DE3A6F">
        <w:rPr>
          <w:noProof/>
        </w:rPr>
        <w:t xml:space="preserve">: </w:t>
      </w:r>
      <w:r w:rsidR="00902ADA" w:rsidRPr="00DE3A6F">
        <w:rPr>
          <w:noProof/>
        </w:rPr>
        <w:t xml:space="preserve">Data on </w:t>
      </w:r>
      <w:r w:rsidRPr="00DE3A6F">
        <w:rPr>
          <w:noProof/>
        </w:rPr>
        <w:t>traditional own resources</w:t>
      </w:r>
    </w:p>
    <w:p w14:paraId="576AA49B" w14:textId="486AE2BE" w:rsidR="00593FF0" w:rsidRPr="00DE3A6F" w:rsidRDefault="00593FF0" w:rsidP="00593FF0">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szCs w:val="24"/>
        </w:rPr>
        <w:t xml:space="preserve">The statistics are based on fraudulent and non-fraudulent irregularities reported by the Member States via </w:t>
      </w:r>
      <w:r w:rsidRPr="00DE3A6F">
        <w:rPr>
          <w:b/>
          <w:bCs/>
          <w:noProof/>
          <w:szCs w:val="24"/>
        </w:rPr>
        <w:t>OWNRES</w:t>
      </w:r>
      <w:r w:rsidRPr="00DE3A6F">
        <w:rPr>
          <w:noProof/>
          <w:szCs w:val="24"/>
        </w:rPr>
        <w:t>,</w:t>
      </w:r>
      <w:r w:rsidRPr="00DE3A6F">
        <w:rPr>
          <w:b/>
          <w:bCs/>
          <w:noProof/>
          <w:szCs w:val="24"/>
        </w:rPr>
        <w:t xml:space="preserve"> </w:t>
      </w:r>
      <w:r w:rsidRPr="00DE3A6F">
        <w:rPr>
          <w:noProof/>
          <w:szCs w:val="24"/>
        </w:rPr>
        <w:t>with a cut-off date of 2 March 2026.</w:t>
      </w:r>
    </w:p>
    <w:p w14:paraId="3139C2AC" w14:textId="2AF169C7" w:rsidR="00593FF0" w:rsidRPr="00DE3A6F" w:rsidRDefault="00593FF0"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083776">
        <w:rPr>
          <w:noProof/>
          <w:lang w:eastAsia="zh-CN"/>
        </w:rPr>
        <w:t xml:space="preserve">The data cover both open and closed cases. The figures reflect the total estimated and established amounts of TOR, </w:t>
      </w:r>
      <w:r w:rsidR="00AF10FB" w:rsidRPr="00083776">
        <w:rPr>
          <w:noProof/>
          <w:lang w:eastAsia="zh-CN"/>
        </w:rPr>
        <w:t xml:space="preserve">while </w:t>
      </w:r>
      <w:r w:rsidRPr="00083776">
        <w:rPr>
          <w:noProof/>
          <w:lang w:eastAsia="zh-CN"/>
        </w:rPr>
        <w:t xml:space="preserve">recovery statistics are based solely on established amounts. </w:t>
      </w:r>
      <w:r w:rsidRPr="00083776">
        <w:rPr>
          <w:noProof/>
        </w:rPr>
        <w:t xml:space="preserve"> </w:t>
      </w:r>
    </w:p>
    <w:p w14:paraId="0FEE1DB3" w14:textId="65965FCC" w:rsidR="00593FF0" w:rsidRPr="00DE3A6F" w:rsidRDefault="00593FF0" w:rsidP="00593FF0">
      <w:pPr>
        <w:pStyle w:val="Caption"/>
        <w:spacing w:before="0"/>
        <w:rPr>
          <w:b w:val="0"/>
          <w:bCs/>
          <w:i w:val="0"/>
          <w:iCs/>
          <w:noProof/>
          <w:szCs w:val="24"/>
        </w:rPr>
      </w:pPr>
      <w:r w:rsidRPr="00DE3A6F">
        <w:rPr>
          <w:b w:val="0"/>
          <w:bCs/>
          <w:i w:val="0"/>
          <w:iCs/>
          <w:noProof/>
          <w:szCs w:val="24"/>
        </w:rPr>
        <w:t xml:space="preserve">Between 2021 and 2025, the Member States reported an average of </w:t>
      </w:r>
      <w:r w:rsidR="009926BD" w:rsidRPr="00CA1602">
        <w:rPr>
          <w:b w:val="0"/>
          <w:bCs/>
          <w:i w:val="0"/>
          <w:iCs/>
          <w:noProof/>
          <w:szCs w:val="24"/>
        </w:rPr>
        <w:t>5 </w:t>
      </w:r>
      <w:r w:rsidRPr="00DE3A6F">
        <w:rPr>
          <w:b w:val="0"/>
          <w:bCs/>
          <w:i w:val="0"/>
          <w:iCs/>
          <w:noProof/>
          <w:szCs w:val="24"/>
        </w:rPr>
        <w:t>042 cases of fraudulent and non-fraudulent irregularities related to traditional own resources per year. In 2025, the</w:t>
      </w:r>
      <w:r w:rsidR="009926BD" w:rsidRPr="00DE3A6F">
        <w:rPr>
          <w:b w:val="0"/>
          <w:bCs/>
          <w:i w:val="0"/>
          <w:iCs/>
          <w:noProof/>
          <w:szCs w:val="24"/>
        </w:rPr>
        <w:t>y</w:t>
      </w:r>
      <w:r w:rsidRPr="00DE3A6F">
        <w:rPr>
          <w:b w:val="0"/>
          <w:bCs/>
          <w:i w:val="0"/>
          <w:iCs/>
          <w:noProof/>
          <w:szCs w:val="24"/>
        </w:rPr>
        <w:t xml:space="preserve"> reported </w:t>
      </w:r>
      <w:r w:rsidR="009926BD" w:rsidRPr="00CA1602">
        <w:rPr>
          <w:b w:val="0"/>
          <w:bCs/>
          <w:i w:val="0"/>
          <w:iCs/>
          <w:noProof/>
          <w:szCs w:val="24"/>
        </w:rPr>
        <w:t>4 </w:t>
      </w:r>
      <w:r w:rsidRPr="00DE3A6F">
        <w:rPr>
          <w:b w:val="0"/>
          <w:bCs/>
          <w:i w:val="0"/>
          <w:iCs/>
          <w:noProof/>
          <w:szCs w:val="24"/>
        </w:rPr>
        <w:t>390 cases</w:t>
      </w:r>
      <w:r w:rsidR="007A3042" w:rsidRPr="00DE3A6F">
        <w:rPr>
          <w:b w:val="0"/>
          <w:bCs/>
          <w:i w:val="0"/>
          <w:iCs/>
          <w:noProof/>
          <w:szCs w:val="24"/>
        </w:rPr>
        <w:t>,</w:t>
      </w:r>
      <w:r w:rsidRPr="00DE3A6F">
        <w:rPr>
          <w:b w:val="0"/>
          <w:bCs/>
          <w:i w:val="0"/>
          <w:iCs/>
          <w:noProof/>
          <w:szCs w:val="24"/>
        </w:rPr>
        <w:t xml:space="preserve"> </w:t>
      </w:r>
      <w:r w:rsidR="001313F8">
        <w:rPr>
          <w:b w:val="0"/>
          <w:bCs/>
          <w:i w:val="0"/>
          <w:iCs/>
          <w:noProof/>
          <w:szCs w:val="24"/>
        </w:rPr>
        <w:t>i.e.</w:t>
      </w:r>
      <w:r w:rsidRPr="00DE3A6F">
        <w:rPr>
          <w:b w:val="0"/>
          <w:bCs/>
          <w:i w:val="0"/>
          <w:iCs/>
          <w:noProof/>
          <w:szCs w:val="24"/>
        </w:rPr>
        <w:t xml:space="preserve"> 13% </w:t>
      </w:r>
      <w:r w:rsidR="001313F8">
        <w:rPr>
          <w:b w:val="0"/>
          <w:bCs/>
          <w:i w:val="0"/>
          <w:iCs/>
          <w:noProof/>
          <w:szCs w:val="24"/>
        </w:rPr>
        <w:t xml:space="preserve">lower than </w:t>
      </w:r>
      <w:r w:rsidR="004805F0" w:rsidRPr="00DE3A6F">
        <w:rPr>
          <w:b w:val="0"/>
          <w:bCs/>
          <w:i w:val="0"/>
          <w:iCs/>
          <w:noProof/>
          <w:szCs w:val="24"/>
        </w:rPr>
        <w:t>the</w:t>
      </w:r>
      <w:r w:rsidRPr="00DE3A6F">
        <w:rPr>
          <w:b w:val="0"/>
          <w:bCs/>
          <w:i w:val="0"/>
          <w:iCs/>
          <w:noProof/>
          <w:szCs w:val="24"/>
        </w:rPr>
        <w:t xml:space="preserve"> five-year average. However, the total estimated and established amount of TOR (</w:t>
      </w:r>
      <w:r w:rsidR="00650EF6" w:rsidRPr="00CA1602">
        <w:rPr>
          <w:b w:val="0"/>
          <w:bCs/>
          <w:i w:val="0"/>
          <w:iCs/>
          <w:noProof/>
          <w:szCs w:val="24"/>
        </w:rPr>
        <w:t>EUR </w:t>
      </w:r>
      <w:r w:rsidRPr="00DE3A6F">
        <w:rPr>
          <w:b w:val="0"/>
          <w:bCs/>
          <w:i w:val="0"/>
          <w:iCs/>
          <w:noProof/>
          <w:szCs w:val="24"/>
        </w:rPr>
        <w:t xml:space="preserve">824.7 million) </w:t>
      </w:r>
      <w:r w:rsidR="00295937">
        <w:rPr>
          <w:b w:val="0"/>
          <w:bCs/>
          <w:i w:val="0"/>
          <w:iCs/>
          <w:noProof/>
          <w:szCs w:val="24"/>
        </w:rPr>
        <w:t>was</w:t>
      </w:r>
      <w:r w:rsidRPr="00DE3A6F">
        <w:rPr>
          <w:b w:val="0"/>
          <w:bCs/>
          <w:i w:val="0"/>
          <w:iCs/>
          <w:noProof/>
          <w:szCs w:val="24"/>
        </w:rPr>
        <w:t xml:space="preserve"> 26% </w:t>
      </w:r>
      <w:r w:rsidR="00295937">
        <w:rPr>
          <w:b w:val="0"/>
          <w:bCs/>
          <w:i w:val="0"/>
          <w:iCs/>
          <w:noProof/>
          <w:szCs w:val="24"/>
        </w:rPr>
        <w:t>higher than</w:t>
      </w:r>
      <w:r w:rsidR="00787AF4" w:rsidRPr="00DE3A6F">
        <w:rPr>
          <w:b w:val="0"/>
          <w:bCs/>
          <w:i w:val="0"/>
          <w:iCs/>
          <w:noProof/>
          <w:szCs w:val="24"/>
        </w:rPr>
        <w:t xml:space="preserve"> </w:t>
      </w:r>
      <w:r w:rsidRPr="00DE3A6F">
        <w:rPr>
          <w:b w:val="0"/>
          <w:bCs/>
          <w:i w:val="0"/>
          <w:iCs/>
          <w:noProof/>
          <w:szCs w:val="24"/>
        </w:rPr>
        <w:t>the five-year average (</w:t>
      </w:r>
      <w:r w:rsidR="00650EF6" w:rsidRPr="00CA1602">
        <w:rPr>
          <w:b w:val="0"/>
          <w:bCs/>
          <w:i w:val="0"/>
          <w:iCs/>
          <w:noProof/>
          <w:szCs w:val="24"/>
        </w:rPr>
        <w:t>EUR </w:t>
      </w:r>
      <w:r w:rsidRPr="00DE3A6F">
        <w:rPr>
          <w:b w:val="0"/>
          <w:bCs/>
          <w:i w:val="0"/>
          <w:iCs/>
          <w:noProof/>
          <w:szCs w:val="24"/>
        </w:rPr>
        <w:t>656 million).</w:t>
      </w:r>
    </w:p>
    <w:p w14:paraId="3CF60E01" w14:textId="3C4B8B86" w:rsidR="00593FF0" w:rsidRPr="00DE3A6F" w:rsidRDefault="00593FF0" w:rsidP="00593FF0">
      <w:pPr>
        <w:rPr>
          <w:noProof/>
        </w:rPr>
      </w:pPr>
      <w:r w:rsidRPr="00083776">
        <w:rPr>
          <w:noProof/>
        </w:rPr>
        <w:t xml:space="preserve">Member States detected 285 cases of </w:t>
      </w:r>
      <w:r w:rsidRPr="00083776">
        <w:rPr>
          <w:b/>
          <w:bCs/>
          <w:noProof/>
        </w:rPr>
        <w:t>fraudulent irregularities</w:t>
      </w:r>
      <w:r w:rsidRPr="00083776">
        <w:rPr>
          <w:noProof/>
        </w:rPr>
        <w:t xml:space="preserve"> involving a total financial amount of </w:t>
      </w:r>
      <w:r w:rsidR="00650EF6" w:rsidRPr="00083776">
        <w:rPr>
          <w:noProof/>
        </w:rPr>
        <w:t>EUR </w:t>
      </w:r>
      <w:r w:rsidRPr="00083776">
        <w:rPr>
          <w:noProof/>
        </w:rPr>
        <w:t xml:space="preserve">85.4 million. Compared </w:t>
      </w:r>
      <w:r w:rsidR="00272EB6" w:rsidRPr="00083776">
        <w:rPr>
          <w:noProof/>
        </w:rPr>
        <w:t xml:space="preserve">with </w:t>
      </w:r>
      <w:r w:rsidRPr="00083776">
        <w:rPr>
          <w:noProof/>
        </w:rPr>
        <w:t xml:space="preserve">2021-2025, the number of fraudulent cases </w:t>
      </w:r>
      <w:r w:rsidR="00272EB6" w:rsidRPr="00083776">
        <w:rPr>
          <w:noProof/>
        </w:rPr>
        <w:t xml:space="preserve">fell </w:t>
      </w:r>
      <w:r w:rsidRPr="00083776">
        <w:rPr>
          <w:noProof/>
        </w:rPr>
        <w:t>by 40%</w:t>
      </w:r>
      <w:r w:rsidR="00272EB6" w:rsidRPr="00083776">
        <w:rPr>
          <w:noProof/>
        </w:rPr>
        <w:t xml:space="preserve">, while the corresponding </w:t>
      </w:r>
      <w:r w:rsidRPr="00083776">
        <w:rPr>
          <w:noProof/>
        </w:rPr>
        <w:t xml:space="preserve">amount of TOR decreased by 25%. In 2025, only 6.5% of all reported cases were classified as fraudulent, accounting for 10% of the </w:t>
      </w:r>
      <w:r w:rsidR="00AC58DE" w:rsidRPr="00083776">
        <w:rPr>
          <w:noProof/>
        </w:rPr>
        <w:t xml:space="preserve">TOR </w:t>
      </w:r>
      <w:r w:rsidRPr="00083776">
        <w:rPr>
          <w:noProof/>
        </w:rPr>
        <w:t>amount involved. However, the average amount per fraudulent case (</w:t>
      </w:r>
      <w:r w:rsidR="00650EF6" w:rsidRPr="00083776">
        <w:rPr>
          <w:noProof/>
        </w:rPr>
        <w:t>EUR </w:t>
      </w:r>
      <w:r w:rsidR="00650EF6" w:rsidRPr="00083776">
        <w:rPr>
          <w:noProof/>
          <w:lang w:eastAsia="zh-CN"/>
        </w:rPr>
        <w:t>299 </w:t>
      </w:r>
      <w:r w:rsidRPr="00083776">
        <w:rPr>
          <w:noProof/>
          <w:lang w:eastAsia="zh-CN"/>
        </w:rPr>
        <w:t xml:space="preserve">536) </w:t>
      </w:r>
      <w:r w:rsidRPr="00083776">
        <w:rPr>
          <w:noProof/>
        </w:rPr>
        <w:t xml:space="preserve">was </w:t>
      </w:r>
      <w:r w:rsidR="00AC58DE" w:rsidRPr="00083776">
        <w:rPr>
          <w:noProof/>
        </w:rPr>
        <w:t xml:space="preserve">significantly </w:t>
      </w:r>
      <w:r w:rsidRPr="00083776">
        <w:rPr>
          <w:noProof/>
        </w:rPr>
        <w:t xml:space="preserve">higher than </w:t>
      </w:r>
      <w:r w:rsidR="007B171A" w:rsidRPr="00083776">
        <w:rPr>
          <w:noProof/>
        </w:rPr>
        <w:t xml:space="preserve">for </w:t>
      </w:r>
      <w:r w:rsidRPr="00083776">
        <w:rPr>
          <w:noProof/>
        </w:rPr>
        <w:t>non-fraudulent case</w:t>
      </w:r>
      <w:r w:rsidR="007B171A" w:rsidRPr="00083776">
        <w:rPr>
          <w:noProof/>
        </w:rPr>
        <w:t>s</w:t>
      </w:r>
      <w:r w:rsidRPr="00083776">
        <w:rPr>
          <w:noProof/>
        </w:rPr>
        <w:t xml:space="preserve"> (</w:t>
      </w:r>
      <w:r w:rsidR="00650EF6" w:rsidRPr="00083776">
        <w:rPr>
          <w:noProof/>
          <w:lang w:eastAsia="zh-CN"/>
        </w:rPr>
        <w:t>EUR 180 </w:t>
      </w:r>
      <w:r w:rsidRPr="00083776">
        <w:rPr>
          <w:noProof/>
          <w:lang w:eastAsia="zh-CN"/>
        </w:rPr>
        <w:t xml:space="preserve">106). </w:t>
      </w:r>
      <w:r w:rsidRPr="00083776">
        <w:rPr>
          <w:noProof/>
        </w:rPr>
        <w:t xml:space="preserve"> </w:t>
      </w:r>
    </w:p>
    <w:p w14:paraId="46841C1F" w14:textId="2B4ED982" w:rsidR="00593FF0" w:rsidRPr="00DE3A6F" w:rsidRDefault="003E140A" w:rsidP="00593FF0">
      <w:pPr>
        <w:rPr>
          <w:noProof/>
        </w:rPr>
      </w:pPr>
      <w:r w:rsidRPr="00083776">
        <w:rPr>
          <w:noProof/>
          <w:lang w:eastAsia="zh-CN"/>
        </w:rPr>
        <w:lastRenderedPageBreak/>
        <w:t>T</w:t>
      </w:r>
      <w:r w:rsidR="00593FF0" w:rsidRPr="00083776">
        <w:rPr>
          <w:noProof/>
          <w:lang w:eastAsia="zh-CN"/>
        </w:rPr>
        <w:t xml:space="preserve">he number of </w:t>
      </w:r>
      <w:r w:rsidR="00593FF0" w:rsidRPr="00083776">
        <w:rPr>
          <w:b/>
          <w:bCs/>
          <w:noProof/>
          <w:lang w:eastAsia="zh-CN"/>
        </w:rPr>
        <w:t>non-fraudulent irregularities</w:t>
      </w:r>
      <w:r w:rsidR="00593FF0" w:rsidRPr="00083776">
        <w:rPr>
          <w:noProof/>
        </w:rPr>
        <w:t xml:space="preserve"> </w:t>
      </w:r>
      <w:r w:rsidRPr="00083776">
        <w:rPr>
          <w:noProof/>
        </w:rPr>
        <w:t xml:space="preserve">also declined </w:t>
      </w:r>
      <w:r w:rsidR="00593FF0" w:rsidRPr="00083776">
        <w:rPr>
          <w:noProof/>
        </w:rPr>
        <w:t>by 10%</w:t>
      </w:r>
      <w:r w:rsidRPr="00083776">
        <w:rPr>
          <w:noProof/>
        </w:rPr>
        <w:t xml:space="preserve"> compared with 2021-2025, with 4 </w:t>
      </w:r>
      <w:r w:rsidR="00593FF0" w:rsidRPr="00083776">
        <w:rPr>
          <w:noProof/>
        </w:rPr>
        <w:t>105 cases</w:t>
      </w:r>
      <w:r w:rsidRPr="00083776">
        <w:rPr>
          <w:noProof/>
        </w:rPr>
        <w:t xml:space="preserve"> reported in 2025</w:t>
      </w:r>
      <w:r w:rsidR="00593FF0" w:rsidRPr="00083776">
        <w:rPr>
          <w:noProof/>
        </w:rPr>
        <w:t>. Despite this, the estimated and established amount of TOR increased</w:t>
      </w:r>
      <w:r w:rsidR="00593FF0" w:rsidRPr="00083776">
        <w:rPr>
          <w:b/>
          <w:bCs/>
          <w:noProof/>
        </w:rPr>
        <w:t xml:space="preserve"> </w:t>
      </w:r>
      <w:r w:rsidR="00593FF0" w:rsidRPr="00083776">
        <w:rPr>
          <w:noProof/>
        </w:rPr>
        <w:t xml:space="preserve">by more </w:t>
      </w:r>
      <w:r w:rsidR="00183951" w:rsidRPr="00083776">
        <w:rPr>
          <w:noProof/>
        </w:rPr>
        <w:t>than</w:t>
      </w:r>
      <w:r w:rsidR="00ED438B" w:rsidRPr="00083776">
        <w:rPr>
          <w:noProof/>
        </w:rPr>
        <w:t xml:space="preserve"> </w:t>
      </w:r>
      <w:r w:rsidR="00593FF0" w:rsidRPr="00083776">
        <w:rPr>
          <w:noProof/>
        </w:rPr>
        <w:t xml:space="preserve">36% </w:t>
      </w:r>
      <w:r w:rsidR="00ED438B" w:rsidRPr="00083776">
        <w:rPr>
          <w:noProof/>
        </w:rPr>
        <w:t xml:space="preserve">reaching </w:t>
      </w:r>
      <w:r w:rsidR="00183951" w:rsidRPr="00083776">
        <w:rPr>
          <w:noProof/>
        </w:rPr>
        <w:t>EUR </w:t>
      </w:r>
      <w:r w:rsidR="00593FF0" w:rsidRPr="00083776">
        <w:rPr>
          <w:noProof/>
        </w:rPr>
        <w:t>739.3 million.</w:t>
      </w:r>
    </w:p>
    <w:p w14:paraId="02FCDA2E" w14:textId="2905B94D" w:rsidR="001021FB" w:rsidRPr="00DE3A6F" w:rsidRDefault="00426FAD" w:rsidP="00C2785F">
      <w:pPr>
        <w:pStyle w:val="Caption"/>
        <w:keepNext/>
        <w:rPr>
          <w:noProof/>
        </w:rPr>
      </w:pPr>
      <w:r w:rsidRPr="00DE3A6F">
        <w:rPr>
          <w:noProof/>
        </w:rPr>
        <w:t xml:space="preserve">Figure </w:t>
      </w:r>
      <w:r w:rsidR="00472123" w:rsidRPr="00DE3A6F">
        <w:rPr>
          <w:noProof/>
        </w:rPr>
        <w:fldChar w:fldCharType="begin"/>
      </w:r>
      <w:r w:rsidR="00472123" w:rsidRPr="00DE3A6F">
        <w:rPr>
          <w:noProof/>
        </w:rPr>
        <w:instrText xml:space="preserve"> SEQ Figure \* ARABIC </w:instrText>
      </w:r>
      <w:r w:rsidR="00472123" w:rsidRPr="00DE3A6F">
        <w:rPr>
          <w:noProof/>
        </w:rPr>
        <w:fldChar w:fldCharType="separate"/>
      </w:r>
      <w:r w:rsidR="00437501">
        <w:rPr>
          <w:noProof/>
        </w:rPr>
        <w:t>19</w:t>
      </w:r>
      <w:r w:rsidR="00472123" w:rsidRPr="00DE3A6F">
        <w:rPr>
          <w:noProof/>
        </w:rPr>
        <w:fldChar w:fldCharType="end"/>
      </w:r>
      <w:r w:rsidRPr="00DE3A6F">
        <w:rPr>
          <w:noProof/>
        </w:rPr>
        <w:t xml:space="preserve">: Irregularities detected and reported in </w:t>
      </w:r>
      <w:r w:rsidR="007904F4" w:rsidRPr="00DE3A6F">
        <w:rPr>
          <w:noProof/>
        </w:rPr>
        <w:t xml:space="preserve">traditional own resources </w:t>
      </w:r>
      <w:r w:rsidR="004303E8" w:rsidRPr="00DE3A6F">
        <w:rPr>
          <w:noProof/>
        </w:rPr>
        <w:t>– 2021-2025</w:t>
      </w:r>
    </w:p>
    <w:p w14:paraId="394AB8F4" w14:textId="643E4263" w:rsidR="00566BA5" w:rsidRPr="00DE3A6F" w:rsidRDefault="007B2F91" w:rsidP="00566BA5">
      <w:pPr>
        <w:rPr>
          <w:iCs/>
          <w:noProof/>
        </w:rPr>
      </w:pPr>
      <w:r>
        <w:rPr>
          <w:noProof/>
        </w:rPr>
        <w:drawing>
          <wp:inline distT="0" distB="0" distL="0" distR="0" wp14:anchorId="4385C54D" wp14:editId="3B522E2D">
            <wp:extent cx="5472430" cy="3710305"/>
            <wp:effectExtent l="0" t="0" r="0" b="0"/>
            <wp:docPr id="1710663370" name="Chart 1" descr="The figure represents a chart displaying the number of  irregularities reported in TOR from 2021 to 2025 and their related financial amounts. The number of reported cases is on the primary axis and the irregular amounts are displayed as secondary axis.&#10;4569 irregularities were reported in 2021, 5183 in 2022, 5619 in 2023, 5447 in 2024 and 4390 in 2025.&#10;The related estimated and established amounts varied significantly, from a minimum of about EUR 500 million in 2023 to a maximum of more than EUR 800 million in 2022. The amounts for 2025 were at EUR 739.3 million.">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F46288A" w14:textId="0A544FC6" w:rsidR="0076546F" w:rsidRPr="00DE3A6F" w:rsidRDefault="00F275E7" w:rsidP="00F834BD">
      <w:pPr>
        <w:pStyle w:val="Caption"/>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DE3A6F">
        <w:rPr>
          <w:noProof/>
        </w:rPr>
        <w:t xml:space="preserve">Snapshot </w:t>
      </w:r>
      <w:r w:rsidR="00472123" w:rsidRPr="00DE3A6F">
        <w:rPr>
          <w:noProof/>
        </w:rPr>
        <w:fldChar w:fldCharType="begin"/>
      </w:r>
      <w:r w:rsidR="00472123" w:rsidRPr="00DE3A6F">
        <w:rPr>
          <w:noProof/>
        </w:rPr>
        <w:instrText xml:space="preserve"> SEQ Snapshot \* ARABIC </w:instrText>
      </w:r>
      <w:r w:rsidR="00472123" w:rsidRPr="00DE3A6F">
        <w:rPr>
          <w:noProof/>
        </w:rPr>
        <w:fldChar w:fldCharType="separate"/>
      </w:r>
      <w:r w:rsidR="00CA6005">
        <w:rPr>
          <w:noProof/>
        </w:rPr>
        <w:t>9</w:t>
      </w:r>
      <w:r w:rsidR="00472123" w:rsidRPr="00DE3A6F">
        <w:rPr>
          <w:noProof/>
        </w:rPr>
        <w:fldChar w:fldCharType="end"/>
      </w:r>
      <w:r w:rsidRPr="00DE3A6F">
        <w:rPr>
          <w:noProof/>
        </w:rPr>
        <w:t xml:space="preserve">: </w:t>
      </w:r>
      <w:r w:rsidR="00925F6A" w:rsidRPr="00DE3A6F">
        <w:rPr>
          <w:noProof/>
        </w:rPr>
        <w:t>Detected</w:t>
      </w:r>
      <w:r w:rsidRPr="00DE3A6F">
        <w:rPr>
          <w:noProof/>
        </w:rPr>
        <w:t xml:space="preserve"> fraud and irregularities in </w:t>
      </w:r>
      <w:r w:rsidR="007904F4" w:rsidRPr="00DE3A6F">
        <w:rPr>
          <w:noProof/>
        </w:rPr>
        <w:t>traditional own resources</w:t>
      </w:r>
    </w:p>
    <w:p w14:paraId="63EA8CC3" w14:textId="38F63E97" w:rsidR="0073714E" w:rsidRPr="00DE3A6F" w:rsidRDefault="0073714E"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F83C93">
        <w:rPr>
          <w:noProof/>
        </w:rPr>
        <w:t xml:space="preserve">In fraudulent cases, the primary </w:t>
      </w:r>
      <w:r w:rsidRPr="00F83C93">
        <w:rPr>
          <w:b/>
          <w:bCs/>
          <w:noProof/>
        </w:rPr>
        <w:t>modus operandi</w:t>
      </w:r>
      <w:r w:rsidRPr="00F83C93">
        <w:rPr>
          <w:noProof/>
        </w:rPr>
        <w:t xml:space="preserve"> </w:t>
      </w:r>
      <w:r w:rsidR="00EE73F2" w:rsidRPr="00F83C93">
        <w:rPr>
          <w:noProof/>
        </w:rPr>
        <w:t xml:space="preserve">in terms of financial impact </w:t>
      </w:r>
      <w:r w:rsidR="00E05E86" w:rsidRPr="00F83C93">
        <w:rPr>
          <w:noProof/>
        </w:rPr>
        <w:t xml:space="preserve">was </w:t>
      </w:r>
      <w:r w:rsidR="00E05E86" w:rsidRPr="00F83C93">
        <w:rPr>
          <w:b/>
          <w:bCs/>
          <w:i/>
          <w:iCs/>
          <w:noProof/>
        </w:rPr>
        <w:t>incorrect value</w:t>
      </w:r>
      <w:r w:rsidRPr="00F83C93">
        <w:rPr>
          <w:noProof/>
        </w:rPr>
        <w:t xml:space="preserve"> </w:t>
      </w:r>
      <w:r w:rsidR="00E05E86" w:rsidRPr="00F83C93">
        <w:rPr>
          <w:noProof/>
        </w:rPr>
        <w:t>(</w:t>
      </w:r>
      <w:r w:rsidRPr="00F83C93">
        <w:rPr>
          <w:noProof/>
        </w:rPr>
        <w:t>37 cases</w:t>
      </w:r>
      <w:r w:rsidR="00E05E86" w:rsidRPr="00F83C93">
        <w:rPr>
          <w:noProof/>
        </w:rPr>
        <w:t>,</w:t>
      </w:r>
      <w:r w:rsidRPr="00F83C93">
        <w:rPr>
          <w:noProof/>
        </w:rPr>
        <w:t xml:space="preserve"> </w:t>
      </w:r>
      <w:r w:rsidR="009679AA" w:rsidRPr="00F83C93">
        <w:rPr>
          <w:noProof/>
        </w:rPr>
        <w:t>EUR </w:t>
      </w:r>
      <w:r w:rsidRPr="00F83C93">
        <w:rPr>
          <w:noProof/>
        </w:rPr>
        <w:t>22.7 million</w:t>
      </w:r>
      <w:r w:rsidR="00E05E86" w:rsidRPr="00F83C93">
        <w:rPr>
          <w:noProof/>
        </w:rPr>
        <w:t>)</w:t>
      </w:r>
      <w:r w:rsidRPr="00F83C93">
        <w:rPr>
          <w:noProof/>
        </w:rPr>
        <w:t xml:space="preserve">, followed by </w:t>
      </w:r>
      <w:r w:rsidRPr="00F83C93">
        <w:rPr>
          <w:b/>
          <w:bCs/>
          <w:i/>
          <w:iCs/>
          <w:noProof/>
        </w:rPr>
        <w:t>incorrect origin or country of dispatching</w:t>
      </w:r>
      <w:r w:rsidRPr="00F83C93">
        <w:rPr>
          <w:i/>
          <w:iCs/>
          <w:noProof/>
        </w:rPr>
        <w:t xml:space="preserve"> </w:t>
      </w:r>
      <w:r w:rsidRPr="00F83C93">
        <w:rPr>
          <w:noProof/>
        </w:rPr>
        <w:t>(44 cases</w:t>
      </w:r>
      <w:r w:rsidR="00872506" w:rsidRPr="00F83C93">
        <w:rPr>
          <w:noProof/>
        </w:rPr>
        <w:t>,</w:t>
      </w:r>
      <w:r w:rsidRPr="00F83C93">
        <w:rPr>
          <w:noProof/>
        </w:rPr>
        <w:t xml:space="preserve"> </w:t>
      </w:r>
      <w:r w:rsidR="009679AA" w:rsidRPr="00F83C93">
        <w:rPr>
          <w:noProof/>
        </w:rPr>
        <w:t>EUR </w:t>
      </w:r>
      <w:r w:rsidRPr="00F83C93">
        <w:rPr>
          <w:noProof/>
        </w:rPr>
        <w:t xml:space="preserve">21 million). However, </w:t>
      </w:r>
      <w:r w:rsidRPr="00F83C93">
        <w:rPr>
          <w:b/>
          <w:bCs/>
          <w:i/>
          <w:iCs/>
          <w:noProof/>
        </w:rPr>
        <w:t>smuggling</w:t>
      </w:r>
      <w:r w:rsidRPr="00F83C93">
        <w:rPr>
          <w:i/>
          <w:iCs/>
          <w:noProof/>
        </w:rPr>
        <w:t xml:space="preserve"> </w:t>
      </w:r>
      <w:r w:rsidR="00872506" w:rsidRPr="00F83C93">
        <w:rPr>
          <w:i/>
          <w:iCs/>
          <w:noProof/>
        </w:rPr>
        <w:t>(</w:t>
      </w:r>
      <w:r w:rsidRPr="00F83C93">
        <w:rPr>
          <w:i/>
          <w:iCs/>
          <w:noProof/>
        </w:rPr>
        <w:t>seized and confiscated goods</w:t>
      </w:r>
      <w:r w:rsidR="00872506" w:rsidRPr="00F83C93">
        <w:rPr>
          <w:i/>
          <w:iCs/>
          <w:noProof/>
        </w:rPr>
        <w:t>)</w:t>
      </w:r>
      <w:r w:rsidRPr="00F83C93">
        <w:rPr>
          <w:noProof/>
        </w:rPr>
        <w:t xml:space="preserve"> </w:t>
      </w:r>
      <w:r w:rsidR="009C1A99" w:rsidRPr="00F83C93">
        <w:rPr>
          <w:noProof/>
        </w:rPr>
        <w:t xml:space="preserve">was the most frequently reported type (72 cases, </w:t>
      </w:r>
      <w:r w:rsidR="009679AA" w:rsidRPr="00F83C93">
        <w:rPr>
          <w:noProof/>
        </w:rPr>
        <w:t>EUR </w:t>
      </w:r>
      <w:r w:rsidR="009C1A99" w:rsidRPr="00F83C93">
        <w:rPr>
          <w:noProof/>
        </w:rPr>
        <w:t>11.4 million)</w:t>
      </w:r>
      <w:r w:rsidR="001E4C43" w:rsidRPr="00F83C93">
        <w:rPr>
          <w:noProof/>
        </w:rPr>
        <w:t xml:space="preserve"> followed by</w:t>
      </w:r>
      <w:r w:rsidRPr="00F83C93">
        <w:rPr>
          <w:noProof/>
        </w:rPr>
        <w:t xml:space="preserve"> </w:t>
      </w:r>
      <w:r w:rsidRPr="00F83C93">
        <w:rPr>
          <w:b/>
          <w:bCs/>
          <w:i/>
          <w:iCs/>
          <w:noProof/>
        </w:rPr>
        <w:t>incorrect classification/misdescription</w:t>
      </w:r>
      <w:r w:rsidRPr="00F83C93">
        <w:rPr>
          <w:noProof/>
        </w:rPr>
        <w:t xml:space="preserve"> </w:t>
      </w:r>
      <w:r w:rsidR="001E4C43" w:rsidRPr="00F83C93">
        <w:rPr>
          <w:noProof/>
        </w:rPr>
        <w:t>(</w:t>
      </w:r>
      <w:r w:rsidRPr="00F83C93">
        <w:rPr>
          <w:noProof/>
        </w:rPr>
        <w:t>47 cases</w:t>
      </w:r>
      <w:r w:rsidR="001E4C43" w:rsidRPr="00F83C93">
        <w:rPr>
          <w:noProof/>
        </w:rPr>
        <w:t>,</w:t>
      </w:r>
      <w:r w:rsidRPr="00F83C93">
        <w:rPr>
          <w:noProof/>
        </w:rPr>
        <w:t xml:space="preserve"> </w:t>
      </w:r>
      <w:r w:rsidR="009679AA" w:rsidRPr="00F83C93">
        <w:rPr>
          <w:noProof/>
        </w:rPr>
        <w:t>EUR </w:t>
      </w:r>
      <w:r w:rsidRPr="00F83C93">
        <w:rPr>
          <w:noProof/>
        </w:rPr>
        <w:t>14.7 million).</w:t>
      </w:r>
    </w:p>
    <w:p w14:paraId="550B1833" w14:textId="02EFF695" w:rsidR="00F275E7" w:rsidRPr="00DE3A6F" w:rsidRDefault="0073714E" w:rsidP="28D37C99">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F83C93">
        <w:rPr>
          <w:noProof/>
        </w:rPr>
        <w:t>For non-fraudulent cases, the most common violation remain</w:t>
      </w:r>
      <w:r w:rsidR="005D25F0" w:rsidRPr="00F83C93">
        <w:rPr>
          <w:noProof/>
        </w:rPr>
        <w:t>ed</w:t>
      </w:r>
      <w:r w:rsidRPr="00F83C93">
        <w:rPr>
          <w:noProof/>
        </w:rPr>
        <w:t xml:space="preserve"> </w:t>
      </w:r>
      <w:r w:rsidRPr="00F83C93">
        <w:rPr>
          <w:b/>
          <w:bCs/>
          <w:i/>
          <w:iCs/>
          <w:noProof/>
        </w:rPr>
        <w:t>incorrect classification/misdescription</w:t>
      </w:r>
      <w:r w:rsidRPr="00F83C93">
        <w:rPr>
          <w:b/>
          <w:bCs/>
          <w:noProof/>
        </w:rPr>
        <w:t xml:space="preserve"> </w:t>
      </w:r>
      <w:r w:rsidRPr="00F83C93">
        <w:rPr>
          <w:noProof/>
        </w:rPr>
        <w:t>(</w:t>
      </w:r>
      <w:r w:rsidR="005D25F0" w:rsidRPr="00F83C93">
        <w:rPr>
          <w:noProof/>
        </w:rPr>
        <w:t>1 </w:t>
      </w:r>
      <w:r w:rsidRPr="00F83C93">
        <w:rPr>
          <w:noProof/>
        </w:rPr>
        <w:t>765 cases</w:t>
      </w:r>
      <w:r w:rsidR="005D25F0" w:rsidRPr="00F83C93">
        <w:rPr>
          <w:noProof/>
        </w:rPr>
        <w:t>,</w:t>
      </w:r>
      <w:r w:rsidRPr="00F83C93">
        <w:rPr>
          <w:noProof/>
        </w:rPr>
        <w:t xml:space="preserve"> </w:t>
      </w:r>
      <w:r w:rsidR="009679AA" w:rsidRPr="00F83C93">
        <w:rPr>
          <w:noProof/>
        </w:rPr>
        <w:t>EUR </w:t>
      </w:r>
      <w:r w:rsidRPr="00F83C93">
        <w:rPr>
          <w:noProof/>
        </w:rPr>
        <w:t>156 million)</w:t>
      </w:r>
      <w:r w:rsidR="00A7785D" w:rsidRPr="00F83C93">
        <w:rPr>
          <w:noProof/>
        </w:rPr>
        <w:t>. However,</w:t>
      </w:r>
      <w:r w:rsidRPr="00F83C93">
        <w:rPr>
          <w:noProof/>
        </w:rPr>
        <w:t xml:space="preserve"> </w:t>
      </w:r>
      <w:r w:rsidRPr="00F83C93">
        <w:rPr>
          <w:b/>
          <w:bCs/>
          <w:i/>
          <w:iCs/>
          <w:noProof/>
        </w:rPr>
        <w:t>incorrect value</w:t>
      </w:r>
      <w:r w:rsidRPr="00F83C93">
        <w:rPr>
          <w:noProof/>
        </w:rPr>
        <w:t xml:space="preserve"> dominated in </w:t>
      </w:r>
      <w:r w:rsidR="00A7785D" w:rsidRPr="00F83C93">
        <w:rPr>
          <w:noProof/>
        </w:rPr>
        <w:t xml:space="preserve">terms of financial impact </w:t>
      </w:r>
      <w:r w:rsidRPr="00F83C93">
        <w:rPr>
          <w:noProof/>
        </w:rPr>
        <w:t>(871 cases</w:t>
      </w:r>
      <w:r w:rsidR="001D3564" w:rsidRPr="00F83C93">
        <w:rPr>
          <w:noProof/>
        </w:rPr>
        <w:t>,</w:t>
      </w:r>
      <w:r w:rsidRPr="00F83C93">
        <w:rPr>
          <w:noProof/>
        </w:rPr>
        <w:t xml:space="preserve"> </w:t>
      </w:r>
      <w:r w:rsidR="009679AA" w:rsidRPr="00F83C93">
        <w:rPr>
          <w:noProof/>
        </w:rPr>
        <w:t>EUR </w:t>
      </w:r>
      <w:r w:rsidRPr="00F83C93">
        <w:rPr>
          <w:noProof/>
        </w:rPr>
        <w:t xml:space="preserve">398 million). </w:t>
      </w:r>
      <w:r w:rsidRPr="00F83C93">
        <w:rPr>
          <w:b/>
          <w:bCs/>
          <w:noProof/>
        </w:rPr>
        <w:t>Sports footwear</w:t>
      </w:r>
      <w:r w:rsidRPr="00F83C93">
        <w:rPr>
          <w:noProof/>
        </w:rPr>
        <w:t xml:space="preserve"> </w:t>
      </w:r>
      <w:r w:rsidR="001D3564" w:rsidRPr="00F83C93">
        <w:rPr>
          <w:noProof/>
        </w:rPr>
        <w:t xml:space="preserve">was </w:t>
      </w:r>
      <w:r w:rsidRPr="00F83C93">
        <w:rPr>
          <w:noProof/>
        </w:rPr>
        <w:t xml:space="preserve">the most affected type of goods in terms of value. </w:t>
      </w:r>
      <w:r w:rsidR="000D6BD7" w:rsidRPr="00F83C93">
        <w:rPr>
          <w:noProof/>
        </w:rPr>
        <w:t>T</w:t>
      </w:r>
      <w:r w:rsidRPr="00F83C93">
        <w:rPr>
          <w:noProof/>
        </w:rPr>
        <w:t xml:space="preserve">he top three </w:t>
      </w:r>
      <w:r w:rsidRPr="00F83C93">
        <w:rPr>
          <w:b/>
          <w:bCs/>
          <w:noProof/>
        </w:rPr>
        <w:t xml:space="preserve">countries of origin </w:t>
      </w:r>
      <w:r w:rsidRPr="00F83C93">
        <w:rPr>
          <w:noProof/>
        </w:rPr>
        <w:t>of goods affected by irregularities</w:t>
      </w:r>
      <w:r w:rsidR="000D6BD7" w:rsidRPr="00F83C93">
        <w:rPr>
          <w:noProof/>
        </w:rPr>
        <w:t xml:space="preserve"> were </w:t>
      </w:r>
      <w:r w:rsidR="000D6BD7" w:rsidRPr="00F83C93">
        <w:rPr>
          <w:b/>
          <w:bCs/>
          <w:noProof/>
        </w:rPr>
        <w:t>China, the United States and India</w:t>
      </w:r>
      <w:r w:rsidRPr="00F83C93">
        <w:rPr>
          <w:noProof/>
        </w:rPr>
        <w:t>.</w:t>
      </w:r>
    </w:p>
    <w:p w14:paraId="302B421A" w14:textId="4AD35412" w:rsidR="007958D2" w:rsidRPr="00DE3A6F" w:rsidRDefault="007958D2" w:rsidP="007958D2">
      <w:pPr>
        <w:rPr>
          <w:noProof/>
        </w:rPr>
      </w:pPr>
      <w:bookmarkStart w:id="73" w:name="_Hlk228450869"/>
      <w:r w:rsidRPr="00F83C93">
        <w:rPr>
          <w:b/>
          <w:bCs/>
          <w:i/>
          <w:iCs/>
          <w:noProof/>
        </w:rPr>
        <w:t>Release for free circulation</w:t>
      </w:r>
      <w:r w:rsidRPr="00F83C93">
        <w:rPr>
          <w:noProof/>
        </w:rPr>
        <w:t xml:space="preserve"> </w:t>
      </w:r>
      <w:r w:rsidR="000D6BD7" w:rsidRPr="00F83C93">
        <w:rPr>
          <w:noProof/>
        </w:rPr>
        <w:t xml:space="preserve">remained </w:t>
      </w:r>
      <w:r w:rsidRPr="00F83C93">
        <w:rPr>
          <w:noProof/>
        </w:rPr>
        <w:t xml:space="preserve">the most affected </w:t>
      </w:r>
      <w:r w:rsidRPr="00F83C93">
        <w:rPr>
          <w:b/>
          <w:bCs/>
          <w:noProof/>
        </w:rPr>
        <w:t>customs procedure</w:t>
      </w:r>
      <w:r w:rsidRPr="00F83C93">
        <w:rPr>
          <w:noProof/>
        </w:rPr>
        <w:t xml:space="preserve"> with 3 812 cases involving an overall estimated and established amount of </w:t>
      </w:r>
      <w:r w:rsidR="00C477B4" w:rsidRPr="00F83C93">
        <w:rPr>
          <w:noProof/>
        </w:rPr>
        <w:t>EUR </w:t>
      </w:r>
      <w:r w:rsidRPr="00F83C93">
        <w:rPr>
          <w:noProof/>
        </w:rPr>
        <w:t>746.3 million</w:t>
      </w:r>
      <w:r w:rsidR="003B154E" w:rsidRPr="00F83C93">
        <w:rPr>
          <w:noProof/>
        </w:rPr>
        <w:t xml:space="preserve"> (</w:t>
      </w:r>
      <w:r w:rsidRPr="00F83C93">
        <w:rPr>
          <w:b/>
          <w:bCs/>
          <w:noProof/>
        </w:rPr>
        <w:t>87%</w:t>
      </w:r>
      <w:r w:rsidRPr="00F83C93">
        <w:rPr>
          <w:noProof/>
        </w:rPr>
        <w:t xml:space="preserve"> </w:t>
      </w:r>
      <w:r w:rsidRPr="00F83C93">
        <w:rPr>
          <w:b/>
          <w:bCs/>
          <w:noProof/>
        </w:rPr>
        <w:t>of all cases</w:t>
      </w:r>
      <w:r w:rsidRPr="00F83C93">
        <w:rPr>
          <w:noProof/>
        </w:rPr>
        <w:t xml:space="preserve"> and </w:t>
      </w:r>
      <w:r w:rsidRPr="00F83C93">
        <w:rPr>
          <w:b/>
          <w:bCs/>
          <w:noProof/>
        </w:rPr>
        <w:t xml:space="preserve">90% of the </w:t>
      </w:r>
      <w:r w:rsidR="003B154E" w:rsidRPr="00F83C93">
        <w:rPr>
          <w:b/>
          <w:bCs/>
          <w:noProof/>
        </w:rPr>
        <w:t xml:space="preserve">total </w:t>
      </w:r>
      <w:r w:rsidRPr="00F83C93">
        <w:rPr>
          <w:b/>
          <w:bCs/>
          <w:noProof/>
        </w:rPr>
        <w:t>amounts</w:t>
      </w:r>
      <w:r w:rsidRPr="00F83C93">
        <w:rPr>
          <w:noProof/>
        </w:rPr>
        <w:t xml:space="preserve"> reported for 2025, regardless of whether they are fraudulent or non-fraudulent</w:t>
      </w:r>
      <w:r w:rsidR="00C73A0A" w:rsidRPr="00F83C93">
        <w:rPr>
          <w:noProof/>
        </w:rPr>
        <w:t>)</w:t>
      </w:r>
      <w:r w:rsidRPr="00F83C93">
        <w:rPr>
          <w:noProof/>
        </w:rPr>
        <w:t xml:space="preserve">. In 2025, the registered amounts of TOR for fraud </w:t>
      </w:r>
      <w:r w:rsidR="00C73A0A" w:rsidRPr="00F83C93">
        <w:rPr>
          <w:noProof/>
        </w:rPr>
        <w:t xml:space="preserve">cases </w:t>
      </w:r>
      <w:r w:rsidRPr="00F83C93">
        <w:rPr>
          <w:noProof/>
        </w:rPr>
        <w:t xml:space="preserve">decreased significantly </w:t>
      </w:r>
      <w:r w:rsidR="003E62A3" w:rsidRPr="00F83C93">
        <w:rPr>
          <w:noProof/>
        </w:rPr>
        <w:t xml:space="preserve">across </w:t>
      </w:r>
      <w:r w:rsidRPr="00F83C93">
        <w:rPr>
          <w:noProof/>
        </w:rPr>
        <w:t xml:space="preserve">all customs procedures except for </w:t>
      </w:r>
      <w:r w:rsidRPr="00F83C93">
        <w:rPr>
          <w:b/>
          <w:bCs/>
          <w:i/>
          <w:iCs/>
          <w:noProof/>
        </w:rPr>
        <w:t>release for free circulation</w:t>
      </w:r>
      <w:r w:rsidRPr="00F83C93">
        <w:rPr>
          <w:noProof/>
        </w:rPr>
        <w:t xml:space="preserve"> and </w:t>
      </w:r>
      <w:r w:rsidRPr="00F83C93">
        <w:rPr>
          <w:b/>
          <w:bCs/>
          <w:i/>
          <w:iCs/>
          <w:noProof/>
        </w:rPr>
        <w:t>other</w:t>
      </w:r>
      <w:r w:rsidR="00004B5C" w:rsidRPr="00F83C93">
        <w:rPr>
          <w:noProof/>
        </w:rPr>
        <w:t>,</w:t>
      </w:r>
      <w:r w:rsidRPr="00F83C93">
        <w:rPr>
          <w:noProof/>
        </w:rPr>
        <w:t xml:space="preserve"> which increased. </w:t>
      </w:r>
      <w:r w:rsidR="003E62A3" w:rsidRPr="00F83C93">
        <w:rPr>
          <w:noProof/>
        </w:rPr>
        <w:t>A</w:t>
      </w:r>
      <w:r w:rsidRPr="00F83C93">
        <w:rPr>
          <w:noProof/>
        </w:rPr>
        <w:t xml:space="preserve">s in 2024, the second most impacted customs procedure by TOR amount for non-fraudulent cases was </w:t>
      </w:r>
      <w:r w:rsidRPr="00F83C93">
        <w:rPr>
          <w:b/>
          <w:bCs/>
          <w:i/>
          <w:iCs/>
          <w:noProof/>
        </w:rPr>
        <w:t>inward processing</w:t>
      </w:r>
      <w:r w:rsidRPr="00F83C93">
        <w:rPr>
          <w:noProof/>
        </w:rPr>
        <w:t xml:space="preserve"> followed by </w:t>
      </w:r>
      <w:r w:rsidRPr="00F83C93">
        <w:rPr>
          <w:b/>
          <w:bCs/>
          <w:i/>
          <w:iCs/>
          <w:noProof/>
        </w:rPr>
        <w:t>customs warehousing</w:t>
      </w:r>
      <w:r w:rsidRPr="00F83C93">
        <w:rPr>
          <w:i/>
          <w:iCs/>
          <w:noProof/>
        </w:rPr>
        <w:t>.</w:t>
      </w:r>
    </w:p>
    <w:p w14:paraId="0693B159" w14:textId="27D8664E" w:rsidR="007958D2" w:rsidRDefault="009B6026" w:rsidP="007958D2">
      <w:pPr>
        <w:rPr>
          <w:noProof/>
        </w:rPr>
      </w:pPr>
      <w:r w:rsidRPr="00DE3A6F">
        <w:rPr>
          <w:noProof/>
        </w:rPr>
        <w:t>I</w:t>
      </w:r>
      <w:r w:rsidR="007958D2" w:rsidRPr="00DE3A6F">
        <w:rPr>
          <w:b/>
          <w:bCs/>
          <w:i/>
          <w:iCs/>
          <w:noProof/>
        </w:rPr>
        <w:t>nspections by anti-fraud services</w:t>
      </w:r>
      <w:r w:rsidR="007958D2" w:rsidRPr="00DE3A6F">
        <w:rPr>
          <w:b/>
          <w:bCs/>
          <w:noProof/>
        </w:rPr>
        <w:t xml:space="preserve"> </w:t>
      </w:r>
      <w:r w:rsidRPr="00DE3A6F">
        <w:rPr>
          <w:noProof/>
        </w:rPr>
        <w:t xml:space="preserve">played a crucial role in detecting fraudulent cases in 2025 </w:t>
      </w:r>
      <w:r w:rsidR="007958D2" w:rsidRPr="00DE3A6F">
        <w:rPr>
          <w:noProof/>
        </w:rPr>
        <w:t xml:space="preserve">(37% of cases and 74% of amounts). Non-fraudulent </w:t>
      </w:r>
      <w:r w:rsidRPr="00DE3A6F">
        <w:rPr>
          <w:noProof/>
        </w:rPr>
        <w:t xml:space="preserve">irregularities </w:t>
      </w:r>
      <w:r w:rsidR="007958D2" w:rsidRPr="00DE3A6F">
        <w:rPr>
          <w:noProof/>
        </w:rPr>
        <w:t xml:space="preserve">were primarily detected through </w:t>
      </w:r>
      <w:r w:rsidR="007958D2" w:rsidRPr="00DE3A6F">
        <w:rPr>
          <w:b/>
          <w:bCs/>
          <w:i/>
          <w:iCs/>
          <w:noProof/>
        </w:rPr>
        <w:t>post-release controls</w:t>
      </w:r>
      <w:r w:rsidR="007958D2" w:rsidRPr="00DE3A6F">
        <w:rPr>
          <w:noProof/>
        </w:rPr>
        <w:t xml:space="preserve"> (51% of cases and 75% of amounts). </w:t>
      </w:r>
      <w:r w:rsidR="007958D2" w:rsidRPr="00DE3A6F">
        <w:rPr>
          <w:b/>
          <w:bCs/>
          <w:i/>
          <w:iCs/>
          <w:noProof/>
        </w:rPr>
        <w:t>Release controls</w:t>
      </w:r>
      <w:r w:rsidR="007958D2" w:rsidRPr="00DE3A6F">
        <w:rPr>
          <w:noProof/>
        </w:rPr>
        <w:t xml:space="preserve"> were also an effective method of detecting both fraudulent and non-fraudulent irregularities.</w:t>
      </w:r>
      <w:bookmarkEnd w:id="73"/>
    </w:p>
    <w:p w14:paraId="753C455B" w14:textId="56847BC6" w:rsidR="00CA6005" w:rsidRDefault="00CA6005" w:rsidP="009C1AC6">
      <w:pPr>
        <w:pStyle w:val="Caption"/>
        <w:keepNext/>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Pr>
          <w:noProof/>
        </w:rPr>
        <w:lastRenderedPageBreak/>
        <w:t xml:space="preserve">Snapshot </w:t>
      </w:r>
      <w:r>
        <w:rPr>
          <w:noProof/>
        </w:rPr>
        <w:fldChar w:fldCharType="begin"/>
      </w:r>
      <w:r>
        <w:rPr>
          <w:noProof/>
        </w:rPr>
        <w:instrText xml:space="preserve"> SEQ Snapshot \* ARABIC </w:instrText>
      </w:r>
      <w:r>
        <w:rPr>
          <w:noProof/>
        </w:rPr>
        <w:fldChar w:fldCharType="separate"/>
      </w:r>
      <w:r>
        <w:rPr>
          <w:noProof/>
        </w:rPr>
        <w:t>10</w:t>
      </w:r>
      <w:r>
        <w:rPr>
          <w:noProof/>
        </w:rPr>
        <w:fldChar w:fldCharType="end"/>
      </w:r>
      <w:r>
        <w:rPr>
          <w:noProof/>
        </w:rPr>
        <w:t>: OLAF’s investigations in customs</w:t>
      </w:r>
    </w:p>
    <w:p w14:paraId="51E968F1" w14:textId="587E02BF" w:rsidR="001A401F" w:rsidRPr="00DE3A6F" w:rsidRDefault="004E509E" w:rsidP="009C1AC6">
      <w:pPr>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Pr>
          <w:noProof/>
        </w:rPr>
        <w:t xml:space="preserve">In 2025, in the context of its investigations, OLAF issued financial recommendations to customs authorities of </w:t>
      </w:r>
      <w:r w:rsidR="004C4936">
        <w:rPr>
          <w:noProof/>
        </w:rPr>
        <w:t xml:space="preserve">the </w:t>
      </w:r>
      <w:r>
        <w:rPr>
          <w:noProof/>
        </w:rPr>
        <w:t xml:space="preserve">Member States in relation to the evasion of import duties for an amount of </w:t>
      </w:r>
      <w:r w:rsidRPr="002A458D">
        <w:rPr>
          <w:noProof/>
        </w:rPr>
        <w:t>EUR</w:t>
      </w:r>
      <w:r>
        <w:rPr>
          <w:noProof/>
        </w:rPr>
        <w:t> </w:t>
      </w:r>
      <w:r w:rsidRPr="002A458D">
        <w:rPr>
          <w:noProof/>
        </w:rPr>
        <w:t>351</w:t>
      </w:r>
      <w:r w:rsidR="004C4936">
        <w:rPr>
          <w:noProof/>
        </w:rPr>
        <w:t>.1 million</w:t>
      </w:r>
      <w:r>
        <w:rPr>
          <w:noProof/>
        </w:rPr>
        <w:t>. OLAF also issued requests to take precautionary measures to customs authorities of Member States for an amount of EUR</w:t>
      </w:r>
      <w:r w:rsidR="004C4936">
        <w:rPr>
          <w:noProof/>
        </w:rPr>
        <w:t> </w:t>
      </w:r>
      <w:r w:rsidRPr="002A458D">
        <w:rPr>
          <w:noProof/>
        </w:rPr>
        <w:t>397</w:t>
      </w:r>
      <w:r w:rsidR="004C4936">
        <w:rPr>
          <w:noProof/>
        </w:rPr>
        <w:t>.4 million</w:t>
      </w:r>
      <w:r w:rsidR="005E0AB8" w:rsidRPr="005E0AB8">
        <w:rPr>
          <w:noProof/>
        </w:rPr>
        <w:t> (</w:t>
      </w:r>
      <w:r w:rsidR="005E0AB8">
        <w:rPr>
          <w:rStyle w:val="FootnoteReference"/>
          <w:noProof/>
        </w:rPr>
        <w:footnoteReference w:id="64"/>
      </w:r>
      <w:r w:rsidR="005E0AB8">
        <w:rPr>
          <w:noProof/>
        </w:rPr>
        <w:t>)</w:t>
      </w:r>
      <w:r>
        <w:rPr>
          <w:noProof/>
        </w:rPr>
        <w:t xml:space="preserve">. </w:t>
      </w:r>
    </w:p>
    <w:p w14:paraId="4873A12C" w14:textId="705973FE" w:rsidR="00582202" w:rsidRPr="00DE3A6F" w:rsidRDefault="45DE6A30" w:rsidP="007958D2">
      <w:pPr>
        <w:rPr>
          <w:noProof/>
        </w:rPr>
      </w:pPr>
      <w:r w:rsidRPr="00F83C93">
        <w:rPr>
          <w:noProof/>
        </w:rPr>
        <w:t xml:space="preserve">In 2025, </w:t>
      </w:r>
      <w:r w:rsidR="00C23EF9" w:rsidRPr="00F83C93">
        <w:rPr>
          <w:noProof/>
        </w:rPr>
        <w:t xml:space="preserve">12 </w:t>
      </w:r>
      <w:r w:rsidRPr="00F83C93">
        <w:rPr>
          <w:noProof/>
        </w:rPr>
        <w:t xml:space="preserve">Member States reported 75 cases of </w:t>
      </w:r>
      <w:r w:rsidRPr="00F83C93">
        <w:rPr>
          <w:b/>
          <w:bCs/>
          <w:noProof/>
        </w:rPr>
        <w:t>smuggled cigarettes</w:t>
      </w:r>
      <w:r w:rsidRPr="00F83C93">
        <w:rPr>
          <w:noProof/>
        </w:rPr>
        <w:t xml:space="preserve"> with nearly EUR 13 million </w:t>
      </w:r>
      <w:r w:rsidR="008838BB" w:rsidRPr="00F83C93">
        <w:rPr>
          <w:noProof/>
        </w:rPr>
        <w:t>in</w:t>
      </w:r>
      <w:r w:rsidRPr="00F83C93">
        <w:rPr>
          <w:noProof/>
        </w:rPr>
        <w:t xml:space="preserve"> estimated TOR involved. </w:t>
      </w:r>
      <w:r w:rsidRPr="00F83C93">
        <w:rPr>
          <w:b/>
          <w:bCs/>
          <w:noProof/>
        </w:rPr>
        <w:t>Lithuania</w:t>
      </w:r>
      <w:r w:rsidRPr="00F83C93">
        <w:rPr>
          <w:noProof/>
        </w:rPr>
        <w:t xml:space="preserve"> reported the highest number of cases (16) followed by </w:t>
      </w:r>
      <w:r w:rsidRPr="00F83C93">
        <w:rPr>
          <w:b/>
          <w:bCs/>
          <w:noProof/>
        </w:rPr>
        <w:t>Estonia</w:t>
      </w:r>
      <w:r w:rsidRPr="00F83C93">
        <w:rPr>
          <w:noProof/>
        </w:rPr>
        <w:t xml:space="preserve"> (15). The highest amount of TOR (</w:t>
      </w:r>
      <w:r w:rsidR="002F4B3A" w:rsidRPr="00F83C93">
        <w:rPr>
          <w:noProof/>
        </w:rPr>
        <w:t>EUR </w:t>
      </w:r>
      <w:r w:rsidRPr="00F83C93">
        <w:rPr>
          <w:noProof/>
        </w:rPr>
        <w:t xml:space="preserve">3.3 million) was reported by Italy. Compared </w:t>
      </w:r>
      <w:r w:rsidR="001D429C" w:rsidRPr="00F83C93">
        <w:rPr>
          <w:noProof/>
        </w:rPr>
        <w:t xml:space="preserve">with </w:t>
      </w:r>
      <w:r w:rsidRPr="00F83C93">
        <w:rPr>
          <w:noProof/>
        </w:rPr>
        <w:t xml:space="preserve">2024, </w:t>
      </w:r>
      <w:r w:rsidR="002F4B3A" w:rsidRPr="00F83C93">
        <w:rPr>
          <w:noProof/>
        </w:rPr>
        <w:t xml:space="preserve">9 </w:t>
      </w:r>
      <w:r w:rsidRPr="00F83C93">
        <w:rPr>
          <w:noProof/>
        </w:rPr>
        <w:t xml:space="preserve">Member States continued to report cigarettes smuggling cases exceeding </w:t>
      </w:r>
      <w:r w:rsidR="002F4B3A" w:rsidRPr="00F83C93">
        <w:rPr>
          <w:noProof/>
        </w:rPr>
        <w:t>EUR 10 </w:t>
      </w:r>
      <w:r w:rsidRPr="00F83C93">
        <w:rPr>
          <w:noProof/>
        </w:rPr>
        <w:t>000 in TOR</w:t>
      </w:r>
      <w:r w:rsidR="00FB1985" w:rsidRPr="00F83C93">
        <w:rPr>
          <w:noProof/>
        </w:rPr>
        <w:t> (</w:t>
      </w:r>
      <w:r w:rsidR="007958D2" w:rsidRPr="00F83C93">
        <w:rPr>
          <w:rStyle w:val="FootnoteReference"/>
          <w:noProof/>
        </w:rPr>
        <w:footnoteReference w:id="65"/>
      </w:r>
      <w:r w:rsidR="00FB1985" w:rsidRPr="00F83C93">
        <w:rPr>
          <w:noProof/>
        </w:rPr>
        <w:t>)</w:t>
      </w:r>
      <w:r w:rsidRPr="00F83C93">
        <w:rPr>
          <w:noProof/>
        </w:rPr>
        <w:t xml:space="preserve"> </w:t>
      </w:r>
      <w:r w:rsidR="00FC6B0B" w:rsidRPr="00F83C93">
        <w:rPr>
          <w:noProof/>
        </w:rPr>
        <w:t xml:space="preserve">while </w:t>
      </w:r>
      <w:r w:rsidRPr="00F83C93">
        <w:rPr>
          <w:noProof/>
        </w:rPr>
        <w:t>some Member States have re-appeared in the statistics.</w:t>
      </w:r>
      <w:r w:rsidR="00FB1985" w:rsidRPr="00F83C93">
        <w:rPr>
          <w:noProof/>
        </w:rPr>
        <w:t> (</w:t>
      </w:r>
      <w:r w:rsidR="007958D2" w:rsidRPr="00F83C93">
        <w:rPr>
          <w:rStyle w:val="FootnoteReference"/>
          <w:noProof/>
        </w:rPr>
        <w:footnoteReference w:id="66"/>
      </w:r>
      <w:r w:rsidR="00FB1985" w:rsidRPr="00F83C93">
        <w:rPr>
          <w:noProof/>
        </w:rPr>
        <w:t>)</w:t>
      </w:r>
    </w:p>
    <w:p w14:paraId="00E838BB" w14:textId="3B1ACC5D" w:rsidR="00CC4121" w:rsidRPr="00DE3A6F" w:rsidRDefault="5B2FB729" w:rsidP="00CC4121">
      <w:pPr>
        <w:rPr>
          <w:noProof/>
        </w:rPr>
      </w:pPr>
      <w:r w:rsidRPr="00F83C93">
        <w:rPr>
          <w:noProof/>
        </w:rPr>
        <w:t xml:space="preserve">The </w:t>
      </w:r>
      <w:r w:rsidRPr="00F83C93">
        <w:rPr>
          <w:b/>
          <w:bCs/>
          <w:noProof/>
        </w:rPr>
        <w:t>recovery rate</w:t>
      </w:r>
      <w:r w:rsidRPr="00F83C93">
        <w:rPr>
          <w:noProof/>
        </w:rPr>
        <w:t xml:space="preserve"> </w:t>
      </w:r>
      <w:r w:rsidR="00884494" w:rsidRPr="00F83C93">
        <w:rPr>
          <w:noProof/>
        </w:rPr>
        <w:t xml:space="preserve">for </w:t>
      </w:r>
      <w:r w:rsidRPr="00F83C93">
        <w:rPr>
          <w:noProof/>
        </w:rPr>
        <w:t xml:space="preserve">fraudulent and non-fraudulent irregularities detected in 2025 was </w:t>
      </w:r>
      <w:r w:rsidRPr="00F83C93">
        <w:rPr>
          <w:b/>
          <w:bCs/>
          <w:noProof/>
        </w:rPr>
        <w:t>77%</w:t>
      </w:r>
      <w:r w:rsidR="00FB1985" w:rsidRPr="00F83C93">
        <w:rPr>
          <w:noProof/>
        </w:rPr>
        <w:t> (</w:t>
      </w:r>
      <w:r w:rsidR="00CC4121" w:rsidRPr="00F83C93">
        <w:rPr>
          <w:noProof/>
          <w:vertAlign w:val="superscript"/>
        </w:rPr>
        <w:footnoteReference w:id="67"/>
      </w:r>
      <w:r w:rsidR="00FB1985" w:rsidRPr="009A288A">
        <w:rPr>
          <w:noProof/>
        </w:rPr>
        <w:t>)</w:t>
      </w:r>
      <w:r w:rsidR="00434155" w:rsidRPr="009A288A">
        <w:rPr>
          <w:noProof/>
        </w:rPr>
        <w:t xml:space="preserve">, </w:t>
      </w:r>
      <w:r w:rsidR="00CF3D97" w:rsidRPr="009A288A">
        <w:rPr>
          <w:noProof/>
        </w:rPr>
        <w:t>overall,</w:t>
      </w:r>
      <w:r w:rsidR="008A6F36" w:rsidRPr="009A288A">
        <w:rPr>
          <w:noProof/>
        </w:rPr>
        <w:t xml:space="preserve"> </w:t>
      </w:r>
      <w:r w:rsidR="00434155" w:rsidRPr="009A288A">
        <w:rPr>
          <w:noProof/>
        </w:rPr>
        <w:t>a positive outcome</w:t>
      </w:r>
      <w:r w:rsidR="008A6F36" w:rsidRPr="009A288A">
        <w:rPr>
          <w:noProof/>
        </w:rPr>
        <w:t>.</w:t>
      </w:r>
      <w:r w:rsidRPr="009A288A">
        <w:rPr>
          <w:noProof/>
        </w:rPr>
        <w:t xml:space="preserve"> For fraudulent cases, the recovery rate of 28% decrease</w:t>
      </w:r>
      <w:r w:rsidR="00E47F45" w:rsidRPr="009A288A">
        <w:rPr>
          <w:noProof/>
        </w:rPr>
        <w:t>d</w:t>
      </w:r>
      <w:r w:rsidRPr="009A288A">
        <w:rPr>
          <w:noProof/>
        </w:rPr>
        <w:t xml:space="preserve"> compared to the previous year</w:t>
      </w:r>
      <w:r w:rsidR="00C11DAF" w:rsidRPr="009A288A">
        <w:rPr>
          <w:noProof/>
        </w:rPr>
        <w:t>, while f</w:t>
      </w:r>
      <w:r w:rsidRPr="009A288A">
        <w:rPr>
          <w:noProof/>
        </w:rPr>
        <w:t xml:space="preserve">or non-fraudulent cases, </w:t>
      </w:r>
      <w:r w:rsidR="00C11DAF" w:rsidRPr="009A288A">
        <w:rPr>
          <w:noProof/>
        </w:rPr>
        <w:t xml:space="preserve">it remained </w:t>
      </w:r>
      <w:r w:rsidRPr="009A288A">
        <w:rPr>
          <w:noProof/>
        </w:rPr>
        <w:t xml:space="preserve">similar to 2024, </w:t>
      </w:r>
      <w:r w:rsidR="00C11DAF" w:rsidRPr="009A288A">
        <w:rPr>
          <w:noProof/>
        </w:rPr>
        <w:t xml:space="preserve">at </w:t>
      </w:r>
      <w:r w:rsidRPr="009A288A">
        <w:rPr>
          <w:noProof/>
        </w:rPr>
        <w:t xml:space="preserve">82%, though the recovered amount was almost </w:t>
      </w:r>
      <w:r w:rsidR="006A3EF1" w:rsidRPr="009A288A">
        <w:rPr>
          <w:noProof/>
        </w:rPr>
        <w:t>double that of the previous year</w:t>
      </w:r>
      <w:r w:rsidRPr="009A288A">
        <w:rPr>
          <w:noProof/>
        </w:rPr>
        <w:t xml:space="preserve">. </w:t>
      </w:r>
    </w:p>
    <w:p w14:paraId="0FFDEB9E" w14:textId="77777777" w:rsidR="003376EE" w:rsidRDefault="5B2FB729" w:rsidP="00CC4121">
      <w:pPr>
        <w:rPr>
          <w:noProof/>
        </w:rPr>
      </w:pPr>
      <w:r w:rsidRPr="009A288A">
        <w:rPr>
          <w:noProof/>
        </w:rPr>
        <w:t xml:space="preserve">The </w:t>
      </w:r>
      <w:r w:rsidRPr="009A288A">
        <w:rPr>
          <w:b/>
          <w:bCs/>
          <w:noProof/>
        </w:rPr>
        <w:t>historical recovery rate</w:t>
      </w:r>
      <w:r w:rsidR="00FB1985" w:rsidRPr="009A288A">
        <w:rPr>
          <w:b/>
          <w:bCs/>
          <w:noProof/>
        </w:rPr>
        <w:t> (</w:t>
      </w:r>
      <w:r w:rsidR="00CC4121" w:rsidRPr="009A288A">
        <w:rPr>
          <w:rStyle w:val="FootnoteReference"/>
          <w:b/>
          <w:bCs/>
          <w:noProof/>
        </w:rPr>
        <w:footnoteReference w:id="68"/>
      </w:r>
      <w:r w:rsidR="00FB1985" w:rsidRPr="009A288A">
        <w:rPr>
          <w:b/>
          <w:bCs/>
          <w:noProof/>
        </w:rPr>
        <w:t>)</w:t>
      </w:r>
      <w:r w:rsidRPr="009A288A">
        <w:rPr>
          <w:b/>
          <w:bCs/>
          <w:noProof/>
        </w:rPr>
        <w:t xml:space="preserve"> </w:t>
      </w:r>
      <w:r w:rsidR="006A3EF1" w:rsidRPr="009A288A">
        <w:rPr>
          <w:noProof/>
        </w:rPr>
        <w:t>rose</w:t>
      </w:r>
      <w:r w:rsidRPr="009A288A">
        <w:rPr>
          <w:noProof/>
        </w:rPr>
        <w:t xml:space="preserve"> from 84% </w:t>
      </w:r>
      <w:r w:rsidR="006A3EF1" w:rsidRPr="009A288A">
        <w:rPr>
          <w:noProof/>
        </w:rPr>
        <w:t>to</w:t>
      </w:r>
      <w:r w:rsidRPr="009A288A">
        <w:rPr>
          <w:b/>
          <w:bCs/>
          <w:noProof/>
        </w:rPr>
        <w:t xml:space="preserve"> 86% </w:t>
      </w:r>
      <w:r w:rsidRPr="009A288A">
        <w:rPr>
          <w:noProof/>
        </w:rPr>
        <w:t xml:space="preserve">(71% for fraudulent cases and 91% for non-fraudulent cases). </w:t>
      </w:r>
    </w:p>
    <w:p w14:paraId="1241CC89" w14:textId="56D12172" w:rsidR="00CC4121" w:rsidRPr="00DE3A6F" w:rsidRDefault="5B2FB729" w:rsidP="00CC4121">
      <w:pPr>
        <w:rPr>
          <w:noProof/>
        </w:rPr>
      </w:pPr>
      <w:r w:rsidRPr="009A288A">
        <w:rPr>
          <w:noProof/>
        </w:rPr>
        <w:t>Recovery is a</w:t>
      </w:r>
      <w:r w:rsidR="00BC3129" w:rsidRPr="009A288A">
        <w:rPr>
          <w:noProof/>
        </w:rPr>
        <w:t>n</w:t>
      </w:r>
      <w:r w:rsidRPr="009A288A">
        <w:rPr>
          <w:noProof/>
        </w:rPr>
        <w:t xml:space="preserve"> ongoing process with amounts </w:t>
      </w:r>
      <w:r w:rsidR="00BC3129" w:rsidRPr="009A288A">
        <w:rPr>
          <w:noProof/>
        </w:rPr>
        <w:t xml:space="preserve">increasing </w:t>
      </w:r>
      <w:r w:rsidRPr="009A288A">
        <w:rPr>
          <w:noProof/>
        </w:rPr>
        <w:t>over time as EU, national and other administrative appeal</w:t>
      </w:r>
      <w:r w:rsidR="00FB1226" w:rsidRPr="009A288A">
        <w:rPr>
          <w:noProof/>
        </w:rPr>
        <w:t>s</w:t>
      </w:r>
      <w:r w:rsidRPr="009A288A">
        <w:rPr>
          <w:noProof/>
        </w:rPr>
        <w:t xml:space="preserve"> are finalised and decisions </w:t>
      </w:r>
      <w:r w:rsidR="00FB1226" w:rsidRPr="009A288A">
        <w:rPr>
          <w:noProof/>
        </w:rPr>
        <w:t>become definitive</w:t>
      </w:r>
      <w:r w:rsidR="009A288A" w:rsidRPr="00FD0ABA">
        <w:rPr>
          <w:noProof/>
        </w:rPr>
        <w:t xml:space="preserve">. Furthermore, </w:t>
      </w:r>
      <w:r w:rsidR="009A288A">
        <w:rPr>
          <w:noProof/>
        </w:rPr>
        <w:t xml:space="preserve">usually </w:t>
      </w:r>
      <w:r w:rsidR="009A288A" w:rsidRPr="00FD0ABA">
        <w:rPr>
          <w:noProof/>
        </w:rPr>
        <w:t xml:space="preserve">the financial responsibility of Member States is </w:t>
      </w:r>
      <w:r w:rsidR="009A288A">
        <w:rPr>
          <w:noProof/>
        </w:rPr>
        <w:t>assessed after the recovery actions taken by national authorities as regards the economic operators are concluded.</w:t>
      </w:r>
    </w:p>
    <w:p w14:paraId="338A16F3" w14:textId="2F29FBF8" w:rsidR="007F1B1A" w:rsidRPr="00DE3A6F" w:rsidRDefault="007F1B1A" w:rsidP="00F43E85">
      <w:pPr>
        <w:pStyle w:val="Heading3"/>
        <w:rPr>
          <w:noProof/>
        </w:rPr>
      </w:pPr>
      <w:bookmarkStart w:id="74" w:name="_Expenditure"/>
      <w:bookmarkStart w:id="75" w:name="_Toc234447077"/>
      <w:bookmarkEnd w:id="74"/>
      <w:r w:rsidRPr="00DE3A6F">
        <w:rPr>
          <w:noProof/>
        </w:rPr>
        <w:t>Expenditure</w:t>
      </w:r>
      <w:bookmarkEnd w:id="75"/>
    </w:p>
    <w:p w14:paraId="3F33BD17" w14:textId="267CBC70" w:rsidR="007737BF" w:rsidRPr="00DE3A6F" w:rsidRDefault="007B76AA" w:rsidP="007B76AA">
      <w:pPr>
        <w:pStyle w:val="Heading4"/>
        <w:rPr>
          <w:noProof/>
        </w:rPr>
      </w:pPr>
      <w:bookmarkStart w:id="76" w:name="_Toc234447078"/>
      <w:r w:rsidRPr="00DE3A6F">
        <w:rPr>
          <w:noProof/>
        </w:rPr>
        <w:t>Shared management</w:t>
      </w:r>
      <w:bookmarkEnd w:id="76"/>
    </w:p>
    <w:p w14:paraId="6C33F3A7" w14:textId="2ACDA7AD" w:rsidR="007B76AA" w:rsidRPr="00DE3A6F" w:rsidRDefault="007B76AA" w:rsidP="004D5949">
      <w:pPr>
        <w:pStyle w:val="Heading5"/>
        <w:rPr>
          <w:b/>
          <w:bCs/>
          <w:i/>
          <w:iCs/>
          <w:noProof/>
        </w:rPr>
      </w:pPr>
      <w:bookmarkStart w:id="77" w:name="_Agriculture"/>
      <w:bookmarkEnd w:id="77"/>
      <w:r w:rsidRPr="00DE3A6F">
        <w:rPr>
          <w:b/>
          <w:bCs/>
          <w:i/>
          <w:iCs/>
          <w:noProof/>
        </w:rPr>
        <w:t>Agriculture</w:t>
      </w:r>
    </w:p>
    <w:p w14:paraId="3D07A598" w14:textId="2FFCEF8D" w:rsidR="00870457" w:rsidRPr="00DE3A6F" w:rsidRDefault="00BA79A1" w:rsidP="006A0E60">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Methodological note </w:t>
      </w:r>
      <w:r w:rsidR="004F5327" w:rsidRPr="00DE3A6F">
        <w:rPr>
          <w:noProof/>
        </w:rPr>
        <w:fldChar w:fldCharType="begin"/>
      </w:r>
      <w:r w:rsidR="004F5327" w:rsidRPr="00DE3A6F">
        <w:rPr>
          <w:noProof/>
        </w:rPr>
        <w:instrText xml:space="preserve"> SEQ Methodological_note \* ARABIC </w:instrText>
      </w:r>
      <w:r w:rsidR="004F5327" w:rsidRPr="00DE3A6F">
        <w:rPr>
          <w:noProof/>
        </w:rPr>
        <w:fldChar w:fldCharType="separate"/>
      </w:r>
      <w:r w:rsidR="004F5327" w:rsidRPr="00DE3A6F">
        <w:rPr>
          <w:noProof/>
        </w:rPr>
        <w:t>6</w:t>
      </w:r>
      <w:r w:rsidR="004F5327" w:rsidRPr="00DE3A6F">
        <w:rPr>
          <w:noProof/>
        </w:rPr>
        <w:fldChar w:fldCharType="end"/>
      </w:r>
      <w:r w:rsidR="00870457" w:rsidRPr="00DE3A6F">
        <w:rPr>
          <w:noProof/>
        </w:rPr>
        <w:t>: differences between</w:t>
      </w:r>
      <w:r w:rsidR="008D4343" w:rsidRPr="00DE3A6F">
        <w:rPr>
          <w:noProof/>
        </w:rPr>
        <w:t xml:space="preserve"> CAP</w:t>
      </w:r>
      <w:r w:rsidR="00870457" w:rsidRPr="00DE3A6F">
        <w:rPr>
          <w:noProof/>
        </w:rPr>
        <w:t xml:space="preserve"> pillars </w:t>
      </w:r>
    </w:p>
    <w:p w14:paraId="6424E330" w14:textId="157EC599" w:rsidR="003043B4" w:rsidRPr="00DE3A6F" w:rsidRDefault="2A00A6AA"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2007F9">
        <w:rPr>
          <w:noProof/>
        </w:rPr>
        <w:t xml:space="preserve">When </w:t>
      </w:r>
      <w:r w:rsidR="004F7867" w:rsidRPr="002007F9">
        <w:rPr>
          <w:noProof/>
        </w:rPr>
        <w:t>analysing the</w:t>
      </w:r>
      <w:r w:rsidRPr="002007F9">
        <w:rPr>
          <w:noProof/>
        </w:rPr>
        <w:t xml:space="preserve"> indicators show</w:t>
      </w:r>
      <w:r w:rsidR="46EA3CF2" w:rsidRPr="002007F9">
        <w:rPr>
          <w:noProof/>
        </w:rPr>
        <w:t>n</w:t>
      </w:r>
      <w:r w:rsidRPr="002007F9">
        <w:rPr>
          <w:noProof/>
        </w:rPr>
        <w:t xml:space="preserve"> in Figure</w:t>
      </w:r>
      <w:r w:rsidR="00F934A2" w:rsidRPr="002007F9">
        <w:rPr>
          <w:noProof/>
        </w:rPr>
        <w:t>s</w:t>
      </w:r>
      <w:r w:rsidRPr="002007F9">
        <w:rPr>
          <w:noProof/>
        </w:rPr>
        <w:t xml:space="preserve"> </w:t>
      </w:r>
      <w:r w:rsidR="004F7867" w:rsidRPr="002007F9">
        <w:rPr>
          <w:noProof/>
        </w:rPr>
        <w:t>13</w:t>
      </w:r>
      <w:r w:rsidR="00F934A2" w:rsidRPr="002007F9">
        <w:rPr>
          <w:noProof/>
        </w:rPr>
        <w:t xml:space="preserve"> and 17</w:t>
      </w:r>
      <w:r w:rsidRPr="002007F9">
        <w:rPr>
          <w:noProof/>
        </w:rPr>
        <w:t>, the following should be taken into account:</w:t>
      </w:r>
    </w:p>
    <w:p w14:paraId="2C2031A4" w14:textId="118F8431" w:rsidR="003043B4" w:rsidRPr="002007F9" w:rsidRDefault="4DFAAE1C" w:rsidP="28D37C99">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imes New Roman" w:hAnsi="Times New Roman"/>
          <w:noProof/>
        </w:rPr>
      </w:pPr>
      <w:r w:rsidRPr="002007F9">
        <w:rPr>
          <w:rFonts w:ascii="Times New Roman" w:hAnsi="Times New Roman"/>
          <w:b/>
          <w:bCs/>
          <w:noProof/>
        </w:rPr>
        <w:t>Support to agriculture</w:t>
      </w:r>
      <w:r w:rsidR="2791B69D" w:rsidRPr="002007F9">
        <w:rPr>
          <w:rFonts w:ascii="Times New Roman" w:hAnsi="Times New Roman"/>
          <w:b/>
          <w:bCs/>
          <w:noProof/>
        </w:rPr>
        <w:t xml:space="preserve"> (SA)</w:t>
      </w:r>
      <w:r w:rsidRPr="002007F9">
        <w:rPr>
          <w:rFonts w:ascii="Times New Roman" w:hAnsi="Times New Roman"/>
          <w:b/>
          <w:bCs/>
          <w:noProof/>
        </w:rPr>
        <w:t xml:space="preserve">: </w:t>
      </w:r>
      <w:r w:rsidR="00F934A2" w:rsidRPr="002007F9">
        <w:rPr>
          <w:rFonts w:ascii="Times New Roman" w:hAnsi="Times New Roman"/>
          <w:noProof/>
        </w:rPr>
        <w:t xml:space="preserve">accounts for </w:t>
      </w:r>
      <w:r w:rsidR="0E83F48E" w:rsidRPr="002007F9">
        <w:rPr>
          <w:rFonts w:ascii="Times New Roman" w:hAnsi="Times New Roman"/>
          <w:noProof/>
        </w:rPr>
        <w:t xml:space="preserve">the largest share of agricultural spending (about </w:t>
      </w:r>
      <w:r w:rsidR="003D7C60" w:rsidRPr="002007F9">
        <w:rPr>
          <w:rFonts w:ascii="Times New Roman" w:hAnsi="Times New Roman"/>
          <w:noProof/>
        </w:rPr>
        <w:t>70</w:t>
      </w:r>
      <w:r w:rsidR="0E83F48E" w:rsidRPr="002007F9">
        <w:rPr>
          <w:rFonts w:ascii="Times New Roman" w:hAnsi="Times New Roman"/>
          <w:noProof/>
        </w:rPr>
        <w:t>%)</w:t>
      </w:r>
      <w:r w:rsidR="6B1127D6" w:rsidRPr="002007F9">
        <w:rPr>
          <w:rFonts w:ascii="Times New Roman" w:hAnsi="Times New Roman"/>
          <w:noProof/>
        </w:rPr>
        <w:t xml:space="preserve"> and </w:t>
      </w:r>
      <w:r w:rsidR="009B6F0E" w:rsidRPr="002007F9">
        <w:rPr>
          <w:rFonts w:ascii="Times New Roman" w:hAnsi="Times New Roman"/>
          <w:noProof/>
        </w:rPr>
        <w:t xml:space="preserve">consists </w:t>
      </w:r>
      <w:r w:rsidR="2764F21C" w:rsidRPr="002007F9">
        <w:rPr>
          <w:rFonts w:ascii="Times New Roman" w:hAnsi="Times New Roman"/>
          <w:noProof/>
        </w:rPr>
        <w:t xml:space="preserve">mainly </w:t>
      </w:r>
      <w:r w:rsidR="009B6F0E" w:rsidRPr="002007F9">
        <w:rPr>
          <w:rFonts w:ascii="Times New Roman" w:hAnsi="Times New Roman"/>
          <w:noProof/>
        </w:rPr>
        <w:t xml:space="preserve">of </w:t>
      </w:r>
      <w:r w:rsidR="2764F21C" w:rsidRPr="002007F9">
        <w:rPr>
          <w:rFonts w:ascii="Times New Roman" w:hAnsi="Times New Roman"/>
          <w:noProof/>
        </w:rPr>
        <w:t>direct payments to farmers</w:t>
      </w:r>
      <w:r w:rsidR="7EF4F307" w:rsidRPr="002007F9">
        <w:rPr>
          <w:rFonts w:ascii="Times New Roman" w:hAnsi="Times New Roman"/>
          <w:noProof/>
        </w:rPr>
        <w:t xml:space="preserve">. These are annual payments based on entitlements. </w:t>
      </w:r>
      <w:r w:rsidR="008D4343" w:rsidRPr="002007F9">
        <w:rPr>
          <w:rFonts w:ascii="Times New Roman" w:hAnsi="Times New Roman"/>
          <w:noProof/>
        </w:rPr>
        <w:t>Many</w:t>
      </w:r>
      <w:r w:rsidR="009B6F0E" w:rsidRPr="002007F9">
        <w:rPr>
          <w:rFonts w:ascii="Times New Roman" w:hAnsi="Times New Roman"/>
          <w:noProof/>
        </w:rPr>
        <w:t xml:space="preserve"> </w:t>
      </w:r>
      <w:r w:rsidR="20C0DF83" w:rsidRPr="002007F9">
        <w:rPr>
          <w:rFonts w:ascii="Times New Roman" w:hAnsi="Times New Roman"/>
          <w:noProof/>
        </w:rPr>
        <w:t>of th</w:t>
      </w:r>
      <w:r w:rsidR="78500D4C" w:rsidRPr="002007F9">
        <w:rPr>
          <w:rFonts w:ascii="Times New Roman" w:hAnsi="Times New Roman"/>
          <w:noProof/>
        </w:rPr>
        <w:t>e</w:t>
      </w:r>
      <w:r w:rsidR="20C0DF83" w:rsidRPr="002007F9">
        <w:rPr>
          <w:rFonts w:ascii="Times New Roman" w:hAnsi="Times New Roman"/>
          <w:noProof/>
        </w:rPr>
        <w:t>s</w:t>
      </w:r>
      <w:r w:rsidR="5D41E208" w:rsidRPr="002007F9">
        <w:rPr>
          <w:rFonts w:ascii="Times New Roman" w:hAnsi="Times New Roman"/>
          <w:noProof/>
        </w:rPr>
        <w:t>e</w:t>
      </w:r>
      <w:r w:rsidR="20C0DF83" w:rsidRPr="002007F9">
        <w:rPr>
          <w:rFonts w:ascii="Times New Roman" w:hAnsi="Times New Roman"/>
          <w:noProof/>
        </w:rPr>
        <w:t xml:space="preserve"> payments are below EUR 10 000 and </w:t>
      </w:r>
      <w:r w:rsidR="005B11EE" w:rsidRPr="002007F9">
        <w:rPr>
          <w:rFonts w:ascii="Times New Roman" w:hAnsi="Times New Roman"/>
          <w:noProof/>
        </w:rPr>
        <w:t xml:space="preserve">thus </w:t>
      </w:r>
      <w:r w:rsidR="00CD0407" w:rsidRPr="002007F9">
        <w:rPr>
          <w:rFonts w:ascii="Times New Roman" w:hAnsi="Times New Roman"/>
          <w:noProof/>
        </w:rPr>
        <w:t xml:space="preserve">are more likely to </w:t>
      </w:r>
      <w:r w:rsidR="005B11EE" w:rsidRPr="002007F9">
        <w:rPr>
          <w:rFonts w:ascii="Times New Roman" w:hAnsi="Times New Roman"/>
          <w:noProof/>
        </w:rPr>
        <w:t xml:space="preserve">fall under the </w:t>
      </w:r>
      <w:r w:rsidR="0D31BA69" w:rsidRPr="002007F9">
        <w:rPr>
          <w:rFonts w:ascii="Times New Roman" w:hAnsi="Times New Roman"/>
          <w:i/>
          <w:iCs/>
          <w:noProof/>
        </w:rPr>
        <w:t xml:space="preserve">de minimis </w:t>
      </w:r>
      <w:r w:rsidR="0D31BA69" w:rsidRPr="002007F9">
        <w:rPr>
          <w:rFonts w:ascii="Times New Roman" w:hAnsi="Times New Roman"/>
          <w:noProof/>
        </w:rPr>
        <w:t xml:space="preserve">derogation </w:t>
      </w:r>
      <w:r w:rsidR="004333F8" w:rsidRPr="002007F9">
        <w:rPr>
          <w:rFonts w:ascii="Times New Roman" w:hAnsi="Times New Roman"/>
          <w:noProof/>
        </w:rPr>
        <w:t xml:space="preserve">(see </w:t>
      </w:r>
      <w:r w:rsidR="00BF40F6" w:rsidRPr="002007F9">
        <w:rPr>
          <w:rFonts w:ascii="Times New Roman" w:hAnsi="Times New Roman"/>
          <w:b/>
          <w:bCs/>
          <w:i/>
          <w:iCs/>
          <w:noProof/>
        </w:rPr>
        <w:t xml:space="preserve">methodological </w:t>
      </w:r>
      <w:r w:rsidR="0D31BA69" w:rsidRPr="002007F9">
        <w:rPr>
          <w:rFonts w:ascii="Times New Roman" w:hAnsi="Times New Roman"/>
          <w:b/>
          <w:bCs/>
          <w:i/>
          <w:iCs/>
          <w:noProof/>
        </w:rPr>
        <w:t>note 1</w:t>
      </w:r>
      <w:r w:rsidR="004333F8" w:rsidRPr="002007F9">
        <w:rPr>
          <w:rFonts w:ascii="Times New Roman" w:hAnsi="Times New Roman"/>
          <w:b/>
          <w:bCs/>
          <w:noProof/>
        </w:rPr>
        <w:t>)</w:t>
      </w:r>
      <w:r w:rsidR="17788AA8" w:rsidRPr="002007F9">
        <w:rPr>
          <w:rFonts w:ascii="Times New Roman" w:hAnsi="Times New Roman"/>
          <w:noProof/>
        </w:rPr>
        <w:t>.</w:t>
      </w:r>
      <w:r w:rsidR="2392AF99" w:rsidRPr="002007F9">
        <w:rPr>
          <w:rFonts w:ascii="Times New Roman" w:hAnsi="Times New Roman"/>
          <w:noProof/>
        </w:rPr>
        <w:t xml:space="preserve"> </w:t>
      </w:r>
      <w:r w:rsidR="004333F8" w:rsidRPr="002007F9">
        <w:rPr>
          <w:rFonts w:ascii="Times New Roman" w:hAnsi="Times New Roman"/>
          <w:noProof/>
        </w:rPr>
        <w:t xml:space="preserve">Some </w:t>
      </w:r>
      <w:r w:rsidR="2392AF99" w:rsidRPr="002007F9">
        <w:rPr>
          <w:rFonts w:ascii="Times New Roman" w:hAnsi="Times New Roman"/>
          <w:noProof/>
        </w:rPr>
        <w:t xml:space="preserve">of these payments </w:t>
      </w:r>
      <w:r w:rsidR="00BF40F6" w:rsidRPr="002007F9">
        <w:rPr>
          <w:rFonts w:ascii="Times New Roman" w:hAnsi="Times New Roman"/>
          <w:noProof/>
        </w:rPr>
        <w:t xml:space="preserve">involve </w:t>
      </w:r>
      <w:r w:rsidR="25C9FC8E" w:rsidRPr="002007F9">
        <w:rPr>
          <w:rFonts w:ascii="Times New Roman" w:hAnsi="Times New Roman"/>
          <w:noProof/>
        </w:rPr>
        <w:t xml:space="preserve">market measures, which follow a reimbursement-of-costs </w:t>
      </w:r>
      <w:r w:rsidR="00CD0407" w:rsidRPr="002007F9">
        <w:rPr>
          <w:rFonts w:ascii="Times New Roman" w:hAnsi="Times New Roman"/>
          <w:noProof/>
        </w:rPr>
        <w:t>approach</w:t>
      </w:r>
      <w:r w:rsidR="25C9FC8E" w:rsidRPr="002007F9">
        <w:rPr>
          <w:rFonts w:ascii="Times New Roman" w:hAnsi="Times New Roman"/>
          <w:noProof/>
        </w:rPr>
        <w:t>.</w:t>
      </w:r>
    </w:p>
    <w:p w14:paraId="5A1E339D" w14:textId="36B5271F" w:rsidR="00A4091E" w:rsidRPr="002007F9" w:rsidRDefault="17788AA8" w:rsidP="28D37C99">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E2EFD9" w:themeFill="accent6" w:themeFillTint="33"/>
        <w:spacing w:after="120"/>
        <w:ind w:left="357" w:hanging="357"/>
        <w:jc w:val="both"/>
        <w:rPr>
          <w:rFonts w:ascii="Times New Roman" w:hAnsi="Times New Roman"/>
          <w:noProof/>
        </w:rPr>
      </w:pPr>
      <w:r w:rsidRPr="002007F9">
        <w:rPr>
          <w:rFonts w:ascii="Times New Roman" w:hAnsi="Times New Roman"/>
          <w:b/>
          <w:bCs/>
          <w:noProof/>
        </w:rPr>
        <w:t>Rural development</w:t>
      </w:r>
      <w:r w:rsidR="2791B69D" w:rsidRPr="002007F9">
        <w:rPr>
          <w:rFonts w:ascii="Times New Roman" w:hAnsi="Times New Roman"/>
          <w:b/>
          <w:bCs/>
          <w:noProof/>
        </w:rPr>
        <w:t xml:space="preserve"> (RD)</w:t>
      </w:r>
      <w:r w:rsidRPr="002007F9">
        <w:rPr>
          <w:rFonts w:ascii="Times New Roman" w:hAnsi="Times New Roman"/>
          <w:noProof/>
        </w:rPr>
        <w:t xml:space="preserve">: represents about </w:t>
      </w:r>
      <w:r w:rsidR="00B05EAF" w:rsidRPr="002007F9">
        <w:rPr>
          <w:rFonts w:ascii="Times New Roman" w:hAnsi="Times New Roman"/>
          <w:noProof/>
        </w:rPr>
        <w:t>30</w:t>
      </w:r>
      <w:r w:rsidRPr="002007F9">
        <w:rPr>
          <w:rFonts w:ascii="Times New Roman" w:hAnsi="Times New Roman"/>
          <w:noProof/>
        </w:rPr>
        <w:t xml:space="preserve">% </w:t>
      </w:r>
      <w:r w:rsidR="6B1127D6" w:rsidRPr="002007F9">
        <w:rPr>
          <w:rFonts w:ascii="Times New Roman" w:hAnsi="Times New Roman"/>
          <w:noProof/>
        </w:rPr>
        <w:t xml:space="preserve">of agricultural spending. </w:t>
      </w:r>
      <w:r w:rsidR="001B228E" w:rsidRPr="002007F9">
        <w:rPr>
          <w:rFonts w:ascii="Times New Roman" w:hAnsi="Times New Roman"/>
          <w:noProof/>
        </w:rPr>
        <w:t xml:space="preserve">Some </w:t>
      </w:r>
      <w:r w:rsidR="001227A2" w:rsidRPr="002007F9">
        <w:rPr>
          <w:rFonts w:ascii="Times New Roman" w:hAnsi="Times New Roman"/>
          <w:noProof/>
        </w:rPr>
        <w:t>of the p</w:t>
      </w:r>
      <w:r w:rsidR="2791B69D" w:rsidRPr="002007F9">
        <w:rPr>
          <w:rFonts w:ascii="Times New Roman" w:hAnsi="Times New Roman"/>
          <w:noProof/>
        </w:rPr>
        <w:t>ayments in RD are</w:t>
      </w:r>
      <w:r w:rsidR="6B1127D6" w:rsidRPr="002007F9">
        <w:rPr>
          <w:rFonts w:ascii="Times New Roman" w:hAnsi="Times New Roman"/>
          <w:noProof/>
        </w:rPr>
        <w:t xml:space="preserve"> </w:t>
      </w:r>
      <w:r w:rsidR="6D5A67F7" w:rsidRPr="002007F9">
        <w:rPr>
          <w:rFonts w:ascii="Times New Roman" w:hAnsi="Times New Roman"/>
          <w:noProof/>
        </w:rPr>
        <w:t xml:space="preserve">based on reimbursements of costs and follow a </w:t>
      </w:r>
      <w:r w:rsidR="007C01D8" w:rsidRPr="002007F9">
        <w:rPr>
          <w:rFonts w:ascii="Times New Roman" w:hAnsi="Times New Roman"/>
          <w:noProof/>
        </w:rPr>
        <w:t>multiannual approach</w:t>
      </w:r>
      <w:r w:rsidR="3724405E" w:rsidRPr="002007F9">
        <w:rPr>
          <w:rFonts w:ascii="Times New Roman" w:hAnsi="Times New Roman"/>
          <w:noProof/>
        </w:rPr>
        <w:t>.</w:t>
      </w:r>
    </w:p>
    <w:p w14:paraId="1A6A6D42" w14:textId="7B920434" w:rsidR="00384FF8" w:rsidRPr="00DE3A6F" w:rsidRDefault="00D35FAF"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2007F9">
        <w:rPr>
          <w:noProof/>
        </w:rPr>
        <w:lastRenderedPageBreak/>
        <w:t xml:space="preserve">As from 2023, each EU Member State has a CAP </w:t>
      </w:r>
      <w:r w:rsidR="001B228E" w:rsidRPr="002007F9">
        <w:rPr>
          <w:noProof/>
        </w:rPr>
        <w:t xml:space="preserve">strategic plan </w:t>
      </w:r>
      <w:r w:rsidRPr="002007F9">
        <w:rPr>
          <w:noProof/>
        </w:rPr>
        <w:t>(CSP), combining interventions in the form of support to agriculture (direct payments and sectoral interventions) and rural development.</w:t>
      </w:r>
    </w:p>
    <w:p w14:paraId="73CDA205" w14:textId="3755770F" w:rsidR="00CF08FE" w:rsidRPr="00DE3A6F" w:rsidRDefault="009D2525" w:rsidP="00CF08FE">
      <w:pPr>
        <w:rPr>
          <w:noProof/>
        </w:rPr>
      </w:pPr>
      <w:r w:rsidRPr="003D0068">
        <w:rPr>
          <w:noProof/>
        </w:rPr>
        <w:t xml:space="preserve">As </w:t>
      </w:r>
      <w:r w:rsidR="004425E6" w:rsidRPr="003D0068">
        <w:rPr>
          <w:noProof/>
        </w:rPr>
        <w:t xml:space="preserve">shown </w:t>
      </w:r>
      <w:r w:rsidRPr="003D0068">
        <w:rPr>
          <w:noProof/>
        </w:rPr>
        <w:t xml:space="preserve">in </w:t>
      </w:r>
      <w:r w:rsidRPr="003D0068">
        <w:rPr>
          <w:b/>
          <w:bCs/>
          <w:noProof/>
        </w:rPr>
        <w:t>Figure 1</w:t>
      </w:r>
      <w:r w:rsidR="0018201D" w:rsidRPr="003D0068">
        <w:rPr>
          <w:b/>
          <w:bCs/>
          <w:noProof/>
        </w:rPr>
        <w:t>3</w:t>
      </w:r>
      <w:r w:rsidRPr="003D0068">
        <w:rPr>
          <w:noProof/>
        </w:rPr>
        <w:t>,</w:t>
      </w:r>
      <w:r w:rsidR="000B2DA5" w:rsidRPr="003D0068">
        <w:rPr>
          <w:noProof/>
        </w:rPr>
        <w:t xml:space="preserve"> </w:t>
      </w:r>
      <w:r w:rsidR="000B2DA5" w:rsidRPr="003D0068">
        <w:rPr>
          <w:b/>
          <w:bCs/>
          <w:noProof/>
        </w:rPr>
        <w:t>fraud</w:t>
      </w:r>
      <w:r w:rsidRPr="003D0068">
        <w:rPr>
          <w:b/>
          <w:bCs/>
          <w:noProof/>
        </w:rPr>
        <w:t xml:space="preserve"> </w:t>
      </w:r>
      <w:r w:rsidR="0024395B" w:rsidRPr="003D0068">
        <w:rPr>
          <w:b/>
          <w:bCs/>
          <w:noProof/>
        </w:rPr>
        <w:t>prevention</w:t>
      </w:r>
      <w:r w:rsidR="0024395B" w:rsidRPr="003D0068">
        <w:rPr>
          <w:noProof/>
        </w:rPr>
        <w:t xml:space="preserve"> in agriculture has improved over </w:t>
      </w:r>
      <w:r w:rsidR="00EE0CEC" w:rsidRPr="003D0068">
        <w:rPr>
          <w:noProof/>
        </w:rPr>
        <w:t xml:space="preserve">time, </w:t>
      </w:r>
      <w:r w:rsidR="00421B72" w:rsidRPr="003D0068">
        <w:rPr>
          <w:noProof/>
        </w:rPr>
        <w:t>particular</w:t>
      </w:r>
      <w:r w:rsidR="00EE0CEC" w:rsidRPr="003D0068">
        <w:rPr>
          <w:noProof/>
        </w:rPr>
        <w:t>ly</w:t>
      </w:r>
      <w:r w:rsidR="00421B72" w:rsidRPr="003D0068">
        <w:rPr>
          <w:noProof/>
        </w:rPr>
        <w:t xml:space="preserve"> in rural development</w:t>
      </w:r>
      <w:r w:rsidR="000B2DA5" w:rsidRPr="003D0068">
        <w:rPr>
          <w:noProof/>
        </w:rPr>
        <w:t>.</w:t>
      </w:r>
      <w:r w:rsidR="00CF08FE" w:rsidRPr="003D0068">
        <w:rPr>
          <w:noProof/>
        </w:rPr>
        <w:t xml:space="preserve"> </w:t>
      </w:r>
      <w:r w:rsidR="0015766D" w:rsidRPr="003D0068">
        <w:rPr>
          <w:noProof/>
        </w:rPr>
        <w:t>These results stem</w:t>
      </w:r>
      <w:r w:rsidR="00EE0CEC" w:rsidRPr="003D0068">
        <w:rPr>
          <w:noProof/>
        </w:rPr>
        <w:t xml:space="preserve"> </w:t>
      </w:r>
      <w:r w:rsidR="00EC02EB" w:rsidRPr="003D0068">
        <w:rPr>
          <w:noProof/>
        </w:rPr>
        <w:t>largely from</w:t>
      </w:r>
      <w:r w:rsidR="001B044B" w:rsidRPr="003D0068">
        <w:rPr>
          <w:noProof/>
        </w:rPr>
        <w:t xml:space="preserve"> </w:t>
      </w:r>
      <w:r w:rsidR="00EC02EB" w:rsidRPr="003D0068">
        <w:rPr>
          <w:noProof/>
        </w:rPr>
        <w:t>r</w:t>
      </w:r>
      <w:r w:rsidR="001B044B" w:rsidRPr="003D0068">
        <w:rPr>
          <w:noProof/>
        </w:rPr>
        <w:t xml:space="preserve">outine controls, </w:t>
      </w:r>
      <w:r w:rsidR="00EC02EB" w:rsidRPr="003D0068">
        <w:rPr>
          <w:noProof/>
        </w:rPr>
        <w:t xml:space="preserve">which may indicate that </w:t>
      </w:r>
      <w:r w:rsidR="001B044B" w:rsidRPr="003D0068">
        <w:rPr>
          <w:noProof/>
        </w:rPr>
        <w:t xml:space="preserve">management and control systems have consistently </w:t>
      </w:r>
      <w:r w:rsidR="00EC02EB" w:rsidRPr="003D0068">
        <w:rPr>
          <w:noProof/>
        </w:rPr>
        <w:t>prioritised</w:t>
      </w:r>
      <w:r w:rsidR="00F4119C" w:rsidRPr="003D0068">
        <w:rPr>
          <w:noProof/>
        </w:rPr>
        <w:t xml:space="preserve"> prevention.</w:t>
      </w:r>
      <w:r w:rsidR="00A042DD" w:rsidRPr="003D0068">
        <w:rPr>
          <w:noProof/>
        </w:rPr>
        <w:t xml:space="preserve"> For both rural development and support to agriculture, </w:t>
      </w:r>
      <w:r w:rsidR="00656BC1" w:rsidRPr="003D0068">
        <w:rPr>
          <w:noProof/>
        </w:rPr>
        <w:t>most</w:t>
      </w:r>
      <w:r w:rsidR="00A042DD" w:rsidRPr="003D0068">
        <w:rPr>
          <w:noProof/>
        </w:rPr>
        <w:t xml:space="preserve"> fraud prevention </w:t>
      </w:r>
      <w:r w:rsidR="00656BC1" w:rsidRPr="003D0068">
        <w:rPr>
          <w:noProof/>
        </w:rPr>
        <w:t>was in</w:t>
      </w:r>
      <w:r w:rsidR="00A042DD" w:rsidRPr="003D0068">
        <w:rPr>
          <w:noProof/>
        </w:rPr>
        <w:t xml:space="preserve"> cases</w:t>
      </w:r>
      <w:r w:rsidR="00E91385" w:rsidRPr="003D0068">
        <w:rPr>
          <w:noProof/>
        </w:rPr>
        <w:t xml:space="preserve"> </w:t>
      </w:r>
      <w:r w:rsidR="00656BC1" w:rsidRPr="003D0068">
        <w:rPr>
          <w:noProof/>
        </w:rPr>
        <w:t xml:space="preserve">involving </w:t>
      </w:r>
      <w:r w:rsidR="00A042DD" w:rsidRPr="003D0068">
        <w:rPr>
          <w:noProof/>
        </w:rPr>
        <w:t xml:space="preserve">less than </w:t>
      </w:r>
      <w:r w:rsidR="00656BC1" w:rsidRPr="003D0068">
        <w:rPr>
          <w:noProof/>
        </w:rPr>
        <w:t>EUR </w:t>
      </w:r>
      <w:r w:rsidR="00A042DD" w:rsidRPr="003D0068">
        <w:rPr>
          <w:noProof/>
        </w:rPr>
        <w:t>100 000 .</w:t>
      </w:r>
    </w:p>
    <w:p w14:paraId="239EC303" w14:textId="286FE74E" w:rsidR="00B37AC3" w:rsidRPr="003D0068" w:rsidRDefault="00346445" w:rsidP="28D37C99">
      <w:pPr>
        <w:pStyle w:val="Caption"/>
        <w:rPr>
          <w:b w:val="0"/>
          <w:i w:val="0"/>
          <w:noProof/>
        </w:rPr>
      </w:pPr>
      <w:r w:rsidRPr="003D0068">
        <w:rPr>
          <w:b w:val="0"/>
          <w:i w:val="0"/>
          <w:noProof/>
        </w:rPr>
        <w:t xml:space="preserve">In terms of </w:t>
      </w:r>
      <w:r w:rsidR="00D956AC" w:rsidRPr="003D0068">
        <w:rPr>
          <w:i w:val="0"/>
          <w:noProof/>
        </w:rPr>
        <w:t>detection</w:t>
      </w:r>
      <w:r w:rsidR="00D956AC" w:rsidRPr="003D0068">
        <w:rPr>
          <w:b w:val="0"/>
          <w:i w:val="0"/>
          <w:noProof/>
        </w:rPr>
        <w:t>, i</w:t>
      </w:r>
      <w:r w:rsidR="004B1A63" w:rsidRPr="003D0068">
        <w:rPr>
          <w:b w:val="0"/>
          <w:i w:val="0"/>
          <w:noProof/>
        </w:rPr>
        <w:t xml:space="preserve">n 2024-2025 </w:t>
      </w:r>
      <w:r w:rsidR="004B1A63" w:rsidRPr="003D0068">
        <w:rPr>
          <w:b w:val="0"/>
          <w:i w:val="0"/>
          <w:noProof/>
          <w:color w:val="000000" w:themeColor="text1"/>
        </w:rPr>
        <w:t>20%</w:t>
      </w:r>
      <w:r w:rsidR="004B1A63" w:rsidRPr="003D0068">
        <w:rPr>
          <w:b w:val="0"/>
          <w:i w:val="0"/>
          <w:noProof/>
        </w:rPr>
        <w:t xml:space="preserve"> of fraudulent irregularities related to support to agriculture </w:t>
      </w:r>
      <w:r w:rsidR="00735B82" w:rsidRPr="003D0068">
        <w:rPr>
          <w:b w:val="0"/>
          <w:i w:val="0"/>
          <w:noProof/>
        </w:rPr>
        <w:t xml:space="preserve">involved </w:t>
      </w:r>
      <w:r w:rsidR="004B1A63" w:rsidRPr="003D0068">
        <w:rPr>
          <w:b w:val="0"/>
          <w:i w:val="0"/>
          <w:noProof/>
        </w:rPr>
        <w:t>expenditure under CSP</w:t>
      </w:r>
      <w:r w:rsidR="00735B82" w:rsidRPr="003D0068">
        <w:rPr>
          <w:b w:val="0"/>
          <w:i w:val="0"/>
          <w:noProof/>
        </w:rPr>
        <w:t>s</w:t>
      </w:r>
      <w:r w:rsidR="004B1A63" w:rsidRPr="003D0068">
        <w:rPr>
          <w:b w:val="0"/>
          <w:i w:val="0"/>
          <w:noProof/>
        </w:rPr>
        <w:t xml:space="preserve"> reported by </w:t>
      </w:r>
      <w:r w:rsidR="00784961" w:rsidRPr="003D0068">
        <w:rPr>
          <w:b w:val="0"/>
          <w:i w:val="0"/>
          <w:noProof/>
        </w:rPr>
        <w:t>few</w:t>
      </w:r>
      <w:r w:rsidR="004B1A63" w:rsidRPr="003D0068">
        <w:rPr>
          <w:b w:val="0"/>
          <w:i w:val="0"/>
          <w:noProof/>
        </w:rPr>
        <w:t xml:space="preserve"> Member States</w:t>
      </w:r>
      <w:r w:rsidR="009E3200" w:rsidRPr="003D0068">
        <w:rPr>
          <w:b w:val="0"/>
          <w:i w:val="0"/>
          <w:noProof/>
        </w:rPr>
        <w:t>. These cases</w:t>
      </w:r>
      <w:r w:rsidR="004B1A63" w:rsidRPr="003D0068">
        <w:rPr>
          <w:b w:val="0"/>
          <w:i w:val="0"/>
          <w:noProof/>
        </w:rPr>
        <w:t xml:space="preserve"> most</w:t>
      </w:r>
      <w:r w:rsidR="00A30282" w:rsidRPr="003D0068">
        <w:rPr>
          <w:b w:val="0"/>
          <w:i w:val="0"/>
          <w:noProof/>
        </w:rPr>
        <w:t>ly</w:t>
      </w:r>
      <w:r w:rsidR="004B1A63" w:rsidRPr="003D0068">
        <w:rPr>
          <w:b w:val="0"/>
          <w:i w:val="0"/>
          <w:noProof/>
        </w:rPr>
        <w:t xml:space="preserve"> </w:t>
      </w:r>
      <w:r w:rsidR="00A30282" w:rsidRPr="003D0068">
        <w:rPr>
          <w:b w:val="0"/>
          <w:i w:val="0"/>
          <w:noProof/>
        </w:rPr>
        <w:t xml:space="preserve">involved </w:t>
      </w:r>
      <w:r w:rsidR="004B1A63" w:rsidRPr="003D0068">
        <w:rPr>
          <w:b w:val="0"/>
          <w:i w:val="0"/>
          <w:noProof/>
        </w:rPr>
        <w:t xml:space="preserve">direct payments to farmers, often </w:t>
      </w:r>
      <w:r w:rsidR="00784961" w:rsidRPr="003D0068">
        <w:rPr>
          <w:b w:val="0"/>
          <w:i w:val="0"/>
          <w:noProof/>
        </w:rPr>
        <w:t xml:space="preserve">for </w:t>
      </w:r>
      <w:r w:rsidR="004B1A63" w:rsidRPr="003D0068">
        <w:rPr>
          <w:b w:val="0"/>
          <w:i w:val="0"/>
          <w:noProof/>
        </w:rPr>
        <w:t xml:space="preserve">small financial amounts. </w:t>
      </w:r>
      <w:r w:rsidR="00A30282" w:rsidRPr="003D0068">
        <w:rPr>
          <w:b w:val="0"/>
          <w:i w:val="0"/>
          <w:noProof/>
        </w:rPr>
        <w:t xml:space="preserve">For rural development, </w:t>
      </w:r>
      <w:r w:rsidR="00861BCA" w:rsidRPr="003D0068">
        <w:rPr>
          <w:b w:val="0"/>
          <w:i w:val="0"/>
          <w:noProof/>
        </w:rPr>
        <w:t xml:space="preserve">this figure </w:t>
      </w:r>
      <w:r w:rsidR="004B1A63" w:rsidRPr="003D0068">
        <w:rPr>
          <w:b w:val="0"/>
          <w:i w:val="0"/>
          <w:noProof/>
        </w:rPr>
        <w:t>was 5%.</w:t>
      </w:r>
    </w:p>
    <w:p w14:paraId="66183D60" w14:textId="3FEB58F4" w:rsidR="004B1A63" w:rsidRPr="00DE3A6F" w:rsidRDefault="004B1A63" w:rsidP="00CC186D">
      <w:pPr>
        <w:pStyle w:val="Caption"/>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Focus point </w:t>
      </w:r>
      <w:r w:rsidRPr="00DE3A6F">
        <w:rPr>
          <w:noProof/>
        </w:rPr>
        <w:fldChar w:fldCharType="begin"/>
      </w:r>
      <w:r w:rsidRPr="00DE3A6F">
        <w:rPr>
          <w:noProof/>
        </w:rPr>
        <w:instrText xml:space="preserve"> SEQ Focus_point \* ARABIC </w:instrText>
      </w:r>
      <w:r w:rsidRPr="00DE3A6F">
        <w:rPr>
          <w:noProof/>
        </w:rPr>
        <w:fldChar w:fldCharType="separate"/>
      </w:r>
      <w:r w:rsidR="009203F8" w:rsidRPr="00DE3A6F">
        <w:rPr>
          <w:noProof/>
        </w:rPr>
        <w:t>6</w:t>
      </w:r>
      <w:r w:rsidRPr="00DE3A6F">
        <w:rPr>
          <w:noProof/>
        </w:rPr>
        <w:fldChar w:fldCharType="end"/>
      </w:r>
      <w:r w:rsidR="00811599" w:rsidRPr="00DE3A6F">
        <w:rPr>
          <w:noProof/>
        </w:rPr>
        <w:t xml:space="preserve">: </w:t>
      </w:r>
      <w:r w:rsidR="000C1C0D" w:rsidRPr="00DE3A6F">
        <w:rPr>
          <w:noProof/>
        </w:rPr>
        <w:t xml:space="preserve">Fraud </w:t>
      </w:r>
      <w:r w:rsidR="00811599" w:rsidRPr="00DE3A6F">
        <w:rPr>
          <w:noProof/>
        </w:rPr>
        <w:t>detection under CSP</w:t>
      </w:r>
    </w:p>
    <w:p w14:paraId="3D78485C" w14:textId="6809655D" w:rsidR="00811599" w:rsidRPr="00DE3A6F" w:rsidRDefault="732A7059"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3D0068">
        <w:rPr>
          <w:noProof/>
        </w:rPr>
        <w:t>The low level of fraud detection for both</w:t>
      </w:r>
      <w:r w:rsidR="74278B9E" w:rsidRPr="003D0068">
        <w:rPr>
          <w:noProof/>
        </w:rPr>
        <w:t xml:space="preserve"> </w:t>
      </w:r>
      <w:r w:rsidR="00EA3995">
        <w:rPr>
          <w:noProof/>
        </w:rPr>
        <w:t>support to agriculture</w:t>
      </w:r>
      <w:r w:rsidR="74278B9E" w:rsidRPr="003D0068">
        <w:rPr>
          <w:noProof/>
        </w:rPr>
        <w:t xml:space="preserve"> and rural development may </w:t>
      </w:r>
      <w:r w:rsidR="00DA5348" w:rsidRPr="003D0068">
        <w:rPr>
          <w:noProof/>
        </w:rPr>
        <w:t xml:space="preserve">reflect </w:t>
      </w:r>
      <w:r w:rsidR="74278B9E" w:rsidRPr="003D0068">
        <w:rPr>
          <w:noProof/>
        </w:rPr>
        <w:t xml:space="preserve">the </w:t>
      </w:r>
      <w:r w:rsidR="00DA5348" w:rsidRPr="003D0068">
        <w:rPr>
          <w:noProof/>
        </w:rPr>
        <w:t xml:space="preserve">early </w:t>
      </w:r>
      <w:r w:rsidR="74278B9E" w:rsidRPr="003D0068">
        <w:rPr>
          <w:noProof/>
        </w:rPr>
        <w:t xml:space="preserve">stage of </w:t>
      </w:r>
      <w:r w:rsidR="00DA5348" w:rsidRPr="003D0068">
        <w:rPr>
          <w:noProof/>
        </w:rPr>
        <w:t xml:space="preserve">CSP </w:t>
      </w:r>
      <w:r w:rsidR="74278B9E" w:rsidRPr="003D0068">
        <w:rPr>
          <w:noProof/>
        </w:rPr>
        <w:t>implementation</w:t>
      </w:r>
      <w:r w:rsidR="6B98D0BE" w:rsidRPr="003D0068">
        <w:rPr>
          <w:noProof/>
        </w:rPr>
        <w:t xml:space="preserve">. However, it also </w:t>
      </w:r>
      <w:r w:rsidR="00DA5348" w:rsidRPr="003D0068">
        <w:rPr>
          <w:noProof/>
        </w:rPr>
        <w:t xml:space="preserve">highlights </w:t>
      </w:r>
      <w:r w:rsidR="6B98D0BE" w:rsidRPr="003D0068">
        <w:rPr>
          <w:noProof/>
        </w:rPr>
        <w:t xml:space="preserve">the need </w:t>
      </w:r>
      <w:r w:rsidR="0060343C" w:rsidRPr="003D0068">
        <w:rPr>
          <w:noProof/>
        </w:rPr>
        <w:t xml:space="preserve">to </w:t>
      </w:r>
      <w:r w:rsidR="546C9716" w:rsidRPr="003D0068">
        <w:rPr>
          <w:noProof/>
        </w:rPr>
        <w:t xml:space="preserve">closely </w:t>
      </w:r>
      <w:r w:rsidR="0060343C" w:rsidRPr="003D0068">
        <w:rPr>
          <w:noProof/>
        </w:rPr>
        <w:t xml:space="preserve">monitor whether </w:t>
      </w:r>
      <w:r w:rsidR="546C9716" w:rsidRPr="003D0068">
        <w:rPr>
          <w:noProof/>
        </w:rPr>
        <w:t xml:space="preserve">management and control systems </w:t>
      </w:r>
      <w:r w:rsidR="0060343C" w:rsidRPr="003D0068">
        <w:rPr>
          <w:noProof/>
        </w:rPr>
        <w:t xml:space="preserve">can effectively </w:t>
      </w:r>
      <w:r w:rsidR="546C9716" w:rsidRPr="003D0068">
        <w:rPr>
          <w:noProof/>
        </w:rPr>
        <w:t>detect fra</w:t>
      </w:r>
      <w:r w:rsidR="6118778A" w:rsidRPr="003D0068">
        <w:rPr>
          <w:noProof/>
        </w:rPr>
        <w:t>u</w:t>
      </w:r>
      <w:r w:rsidR="546C9716" w:rsidRPr="003D0068">
        <w:rPr>
          <w:noProof/>
        </w:rPr>
        <w:t>dulent irregularities affecting expenditure under CSP.</w:t>
      </w:r>
    </w:p>
    <w:p w14:paraId="582A8A6D" w14:textId="3A1892B2" w:rsidR="003D31EC" w:rsidRPr="00DE3A6F" w:rsidRDefault="00784961" w:rsidP="003D31EC">
      <w:pPr>
        <w:rPr>
          <w:noProof/>
        </w:rPr>
      </w:pPr>
      <w:r w:rsidRPr="003D0068">
        <w:rPr>
          <w:noProof/>
        </w:rPr>
        <w:t>In general, d</w:t>
      </w:r>
      <w:r w:rsidR="00032923" w:rsidRPr="003D0068">
        <w:rPr>
          <w:noProof/>
        </w:rPr>
        <w:t>etection of irregularities is</w:t>
      </w:r>
      <w:r w:rsidR="000013D3" w:rsidRPr="003D0068">
        <w:rPr>
          <w:noProof/>
        </w:rPr>
        <w:t xml:space="preserve"> </w:t>
      </w:r>
      <w:r w:rsidR="00032923" w:rsidRPr="003D0068">
        <w:rPr>
          <w:noProof/>
        </w:rPr>
        <w:t>concentrated in a few Member States</w:t>
      </w:r>
      <w:r w:rsidR="008B60CA" w:rsidRPr="003D0068">
        <w:rPr>
          <w:noProof/>
        </w:rPr>
        <w:t>, in particular for fraudulent irregularities</w:t>
      </w:r>
      <w:r w:rsidR="00B67EB9" w:rsidRPr="003D0068">
        <w:rPr>
          <w:noProof/>
        </w:rPr>
        <w:t xml:space="preserve">, where </w:t>
      </w:r>
      <w:r w:rsidR="008B60CA" w:rsidRPr="003D0068">
        <w:rPr>
          <w:noProof/>
        </w:rPr>
        <w:t>the top five Member States</w:t>
      </w:r>
      <w:r w:rsidR="00962F5C" w:rsidRPr="003D0068">
        <w:rPr>
          <w:noProof/>
        </w:rPr>
        <w:t> (</w:t>
      </w:r>
      <w:r w:rsidR="00962F5C" w:rsidRPr="003D0068">
        <w:rPr>
          <w:rStyle w:val="FootnoteReference"/>
          <w:noProof/>
        </w:rPr>
        <w:footnoteReference w:id="69"/>
      </w:r>
      <w:r w:rsidR="00962F5C" w:rsidRPr="003D0068">
        <w:rPr>
          <w:noProof/>
        </w:rPr>
        <w:t>)</w:t>
      </w:r>
      <w:r w:rsidR="008B60CA" w:rsidRPr="003D0068">
        <w:rPr>
          <w:noProof/>
        </w:rPr>
        <w:t xml:space="preserve"> in terms of number of cases accounted for</w:t>
      </w:r>
      <w:r w:rsidR="004C7C12" w:rsidRPr="003D0068">
        <w:rPr>
          <w:noProof/>
        </w:rPr>
        <w:t xml:space="preserve"> about 69% of all irregularities reported as fraudulent in the last five years</w:t>
      </w:r>
      <w:r w:rsidR="00454066" w:rsidRPr="003D0068">
        <w:rPr>
          <w:noProof/>
        </w:rPr>
        <w:t xml:space="preserve">. For non-fraudulent irregularities </w:t>
      </w:r>
      <w:r w:rsidR="001D6057" w:rsidRPr="003D0068">
        <w:rPr>
          <w:noProof/>
        </w:rPr>
        <w:t xml:space="preserve">the </w:t>
      </w:r>
      <w:r w:rsidR="00454066" w:rsidRPr="003D0068">
        <w:rPr>
          <w:noProof/>
        </w:rPr>
        <w:t xml:space="preserve">share </w:t>
      </w:r>
      <w:r w:rsidR="001D6057" w:rsidRPr="003D0068">
        <w:rPr>
          <w:noProof/>
        </w:rPr>
        <w:t>of the top five Member States (</w:t>
      </w:r>
      <w:r w:rsidR="001D6057" w:rsidRPr="003D0068">
        <w:rPr>
          <w:rStyle w:val="FootnoteReference"/>
          <w:noProof/>
        </w:rPr>
        <w:footnoteReference w:id="70"/>
      </w:r>
      <w:r w:rsidR="001D6057" w:rsidRPr="003D0068">
        <w:rPr>
          <w:noProof/>
        </w:rPr>
        <w:t xml:space="preserve">) </w:t>
      </w:r>
      <w:r w:rsidR="00454066" w:rsidRPr="003D0068">
        <w:rPr>
          <w:noProof/>
        </w:rPr>
        <w:t xml:space="preserve">is </w:t>
      </w:r>
      <w:r w:rsidR="00B67EB9" w:rsidRPr="003D0068">
        <w:rPr>
          <w:noProof/>
        </w:rPr>
        <w:t>58%</w:t>
      </w:r>
      <w:r w:rsidR="004C7C12" w:rsidRPr="003D0068">
        <w:rPr>
          <w:noProof/>
        </w:rPr>
        <w:t>.</w:t>
      </w:r>
    </w:p>
    <w:p w14:paraId="1E7069CB" w14:textId="5BC09094" w:rsidR="007C4455" w:rsidRPr="00DE3A6F" w:rsidRDefault="007C4455" w:rsidP="007C4455">
      <w:pPr>
        <w:pStyle w:val="Caption"/>
        <w:keepNext/>
        <w:pBdr>
          <w:top w:val="single" w:sz="4" w:space="1" w:color="auto"/>
          <w:left w:val="single" w:sz="4" w:space="4" w:color="auto"/>
          <w:bottom w:val="single" w:sz="4" w:space="1" w:color="auto"/>
          <w:right w:val="single" w:sz="4" w:space="4" w:color="auto"/>
        </w:pBdr>
        <w:shd w:val="clear" w:color="auto" w:fill="D9E2F3" w:themeFill="accent5" w:themeFillTint="33"/>
        <w:rPr>
          <w:noProof/>
        </w:rPr>
      </w:pPr>
      <w:r w:rsidRPr="00DE3A6F">
        <w:rPr>
          <w:noProof/>
        </w:rPr>
        <w:t xml:space="preserve">Snapshot </w:t>
      </w:r>
      <w:r w:rsidRPr="00DE3A6F">
        <w:rPr>
          <w:noProof/>
        </w:rPr>
        <w:fldChar w:fldCharType="begin"/>
      </w:r>
      <w:r w:rsidRPr="00DE3A6F">
        <w:rPr>
          <w:noProof/>
        </w:rPr>
        <w:instrText xml:space="preserve"> SEQ Snapshot \* ARABIC </w:instrText>
      </w:r>
      <w:r w:rsidRPr="00DE3A6F">
        <w:rPr>
          <w:noProof/>
        </w:rPr>
        <w:fldChar w:fldCharType="separate"/>
      </w:r>
      <w:r w:rsidR="00CA6005">
        <w:rPr>
          <w:noProof/>
        </w:rPr>
        <w:t>11</w:t>
      </w:r>
      <w:r w:rsidRPr="00DE3A6F">
        <w:rPr>
          <w:noProof/>
        </w:rPr>
        <w:fldChar w:fldCharType="end"/>
      </w:r>
      <w:r w:rsidRPr="00DE3A6F">
        <w:rPr>
          <w:noProof/>
        </w:rPr>
        <w:t xml:space="preserve"> – Measures affected by fraud in the common agricultural policy</w:t>
      </w:r>
    </w:p>
    <w:p w14:paraId="599744F8" w14:textId="3B742653" w:rsidR="007C4455" w:rsidRPr="00DE3A6F" w:rsidRDefault="00B62189" w:rsidP="28D37C99">
      <w:pPr>
        <w:pBdr>
          <w:top w:val="single" w:sz="4" w:space="1" w:color="auto"/>
          <w:left w:val="single" w:sz="4" w:space="4" w:color="auto"/>
          <w:bottom w:val="single" w:sz="4" w:space="1" w:color="auto"/>
          <w:right w:val="single" w:sz="4" w:space="4" w:color="auto"/>
        </w:pBdr>
        <w:shd w:val="clear" w:color="auto" w:fill="D9E2F3" w:themeFill="accent5" w:themeFillTint="33"/>
        <w:rPr>
          <w:noProof/>
        </w:rPr>
      </w:pPr>
      <w:r w:rsidRPr="003D0068">
        <w:rPr>
          <w:noProof/>
        </w:rPr>
        <w:t xml:space="preserve">Fraudulent irregularities related to </w:t>
      </w:r>
      <w:r w:rsidRPr="003D0068">
        <w:rPr>
          <w:b/>
          <w:bCs/>
          <w:noProof/>
        </w:rPr>
        <w:t>direct payments to farmers</w:t>
      </w:r>
      <w:r w:rsidRPr="003D0068">
        <w:rPr>
          <w:noProof/>
        </w:rPr>
        <w:t xml:space="preserve"> mainly concerned false documentary proof or false requests. Under the </w:t>
      </w:r>
      <w:r w:rsidR="00CD3A67" w:rsidRPr="003D0068">
        <w:rPr>
          <w:noProof/>
        </w:rPr>
        <w:t xml:space="preserve">2023-2027 </w:t>
      </w:r>
      <w:r w:rsidRPr="003D0068">
        <w:rPr>
          <w:noProof/>
        </w:rPr>
        <w:t xml:space="preserve">CAP, risks related to respect of good agricultural and environmental conditions and support to environmental commitments may increase. However, the reporting of irregularities affecting these ‘environmental’ payments is concentrated in a few Member States. In addition, analysis suggests that </w:t>
      </w:r>
      <w:r w:rsidR="003B78CD" w:rsidRPr="003D0068">
        <w:rPr>
          <w:noProof/>
        </w:rPr>
        <w:t>most of</w:t>
      </w:r>
      <w:r w:rsidRPr="003D0068">
        <w:rPr>
          <w:noProof/>
        </w:rPr>
        <w:t xml:space="preserve"> these irregularities may not be</w:t>
      </w:r>
      <w:r w:rsidR="009308A8" w:rsidRPr="003D0068">
        <w:rPr>
          <w:noProof/>
        </w:rPr>
        <w:t xml:space="preserve"> specifically</w:t>
      </w:r>
      <w:r w:rsidRPr="003D0068">
        <w:rPr>
          <w:noProof/>
        </w:rPr>
        <w:t xml:space="preserve"> related to </w:t>
      </w:r>
      <w:r w:rsidR="00470C6A" w:rsidRPr="003D0068">
        <w:rPr>
          <w:noProof/>
        </w:rPr>
        <w:t xml:space="preserve">controls on </w:t>
      </w:r>
      <w:r w:rsidRPr="003D0068">
        <w:rPr>
          <w:noProof/>
        </w:rPr>
        <w:t>respect of agricultural practice.</w:t>
      </w:r>
    </w:p>
    <w:p w14:paraId="1B3DCF17" w14:textId="1C3D07F8" w:rsidR="007C4455" w:rsidRPr="00DE3A6F" w:rsidRDefault="00A15C3B" w:rsidP="28D37C99">
      <w:pPr>
        <w:pBdr>
          <w:top w:val="single" w:sz="4" w:space="1" w:color="auto"/>
          <w:left w:val="single" w:sz="4" w:space="4" w:color="auto"/>
          <w:bottom w:val="single" w:sz="4" w:space="1" w:color="auto"/>
          <w:right w:val="single" w:sz="4" w:space="4" w:color="auto"/>
        </w:pBdr>
        <w:shd w:val="clear" w:color="auto" w:fill="D9E2F3" w:themeFill="accent5" w:themeFillTint="33"/>
        <w:rPr>
          <w:noProof/>
        </w:rPr>
      </w:pPr>
      <w:r w:rsidRPr="003D0068">
        <w:rPr>
          <w:noProof/>
        </w:rPr>
        <w:t xml:space="preserve">Infringements related to the falsification of documentary proof or requests were the most frequent in relation to </w:t>
      </w:r>
      <w:r w:rsidRPr="003D0068">
        <w:rPr>
          <w:b/>
          <w:bCs/>
          <w:noProof/>
        </w:rPr>
        <w:t>market measures</w:t>
      </w:r>
      <w:r w:rsidRPr="003D0068">
        <w:rPr>
          <w:noProof/>
        </w:rPr>
        <w:t xml:space="preserve">. </w:t>
      </w:r>
      <w:r w:rsidR="00B8743C" w:rsidRPr="003D0068">
        <w:rPr>
          <w:noProof/>
        </w:rPr>
        <w:t>In previous years, m</w:t>
      </w:r>
      <w:r w:rsidRPr="003D0068">
        <w:rPr>
          <w:noProof/>
        </w:rPr>
        <w:t>ost of the fraudulent irregularities concerned the wine-growing sector, the fruit and vegetables sector or promotion. During 2025, fraudulent irregularities mainly concerned the wine sector and beekeeping.</w:t>
      </w:r>
    </w:p>
    <w:p w14:paraId="2D3E5589" w14:textId="3AA783E7" w:rsidR="007C4455" w:rsidRPr="00DE3A6F" w:rsidRDefault="002C43D1" w:rsidP="28D37C99">
      <w:pPr>
        <w:pBdr>
          <w:top w:val="single" w:sz="4" w:space="1" w:color="auto"/>
          <w:left w:val="single" w:sz="4" w:space="4" w:color="auto"/>
          <w:bottom w:val="single" w:sz="4" w:space="1" w:color="auto"/>
          <w:right w:val="single" w:sz="4" w:space="4" w:color="auto"/>
        </w:pBdr>
        <w:shd w:val="clear" w:color="auto" w:fill="D9E2F3" w:themeFill="accent5" w:themeFillTint="33"/>
        <w:rPr>
          <w:noProof/>
        </w:rPr>
      </w:pPr>
      <w:r w:rsidRPr="003D0068">
        <w:rPr>
          <w:noProof/>
        </w:rPr>
        <w:t xml:space="preserve">More than half of the fraudulent irregularities related to </w:t>
      </w:r>
      <w:r w:rsidRPr="003D0068">
        <w:rPr>
          <w:b/>
          <w:bCs/>
          <w:noProof/>
        </w:rPr>
        <w:t>rural development</w:t>
      </w:r>
      <w:r w:rsidRPr="003D0068">
        <w:rPr>
          <w:noProof/>
        </w:rPr>
        <w:t xml:space="preserve"> concerned the documentary proof or the request, </w:t>
      </w:r>
      <w:r w:rsidR="005264E3">
        <w:rPr>
          <w:noProof/>
        </w:rPr>
        <w:t>where falsified proofs were the most frequent fraud pattern encountered</w:t>
      </w:r>
      <w:r w:rsidRPr="003D0068">
        <w:rPr>
          <w:noProof/>
        </w:rPr>
        <w:t>. Violations concerning the implementation of the action accounted for a significant share of the financial amounts involved in fraud in rural development.</w:t>
      </w:r>
    </w:p>
    <w:p w14:paraId="579F89A5" w14:textId="0481796F" w:rsidR="007C4455" w:rsidRPr="00DE3A6F" w:rsidRDefault="00384FF8" w:rsidP="003D31EC">
      <w:pPr>
        <w:rPr>
          <w:noProof/>
        </w:rPr>
      </w:pPr>
      <w:r w:rsidRPr="003D0068">
        <w:rPr>
          <w:noProof/>
        </w:rPr>
        <w:t>Risk analysis, tips from informants and information published in the media still only marginally contributed to detecting fraud</w:t>
      </w:r>
      <w:r w:rsidR="002318D5" w:rsidRPr="003D0068">
        <w:rPr>
          <w:noProof/>
        </w:rPr>
        <w:t>. The</w:t>
      </w:r>
      <w:r w:rsidR="00026CAB" w:rsidRPr="003D0068">
        <w:rPr>
          <w:noProof/>
        </w:rPr>
        <w:t xml:space="preserve"> exception </w:t>
      </w:r>
      <w:r w:rsidR="002318D5" w:rsidRPr="003D0068">
        <w:rPr>
          <w:noProof/>
        </w:rPr>
        <w:t xml:space="preserve">was </w:t>
      </w:r>
      <w:r w:rsidR="00026CAB" w:rsidRPr="003D0068">
        <w:rPr>
          <w:noProof/>
        </w:rPr>
        <w:t xml:space="preserve"> market measures, where</w:t>
      </w:r>
      <w:r w:rsidRPr="003D0068">
        <w:rPr>
          <w:noProof/>
        </w:rPr>
        <w:t xml:space="preserve"> </w:t>
      </w:r>
      <w:r w:rsidR="00026CAB" w:rsidRPr="003D0068">
        <w:rPr>
          <w:noProof/>
        </w:rPr>
        <w:t>a</w:t>
      </w:r>
      <w:r w:rsidRPr="003D0068">
        <w:rPr>
          <w:noProof/>
        </w:rPr>
        <w:t xml:space="preserve"> significant share of detections </w:t>
      </w:r>
      <w:r w:rsidR="006D4F4D" w:rsidRPr="003D0068">
        <w:rPr>
          <w:noProof/>
        </w:rPr>
        <w:t xml:space="preserve">resulted from </w:t>
      </w:r>
      <w:r w:rsidRPr="003D0068">
        <w:rPr>
          <w:noProof/>
        </w:rPr>
        <w:t xml:space="preserve">scrutiny of transactions, </w:t>
      </w:r>
      <w:r w:rsidR="006D4F4D" w:rsidRPr="003D0068">
        <w:rPr>
          <w:noProof/>
        </w:rPr>
        <w:t xml:space="preserve">with </w:t>
      </w:r>
      <w:r w:rsidRPr="003D0068">
        <w:rPr>
          <w:noProof/>
        </w:rPr>
        <w:t xml:space="preserve">undertakings </w:t>
      </w:r>
      <w:r w:rsidR="00657EDC" w:rsidRPr="003D0068">
        <w:rPr>
          <w:noProof/>
        </w:rPr>
        <w:t xml:space="preserve">being selected </w:t>
      </w:r>
      <w:r w:rsidRPr="003D0068">
        <w:rPr>
          <w:noProof/>
        </w:rPr>
        <w:t xml:space="preserve">based on </w:t>
      </w:r>
      <w:r w:rsidR="00657EDC" w:rsidRPr="003D0068">
        <w:rPr>
          <w:noProof/>
        </w:rPr>
        <w:t xml:space="preserve">an </w:t>
      </w:r>
      <w:r w:rsidRPr="003D0068">
        <w:rPr>
          <w:noProof/>
        </w:rPr>
        <w:t xml:space="preserve">analysis of risk factors. However, </w:t>
      </w:r>
      <w:r w:rsidR="00C669BF" w:rsidRPr="003D0068">
        <w:rPr>
          <w:noProof/>
        </w:rPr>
        <w:t xml:space="preserve">the </w:t>
      </w:r>
      <w:r w:rsidRPr="003D0068">
        <w:rPr>
          <w:noProof/>
        </w:rPr>
        <w:t>actual contribution of risk analysis</w:t>
      </w:r>
      <w:r w:rsidR="00A048C4" w:rsidRPr="003D0068">
        <w:rPr>
          <w:noProof/>
        </w:rPr>
        <w:t xml:space="preserve"> to detection in market measures</w:t>
      </w:r>
      <w:r w:rsidRPr="003D0068">
        <w:rPr>
          <w:noProof/>
        </w:rPr>
        <w:t xml:space="preserve"> </w:t>
      </w:r>
      <w:r w:rsidR="00C669BF" w:rsidRPr="003D0068">
        <w:rPr>
          <w:noProof/>
        </w:rPr>
        <w:t xml:space="preserve">largely </w:t>
      </w:r>
      <w:r w:rsidRPr="003D0068">
        <w:rPr>
          <w:noProof/>
        </w:rPr>
        <w:t xml:space="preserve">depends on how this requirement has been translated in practice, going beyond </w:t>
      </w:r>
      <w:r w:rsidRPr="003D0068">
        <w:rPr>
          <w:noProof/>
        </w:rPr>
        <w:lastRenderedPageBreak/>
        <w:t xml:space="preserve">criteria such as new beneficiaries, time </w:t>
      </w:r>
      <w:r w:rsidR="3955A5BB" w:rsidRPr="003D0068">
        <w:rPr>
          <w:noProof/>
        </w:rPr>
        <w:t xml:space="preserve">elapsed </w:t>
      </w:r>
      <w:r w:rsidR="00015740" w:rsidRPr="003D0068">
        <w:rPr>
          <w:noProof/>
        </w:rPr>
        <w:t xml:space="preserve">since the </w:t>
      </w:r>
      <w:r w:rsidRPr="003D0068">
        <w:rPr>
          <w:noProof/>
        </w:rPr>
        <w:t xml:space="preserve">previous control </w:t>
      </w:r>
      <w:r w:rsidR="00015740" w:rsidRPr="003D0068">
        <w:rPr>
          <w:noProof/>
        </w:rPr>
        <w:t xml:space="preserve">and </w:t>
      </w:r>
      <w:r w:rsidRPr="003D0068">
        <w:rPr>
          <w:noProof/>
        </w:rPr>
        <w:t>amount of the operation.</w:t>
      </w:r>
    </w:p>
    <w:p w14:paraId="5DD14993" w14:textId="3A08937E" w:rsidR="00984FCF" w:rsidRPr="00DE3A6F" w:rsidRDefault="00984FCF" w:rsidP="00984FCF">
      <w:pPr>
        <w:rPr>
          <w:noProof/>
        </w:rPr>
      </w:pPr>
      <w:r w:rsidRPr="003D0068">
        <w:rPr>
          <w:noProof/>
        </w:rPr>
        <w:t xml:space="preserve">The indicators presented </w:t>
      </w:r>
      <w:r w:rsidR="00C553E4" w:rsidRPr="003D0068">
        <w:rPr>
          <w:noProof/>
        </w:rPr>
        <w:t xml:space="preserve">in </w:t>
      </w:r>
      <w:r w:rsidR="00C553E4" w:rsidRPr="003D0068">
        <w:rPr>
          <w:b/>
          <w:bCs/>
          <w:noProof/>
        </w:rPr>
        <w:t xml:space="preserve">Figure </w:t>
      </w:r>
      <w:r w:rsidR="00015740" w:rsidRPr="003D0068">
        <w:rPr>
          <w:b/>
          <w:bCs/>
          <w:noProof/>
        </w:rPr>
        <w:t>18</w:t>
      </w:r>
      <w:r w:rsidR="00015740" w:rsidRPr="003D0068">
        <w:rPr>
          <w:noProof/>
        </w:rPr>
        <w:t xml:space="preserve"> </w:t>
      </w:r>
      <w:r w:rsidRPr="003D0068">
        <w:rPr>
          <w:noProof/>
        </w:rPr>
        <w:t xml:space="preserve">underline that successful recovery in </w:t>
      </w:r>
      <w:r w:rsidR="00015740" w:rsidRPr="003D0068">
        <w:rPr>
          <w:noProof/>
        </w:rPr>
        <w:t xml:space="preserve">the </w:t>
      </w:r>
      <w:r w:rsidRPr="003D0068">
        <w:rPr>
          <w:noProof/>
        </w:rPr>
        <w:t>case of fraud is more difficult</w:t>
      </w:r>
      <w:r w:rsidR="007647B9" w:rsidRPr="003D0068">
        <w:rPr>
          <w:noProof/>
        </w:rPr>
        <w:t>, as c</w:t>
      </w:r>
      <w:r w:rsidR="00847D67" w:rsidRPr="003D0068">
        <w:rPr>
          <w:noProof/>
        </w:rPr>
        <w:t xml:space="preserve">riminal </w:t>
      </w:r>
      <w:r w:rsidRPr="003D0068">
        <w:rPr>
          <w:noProof/>
        </w:rPr>
        <w:t xml:space="preserve">proceedings </w:t>
      </w:r>
      <w:r w:rsidR="007647B9" w:rsidRPr="003D0068">
        <w:rPr>
          <w:noProof/>
        </w:rPr>
        <w:t>may be</w:t>
      </w:r>
      <w:r w:rsidRPr="003D0068">
        <w:rPr>
          <w:noProof/>
        </w:rPr>
        <w:t xml:space="preserve"> </w:t>
      </w:r>
      <w:r w:rsidR="00847D67" w:rsidRPr="003D0068">
        <w:rPr>
          <w:noProof/>
        </w:rPr>
        <w:t>lengthy</w:t>
      </w:r>
      <w:r w:rsidR="007647B9" w:rsidRPr="003D0068">
        <w:rPr>
          <w:noProof/>
        </w:rPr>
        <w:t xml:space="preserve"> and complex</w:t>
      </w:r>
      <w:r w:rsidRPr="003D0068">
        <w:rPr>
          <w:noProof/>
        </w:rPr>
        <w:t>. In general, once proceedings are completed, the protection of the EU’s financial interests is effective</w:t>
      </w:r>
      <w:r w:rsidR="00083294" w:rsidRPr="003D0068">
        <w:rPr>
          <w:noProof/>
        </w:rPr>
        <w:t xml:space="preserve">. Recovery </w:t>
      </w:r>
      <w:r w:rsidR="00470C41" w:rsidRPr="003D0068">
        <w:rPr>
          <w:noProof/>
        </w:rPr>
        <w:t xml:space="preserve">in relation to </w:t>
      </w:r>
      <w:r w:rsidRPr="003D0068">
        <w:rPr>
          <w:noProof/>
        </w:rPr>
        <w:t>non-fraudulent irregularities</w:t>
      </w:r>
      <w:r w:rsidR="00470C41" w:rsidRPr="003D0068">
        <w:rPr>
          <w:noProof/>
        </w:rPr>
        <w:t xml:space="preserve"> </w:t>
      </w:r>
      <w:r w:rsidR="00374AB1" w:rsidRPr="003D0068">
        <w:rPr>
          <w:noProof/>
        </w:rPr>
        <w:t xml:space="preserve">yields far better </w:t>
      </w:r>
      <w:r w:rsidR="008E1510" w:rsidRPr="003D0068">
        <w:rPr>
          <w:noProof/>
        </w:rPr>
        <w:t>results</w:t>
      </w:r>
      <w:r w:rsidR="00374AB1" w:rsidRPr="003D0068">
        <w:rPr>
          <w:noProof/>
        </w:rPr>
        <w:t xml:space="preserve">, with about 40% of closed cases </w:t>
      </w:r>
      <w:r w:rsidR="003E602B" w:rsidRPr="003D0068">
        <w:rPr>
          <w:noProof/>
        </w:rPr>
        <w:t>over the period 201</w:t>
      </w:r>
      <w:r w:rsidR="00EB3649" w:rsidRPr="003D0068">
        <w:rPr>
          <w:noProof/>
        </w:rPr>
        <w:t>5</w:t>
      </w:r>
      <w:r w:rsidR="003E602B" w:rsidRPr="003D0068">
        <w:rPr>
          <w:noProof/>
        </w:rPr>
        <w:t xml:space="preserve">-2025 resulting in almost </w:t>
      </w:r>
      <w:r w:rsidR="008E1510" w:rsidRPr="003D0068">
        <w:rPr>
          <w:noProof/>
        </w:rPr>
        <w:t>EUR </w:t>
      </w:r>
      <w:r w:rsidR="007C0183" w:rsidRPr="003D0068">
        <w:rPr>
          <w:noProof/>
        </w:rPr>
        <w:t>5</w:t>
      </w:r>
      <w:r w:rsidR="007C0183">
        <w:rPr>
          <w:noProof/>
        </w:rPr>
        <w:t>61</w:t>
      </w:r>
      <w:r w:rsidR="007C0183" w:rsidRPr="003D0068">
        <w:rPr>
          <w:noProof/>
        </w:rPr>
        <w:t xml:space="preserve"> </w:t>
      </w:r>
      <w:r w:rsidR="003E602B" w:rsidRPr="003D0068">
        <w:rPr>
          <w:noProof/>
        </w:rPr>
        <w:t>million recovered</w:t>
      </w:r>
      <w:r w:rsidRPr="003D0068">
        <w:rPr>
          <w:noProof/>
        </w:rPr>
        <w:t>.</w:t>
      </w:r>
    </w:p>
    <w:p w14:paraId="555763E4" w14:textId="77777777" w:rsidR="0046443B" w:rsidRPr="00DE3A6F" w:rsidRDefault="0046443B" w:rsidP="003D31EC">
      <w:pPr>
        <w:rPr>
          <w:noProof/>
        </w:rPr>
      </w:pPr>
    </w:p>
    <w:p w14:paraId="2BB9BC3A" w14:textId="5513C090" w:rsidR="0082431C" w:rsidRPr="00DE3A6F" w:rsidRDefault="0082431C" w:rsidP="00580EF5">
      <w:pPr>
        <w:pStyle w:val="Heading5"/>
        <w:rPr>
          <w:b/>
          <w:bCs/>
          <w:i/>
          <w:iCs/>
          <w:noProof/>
        </w:rPr>
      </w:pPr>
      <w:bookmarkStart w:id="78" w:name="_Cohesion_policy"/>
      <w:bookmarkEnd w:id="78"/>
      <w:r w:rsidRPr="00DE3A6F">
        <w:rPr>
          <w:b/>
          <w:bCs/>
          <w:i/>
          <w:iCs/>
          <w:noProof/>
        </w:rPr>
        <w:t>Cohesion policy</w:t>
      </w:r>
    </w:p>
    <w:p w14:paraId="5D7A45B1" w14:textId="101E5DB9" w:rsidR="003C0413" w:rsidRPr="00DE3A6F" w:rsidRDefault="006B685B" w:rsidP="00172B08">
      <w:pPr>
        <w:pStyle w:val="Caption"/>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Methodological note </w:t>
      </w:r>
      <w:r w:rsidR="000D1718" w:rsidRPr="00DE3A6F">
        <w:rPr>
          <w:noProof/>
        </w:rPr>
        <w:fldChar w:fldCharType="begin"/>
      </w:r>
      <w:r w:rsidR="000D1718" w:rsidRPr="00DE3A6F">
        <w:rPr>
          <w:noProof/>
        </w:rPr>
        <w:instrText xml:space="preserve"> SEQ Methodological_note \* ARABIC </w:instrText>
      </w:r>
      <w:r w:rsidR="000D1718" w:rsidRPr="00DE3A6F">
        <w:rPr>
          <w:noProof/>
        </w:rPr>
        <w:fldChar w:fldCharType="separate"/>
      </w:r>
      <w:r w:rsidR="000D1718" w:rsidRPr="00DE3A6F">
        <w:rPr>
          <w:noProof/>
        </w:rPr>
        <w:t>8</w:t>
      </w:r>
      <w:r w:rsidR="000D1718" w:rsidRPr="00DE3A6F">
        <w:rPr>
          <w:noProof/>
        </w:rPr>
        <w:fldChar w:fldCharType="end"/>
      </w:r>
      <w:r w:rsidRPr="00DE3A6F">
        <w:rPr>
          <w:noProof/>
        </w:rPr>
        <w:t xml:space="preserve">: </w:t>
      </w:r>
      <w:r w:rsidR="00FC48B6" w:rsidRPr="00DE3A6F">
        <w:rPr>
          <w:noProof/>
        </w:rPr>
        <w:t>R</w:t>
      </w:r>
      <w:r w:rsidR="004873AC" w:rsidRPr="00DE3A6F">
        <w:rPr>
          <w:noProof/>
        </w:rPr>
        <w:t>eporting of irregularities and fraud in relation to cohesion policy</w:t>
      </w:r>
    </w:p>
    <w:p w14:paraId="50D59D42" w14:textId="1C6BCD2F" w:rsidR="00EA3986" w:rsidRPr="00DE3A6F" w:rsidRDefault="00EF3443"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451C83">
        <w:rPr>
          <w:noProof/>
        </w:rPr>
        <w:t>C</w:t>
      </w:r>
      <w:r w:rsidR="000F6621" w:rsidRPr="00451C83">
        <w:rPr>
          <w:noProof/>
        </w:rPr>
        <w:t xml:space="preserve">ohesion policy funds </w:t>
      </w:r>
      <w:r w:rsidRPr="00451C83">
        <w:rPr>
          <w:noProof/>
        </w:rPr>
        <w:t xml:space="preserve">multiannual </w:t>
      </w:r>
      <w:r w:rsidR="0098686E" w:rsidRPr="00451C83">
        <w:rPr>
          <w:noProof/>
        </w:rPr>
        <w:t>programmes</w:t>
      </w:r>
      <w:r w:rsidR="00DA215A" w:rsidRPr="00451C83">
        <w:rPr>
          <w:noProof/>
        </w:rPr>
        <w:t xml:space="preserve">, the rules for which are set for each </w:t>
      </w:r>
      <w:r w:rsidR="004732B5" w:rsidRPr="00451C83">
        <w:rPr>
          <w:noProof/>
        </w:rPr>
        <w:t>MFF</w:t>
      </w:r>
      <w:r w:rsidR="0098686E" w:rsidRPr="00451C83">
        <w:rPr>
          <w:noProof/>
        </w:rPr>
        <w:t>.</w:t>
      </w:r>
      <w:r w:rsidR="00F115D2" w:rsidRPr="00451C83">
        <w:rPr>
          <w:noProof/>
        </w:rPr>
        <w:t xml:space="preserve"> </w:t>
      </w:r>
      <w:r w:rsidR="00C06376" w:rsidRPr="00451C83">
        <w:rPr>
          <w:noProof/>
        </w:rPr>
        <w:t xml:space="preserve">As project implementation often extends beyond the programming period, control and audits </w:t>
      </w:r>
      <w:r w:rsidR="002F0663" w:rsidRPr="00451C83">
        <w:rPr>
          <w:noProof/>
        </w:rPr>
        <w:t xml:space="preserve">may take place </w:t>
      </w:r>
      <w:r w:rsidR="00D313EF" w:rsidRPr="00451C83">
        <w:rPr>
          <w:noProof/>
        </w:rPr>
        <w:t>throughout the</w:t>
      </w:r>
      <w:r w:rsidR="00130F88" w:rsidRPr="00451C83">
        <w:rPr>
          <w:noProof/>
        </w:rPr>
        <w:t xml:space="preserve"> project</w:t>
      </w:r>
      <w:r w:rsidR="00D313EF" w:rsidRPr="00451C83">
        <w:rPr>
          <w:noProof/>
        </w:rPr>
        <w:t xml:space="preserve"> </w:t>
      </w:r>
      <w:r w:rsidR="0036148D" w:rsidRPr="00451C83">
        <w:rPr>
          <w:noProof/>
        </w:rPr>
        <w:t>life cycle</w:t>
      </w:r>
      <w:r w:rsidR="00400C5E" w:rsidRPr="00451C83">
        <w:rPr>
          <w:noProof/>
        </w:rPr>
        <w:t>.</w:t>
      </w:r>
      <w:r w:rsidR="00D313EF" w:rsidRPr="00451C83">
        <w:rPr>
          <w:noProof/>
        </w:rPr>
        <w:t xml:space="preserve"> </w:t>
      </w:r>
      <w:r w:rsidR="00400C5E" w:rsidRPr="00451C83">
        <w:rPr>
          <w:noProof/>
        </w:rPr>
        <w:t xml:space="preserve">Consequently, </w:t>
      </w:r>
      <w:r w:rsidR="00B6155D" w:rsidRPr="00451C83">
        <w:rPr>
          <w:noProof/>
        </w:rPr>
        <w:t xml:space="preserve">in 2025 </w:t>
      </w:r>
      <w:r w:rsidR="00400C5E" w:rsidRPr="00451C83">
        <w:rPr>
          <w:noProof/>
        </w:rPr>
        <w:t xml:space="preserve">most </w:t>
      </w:r>
      <w:r w:rsidR="00B6155D" w:rsidRPr="00451C83">
        <w:rPr>
          <w:noProof/>
        </w:rPr>
        <w:t xml:space="preserve">irregularities and fraud </w:t>
      </w:r>
      <w:r w:rsidR="00F41A0E" w:rsidRPr="00451C83">
        <w:rPr>
          <w:noProof/>
        </w:rPr>
        <w:t xml:space="preserve">cases </w:t>
      </w:r>
      <w:r w:rsidR="008122ED" w:rsidRPr="00451C83">
        <w:rPr>
          <w:noProof/>
        </w:rPr>
        <w:t xml:space="preserve">reported by national authorities related to the </w:t>
      </w:r>
      <w:r w:rsidR="00130F88" w:rsidRPr="00451C83">
        <w:rPr>
          <w:noProof/>
        </w:rPr>
        <w:t xml:space="preserve">2014-2020 </w:t>
      </w:r>
      <w:r w:rsidR="008122ED" w:rsidRPr="00451C83">
        <w:rPr>
          <w:noProof/>
        </w:rPr>
        <w:t>programming period</w:t>
      </w:r>
      <w:r w:rsidR="00F41A0E" w:rsidRPr="00451C83">
        <w:rPr>
          <w:noProof/>
        </w:rPr>
        <w:t xml:space="preserve">; with </w:t>
      </w:r>
      <w:r w:rsidR="008122ED" w:rsidRPr="00451C83">
        <w:rPr>
          <w:noProof/>
        </w:rPr>
        <w:t xml:space="preserve">some still </w:t>
      </w:r>
      <w:r w:rsidR="00F41A0E" w:rsidRPr="00451C83">
        <w:rPr>
          <w:noProof/>
        </w:rPr>
        <w:t xml:space="preserve">linked </w:t>
      </w:r>
      <w:r w:rsidR="008122ED" w:rsidRPr="00451C83">
        <w:rPr>
          <w:noProof/>
        </w:rPr>
        <w:t>to 2007-2013.</w:t>
      </w:r>
      <w:r w:rsidR="00551E88" w:rsidRPr="00451C83">
        <w:rPr>
          <w:noProof/>
        </w:rPr>
        <w:t xml:space="preserve"> </w:t>
      </w:r>
    </w:p>
    <w:p w14:paraId="34AD2EC2" w14:textId="261978D7" w:rsidR="004873AC" w:rsidRPr="00DE3A6F" w:rsidRDefault="007365D6" w:rsidP="28D37C99">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451C83">
        <w:rPr>
          <w:noProof/>
        </w:rPr>
        <w:t>D</w:t>
      </w:r>
      <w:r w:rsidR="00551E88" w:rsidRPr="00451C83">
        <w:rPr>
          <w:noProof/>
        </w:rPr>
        <w:t xml:space="preserve">ue </w:t>
      </w:r>
      <w:r w:rsidR="552B71A2" w:rsidRPr="00451C83">
        <w:rPr>
          <w:noProof/>
        </w:rPr>
        <w:t xml:space="preserve">to </w:t>
      </w:r>
      <w:r w:rsidR="00DE3A6F" w:rsidRPr="00451C83">
        <w:rPr>
          <w:noProof/>
        </w:rPr>
        <w:t>the slow start</w:t>
      </w:r>
      <w:r w:rsidR="00EA3986" w:rsidRPr="00451C83">
        <w:rPr>
          <w:noProof/>
        </w:rPr>
        <w:t xml:space="preserve"> of 2021-2027</w:t>
      </w:r>
      <w:r w:rsidRPr="00451C83">
        <w:rPr>
          <w:noProof/>
        </w:rPr>
        <w:t xml:space="preserve"> programme implementation</w:t>
      </w:r>
      <w:r w:rsidR="00EA3986" w:rsidRPr="00451C83">
        <w:rPr>
          <w:noProof/>
        </w:rPr>
        <w:t xml:space="preserve">, reporting </w:t>
      </w:r>
      <w:r w:rsidR="006F065C" w:rsidRPr="00451C83">
        <w:rPr>
          <w:noProof/>
        </w:rPr>
        <w:t xml:space="preserve">of </w:t>
      </w:r>
      <w:r w:rsidR="00362707" w:rsidRPr="00451C83">
        <w:rPr>
          <w:noProof/>
        </w:rPr>
        <w:t xml:space="preserve">related </w:t>
      </w:r>
      <w:r w:rsidR="006F065C" w:rsidRPr="00451C83">
        <w:rPr>
          <w:noProof/>
        </w:rPr>
        <w:t xml:space="preserve">irregularities and fraud </w:t>
      </w:r>
      <w:r w:rsidR="00C37F00" w:rsidRPr="00451C83">
        <w:rPr>
          <w:noProof/>
        </w:rPr>
        <w:t xml:space="preserve">only </w:t>
      </w:r>
      <w:r w:rsidR="00CA1602" w:rsidRPr="00451C83">
        <w:rPr>
          <w:noProof/>
        </w:rPr>
        <w:t>beg</w:t>
      </w:r>
      <w:r w:rsidR="00CA1602">
        <w:rPr>
          <w:noProof/>
        </w:rPr>
        <w:t>a</w:t>
      </w:r>
      <w:r w:rsidR="00CA1602" w:rsidRPr="00451C83">
        <w:rPr>
          <w:noProof/>
        </w:rPr>
        <w:t xml:space="preserve">n </w:t>
      </w:r>
      <w:r w:rsidR="00C37F00" w:rsidRPr="00451C83">
        <w:rPr>
          <w:noProof/>
        </w:rPr>
        <w:t>in 2024.</w:t>
      </w:r>
      <w:r w:rsidR="00BD493C" w:rsidRPr="00451C83">
        <w:rPr>
          <w:noProof/>
        </w:rPr>
        <w:t xml:space="preserve"> </w:t>
      </w:r>
      <w:r w:rsidR="00CA1602">
        <w:rPr>
          <w:noProof/>
        </w:rPr>
        <w:t xml:space="preserve">Even </w:t>
      </w:r>
      <w:r w:rsidR="000752AD" w:rsidRPr="00451C83">
        <w:rPr>
          <w:noProof/>
        </w:rPr>
        <w:t>i</w:t>
      </w:r>
      <w:r w:rsidR="00A91E46" w:rsidRPr="00451C83">
        <w:rPr>
          <w:noProof/>
        </w:rPr>
        <w:t>n 2025</w:t>
      </w:r>
      <w:r w:rsidR="00CA1602">
        <w:rPr>
          <w:noProof/>
        </w:rPr>
        <w:t>,</w:t>
      </w:r>
      <w:r w:rsidR="00A91E46" w:rsidRPr="00451C83">
        <w:rPr>
          <w:noProof/>
        </w:rPr>
        <w:t xml:space="preserve"> only 10% of the total number of irregulariti</w:t>
      </w:r>
      <w:r w:rsidR="4C041993" w:rsidRPr="00451C83">
        <w:rPr>
          <w:noProof/>
        </w:rPr>
        <w:t>e</w:t>
      </w:r>
      <w:r w:rsidR="00A91E46" w:rsidRPr="00451C83">
        <w:rPr>
          <w:noProof/>
        </w:rPr>
        <w:t xml:space="preserve">s reported </w:t>
      </w:r>
      <w:r w:rsidR="00CA1602">
        <w:rPr>
          <w:noProof/>
        </w:rPr>
        <w:t xml:space="preserve">for </w:t>
      </w:r>
      <w:r w:rsidR="00A91E46" w:rsidRPr="008201CF">
        <w:rPr>
          <w:noProof/>
        </w:rPr>
        <w:t>cohesion policy</w:t>
      </w:r>
      <w:r w:rsidR="000752AD" w:rsidRPr="008201CF">
        <w:rPr>
          <w:noProof/>
        </w:rPr>
        <w:t xml:space="preserve"> related to the 2021-2027 programmes</w:t>
      </w:r>
      <w:r w:rsidR="00EC07E4" w:rsidRPr="008201CF">
        <w:rPr>
          <w:noProof/>
        </w:rPr>
        <w:t>.</w:t>
      </w:r>
    </w:p>
    <w:p w14:paraId="23FD47E3" w14:textId="1C4495BB" w:rsidR="00C10012" w:rsidRPr="00DE3A6F" w:rsidRDefault="00826A34" w:rsidP="00172B08">
      <w:pPr>
        <w:pBdr>
          <w:top w:val="single" w:sz="4" w:space="1" w:color="auto"/>
          <w:left w:val="single" w:sz="4" w:space="4" w:color="auto"/>
          <w:bottom w:val="single" w:sz="4" w:space="1" w:color="auto"/>
          <w:right w:val="single" w:sz="4" w:space="4" w:color="auto"/>
        </w:pBdr>
        <w:shd w:val="clear" w:color="auto" w:fill="E2EFD9" w:themeFill="accent6" w:themeFillTint="33"/>
        <w:rPr>
          <w:noProof/>
        </w:rPr>
      </w:pPr>
      <w:r w:rsidRPr="00DE3A6F">
        <w:rPr>
          <w:noProof/>
        </w:rPr>
        <w:t xml:space="preserve">Cohesion policy supports diverse </w:t>
      </w:r>
      <w:r w:rsidR="00172B08" w:rsidRPr="00DE3A6F">
        <w:rPr>
          <w:noProof/>
        </w:rPr>
        <w:t>strategic goals, such as green energy, research, social inclusion, and regional development</w:t>
      </w:r>
      <w:r w:rsidR="00491FC9" w:rsidRPr="00DE3A6F">
        <w:rPr>
          <w:noProof/>
        </w:rPr>
        <w:t>,</w:t>
      </w:r>
      <w:r w:rsidR="00172B08" w:rsidRPr="00DE3A6F">
        <w:rPr>
          <w:noProof/>
        </w:rPr>
        <w:t xml:space="preserve"> adding </w:t>
      </w:r>
      <w:r w:rsidR="00C10012" w:rsidRPr="00DE3A6F">
        <w:rPr>
          <w:noProof/>
        </w:rPr>
        <w:t xml:space="preserve">complexity </w:t>
      </w:r>
      <w:r w:rsidR="00172B08" w:rsidRPr="00DE3A6F">
        <w:rPr>
          <w:noProof/>
        </w:rPr>
        <w:t xml:space="preserve">to </w:t>
      </w:r>
      <w:r w:rsidR="00451C83">
        <w:rPr>
          <w:noProof/>
        </w:rPr>
        <w:t xml:space="preserve">the </w:t>
      </w:r>
      <w:r w:rsidR="00D43DFD" w:rsidRPr="00DE3A6F">
        <w:rPr>
          <w:noProof/>
        </w:rPr>
        <w:t xml:space="preserve">data </w:t>
      </w:r>
      <w:r w:rsidR="00172B08" w:rsidRPr="00DE3A6F">
        <w:rPr>
          <w:noProof/>
        </w:rPr>
        <w:t>analysis.</w:t>
      </w:r>
    </w:p>
    <w:p w14:paraId="371DB00B" w14:textId="1B66E9B7" w:rsidR="00FC766B" w:rsidRPr="00DE3A6F" w:rsidRDefault="003D4B57" w:rsidP="00FC766B">
      <w:pPr>
        <w:rPr>
          <w:noProof/>
        </w:rPr>
      </w:pPr>
      <w:r>
        <w:rPr>
          <w:noProof/>
        </w:rPr>
        <w:t>P</w:t>
      </w:r>
      <w:r w:rsidRPr="008201CF">
        <w:rPr>
          <w:noProof/>
        </w:rPr>
        <w:t xml:space="preserve">revention improved significantly </w:t>
      </w:r>
      <w:r>
        <w:rPr>
          <w:noProof/>
        </w:rPr>
        <w:t>f</w:t>
      </w:r>
      <w:r w:rsidR="00FC766B" w:rsidRPr="008201CF">
        <w:rPr>
          <w:noProof/>
        </w:rPr>
        <w:t xml:space="preserve">rom the </w:t>
      </w:r>
      <w:r w:rsidR="001555E5" w:rsidRPr="008201CF">
        <w:rPr>
          <w:noProof/>
        </w:rPr>
        <w:t xml:space="preserve">2007-2013 </w:t>
      </w:r>
      <w:r w:rsidR="00FC766B" w:rsidRPr="008201CF">
        <w:rPr>
          <w:noProof/>
        </w:rPr>
        <w:t>programming period to 2014-2020</w:t>
      </w:r>
      <w:r w:rsidR="001555E5">
        <w:rPr>
          <w:noProof/>
        </w:rPr>
        <w:t xml:space="preserve"> programming period.</w:t>
      </w:r>
      <w:r w:rsidR="00FC766B" w:rsidRPr="008201CF">
        <w:rPr>
          <w:noProof/>
        </w:rPr>
        <w:t xml:space="preserve"> </w:t>
      </w:r>
      <w:r w:rsidR="174D6946" w:rsidRPr="008201CF">
        <w:rPr>
          <w:noProof/>
        </w:rPr>
        <w:t xml:space="preserve"> </w:t>
      </w:r>
      <w:r w:rsidR="001555E5">
        <w:rPr>
          <w:noProof/>
        </w:rPr>
        <w:t xml:space="preserve">This </w:t>
      </w:r>
      <w:r w:rsidR="00714103">
        <w:rPr>
          <w:noProof/>
        </w:rPr>
        <w:t xml:space="preserve">is showed by </w:t>
      </w:r>
      <w:r w:rsidR="00B7038A">
        <w:rPr>
          <w:noProof/>
        </w:rPr>
        <w:t xml:space="preserve">an </w:t>
      </w:r>
      <w:r w:rsidR="174D6946" w:rsidRPr="008201CF">
        <w:rPr>
          <w:noProof/>
        </w:rPr>
        <w:t xml:space="preserve">increase in the number of </w:t>
      </w:r>
      <w:r w:rsidR="00A53E43" w:rsidRPr="008201CF">
        <w:rPr>
          <w:noProof/>
        </w:rPr>
        <w:t xml:space="preserve">fraudulent and non-fraudulent </w:t>
      </w:r>
      <w:r w:rsidR="004D5BC8" w:rsidRPr="008201CF">
        <w:rPr>
          <w:noProof/>
        </w:rPr>
        <w:t xml:space="preserve">cases </w:t>
      </w:r>
      <w:r w:rsidR="007709AA" w:rsidRPr="008201CF">
        <w:rPr>
          <w:noProof/>
        </w:rPr>
        <w:t>w</w:t>
      </w:r>
      <w:r w:rsidR="00B7038A">
        <w:rPr>
          <w:noProof/>
        </w:rPr>
        <w:t>h</w:t>
      </w:r>
      <w:r w:rsidR="007709AA" w:rsidRPr="008201CF">
        <w:rPr>
          <w:noProof/>
        </w:rPr>
        <w:t xml:space="preserve">ere </w:t>
      </w:r>
      <w:r w:rsidR="4A1112D9" w:rsidRPr="008201CF">
        <w:rPr>
          <w:noProof/>
        </w:rPr>
        <w:t>more than half of the irregular or fraudulent disburs</w:t>
      </w:r>
      <w:r w:rsidR="7EA7FC09" w:rsidRPr="008201CF">
        <w:rPr>
          <w:noProof/>
        </w:rPr>
        <w:t>e</w:t>
      </w:r>
      <w:r w:rsidR="4A1112D9" w:rsidRPr="008201CF">
        <w:rPr>
          <w:noProof/>
        </w:rPr>
        <w:t xml:space="preserve">ments </w:t>
      </w:r>
      <w:r w:rsidR="00714103">
        <w:rPr>
          <w:noProof/>
        </w:rPr>
        <w:t xml:space="preserve">were </w:t>
      </w:r>
      <w:r w:rsidR="4A1112D9" w:rsidRPr="008201CF">
        <w:rPr>
          <w:noProof/>
        </w:rPr>
        <w:t>prevented</w:t>
      </w:r>
      <w:r w:rsidR="007709AA" w:rsidRPr="008201CF">
        <w:rPr>
          <w:noProof/>
        </w:rPr>
        <w:t xml:space="preserve">. </w:t>
      </w:r>
      <w:r w:rsidR="00FC766B" w:rsidRPr="008201CF">
        <w:rPr>
          <w:noProof/>
        </w:rPr>
        <w:t>In fact, for non-fraudulent irregularities, the overall drop in reporting</w:t>
      </w:r>
      <w:r w:rsidR="002473B4" w:rsidRPr="008201CF">
        <w:rPr>
          <w:noProof/>
        </w:rPr>
        <w:t> (</w:t>
      </w:r>
      <w:r w:rsidR="002473B4" w:rsidRPr="008201CF">
        <w:rPr>
          <w:rStyle w:val="FootnoteReference"/>
          <w:noProof/>
        </w:rPr>
        <w:footnoteReference w:id="71"/>
      </w:r>
      <w:r w:rsidR="002473B4" w:rsidRPr="008201CF">
        <w:rPr>
          <w:noProof/>
        </w:rPr>
        <w:t>)</w:t>
      </w:r>
      <w:r w:rsidR="00FC766B" w:rsidRPr="008201CF">
        <w:rPr>
          <w:noProof/>
        </w:rPr>
        <w:t xml:space="preserve"> </w:t>
      </w:r>
      <w:r w:rsidR="00554F02" w:rsidRPr="008201CF">
        <w:rPr>
          <w:noProof/>
        </w:rPr>
        <w:t xml:space="preserve">stemmed </w:t>
      </w:r>
      <w:r w:rsidR="40075061" w:rsidRPr="008201CF">
        <w:rPr>
          <w:noProof/>
        </w:rPr>
        <w:t>f</w:t>
      </w:r>
      <w:r w:rsidR="005B5065" w:rsidRPr="008201CF">
        <w:rPr>
          <w:noProof/>
        </w:rPr>
        <w:t xml:space="preserve">rom a reduction in cases </w:t>
      </w:r>
      <w:r w:rsidR="005B5065" w:rsidRPr="008201CF">
        <w:rPr>
          <w:b/>
          <w:bCs/>
          <w:noProof/>
        </w:rPr>
        <w:t>without prevention</w:t>
      </w:r>
      <w:r w:rsidR="00FC766B" w:rsidRPr="008201CF">
        <w:rPr>
          <w:noProof/>
        </w:rPr>
        <w:t xml:space="preserve">, while the reporting of irregularities where </w:t>
      </w:r>
      <w:r w:rsidR="00222DB6" w:rsidRPr="008201CF">
        <w:rPr>
          <w:b/>
          <w:bCs/>
          <w:noProof/>
        </w:rPr>
        <w:t>full</w:t>
      </w:r>
      <w:r w:rsidR="00222DB6" w:rsidRPr="008201CF">
        <w:rPr>
          <w:noProof/>
        </w:rPr>
        <w:t>,</w:t>
      </w:r>
      <w:r w:rsidR="00222DB6" w:rsidRPr="008201CF">
        <w:rPr>
          <w:b/>
          <w:bCs/>
          <w:noProof/>
        </w:rPr>
        <w:t xml:space="preserve"> </w:t>
      </w:r>
      <w:r w:rsidR="00222DB6" w:rsidRPr="008201CF">
        <w:rPr>
          <w:noProof/>
        </w:rPr>
        <w:t xml:space="preserve">or </w:t>
      </w:r>
      <w:r w:rsidR="00FC766B" w:rsidRPr="008201CF">
        <w:rPr>
          <w:noProof/>
        </w:rPr>
        <w:t xml:space="preserve">at least </w:t>
      </w:r>
      <w:r w:rsidR="005B5065" w:rsidRPr="008201CF">
        <w:rPr>
          <w:b/>
          <w:bCs/>
          <w:noProof/>
        </w:rPr>
        <w:t>partial</w:t>
      </w:r>
      <w:r w:rsidR="00222DB6" w:rsidRPr="008201CF">
        <w:rPr>
          <w:b/>
          <w:bCs/>
          <w:noProof/>
        </w:rPr>
        <w:t xml:space="preserve">, prevention </w:t>
      </w:r>
      <w:r w:rsidR="00156D35" w:rsidRPr="008201CF">
        <w:rPr>
          <w:noProof/>
        </w:rPr>
        <w:t xml:space="preserve">occurred, </w:t>
      </w:r>
      <w:r w:rsidR="00FC766B" w:rsidRPr="008201CF">
        <w:rPr>
          <w:noProof/>
        </w:rPr>
        <w:t xml:space="preserve">increased. This </w:t>
      </w:r>
      <w:r w:rsidR="0098597C" w:rsidRPr="008201CF">
        <w:rPr>
          <w:noProof/>
        </w:rPr>
        <w:t xml:space="preserve">suggests </w:t>
      </w:r>
      <w:r w:rsidR="00681D5A">
        <w:rPr>
          <w:b/>
          <w:bCs/>
          <w:noProof/>
        </w:rPr>
        <w:t>improved</w:t>
      </w:r>
      <w:r w:rsidR="00681D5A" w:rsidRPr="008201CF">
        <w:rPr>
          <w:b/>
          <w:bCs/>
          <w:noProof/>
        </w:rPr>
        <w:t xml:space="preserve"> </w:t>
      </w:r>
      <w:r w:rsidR="0098597C" w:rsidRPr="008201CF">
        <w:rPr>
          <w:b/>
          <w:bCs/>
          <w:noProof/>
        </w:rPr>
        <w:t>prevention measures</w:t>
      </w:r>
      <w:r w:rsidR="00681D5A">
        <w:rPr>
          <w:noProof/>
        </w:rPr>
        <w:t>.</w:t>
      </w:r>
      <w:r w:rsidR="0098597C" w:rsidRPr="008201CF">
        <w:rPr>
          <w:noProof/>
        </w:rPr>
        <w:t xml:space="preserve"> </w:t>
      </w:r>
      <w:r w:rsidR="00E25D05">
        <w:rPr>
          <w:noProof/>
        </w:rPr>
        <w:t xml:space="preserve">However, </w:t>
      </w:r>
      <w:r w:rsidR="00644B08" w:rsidRPr="008201CF">
        <w:rPr>
          <w:noProof/>
        </w:rPr>
        <w:t>it may</w:t>
      </w:r>
      <w:r w:rsidR="00E25D05">
        <w:rPr>
          <w:noProof/>
        </w:rPr>
        <w:t xml:space="preserve"> also</w:t>
      </w:r>
      <w:r w:rsidR="00644B08" w:rsidRPr="008201CF">
        <w:rPr>
          <w:noProof/>
        </w:rPr>
        <w:t xml:space="preserve"> reflect a shift </w:t>
      </w:r>
      <w:r w:rsidR="008E75F8" w:rsidRPr="008201CF">
        <w:rPr>
          <w:noProof/>
        </w:rPr>
        <w:t>in national management and control systems</w:t>
      </w:r>
      <w:r w:rsidR="00B36185" w:rsidRPr="008201CF">
        <w:rPr>
          <w:noProof/>
        </w:rPr>
        <w:t>,</w:t>
      </w:r>
      <w:r w:rsidR="008E75F8" w:rsidRPr="008201CF">
        <w:rPr>
          <w:noProof/>
        </w:rPr>
        <w:t xml:space="preserve"> </w:t>
      </w:r>
      <w:r w:rsidR="00E25D05">
        <w:rPr>
          <w:noProof/>
        </w:rPr>
        <w:t xml:space="preserve">with a focus </w:t>
      </w:r>
      <w:r w:rsidR="008E75F8" w:rsidRPr="008201CF">
        <w:rPr>
          <w:noProof/>
        </w:rPr>
        <w:t xml:space="preserve">on processing pending requests for </w:t>
      </w:r>
      <w:r w:rsidR="004A56C4" w:rsidRPr="008201CF">
        <w:rPr>
          <w:noProof/>
        </w:rPr>
        <w:t>reimbursements, and</w:t>
      </w:r>
      <w:r w:rsidR="00B36185" w:rsidRPr="008201CF">
        <w:rPr>
          <w:noProof/>
        </w:rPr>
        <w:t xml:space="preserve"> </w:t>
      </w:r>
      <w:r w:rsidR="00415BAD">
        <w:rPr>
          <w:noProof/>
        </w:rPr>
        <w:t xml:space="preserve">move </w:t>
      </w:r>
      <w:r w:rsidR="00B36185" w:rsidRPr="008201CF">
        <w:rPr>
          <w:noProof/>
        </w:rPr>
        <w:t xml:space="preserve">away </w:t>
      </w:r>
      <w:r w:rsidR="00FC766B" w:rsidRPr="008201CF">
        <w:rPr>
          <w:noProof/>
        </w:rPr>
        <w:t xml:space="preserve">from targeted </w:t>
      </w:r>
      <w:r w:rsidR="007550FE" w:rsidRPr="00415BAD">
        <w:rPr>
          <w:i/>
          <w:iCs/>
          <w:noProof/>
        </w:rPr>
        <w:t>ex</w:t>
      </w:r>
      <w:r w:rsidR="00415BAD" w:rsidRPr="00415BAD">
        <w:rPr>
          <w:i/>
          <w:iCs/>
          <w:noProof/>
        </w:rPr>
        <w:t> </w:t>
      </w:r>
      <w:r w:rsidR="007550FE" w:rsidRPr="00415BAD">
        <w:rPr>
          <w:i/>
          <w:iCs/>
          <w:noProof/>
        </w:rPr>
        <w:t>post</w:t>
      </w:r>
      <w:r w:rsidR="007550FE" w:rsidRPr="008201CF">
        <w:rPr>
          <w:noProof/>
        </w:rPr>
        <w:t xml:space="preserve"> </w:t>
      </w:r>
      <w:r w:rsidR="00FC766B" w:rsidRPr="008201CF">
        <w:rPr>
          <w:noProof/>
        </w:rPr>
        <w:t xml:space="preserve">controls </w:t>
      </w:r>
      <w:r w:rsidR="007550FE" w:rsidRPr="008201CF">
        <w:rPr>
          <w:noProof/>
        </w:rPr>
        <w:t xml:space="preserve">on </w:t>
      </w:r>
      <w:r w:rsidR="00FC766B" w:rsidRPr="008201CF">
        <w:rPr>
          <w:noProof/>
        </w:rPr>
        <w:t>past transactions.</w:t>
      </w:r>
    </w:p>
    <w:p w14:paraId="08F76653" w14:textId="239AB5FD" w:rsidR="00FC766B" w:rsidRPr="00DE3A6F" w:rsidRDefault="00415BAD" w:rsidP="00FC766B">
      <w:pPr>
        <w:rPr>
          <w:noProof/>
        </w:rPr>
      </w:pPr>
      <w:r>
        <w:rPr>
          <w:noProof/>
        </w:rPr>
        <w:t>D</w:t>
      </w:r>
      <w:r w:rsidRPr="008201CF">
        <w:rPr>
          <w:noProof/>
        </w:rPr>
        <w:t xml:space="preserve">espite their low numbers, </w:t>
      </w:r>
      <w:r>
        <w:rPr>
          <w:noProof/>
        </w:rPr>
        <w:t>t</w:t>
      </w:r>
      <w:r w:rsidRPr="008201CF">
        <w:rPr>
          <w:noProof/>
        </w:rPr>
        <w:t xml:space="preserve">he </w:t>
      </w:r>
      <w:r w:rsidR="00FC766B" w:rsidRPr="008201CF">
        <w:rPr>
          <w:noProof/>
        </w:rPr>
        <w:t xml:space="preserve">first two years </w:t>
      </w:r>
      <w:r w:rsidR="00581042">
        <w:rPr>
          <w:noProof/>
        </w:rPr>
        <w:t xml:space="preserve">of </w:t>
      </w:r>
      <w:r w:rsidR="00FC766B" w:rsidRPr="008201CF">
        <w:rPr>
          <w:noProof/>
        </w:rPr>
        <w:t xml:space="preserve">2021-2027 </w:t>
      </w:r>
      <w:r w:rsidR="006B6F62" w:rsidRPr="008201CF">
        <w:rPr>
          <w:noProof/>
        </w:rPr>
        <w:t xml:space="preserve">reporting, </w:t>
      </w:r>
      <w:r w:rsidR="00FC766B" w:rsidRPr="008201CF">
        <w:rPr>
          <w:noProof/>
        </w:rPr>
        <w:t xml:space="preserve">show further </w:t>
      </w:r>
      <w:r w:rsidR="005D4849" w:rsidRPr="008201CF">
        <w:rPr>
          <w:noProof/>
        </w:rPr>
        <w:t xml:space="preserve">fraud prevention </w:t>
      </w:r>
      <w:r w:rsidR="00FC766B" w:rsidRPr="008201CF">
        <w:rPr>
          <w:noProof/>
        </w:rPr>
        <w:t>improvement</w:t>
      </w:r>
      <w:r w:rsidR="005D4849" w:rsidRPr="008201CF">
        <w:rPr>
          <w:noProof/>
        </w:rPr>
        <w:t>s</w:t>
      </w:r>
      <w:r w:rsidR="00581042">
        <w:rPr>
          <w:noProof/>
        </w:rPr>
        <w:t xml:space="preserve"> and </w:t>
      </w:r>
      <w:r w:rsidR="005D4849" w:rsidRPr="008201CF">
        <w:rPr>
          <w:noProof/>
        </w:rPr>
        <w:t xml:space="preserve">stable trends for </w:t>
      </w:r>
      <w:r w:rsidR="00FC766B" w:rsidRPr="008201CF">
        <w:rPr>
          <w:noProof/>
        </w:rPr>
        <w:t>non-fraudulent irregularities.</w:t>
      </w:r>
    </w:p>
    <w:p w14:paraId="64E7D107" w14:textId="01445E8A" w:rsidR="00FC766B" w:rsidRPr="00DE3A6F" w:rsidRDefault="008B7BA6" w:rsidP="00FC766B">
      <w:pPr>
        <w:pStyle w:val="Caption"/>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Focus point </w:t>
      </w:r>
      <w:r w:rsidRPr="00DE3A6F">
        <w:rPr>
          <w:noProof/>
        </w:rPr>
        <w:fldChar w:fldCharType="begin"/>
      </w:r>
      <w:r w:rsidRPr="00DE3A6F">
        <w:rPr>
          <w:noProof/>
        </w:rPr>
        <w:instrText xml:space="preserve"> SEQ Focus_point \* ARABIC </w:instrText>
      </w:r>
      <w:r w:rsidRPr="00DE3A6F">
        <w:rPr>
          <w:noProof/>
        </w:rPr>
        <w:fldChar w:fldCharType="separate"/>
      </w:r>
      <w:r w:rsidR="002D355A" w:rsidRPr="00DE3A6F">
        <w:rPr>
          <w:noProof/>
        </w:rPr>
        <w:t>7</w:t>
      </w:r>
      <w:r w:rsidRPr="00DE3A6F">
        <w:rPr>
          <w:noProof/>
        </w:rPr>
        <w:fldChar w:fldCharType="end"/>
      </w:r>
      <w:r w:rsidRPr="00DE3A6F">
        <w:rPr>
          <w:noProof/>
        </w:rPr>
        <w:t xml:space="preserve">: </w:t>
      </w:r>
      <w:r w:rsidR="00581042">
        <w:rPr>
          <w:noProof/>
        </w:rPr>
        <w:t xml:space="preserve">Progress in </w:t>
      </w:r>
      <w:r w:rsidR="00FC766B" w:rsidRPr="00DE3A6F">
        <w:rPr>
          <w:noProof/>
        </w:rPr>
        <w:t>prevention measures in cohesion policy from one programming period to another</w:t>
      </w:r>
    </w:p>
    <w:p w14:paraId="2C4ADE9F" w14:textId="7FF8AD78" w:rsidR="00FC766B" w:rsidRPr="00DE3A6F" w:rsidRDefault="00FC766B"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8201CF">
        <w:rPr>
          <w:noProof/>
        </w:rPr>
        <w:t xml:space="preserve">The comparison between the three programming periods shows a continuous improvement, </w:t>
      </w:r>
      <w:r w:rsidR="00F53CFB" w:rsidRPr="008201CF">
        <w:rPr>
          <w:noProof/>
        </w:rPr>
        <w:t>particularly</w:t>
      </w:r>
      <w:r w:rsidRPr="008201CF">
        <w:rPr>
          <w:noProof/>
        </w:rPr>
        <w:t xml:space="preserve"> in relation to early </w:t>
      </w:r>
      <w:r w:rsidR="00DB6461" w:rsidRPr="008201CF">
        <w:rPr>
          <w:noProof/>
        </w:rPr>
        <w:t xml:space="preserve">fraud </w:t>
      </w:r>
      <w:r w:rsidRPr="008201CF">
        <w:rPr>
          <w:noProof/>
        </w:rPr>
        <w:t xml:space="preserve">detection. </w:t>
      </w:r>
      <w:r w:rsidR="00DB6461" w:rsidRPr="008201CF">
        <w:rPr>
          <w:noProof/>
        </w:rPr>
        <w:t xml:space="preserve">However, data </w:t>
      </w:r>
      <w:r w:rsidR="00A4170A">
        <w:rPr>
          <w:noProof/>
        </w:rPr>
        <w:t>on</w:t>
      </w:r>
      <w:r w:rsidR="00DB6461" w:rsidRPr="008201CF">
        <w:rPr>
          <w:noProof/>
        </w:rPr>
        <w:t xml:space="preserve"> </w:t>
      </w:r>
      <w:r w:rsidRPr="008201CF">
        <w:rPr>
          <w:noProof/>
        </w:rPr>
        <w:t xml:space="preserve">the </w:t>
      </w:r>
      <w:r w:rsidR="00A4170A" w:rsidRPr="008201CF">
        <w:rPr>
          <w:noProof/>
        </w:rPr>
        <w:t xml:space="preserve">2021-2027 </w:t>
      </w:r>
      <w:r w:rsidRPr="008201CF">
        <w:rPr>
          <w:noProof/>
        </w:rPr>
        <w:t xml:space="preserve">programming period </w:t>
      </w:r>
      <w:r w:rsidR="00DB6461" w:rsidRPr="008201CF">
        <w:rPr>
          <w:noProof/>
        </w:rPr>
        <w:t xml:space="preserve">remain </w:t>
      </w:r>
      <w:r w:rsidRPr="008201CF">
        <w:rPr>
          <w:noProof/>
        </w:rPr>
        <w:t xml:space="preserve">limited </w:t>
      </w:r>
      <w:r w:rsidR="00FF4FBC" w:rsidRPr="008201CF">
        <w:rPr>
          <w:noProof/>
        </w:rPr>
        <w:t>and may evolve</w:t>
      </w:r>
      <w:r w:rsidRPr="008201CF">
        <w:rPr>
          <w:noProof/>
        </w:rPr>
        <w:t xml:space="preserve">. </w:t>
      </w:r>
      <w:r w:rsidR="00FF4FBC" w:rsidRPr="008201CF">
        <w:rPr>
          <w:noProof/>
        </w:rPr>
        <w:t xml:space="preserve">Trends </w:t>
      </w:r>
      <w:r w:rsidR="007C5B88">
        <w:rPr>
          <w:noProof/>
        </w:rPr>
        <w:t xml:space="preserve">in </w:t>
      </w:r>
      <w:r w:rsidR="00FF4FBC" w:rsidRPr="008201CF">
        <w:rPr>
          <w:noProof/>
        </w:rPr>
        <w:t xml:space="preserve">prevention for </w:t>
      </w:r>
      <w:r w:rsidRPr="008201CF">
        <w:rPr>
          <w:noProof/>
        </w:rPr>
        <w:t>non-fraudulent irregularities</w:t>
      </w:r>
      <w:r w:rsidR="00FF4FBC" w:rsidRPr="008201CF">
        <w:rPr>
          <w:noProof/>
        </w:rPr>
        <w:t xml:space="preserve"> </w:t>
      </w:r>
      <w:r w:rsidR="001F539B" w:rsidRPr="008201CF">
        <w:rPr>
          <w:noProof/>
        </w:rPr>
        <w:t>appear</w:t>
      </w:r>
      <w:r w:rsidRPr="008201CF">
        <w:rPr>
          <w:noProof/>
        </w:rPr>
        <w:t xml:space="preserve"> stable.</w:t>
      </w:r>
    </w:p>
    <w:p w14:paraId="6C22B4B2" w14:textId="0223D9BF" w:rsidR="00676C07" w:rsidRPr="00DE3A6F" w:rsidRDefault="00676C07"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8201CF">
        <w:rPr>
          <w:noProof/>
        </w:rPr>
        <w:t xml:space="preserve">The Commission will closely monitor these trends </w:t>
      </w:r>
      <w:r w:rsidR="007C5B88">
        <w:rPr>
          <w:noProof/>
        </w:rPr>
        <w:t>over time</w:t>
      </w:r>
      <w:r w:rsidRPr="008201CF">
        <w:rPr>
          <w:noProof/>
        </w:rPr>
        <w:t>.</w:t>
      </w:r>
    </w:p>
    <w:p w14:paraId="4F4B54E0" w14:textId="368A4AE4" w:rsidR="00FC766B" w:rsidRPr="00DE3A6F" w:rsidRDefault="00FC766B" w:rsidP="00FC766B">
      <w:pPr>
        <w:spacing w:before="120"/>
        <w:rPr>
          <w:noProof/>
        </w:rPr>
      </w:pPr>
      <w:r w:rsidRPr="008201CF">
        <w:rPr>
          <w:b/>
          <w:bCs/>
          <w:noProof/>
        </w:rPr>
        <w:t>Routine controls</w:t>
      </w:r>
      <w:r w:rsidRPr="008201CF">
        <w:rPr>
          <w:noProof/>
        </w:rPr>
        <w:t xml:space="preserve"> </w:t>
      </w:r>
      <w:r w:rsidR="001F539B" w:rsidRPr="008201CF">
        <w:rPr>
          <w:noProof/>
        </w:rPr>
        <w:t xml:space="preserve">underpin </w:t>
      </w:r>
      <w:r w:rsidRPr="008201CF">
        <w:rPr>
          <w:noProof/>
        </w:rPr>
        <w:t xml:space="preserve">a large share of prevention </w:t>
      </w:r>
      <w:r w:rsidR="001F539B" w:rsidRPr="008201CF">
        <w:rPr>
          <w:noProof/>
        </w:rPr>
        <w:t xml:space="preserve">cases </w:t>
      </w:r>
      <w:r w:rsidRPr="008201CF">
        <w:rPr>
          <w:noProof/>
        </w:rPr>
        <w:t>(23% of fraudulent irregularities and 66% of non-fraudulent irregularities</w:t>
      </w:r>
      <w:r w:rsidR="00C85E10">
        <w:rPr>
          <w:noProof/>
        </w:rPr>
        <w:t xml:space="preserve"> with prevention</w:t>
      </w:r>
      <w:r w:rsidRPr="008201CF">
        <w:rPr>
          <w:noProof/>
        </w:rPr>
        <w:t xml:space="preserve">). Fraud prevention </w:t>
      </w:r>
      <w:r w:rsidR="003C499C" w:rsidRPr="008201CF">
        <w:rPr>
          <w:noProof/>
        </w:rPr>
        <w:t xml:space="preserve">also relies </w:t>
      </w:r>
      <w:r w:rsidRPr="008201CF">
        <w:rPr>
          <w:noProof/>
        </w:rPr>
        <w:t xml:space="preserve">on ‘tips from informants’, ‘existing doubts’ and, to a </w:t>
      </w:r>
      <w:r w:rsidR="003C499C" w:rsidRPr="008201CF">
        <w:rPr>
          <w:noProof/>
        </w:rPr>
        <w:t xml:space="preserve">lesser </w:t>
      </w:r>
      <w:r w:rsidRPr="008201CF">
        <w:rPr>
          <w:noProof/>
        </w:rPr>
        <w:t>extent, ‘information published in the media’.</w:t>
      </w:r>
    </w:p>
    <w:p w14:paraId="7A5C6F62" w14:textId="06E4D97F" w:rsidR="00093879" w:rsidRPr="00DE3A6F" w:rsidRDefault="00093879" w:rsidP="00093879">
      <w:pPr>
        <w:pStyle w:val="Text1"/>
        <w:spacing w:before="120" w:after="0"/>
        <w:ind w:left="0"/>
        <w:rPr>
          <w:noProof/>
        </w:rPr>
      </w:pPr>
      <w:r w:rsidRPr="008201CF">
        <w:rPr>
          <w:noProof/>
        </w:rPr>
        <w:lastRenderedPageBreak/>
        <w:t xml:space="preserve">The first detections related to </w:t>
      </w:r>
      <w:r w:rsidR="00126814">
        <w:rPr>
          <w:noProof/>
        </w:rPr>
        <w:t xml:space="preserve">the </w:t>
      </w:r>
      <w:r w:rsidRPr="008201CF">
        <w:rPr>
          <w:noProof/>
        </w:rPr>
        <w:t xml:space="preserve">2021-2027 </w:t>
      </w:r>
      <w:r w:rsidR="00126814">
        <w:rPr>
          <w:noProof/>
        </w:rPr>
        <w:t xml:space="preserve">programming period </w:t>
      </w:r>
      <w:r w:rsidRPr="008201CF">
        <w:rPr>
          <w:noProof/>
        </w:rPr>
        <w:t xml:space="preserve">confirm previous findings </w:t>
      </w:r>
      <w:r w:rsidR="00E50965" w:rsidRPr="008201CF">
        <w:rPr>
          <w:noProof/>
        </w:rPr>
        <w:t xml:space="preserve">on </w:t>
      </w:r>
      <w:r w:rsidRPr="008201CF">
        <w:rPr>
          <w:noProof/>
        </w:rPr>
        <w:t>the areas of cohesion policy</w:t>
      </w:r>
      <w:r w:rsidR="0011085F">
        <w:rPr>
          <w:noProof/>
        </w:rPr>
        <w:t xml:space="preserve"> most vulnerable to fraud</w:t>
      </w:r>
      <w:r w:rsidRPr="008201CF">
        <w:rPr>
          <w:noProof/>
        </w:rPr>
        <w:t xml:space="preserve">. </w:t>
      </w:r>
      <w:r w:rsidR="00DC5FA3" w:rsidRPr="008201CF">
        <w:rPr>
          <w:noProof/>
        </w:rPr>
        <w:t>To date</w:t>
      </w:r>
      <w:r w:rsidRPr="008201CF">
        <w:rPr>
          <w:noProof/>
        </w:rPr>
        <w:t xml:space="preserve">, a noticeable share of reported fraudulent irregularities </w:t>
      </w:r>
      <w:r w:rsidR="0036148D" w:rsidRPr="008201CF">
        <w:rPr>
          <w:noProof/>
        </w:rPr>
        <w:t>relates</w:t>
      </w:r>
      <w:r w:rsidR="00DC5FA3" w:rsidRPr="008201CF">
        <w:rPr>
          <w:noProof/>
        </w:rPr>
        <w:t xml:space="preserve"> to</w:t>
      </w:r>
      <w:r w:rsidRPr="008201CF">
        <w:rPr>
          <w:noProof/>
        </w:rPr>
        <w:t xml:space="preserve"> digitalisation of SMEs, investment in energy efficiency, research and innovation. In terms of financial amounts involved in fraudulent irregularities, business development and internationalisation of SMEs and the provision of water for human consumption come to notice.</w:t>
      </w:r>
    </w:p>
    <w:p w14:paraId="1EA98FE7" w14:textId="14788B85" w:rsidR="006F5128" w:rsidRPr="00DE3A6F" w:rsidRDefault="006F5128" w:rsidP="28D37C99">
      <w:pPr>
        <w:pStyle w:val="Caption"/>
        <w:keepNext/>
        <w:pBdr>
          <w:top w:val="single" w:sz="4" w:space="1" w:color="auto"/>
          <w:left w:val="single" w:sz="4" w:space="4" w:color="auto"/>
          <w:bottom w:val="single" w:sz="4" w:space="1" w:color="auto"/>
          <w:right w:val="single" w:sz="4" w:space="4" w:color="auto"/>
        </w:pBdr>
        <w:shd w:val="clear" w:color="auto" w:fill="DEEAF6" w:themeFill="accent1" w:themeFillTint="33"/>
        <w:rPr>
          <w:noProof/>
        </w:rPr>
      </w:pPr>
      <w:r w:rsidRPr="00925475">
        <w:rPr>
          <w:noProof/>
        </w:rPr>
        <w:t xml:space="preserve">Snapshot </w:t>
      </w:r>
      <w:r w:rsidRPr="00DE3A6F">
        <w:rPr>
          <w:noProof/>
        </w:rPr>
        <w:fldChar w:fldCharType="begin"/>
      </w:r>
      <w:r w:rsidRPr="00DE3A6F">
        <w:rPr>
          <w:noProof/>
        </w:rPr>
        <w:instrText xml:space="preserve"> SEQ Snapshot \* ARABIC </w:instrText>
      </w:r>
      <w:r w:rsidRPr="00DE3A6F">
        <w:rPr>
          <w:noProof/>
        </w:rPr>
        <w:fldChar w:fldCharType="separate"/>
      </w:r>
      <w:r w:rsidR="00CA6005">
        <w:rPr>
          <w:noProof/>
        </w:rPr>
        <w:t>12</w:t>
      </w:r>
      <w:r w:rsidRPr="00DE3A6F">
        <w:rPr>
          <w:noProof/>
        </w:rPr>
        <w:fldChar w:fldCharType="end"/>
      </w:r>
      <w:r w:rsidRPr="00925475">
        <w:rPr>
          <w:noProof/>
        </w:rPr>
        <w:t xml:space="preserve"> – Most frequently detected infringements in cohesion policy</w:t>
      </w:r>
    </w:p>
    <w:p w14:paraId="1B9A151C" w14:textId="305B34A7" w:rsidR="005F7DFB" w:rsidRPr="00DE3A6F" w:rsidRDefault="00093879" w:rsidP="28D37C99">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0"/>
        <w:rPr>
          <w:noProof/>
        </w:rPr>
      </w:pPr>
      <w:r w:rsidRPr="00925475">
        <w:rPr>
          <w:noProof/>
        </w:rPr>
        <w:t xml:space="preserve">With regard to fraudulent irregularities, the most frequent infringements </w:t>
      </w:r>
      <w:r w:rsidR="008A300F">
        <w:rPr>
          <w:noProof/>
        </w:rPr>
        <w:t>during the 2014-2020 programming period in</w:t>
      </w:r>
      <w:r w:rsidR="00E00537">
        <w:rPr>
          <w:noProof/>
        </w:rPr>
        <w:t xml:space="preserve">volved </w:t>
      </w:r>
      <w:r w:rsidRPr="00925475">
        <w:rPr>
          <w:noProof/>
        </w:rPr>
        <w:t xml:space="preserve">supporting documents. Fraudulent infringements of contract provisions/rules ranked second and </w:t>
      </w:r>
      <w:r w:rsidR="69B4086A" w:rsidRPr="00925475">
        <w:rPr>
          <w:noProof/>
        </w:rPr>
        <w:t>were</w:t>
      </w:r>
      <w:r w:rsidRPr="00925475">
        <w:rPr>
          <w:noProof/>
        </w:rPr>
        <w:t xml:space="preserve"> often </w:t>
      </w:r>
      <w:r w:rsidR="4B314FAB" w:rsidRPr="00925475">
        <w:rPr>
          <w:noProof/>
        </w:rPr>
        <w:t>related to</w:t>
      </w:r>
      <w:r w:rsidRPr="00925475">
        <w:rPr>
          <w:noProof/>
        </w:rPr>
        <w:t xml:space="preserve"> non</w:t>
      </w:r>
      <w:r w:rsidRPr="00DE3A6F">
        <w:rPr>
          <w:noProof/>
        </w:rPr>
        <w:noBreakHyphen/>
      </w:r>
      <w:r w:rsidRPr="00925475">
        <w:rPr>
          <w:noProof/>
        </w:rPr>
        <w:t xml:space="preserve">implementation of the funded action. Infringements of public procurement rules were the second most reported non-fraudulent </w:t>
      </w:r>
      <w:r w:rsidR="00E00537" w:rsidRPr="00925475">
        <w:rPr>
          <w:noProof/>
        </w:rPr>
        <w:t>irregularit</w:t>
      </w:r>
      <w:r w:rsidR="00E00537">
        <w:rPr>
          <w:noProof/>
        </w:rPr>
        <w:t>y</w:t>
      </w:r>
      <w:r w:rsidR="00E00537" w:rsidRPr="00925475">
        <w:rPr>
          <w:noProof/>
        </w:rPr>
        <w:t xml:space="preserve"> </w:t>
      </w:r>
      <w:r w:rsidRPr="00925475">
        <w:rPr>
          <w:noProof/>
        </w:rPr>
        <w:t>(after infringements of contract provisions/rules), but they rarely led to a suspicion of fraud.</w:t>
      </w:r>
    </w:p>
    <w:p w14:paraId="472A0CD8" w14:textId="05797507" w:rsidR="00093879" w:rsidRPr="00DE3A6F" w:rsidRDefault="00093879" w:rsidP="28D37C99">
      <w:pPr>
        <w:pBdr>
          <w:top w:val="single" w:sz="4" w:space="1" w:color="auto"/>
          <w:left w:val="single" w:sz="4" w:space="4" w:color="auto"/>
          <w:bottom w:val="single" w:sz="4" w:space="1" w:color="auto"/>
          <w:right w:val="single" w:sz="4" w:space="4" w:color="auto"/>
        </w:pBdr>
        <w:shd w:val="clear" w:color="auto" w:fill="DEEAF6" w:themeFill="accent1" w:themeFillTint="33"/>
        <w:spacing w:before="120" w:after="0"/>
        <w:rPr>
          <w:noProof/>
        </w:rPr>
      </w:pPr>
      <w:r w:rsidRPr="00925475">
        <w:rPr>
          <w:noProof/>
        </w:rPr>
        <w:t>Most fraudulent infringements concerning ethics and integrity were related to conflict</w:t>
      </w:r>
      <w:r w:rsidR="000B5671" w:rsidRPr="00925475">
        <w:rPr>
          <w:noProof/>
        </w:rPr>
        <w:t>s</w:t>
      </w:r>
      <w:r w:rsidRPr="00925475">
        <w:rPr>
          <w:noProof/>
        </w:rPr>
        <w:t xml:space="preserve"> of interest. </w:t>
      </w:r>
    </w:p>
    <w:p w14:paraId="333B9941" w14:textId="44EBB8A3" w:rsidR="00093879" w:rsidRPr="00DE3A6F" w:rsidRDefault="00093879" w:rsidP="00093879">
      <w:pPr>
        <w:spacing w:before="120" w:after="0"/>
        <w:rPr>
          <w:noProof/>
        </w:rPr>
      </w:pPr>
      <w:r w:rsidRPr="00925475">
        <w:rPr>
          <w:noProof/>
        </w:rPr>
        <w:t xml:space="preserve">Risk analysis </w:t>
      </w:r>
      <w:r w:rsidR="00AA5063" w:rsidRPr="00925475">
        <w:rPr>
          <w:noProof/>
        </w:rPr>
        <w:t>continues to play only a marginal role in</w:t>
      </w:r>
      <w:r w:rsidRPr="00925475">
        <w:rPr>
          <w:noProof/>
        </w:rPr>
        <w:t xml:space="preserve"> detecting fraud, while information from civil society</w:t>
      </w:r>
      <w:r w:rsidR="00344BC4" w:rsidRPr="00925475">
        <w:rPr>
          <w:noProof/>
        </w:rPr>
        <w:t>, though declining, remains</w:t>
      </w:r>
      <w:r w:rsidRPr="00925475">
        <w:rPr>
          <w:noProof/>
        </w:rPr>
        <w:t xml:space="preserve"> </w:t>
      </w:r>
      <w:r w:rsidR="00344BC4" w:rsidRPr="00925475">
        <w:rPr>
          <w:noProof/>
        </w:rPr>
        <w:t>more significant</w:t>
      </w:r>
      <w:r w:rsidRPr="00925475">
        <w:rPr>
          <w:noProof/>
        </w:rPr>
        <w:t xml:space="preserve">. </w:t>
      </w:r>
      <w:r w:rsidR="008A5537" w:rsidRPr="00925475">
        <w:rPr>
          <w:noProof/>
        </w:rPr>
        <w:t xml:space="preserve">For </w:t>
      </w:r>
      <w:r w:rsidRPr="00925475">
        <w:rPr>
          <w:noProof/>
        </w:rPr>
        <w:t xml:space="preserve">non-fraudulent irregularities, </w:t>
      </w:r>
      <w:r w:rsidR="008A5537" w:rsidRPr="00925475">
        <w:rPr>
          <w:noProof/>
        </w:rPr>
        <w:t xml:space="preserve">detection from risk analysis </w:t>
      </w:r>
      <w:r w:rsidR="70F04DC2" w:rsidRPr="00925475">
        <w:rPr>
          <w:noProof/>
        </w:rPr>
        <w:t>may have</w:t>
      </w:r>
      <w:r w:rsidR="008A5537" w:rsidRPr="00925475">
        <w:rPr>
          <w:noProof/>
        </w:rPr>
        <w:t xml:space="preserve"> increased,</w:t>
      </w:r>
      <w:r w:rsidRPr="00925475">
        <w:rPr>
          <w:noProof/>
        </w:rPr>
        <w:t xml:space="preserve"> but information from civil society continues to provide a negligible contribution to detection. Detection may improve by strengthening </w:t>
      </w:r>
      <w:r w:rsidRPr="00925475">
        <w:rPr>
          <w:i/>
          <w:iCs/>
          <w:noProof/>
        </w:rPr>
        <w:t>ex post</w:t>
      </w:r>
      <w:r w:rsidRPr="00925475">
        <w:rPr>
          <w:noProof/>
        </w:rPr>
        <w:t xml:space="preserve"> risk analysis, with a view to carrying out tailored checks. </w:t>
      </w:r>
    </w:p>
    <w:p w14:paraId="0DBD9B73" w14:textId="213067D2" w:rsidR="00320990" w:rsidRPr="00DE3A6F" w:rsidRDefault="00A13C63" w:rsidP="00A13C63">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20</w:t>
      </w:r>
      <w:r>
        <w:rPr>
          <w:noProof/>
        </w:rPr>
        <w:fldChar w:fldCharType="end"/>
      </w:r>
      <w:r w:rsidR="00320990" w:rsidRPr="00DE3A6F">
        <w:rPr>
          <w:noProof/>
        </w:rPr>
        <w:t xml:space="preserve">: </w:t>
      </w:r>
      <w:r w:rsidR="00E418E6" w:rsidRPr="00DE3A6F">
        <w:rPr>
          <w:noProof/>
        </w:rPr>
        <w:t>C</w:t>
      </w:r>
      <w:r w:rsidR="00320990" w:rsidRPr="00DE3A6F">
        <w:rPr>
          <w:noProof/>
        </w:rPr>
        <w:t>ohesion policy</w:t>
      </w:r>
      <w:r w:rsidR="00AE736B" w:rsidRPr="00DE3A6F">
        <w:rPr>
          <w:noProof/>
        </w:rPr>
        <w:t xml:space="preserve"> – detection rates by programming period</w:t>
      </w:r>
    </w:p>
    <w:tbl>
      <w:tblPr>
        <w:tblW w:w="8647" w:type="dxa"/>
        <w:tblLook w:val="04A0" w:firstRow="1" w:lastRow="0" w:firstColumn="1" w:lastColumn="0" w:noHBand="0" w:noVBand="1"/>
      </w:tblPr>
      <w:tblGrid>
        <w:gridCol w:w="3828"/>
        <w:gridCol w:w="1559"/>
        <w:gridCol w:w="1559"/>
        <w:gridCol w:w="1701"/>
      </w:tblGrid>
      <w:tr w:rsidR="003862BD" w:rsidRPr="003862BD" w14:paraId="01F72B3F" w14:textId="77777777" w:rsidTr="003862BD">
        <w:trPr>
          <w:trHeight w:val="300"/>
        </w:trPr>
        <w:tc>
          <w:tcPr>
            <w:tcW w:w="3828" w:type="dxa"/>
            <w:tcBorders>
              <w:top w:val="nil"/>
              <w:left w:val="nil"/>
              <w:bottom w:val="nil"/>
              <w:right w:val="nil"/>
            </w:tcBorders>
            <w:shd w:val="clear" w:color="000000" w:fill="FFFFFF"/>
            <w:noWrap/>
            <w:vAlign w:val="bottom"/>
            <w:hideMark/>
          </w:tcPr>
          <w:p w14:paraId="5BBCCC5B" w14:textId="77777777" w:rsidR="003862BD" w:rsidRPr="003862BD" w:rsidRDefault="003862BD" w:rsidP="003862BD">
            <w:pPr>
              <w:spacing w:after="0" w:line="240" w:lineRule="auto"/>
              <w:jc w:val="lef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 </w:t>
            </w:r>
          </w:p>
        </w:tc>
        <w:tc>
          <w:tcPr>
            <w:tcW w:w="4819" w:type="dxa"/>
            <w:gridSpan w:val="3"/>
            <w:tcBorders>
              <w:top w:val="nil"/>
              <w:left w:val="nil"/>
              <w:bottom w:val="nil"/>
              <w:right w:val="nil"/>
            </w:tcBorders>
            <w:shd w:val="clear" w:color="000000" w:fill="215C98"/>
            <w:noWrap/>
            <w:vAlign w:val="bottom"/>
            <w:hideMark/>
          </w:tcPr>
          <w:p w14:paraId="74F8A5A2" w14:textId="77777777" w:rsidR="003862BD" w:rsidRPr="003862BD" w:rsidRDefault="003862BD" w:rsidP="003862BD">
            <w:pPr>
              <w:spacing w:after="0" w:line="240" w:lineRule="auto"/>
              <w:jc w:val="center"/>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Programming periods</w:t>
            </w:r>
          </w:p>
        </w:tc>
      </w:tr>
      <w:tr w:rsidR="003862BD" w:rsidRPr="003862BD" w14:paraId="3F267CCE" w14:textId="77777777" w:rsidTr="003862BD">
        <w:trPr>
          <w:trHeight w:val="300"/>
        </w:trPr>
        <w:tc>
          <w:tcPr>
            <w:tcW w:w="3828" w:type="dxa"/>
            <w:tcBorders>
              <w:top w:val="nil"/>
              <w:left w:val="nil"/>
              <w:bottom w:val="nil"/>
              <w:right w:val="nil"/>
            </w:tcBorders>
            <w:shd w:val="clear" w:color="000000" w:fill="215C98"/>
            <w:noWrap/>
            <w:vAlign w:val="bottom"/>
            <w:hideMark/>
          </w:tcPr>
          <w:p w14:paraId="0242B8E0" w14:textId="77777777" w:rsidR="003862BD" w:rsidRPr="003862BD" w:rsidRDefault="003862BD" w:rsidP="003862BD">
            <w:pPr>
              <w:spacing w:after="0" w:line="240" w:lineRule="auto"/>
              <w:jc w:val="lef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Indicator</w:t>
            </w:r>
          </w:p>
        </w:tc>
        <w:tc>
          <w:tcPr>
            <w:tcW w:w="1559" w:type="dxa"/>
            <w:tcBorders>
              <w:top w:val="nil"/>
              <w:left w:val="nil"/>
              <w:bottom w:val="nil"/>
              <w:right w:val="nil"/>
            </w:tcBorders>
            <w:shd w:val="clear" w:color="000000" w:fill="215C98"/>
            <w:noWrap/>
            <w:vAlign w:val="bottom"/>
            <w:hideMark/>
          </w:tcPr>
          <w:p w14:paraId="54BB2A90" w14:textId="77777777" w:rsidR="003862BD" w:rsidRPr="003862BD" w:rsidRDefault="003862BD" w:rsidP="003862BD">
            <w:pPr>
              <w:spacing w:after="0" w:line="240" w:lineRule="auto"/>
              <w:jc w:val="lef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2007-2013</w:t>
            </w:r>
          </w:p>
        </w:tc>
        <w:tc>
          <w:tcPr>
            <w:tcW w:w="1559" w:type="dxa"/>
            <w:tcBorders>
              <w:top w:val="nil"/>
              <w:left w:val="nil"/>
              <w:bottom w:val="nil"/>
              <w:right w:val="nil"/>
            </w:tcBorders>
            <w:shd w:val="clear" w:color="000000" w:fill="215C98"/>
            <w:noWrap/>
            <w:vAlign w:val="bottom"/>
            <w:hideMark/>
          </w:tcPr>
          <w:p w14:paraId="2B5CC833" w14:textId="77777777" w:rsidR="003862BD" w:rsidRPr="003862BD" w:rsidRDefault="003862BD" w:rsidP="003862BD">
            <w:pPr>
              <w:spacing w:after="0" w:line="240" w:lineRule="auto"/>
              <w:jc w:val="lef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2014-2020</w:t>
            </w:r>
          </w:p>
        </w:tc>
        <w:tc>
          <w:tcPr>
            <w:tcW w:w="1701" w:type="dxa"/>
            <w:tcBorders>
              <w:top w:val="nil"/>
              <w:left w:val="nil"/>
              <w:bottom w:val="nil"/>
              <w:right w:val="nil"/>
            </w:tcBorders>
            <w:shd w:val="clear" w:color="000000" w:fill="215C98"/>
            <w:noWrap/>
            <w:vAlign w:val="bottom"/>
            <w:hideMark/>
          </w:tcPr>
          <w:p w14:paraId="21792253" w14:textId="77777777" w:rsidR="003862BD" w:rsidRPr="003862BD" w:rsidRDefault="003862BD" w:rsidP="003862BD">
            <w:pPr>
              <w:spacing w:after="0" w:line="240" w:lineRule="auto"/>
              <w:jc w:val="lef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2021-2027</w:t>
            </w:r>
          </w:p>
        </w:tc>
      </w:tr>
      <w:tr w:rsidR="003862BD" w:rsidRPr="003862BD" w14:paraId="404C7EF5" w14:textId="77777777" w:rsidTr="003862BD">
        <w:trPr>
          <w:trHeight w:val="300"/>
        </w:trPr>
        <w:tc>
          <w:tcPr>
            <w:tcW w:w="3828" w:type="dxa"/>
            <w:tcBorders>
              <w:top w:val="nil"/>
              <w:left w:val="nil"/>
              <w:bottom w:val="nil"/>
              <w:right w:val="nil"/>
            </w:tcBorders>
            <w:shd w:val="clear" w:color="000000" w:fill="DAE9F8"/>
            <w:noWrap/>
            <w:vAlign w:val="bottom"/>
            <w:hideMark/>
          </w:tcPr>
          <w:p w14:paraId="428EBC95" w14:textId="77777777" w:rsidR="003862BD" w:rsidRPr="003862BD" w:rsidRDefault="003862BD" w:rsidP="003862BD">
            <w:pPr>
              <w:spacing w:after="0" w:line="240" w:lineRule="auto"/>
              <w:jc w:val="left"/>
              <w:rPr>
                <w:rFonts w:ascii="Aptos Narrow" w:hAnsi="Aptos Narrow"/>
                <w:b/>
                <w:bCs/>
                <w:noProof/>
                <w:szCs w:val="22"/>
                <w:lang w:val="en-IE" w:eastAsia="en-IE"/>
              </w:rPr>
            </w:pPr>
            <w:r w:rsidRPr="003862BD">
              <w:rPr>
                <w:rFonts w:ascii="Aptos Narrow" w:hAnsi="Aptos Narrow"/>
                <w:b/>
                <w:bCs/>
                <w:noProof/>
                <w:szCs w:val="22"/>
                <w:lang w:val="en-IE" w:eastAsia="en-IE"/>
              </w:rPr>
              <w:t>Fraud detection rate (FDR)</w:t>
            </w:r>
          </w:p>
        </w:tc>
        <w:tc>
          <w:tcPr>
            <w:tcW w:w="1559" w:type="dxa"/>
            <w:tcBorders>
              <w:top w:val="nil"/>
              <w:left w:val="nil"/>
              <w:bottom w:val="nil"/>
              <w:right w:val="nil"/>
            </w:tcBorders>
            <w:shd w:val="clear" w:color="000000" w:fill="DAE9F8"/>
            <w:noWrap/>
            <w:vAlign w:val="bottom"/>
            <w:hideMark/>
          </w:tcPr>
          <w:p w14:paraId="78E5807C" w14:textId="77777777" w:rsidR="003862BD" w:rsidRPr="003862BD" w:rsidRDefault="003862BD" w:rsidP="003862BD">
            <w:pPr>
              <w:spacing w:after="0" w:line="240" w:lineRule="auto"/>
              <w:jc w:val="right"/>
              <w:rPr>
                <w:rFonts w:ascii="Aptos Narrow" w:hAnsi="Aptos Narrow"/>
                <w:noProof/>
                <w:szCs w:val="22"/>
                <w:lang w:val="en-IE" w:eastAsia="en-IE"/>
              </w:rPr>
            </w:pPr>
            <w:r w:rsidRPr="003862BD">
              <w:rPr>
                <w:rFonts w:ascii="Aptos Narrow" w:hAnsi="Aptos Narrow"/>
                <w:noProof/>
                <w:szCs w:val="22"/>
                <w:lang w:val="en-IE" w:eastAsia="en-IE"/>
              </w:rPr>
              <w:t>0.42%</w:t>
            </w:r>
          </w:p>
        </w:tc>
        <w:tc>
          <w:tcPr>
            <w:tcW w:w="1559" w:type="dxa"/>
            <w:tcBorders>
              <w:top w:val="nil"/>
              <w:left w:val="nil"/>
              <w:bottom w:val="nil"/>
              <w:right w:val="nil"/>
            </w:tcBorders>
            <w:shd w:val="clear" w:color="000000" w:fill="DAE9F8"/>
            <w:noWrap/>
            <w:vAlign w:val="bottom"/>
            <w:hideMark/>
          </w:tcPr>
          <w:p w14:paraId="177F0584" w14:textId="77777777" w:rsidR="003862BD" w:rsidRPr="003862BD" w:rsidRDefault="003862BD" w:rsidP="003862BD">
            <w:pPr>
              <w:spacing w:after="0" w:line="240" w:lineRule="auto"/>
              <w:jc w:val="right"/>
              <w:rPr>
                <w:rFonts w:ascii="Aptos Narrow" w:hAnsi="Aptos Narrow"/>
                <w:noProof/>
                <w:szCs w:val="22"/>
                <w:lang w:val="en-IE" w:eastAsia="en-IE"/>
              </w:rPr>
            </w:pPr>
            <w:r w:rsidRPr="003862BD">
              <w:rPr>
                <w:rFonts w:ascii="Aptos Narrow" w:hAnsi="Aptos Narrow"/>
                <w:noProof/>
                <w:szCs w:val="22"/>
                <w:lang w:val="en-IE" w:eastAsia="en-IE"/>
              </w:rPr>
              <w:t>0.22%</w:t>
            </w:r>
          </w:p>
        </w:tc>
        <w:tc>
          <w:tcPr>
            <w:tcW w:w="1701" w:type="dxa"/>
            <w:tcBorders>
              <w:top w:val="nil"/>
              <w:left w:val="nil"/>
              <w:bottom w:val="nil"/>
              <w:right w:val="nil"/>
            </w:tcBorders>
            <w:shd w:val="clear" w:color="000000" w:fill="DAE9F8"/>
            <w:noWrap/>
            <w:vAlign w:val="bottom"/>
            <w:hideMark/>
          </w:tcPr>
          <w:p w14:paraId="7F036527" w14:textId="77777777" w:rsidR="003862BD" w:rsidRPr="003862BD" w:rsidRDefault="003862BD" w:rsidP="003862BD">
            <w:pPr>
              <w:spacing w:after="0" w:line="240" w:lineRule="auto"/>
              <w:jc w:val="right"/>
              <w:rPr>
                <w:rFonts w:ascii="Aptos Narrow" w:hAnsi="Aptos Narrow"/>
                <w:noProof/>
                <w:szCs w:val="22"/>
                <w:lang w:val="en-IE" w:eastAsia="en-IE"/>
              </w:rPr>
            </w:pPr>
            <w:r w:rsidRPr="003862BD">
              <w:rPr>
                <w:rFonts w:ascii="Aptos Narrow" w:hAnsi="Aptos Narrow"/>
                <w:noProof/>
                <w:szCs w:val="22"/>
                <w:lang w:val="en-IE" w:eastAsia="en-IE"/>
              </w:rPr>
              <w:t>0.05%</w:t>
            </w:r>
          </w:p>
        </w:tc>
      </w:tr>
      <w:tr w:rsidR="003862BD" w:rsidRPr="003862BD" w14:paraId="472491F5" w14:textId="77777777" w:rsidTr="003862BD">
        <w:trPr>
          <w:trHeight w:val="300"/>
        </w:trPr>
        <w:tc>
          <w:tcPr>
            <w:tcW w:w="3828" w:type="dxa"/>
            <w:tcBorders>
              <w:top w:val="nil"/>
              <w:left w:val="nil"/>
              <w:bottom w:val="nil"/>
              <w:right w:val="nil"/>
            </w:tcBorders>
            <w:shd w:val="clear" w:color="000000" w:fill="4D93D9"/>
            <w:noWrap/>
            <w:vAlign w:val="bottom"/>
            <w:hideMark/>
          </w:tcPr>
          <w:p w14:paraId="51AF4529" w14:textId="77777777" w:rsidR="003862BD" w:rsidRPr="003862BD" w:rsidRDefault="003862BD" w:rsidP="003862BD">
            <w:pPr>
              <w:spacing w:after="0" w:line="240" w:lineRule="auto"/>
              <w:jc w:val="left"/>
              <w:rPr>
                <w:rFonts w:ascii="Aptos Narrow" w:hAnsi="Aptos Narrow"/>
                <w:b/>
                <w:bCs/>
                <w:noProof/>
                <w:szCs w:val="22"/>
                <w:lang w:val="en-IE" w:eastAsia="en-IE"/>
              </w:rPr>
            </w:pPr>
            <w:r w:rsidRPr="003862BD">
              <w:rPr>
                <w:rFonts w:ascii="Aptos Narrow" w:hAnsi="Aptos Narrow"/>
                <w:b/>
                <w:bCs/>
                <w:noProof/>
                <w:szCs w:val="22"/>
                <w:lang w:val="en-IE" w:eastAsia="en-IE"/>
              </w:rPr>
              <w:t>Irregularities detection rate (IDR)</w:t>
            </w:r>
          </w:p>
        </w:tc>
        <w:tc>
          <w:tcPr>
            <w:tcW w:w="1559" w:type="dxa"/>
            <w:tcBorders>
              <w:top w:val="nil"/>
              <w:left w:val="nil"/>
              <w:bottom w:val="nil"/>
              <w:right w:val="nil"/>
            </w:tcBorders>
            <w:shd w:val="clear" w:color="000000" w:fill="4D93D9"/>
            <w:noWrap/>
            <w:vAlign w:val="bottom"/>
            <w:hideMark/>
          </w:tcPr>
          <w:p w14:paraId="4BFD0CA9" w14:textId="77777777" w:rsidR="003862BD" w:rsidRPr="003862BD" w:rsidRDefault="003862BD" w:rsidP="003862BD">
            <w:pPr>
              <w:spacing w:after="0" w:line="240" w:lineRule="auto"/>
              <w:jc w:val="right"/>
              <w:rPr>
                <w:rFonts w:ascii="Aptos Narrow" w:hAnsi="Aptos Narrow"/>
                <w:noProof/>
                <w:szCs w:val="22"/>
                <w:lang w:val="en-IE" w:eastAsia="en-IE"/>
              </w:rPr>
            </w:pPr>
            <w:r w:rsidRPr="003862BD">
              <w:rPr>
                <w:rFonts w:ascii="Aptos Narrow" w:hAnsi="Aptos Narrow"/>
                <w:noProof/>
                <w:szCs w:val="22"/>
                <w:lang w:val="en-IE" w:eastAsia="en-IE"/>
              </w:rPr>
              <w:t>2.50%</w:t>
            </w:r>
          </w:p>
        </w:tc>
        <w:tc>
          <w:tcPr>
            <w:tcW w:w="1559" w:type="dxa"/>
            <w:tcBorders>
              <w:top w:val="nil"/>
              <w:left w:val="nil"/>
              <w:bottom w:val="nil"/>
              <w:right w:val="nil"/>
            </w:tcBorders>
            <w:shd w:val="clear" w:color="000000" w:fill="4D93D9"/>
            <w:noWrap/>
            <w:vAlign w:val="bottom"/>
            <w:hideMark/>
          </w:tcPr>
          <w:p w14:paraId="45DB9645" w14:textId="77777777" w:rsidR="003862BD" w:rsidRPr="003862BD" w:rsidRDefault="003862BD" w:rsidP="003862BD">
            <w:pPr>
              <w:spacing w:after="0" w:line="240" w:lineRule="auto"/>
              <w:jc w:val="right"/>
              <w:rPr>
                <w:rFonts w:ascii="Aptos Narrow" w:hAnsi="Aptos Narrow"/>
                <w:noProof/>
                <w:szCs w:val="22"/>
                <w:lang w:val="en-IE" w:eastAsia="en-IE"/>
              </w:rPr>
            </w:pPr>
            <w:r w:rsidRPr="003862BD">
              <w:rPr>
                <w:rFonts w:ascii="Aptos Narrow" w:hAnsi="Aptos Narrow"/>
                <w:noProof/>
                <w:szCs w:val="22"/>
                <w:lang w:val="en-IE" w:eastAsia="en-IE"/>
              </w:rPr>
              <w:t>0.89%</w:t>
            </w:r>
          </w:p>
        </w:tc>
        <w:tc>
          <w:tcPr>
            <w:tcW w:w="1701" w:type="dxa"/>
            <w:tcBorders>
              <w:top w:val="nil"/>
              <w:left w:val="nil"/>
              <w:bottom w:val="nil"/>
              <w:right w:val="nil"/>
            </w:tcBorders>
            <w:shd w:val="clear" w:color="000000" w:fill="4D93D9"/>
            <w:noWrap/>
            <w:vAlign w:val="bottom"/>
            <w:hideMark/>
          </w:tcPr>
          <w:p w14:paraId="1420BDF8" w14:textId="77777777" w:rsidR="003862BD" w:rsidRPr="003862BD" w:rsidRDefault="003862BD" w:rsidP="003862BD">
            <w:pPr>
              <w:spacing w:after="0" w:line="240" w:lineRule="auto"/>
              <w:jc w:val="right"/>
              <w:rPr>
                <w:rFonts w:ascii="Aptos Narrow" w:hAnsi="Aptos Narrow"/>
                <w:noProof/>
                <w:szCs w:val="22"/>
                <w:lang w:val="en-IE" w:eastAsia="en-IE"/>
              </w:rPr>
            </w:pPr>
            <w:r w:rsidRPr="003862BD">
              <w:rPr>
                <w:rFonts w:ascii="Aptos Narrow" w:hAnsi="Aptos Narrow"/>
                <w:noProof/>
                <w:szCs w:val="22"/>
                <w:lang w:val="en-IE" w:eastAsia="en-IE"/>
              </w:rPr>
              <w:t>0.09%</w:t>
            </w:r>
          </w:p>
        </w:tc>
      </w:tr>
      <w:tr w:rsidR="003862BD" w:rsidRPr="003862BD" w14:paraId="12F37C07" w14:textId="77777777" w:rsidTr="003862BD">
        <w:trPr>
          <w:trHeight w:val="300"/>
        </w:trPr>
        <w:tc>
          <w:tcPr>
            <w:tcW w:w="3828" w:type="dxa"/>
            <w:tcBorders>
              <w:top w:val="nil"/>
              <w:left w:val="nil"/>
              <w:bottom w:val="nil"/>
              <w:right w:val="nil"/>
            </w:tcBorders>
            <w:shd w:val="clear" w:color="000000" w:fill="215C98"/>
            <w:noWrap/>
            <w:vAlign w:val="bottom"/>
            <w:hideMark/>
          </w:tcPr>
          <w:p w14:paraId="61004D0D" w14:textId="77777777" w:rsidR="003862BD" w:rsidRPr="003862BD" w:rsidRDefault="003862BD" w:rsidP="003862BD">
            <w:pPr>
              <w:spacing w:after="0" w:line="240" w:lineRule="auto"/>
              <w:jc w:val="lef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Total detection rate (TDR)</w:t>
            </w:r>
          </w:p>
        </w:tc>
        <w:tc>
          <w:tcPr>
            <w:tcW w:w="1559" w:type="dxa"/>
            <w:tcBorders>
              <w:top w:val="nil"/>
              <w:left w:val="nil"/>
              <w:bottom w:val="nil"/>
              <w:right w:val="nil"/>
            </w:tcBorders>
            <w:shd w:val="clear" w:color="000000" w:fill="215C98"/>
            <w:noWrap/>
            <w:vAlign w:val="bottom"/>
            <w:hideMark/>
          </w:tcPr>
          <w:p w14:paraId="6398DEE3" w14:textId="77777777" w:rsidR="003862BD" w:rsidRPr="003862BD" w:rsidRDefault="003862BD" w:rsidP="003862BD">
            <w:pPr>
              <w:spacing w:after="0" w:line="240" w:lineRule="auto"/>
              <w:jc w:val="righ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2.92%</w:t>
            </w:r>
          </w:p>
        </w:tc>
        <w:tc>
          <w:tcPr>
            <w:tcW w:w="1559" w:type="dxa"/>
            <w:tcBorders>
              <w:top w:val="nil"/>
              <w:left w:val="nil"/>
              <w:bottom w:val="nil"/>
              <w:right w:val="nil"/>
            </w:tcBorders>
            <w:shd w:val="clear" w:color="000000" w:fill="215C98"/>
            <w:noWrap/>
            <w:vAlign w:val="bottom"/>
            <w:hideMark/>
          </w:tcPr>
          <w:p w14:paraId="7AAB8B45" w14:textId="77777777" w:rsidR="003862BD" w:rsidRPr="003862BD" w:rsidRDefault="003862BD" w:rsidP="003862BD">
            <w:pPr>
              <w:spacing w:after="0" w:line="240" w:lineRule="auto"/>
              <w:jc w:val="righ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1.11%</w:t>
            </w:r>
          </w:p>
        </w:tc>
        <w:tc>
          <w:tcPr>
            <w:tcW w:w="1701" w:type="dxa"/>
            <w:tcBorders>
              <w:top w:val="nil"/>
              <w:left w:val="nil"/>
              <w:bottom w:val="nil"/>
              <w:right w:val="nil"/>
            </w:tcBorders>
            <w:shd w:val="clear" w:color="000000" w:fill="215C98"/>
            <w:noWrap/>
            <w:vAlign w:val="bottom"/>
            <w:hideMark/>
          </w:tcPr>
          <w:p w14:paraId="220AC9FC" w14:textId="77777777" w:rsidR="003862BD" w:rsidRPr="003862BD" w:rsidRDefault="003862BD" w:rsidP="003862BD">
            <w:pPr>
              <w:spacing w:after="0" w:line="240" w:lineRule="auto"/>
              <w:jc w:val="right"/>
              <w:rPr>
                <w:rFonts w:ascii="Aptos Narrow" w:hAnsi="Aptos Narrow"/>
                <w:b/>
                <w:bCs/>
                <w:noProof/>
                <w:color w:val="FFFFFF"/>
                <w:szCs w:val="22"/>
                <w:lang w:val="en-IE" w:eastAsia="en-IE"/>
              </w:rPr>
            </w:pPr>
            <w:r w:rsidRPr="003862BD">
              <w:rPr>
                <w:rFonts w:ascii="Aptos Narrow" w:hAnsi="Aptos Narrow"/>
                <w:b/>
                <w:bCs/>
                <w:noProof/>
                <w:color w:val="FFFFFF"/>
                <w:szCs w:val="22"/>
                <w:lang w:val="en-IE" w:eastAsia="en-IE"/>
              </w:rPr>
              <w:t>0.14%</w:t>
            </w:r>
          </w:p>
        </w:tc>
      </w:tr>
    </w:tbl>
    <w:p w14:paraId="59DCAC0E" w14:textId="6745DD43" w:rsidR="00AE736B" w:rsidRPr="00DE3A6F" w:rsidRDefault="003862BD" w:rsidP="004E10E3">
      <w:pPr>
        <w:spacing w:before="120"/>
        <w:rPr>
          <w:noProof/>
        </w:rPr>
      </w:pPr>
      <w:r>
        <w:rPr>
          <w:noProof/>
        </w:rPr>
        <w:t xml:space="preserve">The </w:t>
      </w:r>
      <w:r w:rsidR="00AE736B" w:rsidRPr="00925475">
        <w:rPr>
          <w:noProof/>
        </w:rPr>
        <w:t>FDR and IDR for 2021-2027 remain very low</w:t>
      </w:r>
      <w:r w:rsidR="00421A78" w:rsidRPr="00925475">
        <w:rPr>
          <w:noProof/>
        </w:rPr>
        <w:t xml:space="preserve">, even considering that pre-financing is </w:t>
      </w:r>
      <w:r w:rsidR="0036148D" w:rsidRPr="00925475">
        <w:rPr>
          <w:noProof/>
        </w:rPr>
        <w:t>frontloaded</w:t>
      </w:r>
      <w:r w:rsidR="00721D4B" w:rsidRPr="00925475">
        <w:rPr>
          <w:noProof/>
        </w:rPr>
        <w:t>. In addition, for all these programming periods, there are significant differences in reporting from different Member States.</w:t>
      </w:r>
    </w:p>
    <w:p w14:paraId="058F2B01" w14:textId="6B0E2C85" w:rsidR="008A630F" w:rsidRPr="00DE3A6F" w:rsidRDefault="00093C2F" w:rsidP="00FC766B">
      <w:pPr>
        <w:rPr>
          <w:noProof/>
        </w:rPr>
      </w:pPr>
      <w:r w:rsidRPr="00925475">
        <w:rPr>
          <w:noProof/>
        </w:rPr>
        <w:t xml:space="preserve">As </w:t>
      </w:r>
      <w:r w:rsidR="004425E6" w:rsidRPr="00925475">
        <w:rPr>
          <w:noProof/>
        </w:rPr>
        <w:t xml:space="preserve">shown </w:t>
      </w:r>
      <w:r w:rsidR="00C00DCA" w:rsidRPr="00925475">
        <w:rPr>
          <w:noProof/>
        </w:rPr>
        <w:t xml:space="preserve">in </w:t>
      </w:r>
      <w:r w:rsidR="00C00DCA" w:rsidRPr="00925475">
        <w:rPr>
          <w:b/>
          <w:bCs/>
          <w:noProof/>
        </w:rPr>
        <w:t xml:space="preserve">Figure </w:t>
      </w:r>
      <w:r w:rsidR="00153DF3">
        <w:rPr>
          <w:b/>
          <w:bCs/>
          <w:noProof/>
        </w:rPr>
        <w:t>16</w:t>
      </w:r>
      <w:r w:rsidR="00C00DCA" w:rsidRPr="00925475">
        <w:rPr>
          <w:noProof/>
        </w:rPr>
        <w:t xml:space="preserve">, </w:t>
      </w:r>
      <w:r w:rsidR="009574DF" w:rsidRPr="00925475">
        <w:rPr>
          <w:noProof/>
        </w:rPr>
        <w:t xml:space="preserve">only 19% of </w:t>
      </w:r>
      <w:r w:rsidR="00FC766B" w:rsidRPr="00925475">
        <w:rPr>
          <w:noProof/>
        </w:rPr>
        <w:t>fraudulent irregularities reported during 2015-2025</w:t>
      </w:r>
      <w:r w:rsidR="009574DF" w:rsidRPr="00925475">
        <w:rPr>
          <w:noProof/>
        </w:rPr>
        <w:t xml:space="preserve"> were </w:t>
      </w:r>
      <w:r w:rsidR="006F4A77" w:rsidRPr="00925475">
        <w:rPr>
          <w:noProof/>
        </w:rPr>
        <w:t xml:space="preserve">closed </w:t>
      </w:r>
      <w:r w:rsidR="004D27A8" w:rsidRPr="00925475">
        <w:rPr>
          <w:noProof/>
        </w:rPr>
        <w:t>(</w:t>
      </w:r>
      <w:r w:rsidR="006F4A77" w:rsidRPr="00925475">
        <w:rPr>
          <w:noProof/>
        </w:rPr>
        <w:t>with all proceedings, including recovery</w:t>
      </w:r>
      <w:r w:rsidR="004D27A8" w:rsidRPr="00925475">
        <w:rPr>
          <w:noProof/>
        </w:rPr>
        <w:t>, finalised)</w:t>
      </w:r>
      <w:r w:rsidR="00FC766B" w:rsidRPr="00925475">
        <w:rPr>
          <w:noProof/>
        </w:rPr>
        <w:t xml:space="preserve">. </w:t>
      </w:r>
      <w:r w:rsidR="004D27A8" w:rsidRPr="00925475">
        <w:rPr>
          <w:noProof/>
        </w:rPr>
        <w:t xml:space="preserve">In contrast, </w:t>
      </w:r>
      <w:r w:rsidR="001D2E37" w:rsidRPr="00925475">
        <w:rPr>
          <w:noProof/>
        </w:rPr>
        <w:t xml:space="preserve">62% of </w:t>
      </w:r>
      <w:r w:rsidR="00FC766B" w:rsidRPr="00925475">
        <w:rPr>
          <w:noProof/>
        </w:rPr>
        <w:t>non-fraudulent irregularities</w:t>
      </w:r>
      <w:r w:rsidR="005B3D22" w:rsidRPr="00925475">
        <w:rPr>
          <w:noProof/>
        </w:rPr>
        <w:t xml:space="preserve"> </w:t>
      </w:r>
      <w:r w:rsidR="001D2E37" w:rsidRPr="00925475">
        <w:rPr>
          <w:noProof/>
        </w:rPr>
        <w:t xml:space="preserve">were closed </w:t>
      </w:r>
      <w:r w:rsidR="005B3D22" w:rsidRPr="00925475">
        <w:rPr>
          <w:noProof/>
        </w:rPr>
        <w:t>over the same period.</w:t>
      </w:r>
      <w:r w:rsidR="009B65AF" w:rsidRPr="00925475">
        <w:rPr>
          <w:noProof/>
        </w:rPr>
        <w:t xml:space="preserve"> </w:t>
      </w:r>
    </w:p>
    <w:p w14:paraId="02A2932E" w14:textId="3A682C54" w:rsidR="00FC766B" w:rsidRPr="00DE3A6F" w:rsidRDefault="008A630F" w:rsidP="00FC766B">
      <w:pPr>
        <w:rPr>
          <w:noProof/>
        </w:rPr>
      </w:pPr>
      <w:r w:rsidRPr="00925475">
        <w:rPr>
          <w:noProof/>
        </w:rPr>
        <w:t>Once proceedings are concluded, the EU’s financial interests are effectively protected</w:t>
      </w:r>
      <w:r w:rsidR="00E77B2D" w:rsidRPr="00925475">
        <w:rPr>
          <w:noProof/>
        </w:rPr>
        <w:t xml:space="preserve">, </w:t>
      </w:r>
      <w:r w:rsidR="00EA3BA0" w:rsidRPr="00925475">
        <w:rPr>
          <w:noProof/>
        </w:rPr>
        <w:t>via</w:t>
      </w:r>
      <w:r w:rsidR="00B8633D" w:rsidRPr="00925475">
        <w:rPr>
          <w:noProof/>
        </w:rPr>
        <w:t xml:space="preserve"> recovery, deduction or writing-off, </w:t>
      </w:r>
      <w:r w:rsidR="000B66A2" w:rsidRPr="00925475">
        <w:rPr>
          <w:noProof/>
        </w:rPr>
        <w:t xml:space="preserve">with a </w:t>
      </w:r>
      <w:r w:rsidR="00AE3E59" w:rsidRPr="00925475">
        <w:rPr>
          <w:noProof/>
        </w:rPr>
        <w:t xml:space="preserve">‘recovery rate’ </w:t>
      </w:r>
      <w:r w:rsidR="00B8633D" w:rsidRPr="00925475">
        <w:rPr>
          <w:noProof/>
        </w:rPr>
        <w:t>above 95%</w:t>
      </w:r>
      <w:r w:rsidR="009B65AF" w:rsidRPr="00925475">
        <w:rPr>
          <w:noProof/>
        </w:rPr>
        <w:t>.</w:t>
      </w:r>
    </w:p>
    <w:p w14:paraId="04471584" w14:textId="0AF5F741" w:rsidR="003C0413" w:rsidRPr="00DE3A6F" w:rsidRDefault="003C0413" w:rsidP="003C0413">
      <w:pPr>
        <w:pStyle w:val="Heading5"/>
        <w:rPr>
          <w:b/>
          <w:bCs/>
          <w:i/>
          <w:iCs/>
          <w:noProof/>
        </w:rPr>
      </w:pPr>
      <w:r w:rsidRPr="00DE3A6F">
        <w:rPr>
          <w:b/>
          <w:bCs/>
          <w:i/>
          <w:iCs/>
          <w:noProof/>
        </w:rPr>
        <w:t xml:space="preserve">Other shared management </w:t>
      </w:r>
    </w:p>
    <w:p w14:paraId="497AF9E0" w14:textId="5E23B288" w:rsidR="003C0413" w:rsidRPr="00DE3A6F" w:rsidRDefault="00A35C42" w:rsidP="003C0413">
      <w:pPr>
        <w:rPr>
          <w:noProof/>
        </w:rPr>
      </w:pPr>
      <w:r>
        <w:rPr>
          <w:noProof/>
        </w:rPr>
        <w:t xml:space="preserve">In terms of </w:t>
      </w:r>
      <w:r w:rsidR="001255A0" w:rsidRPr="00792295">
        <w:rPr>
          <w:noProof/>
        </w:rPr>
        <w:t xml:space="preserve">funding </w:t>
      </w:r>
      <w:r>
        <w:rPr>
          <w:noProof/>
        </w:rPr>
        <w:t xml:space="preserve">for </w:t>
      </w:r>
      <w:r w:rsidR="001255A0" w:rsidRPr="00792295">
        <w:rPr>
          <w:noProof/>
        </w:rPr>
        <w:t>other internal policies, the first fra</w:t>
      </w:r>
      <w:r w:rsidR="59192D87" w:rsidRPr="00792295">
        <w:rPr>
          <w:noProof/>
        </w:rPr>
        <w:t>u</w:t>
      </w:r>
      <w:r w:rsidR="001255A0" w:rsidRPr="00792295">
        <w:rPr>
          <w:noProof/>
        </w:rPr>
        <w:t>dulent irregularities relat</w:t>
      </w:r>
      <w:r>
        <w:rPr>
          <w:noProof/>
        </w:rPr>
        <w:t>ing</w:t>
      </w:r>
      <w:r w:rsidR="001255A0" w:rsidRPr="00792295">
        <w:rPr>
          <w:noProof/>
        </w:rPr>
        <w:t xml:space="preserve"> to </w:t>
      </w:r>
      <w:r w:rsidR="002D1D59" w:rsidRPr="00792295">
        <w:rPr>
          <w:noProof/>
        </w:rPr>
        <w:t xml:space="preserve">the </w:t>
      </w:r>
      <w:r w:rsidRPr="00792295">
        <w:rPr>
          <w:noProof/>
        </w:rPr>
        <w:t xml:space="preserve">2021-2027 </w:t>
      </w:r>
      <w:r w:rsidR="002D1D59" w:rsidRPr="00792295">
        <w:rPr>
          <w:noProof/>
        </w:rPr>
        <w:t>programming period</w:t>
      </w:r>
      <w:r w:rsidR="001255A0" w:rsidRPr="00792295">
        <w:rPr>
          <w:noProof/>
        </w:rPr>
        <w:t xml:space="preserve"> were reported in 2025. During 2021-2025, most of the financial amounts were involved in fraud concern</w:t>
      </w:r>
      <w:r w:rsidR="3329510F" w:rsidRPr="00792295">
        <w:rPr>
          <w:noProof/>
        </w:rPr>
        <w:t>ing</w:t>
      </w:r>
      <w:r w:rsidR="001255A0" w:rsidRPr="00792295">
        <w:rPr>
          <w:noProof/>
        </w:rPr>
        <w:t xml:space="preserve"> </w:t>
      </w:r>
      <w:r w:rsidR="00D3385B" w:rsidRPr="00792295">
        <w:rPr>
          <w:noProof/>
        </w:rPr>
        <w:t xml:space="preserve">the </w:t>
      </w:r>
      <w:r w:rsidR="001255A0" w:rsidRPr="00792295">
        <w:rPr>
          <w:noProof/>
        </w:rPr>
        <w:t>A</w:t>
      </w:r>
      <w:r w:rsidR="00D3385B" w:rsidRPr="00792295">
        <w:rPr>
          <w:noProof/>
        </w:rPr>
        <w:t xml:space="preserve">sylum, </w:t>
      </w:r>
      <w:r w:rsidR="001255A0" w:rsidRPr="00792295">
        <w:rPr>
          <w:noProof/>
        </w:rPr>
        <w:t>M</w:t>
      </w:r>
      <w:r w:rsidR="00D3385B" w:rsidRPr="00792295">
        <w:rPr>
          <w:noProof/>
        </w:rPr>
        <w:t xml:space="preserve">igration and </w:t>
      </w:r>
      <w:r w:rsidR="001255A0" w:rsidRPr="00792295">
        <w:rPr>
          <w:noProof/>
        </w:rPr>
        <w:t>I</w:t>
      </w:r>
      <w:r w:rsidR="00D3385B" w:rsidRPr="00792295">
        <w:rPr>
          <w:noProof/>
        </w:rPr>
        <w:t xml:space="preserve">ntegration </w:t>
      </w:r>
      <w:r w:rsidR="001255A0" w:rsidRPr="00792295">
        <w:rPr>
          <w:noProof/>
        </w:rPr>
        <w:t>F</w:t>
      </w:r>
      <w:r w:rsidR="00D3385B" w:rsidRPr="00792295">
        <w:rPr>
          <w:noProof/>
        </w:rPr>
        <w:t>und</w:t>
      </w:r>
      <w:r w:rsidR="001255A0" w:rsidRPr="00792295">
        <w:rPr>
          <w:noProof/>
        </w:rPr>
        <w:t>. The reporting of non-fra</w:t>
      </w:r>
      <w:r w:rsidR="1B0B77D3" w:rsidRPr="00792295">
        <w:rPr>
          <w:noProof/>
        </w:rPr>
        <w:t>u</w:t>
      </w:r>
      <w:r w:rsidR="001255A0" w:rsidRPr="00792295">
        <w:rPr>
          <w:noProof/>
        </w:rPr>
        <w:t>dulent irregularities relat</w:t>
      </w:r>
      <w:r w:rsidR="00520DCD">
        <w:rPr>
          <w:noProof/>
        </w:rPr>
        <w:t>ing</w:t>
      </w:r>
      <w:r w:rsidR="001255A0" w:rsidRPr="00792295">
        <w:rPr>
          <w:noProof/>
        </w:rPr>
        <w:t xml:space="preserve"> to </w:t>
      </w:r>
      <w:r w:rsidR="002D1D59" w:rsidRPr="00792295">
        <w:rPr>
          <w:noProof/>
        </w:rPr>
        <w:t xml:space="preserve">the </w:t>
      </w:r>
      <w:r w:rsidR="00520DCD" w:rsidRPr="00792295">
        <w:rPr>
          <w:noProof/>
        </w:rPr>
        <w:t xml:space="preserve">2021-2027 </w:t>
      </w:r>
      <w:r w:rsidR="002D1D59" w:rsidRPr="00792295">
        <w:rPr>
          <w:noProof/>
        </w:rPr>
        <w:t>programming period</w:t>
      </w:r>
      <w:r w:rsidR="001255A0" w:rsidRPr="00792295">
        <w:rPr>
          <w:noProof/>
        </w:rPr>
        <w:t xml:space="preserve"> accelerated in 2025 (especially for </w:t>
      </w:r>
      <w:r w:rsidR="00D3385B" w:rsidRPr="00792295">
        <w:rPr>
          <w:noProof/>
        </w:rPr>
        <w:t xml:space="preserve">the </w:t>
      </w:r>
      <w:r w:rsidR="001255A0" w:rsidRPr="00792295">
        <w:rPr>
          <w:noProof/>
        </w:rPr>
        <w:t>J</w:t>
      </w:r>
      <w:r w:rsidR="00D3385B" w:rsidRPr="00792295">
        <w:rPr>
          <w:noProof/>
        </w:rPr>
        <w:t xml:space="preserve">ust </w:t>
      </w:r>
      <w:r w:rsidR="001255A0" w:rsidRPr="00792295">
        <w:rPr>
          <w:noProof/>
        </w:rPr>
        <w:t>T</w:t>
      </w:r>
      <w:r w:rsidR="00D3385B" w:rsidRPr="00792295">
        <w:rPr>
          <w:noProof/>
        </w:rPr>
        <w:t xml:space="preserve">ransition </w:t>
      </w:r>
      <w:r w:rsidR="001255A0" w:rsidRPr="00792295">
        <w:rPr>
          <w:noProof/>
        </w:rPr>
        <w:t>F</w:t>
      </w:r>
      <w:r w:rsidR="00D3385B" w:rsidRPr="00792295">
        <w:rPr>
          <w:noProof/>
        </w:rPr>
        <w:t>und</w:t>
      </w:r>
      <w:r w:rsidR="001255A0" w:rsidRPr="00792295">
        <w:rPr>
          <w:noProof/>
        </w:rPr>
        <w:t>), when it represented already 65% of reporting. During 2021-2025, most of the financial amounts involved concerned</w:t>
      </w:r>
      <w:r w:rsidR="00BE38C5" w:rsidRPr="00792295">
        <w:rPr>
          <w:noProof/>
        </w:rPr>
        <w:t xml:space="preserve"> the</w:t>
      </w:r>
      <w:r w:rsidR="001255A0" w:rsidRPr="00792295">
        <w:rPr>
          <w:noProof/>
        </w:rPr>
        <w:t xml:space="preserve"> Y</w:t>
      </w:r>
      <w:r w:rsidR="00BE38C5" w:rsidRPr="00792295">
        <w:rPr>
          <w:noProof/>
        </w:rPr>
        <w:t xml:space="preserve">outh </w:t>
      </w:r>
      <w:r w:rsidR="001255A0" w:rsidRPr="00792295">
        <w:rPr>
          <w:noProof/>
        </w:rPr>
        <w:t>E</w:t>
      </w:r>
      <w:r w:rsidR="00BE38C5" w:rsidRPr="00792295">
        <w:rPr>
          <w:noProof/>
        </w:rPr>
        <w:t xml:space="preserve">mployment </w:t>
      </w:r>
      <w:r w:rsidR="001255A0" w:rsidRPr="00792295">
        <w:rPr>
          <w:noProof/>
        </w:rPr>
        <w:t>I</w:t>
      </w:r>
      <w:r w:rsidR="00BE38C5" w:rsidRPr="00792295">
        <w:rPr>
          <w:noProof/>
        </w:rPr>
        <w:t>nitiative</w:t>
      </w:r>
      <w:r w:rsidR="001255A0" w:rsidRPr="00792295">
        <w:rPr>
          <w:noProof/>
        </w:rPr>
        <w:t xml:space="preserve"> (also because of one large case) and</w:t>
      </w:r>
      <w:r w:rsidR="00673ABF" w:rsidRPr="00792295">
        <w:rPr>
          <w:noProof/>
        </w:rPr>
        <w:t xml:space="preserve"> the</w:t>
      </w:r>
      <w:r w:rsidR="001255A0" w:rsidRPr="00792295">
        <w:rPr>
          <w:noProof/>
        </w:rPr>
        <w:t xml:space="preserve"> F</w:t>
      </w:r>
      <w:r w:rsidR="00673ABF" w:rsidRPr="00792295">
        <w:rPr>
          <w:noProof/>
        </w:rPr>
        <w:t xml:space="preserve">und for European </w:t>
      </w:r>
      <w:r w:rsidR="00B87A27">
        <w:rPr>
          <w:noProof/>
        </w:rPr>
        <w:t>a</w:t>
      </w:r>
      <w:r w:rsidR="00B87A27" w:rsidRPr="00792295">
        <w:rPr>
          <w:noProof/>
        </w:rPr>
        <w:t xml:space="preserve">id </w:t>
      </w:r>
      <w:r w:rsidR="00673ABF" w:rsidRPr="00792295">
        <w:rPr>
          <w:noProof/>
        </w:rPr>
        <w:t xml:space="preserve">to the most </w:t>
      </w:r>
      <w:r w:rsidR="00B87A27">
        <w:rPr>
          <w:noProof/>
        </w:rPr>
        <w:t>d</w:t>
      </w:r>
      <w:r w:rsidR="00B87A27" w:rsidRPr="00792295">
        <w:rPr>
          <w:noProof/>
        </w:rPr>
        <w:t xml:space="preserve">eprived </w:t>
      </w:r>
      <w:r w:rsidR="001255A0" w:rsidRPr="00792295">
        <w:rPr>
          <w:noProof/>
        </w:rPr>
        <w:t>(the fund with the highest number of non-fraudulent irregularities).</w:t>
      </w:r>
    </w:p>
    <w:p w14:paraId="6AD57212" w14:textId="498F8D13" w:rsidR="001C6873" w:rsidRPr="00DE3A6F" w:rsidRDefault="001C6873" w:rsidP="00580EF5">
      <w:pPr>
        <w:pStyle w:val="Heading4"/>
        <w:rPr>
          <w:noProof/>
        </w:rPr>
      </w:pPr>
      <w:bookmarkStart w:id="79" w:name="_Toc234447079"/>
      <w:r w:rsidRPr="00792295">
        <w:rPr>
          <w:noProof/>
        </w:rPr>
        <w:lastRenderedPageBreak/>
        <w:t>Indirect management –</w:t>
      </w:r>
      <w:r w:rsidR="005530E5" w:rsidRPr="00792295">
        <w:rPr>
          <w:noProof/>
        </w:rPr>
        <w:t xml:space="preserve"> Neighbourhood and the </w:t>
      </w:r>
      <w:r w:rsidR="005024F5" w:rsidRPr="00792295">
        <w:rPr>
          <w:noProof/>
        </w:rPr>
        <w:t>world</w:t>
      </w:r>
      <w:bookmarkEnd w:id="79"/>
    </w:p>
    <w:p w14:paraId="47379B9D" w14:textId="61A1CCAA" w:rsidR="008E25FC" w:rsidRPr="00DE3A6F" w:rsidRDefault="5834DF7D" w:rsidP="0029370D">
      <w:pPr>
        <w:rPr>
          <w:noProof/>
        </w:rPr>
      </w:pPr>
      <w:r w:rsidRPr="00792295">
        <w:rPr>
          <w:noProof/>
        </w:rPr>
        <w:t xml:space="preserve">Since 2007, </w:t>
      </w:r>
      <w:r w:rsidR="3DFC44D2" w:rsidRPr="00792295">
        <w:rPr>
          <w:noProof/>
        </w:rPr>
        <w:t xml:space="preserve">the EU has </w:t>
      </w:r>
      <w:r w:rsidRPr="00792295">
        <w:rPr>
          <w:noProof/>
        </w:rPr>
        <w:t>provide</w:t>
      </w:r>
      <w:r w:rsidR="3DFC44D2" w:rsidRPr="00792295">
        <w:rPr>
          <w:noProof/>
        </w:rPr>
        <w:t>d</w:t>
      </w:r>
      <w:r w:rsidRPr="00792295">
        <w:rPr>
          <w:noProof/>
        </w:rPr>
        <w:t xml:space="preserve"> financial and technical assistance to support reforms in enlargement countries</w:t>
      </w:r>
      <w:r w:rsidR="006825CD" w:rsidRPr="006825CD">
        <w:rPr>
          <w:noProof/>
        </w:rPr>
        <w:t> (</w:t>
      </w:r>
      <w:r w:rsidR="006825CD">
        <w:rPr>
          <w:rStyle w:val="FootnoteReference"/>
          <w:noProof/>
        </w:rPr>
        <w:footnoteReference w:id="72"/>
      </w:r>
      <w:r w:rsidR="006825CD">
        <w:rPr>
          <w:noProof/>
        </w:rPr>
        <w:t>)</w:t>
      </w:r>
      <w:r w:rsidR="00B87A27">
        <w:rPr>
          <w:noProof/>
        </w:rPr>
        <w:t xml:space="preserve"> </w:t>
      </w:r>
      <w:r w:rsidR="00B87A27" w:rsidRPr="00792295">
        <w:rPr>
          <w:noProof/>
        </w:rPr>
        <w:t xml:space="preserve">through </w:t>
      </w:r>
      <w:r w:rsidR="00B87A27" w:rsidRPr="00792295">
        <w:rPr>
          <w:b/>
          <w:bCs/>
          <w:noProof/>
        </w:rPr>
        <w:t>the Instrument for Pre-Accession Assistance</w:t>
      </w:r>
      <w:r w:rsidR="00B87A27" w:rsidRPr="00792295">
        <w:rPr>
          <w:noProof/>
        </w:rPr>
        <w:t xml:space="preserve"> (IPA)</w:t>
      </w:r>
      <w:r w:rsidRPr="00792295">
        <w:rPr>
          <w:noProof/>
        </w:rPr>
        <w:t xml:space="preserve">. </w:t>
      </w:r>
      <w:r w:rsidR="59A44B43" w:rsidRPr="00792295">
        <w:rPr>
          <w:noProof/>
        </w:rPr>
        <w:t xml:space="preserve">In 2025, irregularities mostly concerned IPA II and IPA III. </w:t>
      </w:r>
    </w:p>
    <w:p w14:paraId="2048EFE0" w14:textId="4C968FA6" w:rsidR="008E25FC" w:rsidRPr="00DE3A6F" w:rsidRDefault="00B87A27" w:rsidP="0029370D">
      <w:pPr>
        <w:rPr>
          <w:noProof/>
        </w:rPr>
      </w:pPr>
      <w:r>
        <w:rPr>
          <w:noProof/>
        </w:rPr>
        <w:t>T</w:t>
      </w:r>
      <w:r w:rsidR="00B82332" w:rsidRPr="00792295">
        <w:rPr>
          <w:noProof/>
        </w:rPr>
        <w:t xml:space="preserve">he number of non-fraudulent irregularities </w:t>
      </w:r>
      <w:r>
        <w:rPr>
          <w:noProof/>
        </w:rPr>
        <w:t xml:space="preserve">in IPA II </w:t>
      </w:r>
      <w:r w:rsidR="00B82332" w:rsidRPr="00792295">
        <w:rPr>
          <w:noProof/>
        </w:rPr>
        <w:t xml:space="preserve">increased markedly in 2022 and has </w:t>
      </w:r>
      <w:r w:rsidR="00247094">
        <w:rPr>
          <w:noProof/>
        </w:rPr>
        <w:t xml:space="preserve">since </w:t>
      </w:r>
      <w:r w:rsidR="00247094" w:rsidRPr="00792295">
        <w:rPr>
          <w:noProof/>
        </w:rPr>
        <w:t>fluctuat</w:t>
      </w:r>
      <w:r w:rsidR="00247094">
        <w:rPr>
          <w:noProof/>
        </w:rPr>
        <w:t>ed</w:t>
      </w:r>
      <w:r w:rsidR="00247094" w:rsidRPr="00792295">
        <w:rPr>
          <w:noProof/>
        </w:rPr>
        <w:t xml:space="preserve"> </w:t>
      </w:r>
      <w:r w:rsidR="00B82332" w:rsidRPr="00792295">
        <w:rPr>
          <w:noProof/>
        </w:rPr>
        <w:t>around 270 irregularities per year</w:t>
      </w:r>
      <w:r w:rsidR="00247094">
        <w:rPr>
          <w:noProof/>
        </w:rPr>
        <w:t xml:space="preserve"> on average</w:t>
      </w:r>
      <w:r w:rsidR="00B82332" w:rsidRPr="00792295">
        <w:rPr>
          <w:noProof/>
        </w:rPr>
        <w:t>. The reporting of fraud dropped in 2025</w:t>
      </w:r>
      <w:r w:rsidR="00C240B8">
        <w:rPr>
          <w:noProof/>
        </w:rPr>
        <w:t>:</w:t>
      </w:r>
      <w:r w:rsidR="00B82332" w:rsidRPr="00792295">
        <w:rPr>
          <w:noProof/>
        </w:rPr>
        <w:t xml:space="preserve"> </w:t>
      </w:r>
      <w:r w:rsidR="00C240B8">
        <w:rPr>
          <w:noProof/>
        </w:rPr>
        <w:t>o</w:t>
      </w:r>
      <w:r w:rsidR="178C00DC" w:rsidRPr="00792295">
        <w:rPr>
          <w:noProof/>
        </w:rPr>
        <w:t>nly</w:t>
      </w:r>
      <w:r w:rsidR="00B82332" w:rsidRPr="00792295">
        <w:rPr>
          <w:noProof/>
        </w:rPr>
        <w:t xml:space="preserve"> 2 fraudulent irregularities were reported, with just </w:t>
      </w:r>
      <w:r w:rsidR="00C240B8" w:rsidRPr="00792295">
        <w:rPr>
          <w:noProof/>
        </w:rPr>
        <w:t>EUR</w:t>
      </w:r>
      <w:r w:rsidR="00C240B8">
        <w:rPr>
          <w:noProof/>
        </w:rPr>
        <w:t> </w:t>
      </w:r>
      <w:r w:rsidR="00BF60EF" w:rsidRPr="00792295">
        <w:rPr>
          <w:noProof/>
        </w:rPr>
        <w:t>5 </w:t>
      </w:r>
      <w:r w:rsidR="00B82332" w:rsidRPr="00792295">
        <w:rPr>
          <w:noProof/>
        </w:rPr>
        <w:t xml:space="preserve">000 involved. </w:t>
      </w:r>
      <w:r w:rsidR="008E25FC" w:rsidRPr="00792295">
        <w:rPr>
          <w:noProof/>
        </w:rPr>
        <w:t xml:space="preserve">During 2021-2025, irregularities were reported by nine countries, mostly Türkiye and, to a lesser extent, Albania and North Macedonia. The highest number of irregularities and the highest financial amounts concerned agriculture and rural development. The financial amounts involved in irregularities </w:t>
      </w:r>
      <w:r w:rsidR="00D73A94">
        <w:rPr>
          <w:noProof/>
        </w:rPr>
        <w:t xml:space="preserve">in </w:t>
      </w:r>
      <w:r w:rsidR="008E25FC" w:rsidRPr="00792295">
        <w:rPr>
          <w:noProof/>
        </w:rPr>
        <w:t xml:space="preserve">this policy area increased significantly in 2024, also because of an OLAF investigation in Albania. </w:t>
      </w:r>
    </w:p>
    <w:p w14:paraId="7744FF32" w14:textId="5A49959A" w:rsidR="005242C4" w:rsidRPr="00DE3A6F" w:rsidRDefault="00B82332" w:rsidP="0029370D">
      <w:pPr>
        <w:rPr>
          <w:noProof/>
        </w:rPr>
      </w:pPr>
      <w:r w:rsidRPr="00792295">
        <w:rPr>
          <w:noProof/>
        </w:rPr>
        <w:t>With regard to IPA III (2021-2027)</w:t>
      </w:r>
      <w:r w:rsidR="27F3BE9F" w:rsidRPr="00792295">
        <w:rPr>
          <w:noProof/>
        </w:rPr>
        <w:t>,</w:t>
      </w:r>
      <w:r w:rsidRPr="00792295">
        <w:rPr>
          <w:noProof/>
        </w:rPr>
        <w:t xml:space="preserve"> </w:t>
      </w:r>
      <w:r w:rsidR="5DA15794" w:rsidRPr="00792295">
        <w:rPr>
          <w:noProof/>
        </w:rPr>
        <w:t>f</w:t>
      </w:r>
      <w:r w:rsidR="11F95D70" w:rsidRPr="00792295">
        <w:rPr>
          <w:noProof/>
        </w:rPr>
        <w:t>our beneficiary countries reported 51 irregularities</w:t>
      </w:r>
      <w:r w:rsidR="7070AC46" w:rsidRPr="00792295">
        <w:rPr>
          <w:noProof/>
        </w:rPr>
        <w:t>.</w:t>
      </w:r>
      <w:r w:rsidR="11F95D70" w:rsidRPr="00792295">
        <w:rPr>
          <w:noProof/>
        </w:rPr>
        <w:t xml:space="preserve"> </w:t>
      </w:r>
      <w:r w:rsidR="41E06633" w:rsidRPr="00792295">
        <w:rPr>
          <w:noProof/>
        </w:rPr>
        <w:t>T</w:t>
      </w:r>
      <w:r w:rsidRPr="00792295">
        <w:rPr>
          <w:noProof/>
        </w:rPr>
        <w:t>he number of non-fraudulent irregularities accelerated in 2025. However, the reporting of fraud is still rare, with just 3 cases communicated so far</w:t>
      </w:r>
      <w:r w:rsidR="00D81E2C" w:rsidRPr="00792295">
        <w:rPr>
          <w:noProof/>
        </w:rPr>
        <w:t>.</w:t>
      </w:r>
    </w:p>
    <w:p w14:paraId="46327587" w14:textId="6AEC25E1" w:rsidR="005A5764" w:rsidRPr="00DE3A6F" w:rsidRDefault="005A5764" w:rsidP="00E54ABE">
      <w:pPr>
        <w:rPr>
          <w:noProof/>
        </w:rPr>
      </w:pPr>
      <w:r w:rsidRPr="00792295">
        <w:rPr>
          <w:noProof/>
        </w:rPr>
        <w:t xml:space="preserve">Concerning </w:t>
      </w:r>
      <w:r w:rsidR="00D73A94" w:rsidRPr="00792295">
        <w:rPr>
          <w:b/>
          <w:bCs/>
          <w:noProof/>
        </w:rPr>
        <w:t xml:space="preserve">cross-border cooperation </w:t>
      </w:r>
      <w:r w:rsidRPr="00792295">
        <w:rPr>
          <w:b/>
          <w:bCs/>
          <w:noProof/>
        </w:rPr>
        <w:t xml:space="preserve">under the European </w:t>
      </w:r>
      <w:r w:rsidR="00D73A94" w:rsidRPr="00792295">
        <w:rPr>
          <w:b/>
          <w:bCs/>
          <w:noProof/>
        </w:rPr>
        <w:t>neighbourhood instrument</w:t>
      </w:r>
      <w:r w:rsidR="00D73A94" w:rsidRPr="00792295">
        <w:rPr>
          <w:noProof/>
        </w:rPr>
        <w:t xml:space="preserve"> </w:t>
      </w:r>
      <w:r w:rsidRPr="00792295">
        <w:rPr>
          <w:noProof/>
        </w:rPr>
        <w:t xml:space="preserve">(CBC-ENI), during 2021-2025, after nearly no reporting until 2022, a few irregularities started being communicated from 2023. These irregularities were reported only by Romania, Poland and Estonia. The highest number of irregularities concerned expenditure to address common challenges in environment, public health, safety and security. </w:t>
      </w:r>
    </w:p>
    <w:p w14:paraId="0823CEC5" w14:textId="4A0D56DE" w:rsidR="00592A13" w:rsidRDefault="005A5764" w:rsidP="005A5764">
      <w:pPr>
        <w:rPr>
          <w:noProof/>
        </w:rPr>
      </w:pPr>
      <w:r w:rsidRPr="00792295">
        <w:rPr>
          <w:noProof/>
        </w:rPr>
        <w:t xml:space="preserve">In 2025, Ukraine got access to the Irregularities Management System (IMS) and </w:t>
      </w:r>
      <w:r w:rsidR="00202589" w:rsidRPr="00792295">
        <w:rPr>
          <w:noProof/>
        </w:rPr>
        <w:t xml:space="preserve">reported 24 fraudulent irregularities and 7 non-fraudulent irregularities related to the Ukraine Facility. More than 75% of these irregularities concerned the provision of access to safe and quality education. Most of </w:t>
      </w:r>
      <w:r w:rsidR="00424B9B">
        <w:rPr>
          <w:noProof/>
        </w:rPr>
        <w:t xml:space="preserve">the </w:t>
      </w:r>
      <w:r w:rsidR="00202589" w:rsidRPr="00792295">
        <w:rPr>
          <w:noProof/>
        </w:rPr>
        <w:t xml:space="preserve">irregularities </w:t>
      </w:r>
      <w:r w:rsidR="00424B9B">
        <w:rPr>
          <w:noProof/>
        </w:rPr>
        <w:t xml:space="preserve">involved </w:t>
      </w:r>
      <w:r w:rsidR="00202589" w:rsidRPr="00792295">
        <w:rPr>
          <w:noProof/>
        </w:rPr>
        <w:t>false or falsified documents</w:t>
      </w:r>
      <w:r w:rsidR="00424B9B">
        <w:rPr>
          <w:noProof/>
        </w:rPr>
        <w:t xml:space="preserve">, with </w:t>
      </w:r>
      <w:r w:rsidR="00202589" w:rsidRPr="00792295">
        <w:rPr>
          <w:noProof/>
        </w:rPr>
        <w:t xml:space="preserve">falsification was about inaccurate information reported in certificates of completion of works, which led to excessive payments or the overstatement of the cost of works. </w:t>
      </w:r>
    </w:p>
    <w:p w14:paraId="509F2A8E" w14:textId="3554B10F" w:rsidR="00BC3294" w:rsidRDefault="00BC3294" w:rsidP="00C32ABD">
      <w:pPr>
        <w:pBdr>
          <w:top w:val="single" w:sz="4" w:space="1" w:color="auto"/>
          <w:left w:val="single" w:sz="4" w:space="4" w:color="auto"/>
          <w:bottom w:val="single" w:sz="4" w:space="1" w:color="auto"/>
          <w:right w:val="single" w:sz="4" w:space="4" w:color="auto"/>
        </w:pBdr>
        <w:shd w:val="clear" w:color="auto" w:fill="FFF2CC" w:themeFill="accent4" w:themeFillTint="33"/>
        <w:rPr>
          <w:b/>
          <w:bCs/>
          <w:i/>
          <w:iCs/>
          <w:noProof/>
        </w:rPr>
      </w:pPr>
      <w:r w:rsidRPr="00E5351D">
        <w:rPr>
          <w:b/>
          <w:bCs/>
          <w:i/>
          <w:iCs/>
          <w:noProof/>
        </w:rPr>
        <w:t xml:space="preserve">Focus point </w:t>
      </w:r>
      <w:r w:rsidRPr="00C32ABD">
        <w:rPr>
          <w:b/>
          <w:bCs/>
          <w:i/>
          <w:iCs/>
          <w:noProof/>
        </w:rPr>
        <w:fldChar w:fldCharType="begin"/>
      </w:r>
      <w:r w:rsidRPr="00E5351D">
        <w:rPr>
          <w:b/>
          <w:bCs/>
          <w:i/>
          <w:iCs/>
          <w:noProof/>
        </w:rPr>
        <w:instrText xml:space="preserve"> SEQ Focus_point \* ARABIC </w:instrText>
      </w:r>
      <w:r w:rsidRPr="00C32ABD">
        <w:rPr>
          <w:b/>
          <w:bCs/>
          <w:i/>
          <w:iCs/>
          <w:noProof/>
        </w:rPr>
        <w:fldChar w:fldCharType="separate"/>
      </w:r>
      <w:r w:rsidR="009C1AC6">
        <w:rPr>
          <w:b/>
          <w:bCs/>
          <w:i/>
          <w:iCs/>
          <w:noProof/>
        </w:rPr>
        <w:t>8</w:t>
      </w:r>
      <w:r w:rsidRPr="00C32ABD">
        <w:rPr>
          <w:b/>
          <w:bCs/>
          <w:i/>
          <w:iCs/>
          <w:noProof/>
        </w:rPr>
        <w:fldChar w:fldCharType="end"/>
      </w:r>
      <w:r w:rsidRPr="00E5351D">
        <w:rPr>
          <w:b/>
          <w:bCs/>
          <w:i/>
          <w:iCs/>
          <w:noProof/>
        </w:rPr>
        <w:t xml:space="preserve">: </w:t>
      </w:r>
      <w:r w:rsidR="00A4363C">
        <w:rPr>
          <w:b/>
          <w:bCs/>
          <w:i/>
          <w:iCs/>
          <w:noProof/>
        </w:rPr>
        <w:t xml:space="preserve">Expanding the scope of IMS reporting </w:t>
      </w:r>
      <w:r w:rsidR="00BE3BC1">
        <w:rPr>
          <w:b/>
          <w:bCs/>
          <w:i/>
          <w:iCs/>
          <w:noProof/>
        </w:rPr>
        <w:t>in relation to candidate countries</w:t>
      </w:r>
    </w:p>
    <w:p w14:paraId="42F5E9AE" w14:textId="4F93C5E9" w:rsidR="00BE3BC1" w:rsidRDefault="00BE3BC1" w:rsidP="00C32ABD">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Pr>
          <w:noProof/>
        </w:rPr>
        <w:t>T</w:t>
      </w:r>
      <w:r w:rsidR="009B77C8">
        <w:rPr>
          <w:noProof/>
        </w:rPr>
        <w:t xml:space="preserve">he mandatory reporting via IMS of detected irregularities </w:t>
      </w:r>
      <w:r w:rsidR="005A0464">
        <w:rPr>
          <w:noProof/>
        </w:rPr>
        <w:t xml:space="preserve">and fraud </w:t>
      </w:r>
      <w:r w:rsidR="00B26391">
        <w:rPr>
          <w:noProof/>
        </w:rPr>
        <w:t xml:space="preserve">is foreseen for all new </w:t>
      </w:r>
      <w:r w:rsidR="005A0464">
        <w:rPr>
          <w:noProof/>
        </w:rPr>
        <w:t>instruments supporting candidate countries (</w:t>
      </w:r>
      <w:r w:rsidR="005B0064">
        <w:rPr>
          <w:noProof/>
        </w:rPr>
        <w:t>the Reform and Growth Facility</w:t>
      </w:r>
      <w:r w:rsidR="00622A00" w:rsidRPr="00622A00">
        <w:rPr>
          <w:noProof/>
        </w:rPr>
        <w:t> (</w:t>
      </w:r>
      <w:r w:rsidR="00622A00">
        <w:rPr>
          <w:rStyle w:val="FootnoteReference"/>
          <w:noProof/>
        </w:rPr>
        <w:footnoteReference w:id="73"/>
      </w:r>
      <w:r w:rsidR="00622A00">
        <w:rPr>
          <w:noProof/>
        </w:rPr>
        <w:t>)</w:t>
      </w:r>
      <w:r w:rsidR="005B0064">
        <w:rPr>
          <w:noProof/>
        </w:rPr>
        <w:t xml:space="preserve">, the Moldova Facility and the Ukraine Facility). </w:t>
      </w:r>
    </w:p>
    <w:p w14:paraId="0BAA706A" w14:textId="464FF5D4" w:rsidR="00CD5BC5" w:rsidRPr="009C1AC6" w:rsidRDefault="004457AF" w:rsidP="00C32ABD">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Pr>
          <w:noProof/>
        </w:rPr>
        <w:t xml:space="preserve">In the case of </w:t>
      </w:r>
      <w:r w:rsidR="0029219E">
        <w:rPr>
          <w:noProof/>
        </w:rPr>
        <w:t xml:space="preserve">Ukraine </w:t>
      </w:r>
      <w:r w:rsidR="007C7084">
        <w:rPr>
          <w:noProof/>
        </w:rPr>
        <w:t xml:space="preserve">all necessary preparatory conditions have already been </w:t>
      </w:r>
      <w:r w:rsidR="00C32ABD">
        <w:rPr>
          <w:noProof/>
        </w:rPr>
        <w:t>met,</w:t>
      </w:r>
      <w:r w:rsidR="007C7084">
        <w:rPr>
          <w:noProof/>
        </w:rPr>
        <w:t xml:space="preserve"> and </w:t>
      </w:r>
      <w:r w:rsidR="005D0015">
        <w:rPr>
          <w:noProof/>
        </w:rPr>
        <w:t xml:space="preserve">its </w:t>
      </w:r>
      <w:r w:rsidR="007C7084">
        <w:rPr>
          <w:noProof/>
        </w:rPr>
        <w:t xml:space="preserve">reporting authorities have </w:t>
      </w:r>
      <w:r w:rsidR="005D0015">
        <w:rPr>
          <w:noProof/>
        </w:rPr>
        <w:t xml:space="preserve">successfully </w:t>
      </w:r>
      <w:r w:rsidR="00C32ABD">
        <w:rPr>
          <w:noProof/>
        </w:rPr>
        <w:t xml:space="preserve">started using the system. </w:t>
      </w:r>
      <w:r>
        <w:rPr>
          <w:noProof/>
        </w:rPr>
        <w:t>P</w:t>
      </w:r>
      <w:r w:rsidR="00C32ABD">
        <w:rPr>
          <w:noProof/>
        </w:rPr>
        <w:t>reparations are ongoing</w:t>
      </w:r>
      <w:r>
        <w:rPr>
          <w:noProof/>
        </w:rPr>
        <w:t xml:space="preserve"> for the other candidate countries</w:t>
      </w:r>
      <w:r w:rsidR="00C32ABD">
        <w:rPr>
          <w:noProof/>
        </w:rPr>
        <w:t>.</w:t>
      </w:r>
    </w:p>
    <w:p w14:paraId="2EA80FE7" w14:textId="673B7F8E" w:rsidR="00D46D69" w:rsidRPr="00DE3A6F" w:rsidRDefault="00D46D69" w:rsidP="00580EF5">
      <w:pPr>
        <w:pStyle w:val="Heading4"/>
        <w:rPr>
          <w:noProof/>
        </w:rPr>
      </w:pPr>
      <w:bookmarkStart w:id="80" w:name="_Toc234447080"/>
      <w:r w:rsidRPr="00DE3A6F">
        <w:rPr>
          <w:noProof/>
        </w:rPr>
        <w:t>Direct management</w:t>
      </w:r>
      <w:bookmarkEnd w:id="80"/>
    </w:p>
    <w:p w14:paraId="17C25A18" w14:textId="7B8FCA77" w:rsidR="00A04A52" w:rsidRPr="00DE3A6F" w:rsidRDefault="00A04A52" w:rsidP="00A04A52">
      <w:pPr>
        <w:rPr>
          <w:noProof/>
        </w:rPr>
      </w:pPr>
      <w:r w:rsidRPr="00792295">
        <w:rPr>
          <w:noProof/>
        </w:rPr>
        <w:t>In 2025, excluding RRF grants, EUR </w:t>
      </w:r>
      <w:r w:rsidR="002F741A" w:rsidRPr="00792295">
        <w:rPr>
          <w:noProof/>
        </w:rPr>
        <w:t>49</w:t>
      </w:r>
      <w:r w:rsidR="002F741A">
        <w:rPr>
          <w:noProof/>
        </w:rPr>
        <w:t> </w:t>
      </w:r>
      <w:r w:rsidRPr="00792295">
        <w:rPr>
          <w:noProof/>
        </w:rPr>
        <w:t xml:space="preserve">025 million </w:t>
      </w:r>
      <w:r w:rsidR="002F741A" w:rsidRPr="00792295">
        <w:rPr>
          <w:noProof/>
        </w:rPr>
        <w:t>w</w:t>
      </w:r>
      <w:r w:rsidR="002F741A">
        <w:rPr>
          <w:noProof/>
        </w:rPr>
        <w:t>as</w:t>
      </w:r>
      <w:r w:rsidR="002F741A" w:rsidRPr="00792295">
        <w:rPr>
          <w:noProof/>
        </w:rPr>
        <w:t xml:space="preserve"> </w:t>
      </w:r>
      <w:r w:rsidRPr="00792295">
        <w:rPr>
          <w:noProof/>
        </w:rPr>
        <w:t xml:space="preserve">disbursed </w:t>
      </w:r>
      <w:r w:rsidR="00452B70" w:rsidRPr="00792295">
        <w:rPr>
          <w:noProof/>
        </w:rPr>
        <w:t>under</w:t>
      </w:r>
      <w:r w:rsidRPr="00792295">
        <w:rPr>
          <w:noProof/>
        </w:rPr>
        <w:t xml:space="preserve"> ‘direct management’</w:t>
      </w:r>
      <w:r w:rsidR="00452B70" w:rsidRPr="00792295">
        <w:rPr>
          <w:noProof/>
        </w:rPr>
        <w:t>.</w:t>
      </w:r>
      <w:r w:rsidRPr="00792295">
        <w:rPr>
          <w:noProof/>
        </w:rPr>
        <w:t xml:space="preserve"> </w:t>
      </w:r>
      <w:r w:rsidR="00452B70" w:rsidRPr="00792295">
        <w:rPr>
          <w:noProof/>
        </w:rPr>
        <w:t>T</w:t>
      </w:r>
      <w:r w:rsidRPr="00792295">
        <w:rPr>
          <w:noProof/>
        </w:rPr>
        <w:t xml:space="preserve">he Commission recorded 441 recovery items classified as irregularities, for a total value of EUR 86.34 million. Among these recovery items, 32 were </w:t>
      </w:r>
      <w:r w:rsidR="000208D9" w:rsidRPr="00792295">
        <w:rPr>
          <w:noProof/>
        </w:rPr>
        <w:t>indicated</w:t>
      </w:r>
      <w:r w:rsidRPr="00792295">
        <w:rPr>
          <w:noProof/>
        </w:rPr>
        <w:t xml:space="preserve"> as fraudulent irregularities, totalling EUR 5.52 million.</w:t>
      </w:r>
    </w:p>
    <w:p w14:paraId="1606FC19" w14:textId="3F2F4797" w:rsidR="00A04A52" w:rsidRPr="00DE3A6F" w:rsidRDefault="00A04A52" w:rsidP="00A04A52">
      <w:pPr>
        <w:rPr>
          <w:noProof/>
        </w:rPr>
      </w:pPr>
      <w:r w:rsidRPr="00DE3A6F">
        <w:rPr>
          <w:noProof/>
        </w:rPr>
        <w:lastRenderedPageBreak/>
        <w:t xml:space="preserve">During 2021-2025, the average </w:t>
      </w:r>
      <w:r w:rsidR="00D87AEC" w:rsidRPr="00DE3A6F">
        <w:rPr>
          <w:noProof/>
        </w:rPr>
        <w:t xml:space="preserve">fraud </w:t>
      </w:r>
      <w:r w:rsidR="008B2352" w:rsidRPr="00DE3A6F">
        <w:rPr>
          <w:noProof/>
        </w:rPr>
        <w:t xml:space="preserve">detection rate </w:t>
      </w:r>
      <w:r w:rsidRPr="00DE3A6F">
        <w:rPr>
          <w:noProof/>
        </w:rPr>
        <w:t xml:space="preserve">was 0.04%. This ratio peaked in 2024 at 0.12%. The </w:t>
      </w:r>
      <w:r w:rsidR="00D87AEC" w:rsidRPr="00DE3A6F">
        <w:rPr>
          <w:noProof/>
        </w:rPr>
        <w:t xml:space="preserve">average irregularity detection rate </w:t>
      </w:r>
      <w:r w:rsidRPr="00DE3A6F">
        <w:rPr>
          <w:noProof/>
        </w:rPr>
        <w:t>was about 0.15%.</w:t>
      </w:r>
    </w:p>
    <w:p w14:paraId="25021976" w14:textId="565731BD" w:rsidR="00A04A52" w:rsidRPr="00DE3A6F" w:rsidRDefault="00A04A52" w:rsidP="00A04A52">
      <w:pPr>
        <w:rPr>
          <w:noProof/>
        </w:rPr>
      </w:pPr>
      <w:r w:rsidRPr="00DE3A6F">
        <w:rPr>
          <w:noProof/>
        </w:rPr>
        <w:t>In 2025, the highest number of recovery items qualified as non-fraudulent irregularities</w:t>
      </w:r>
      <w:r w:rsidR="002811CB" w:rsidRPr="00DE3A6F">
        <w:rPr>
          <w:noProof/>
        </w:rPr>
        <w:t xml:space="preserve"> (269)</w:t>
      </w:r>
      <w:r w:rsidRPr="00DE3A6F">
        <w:rPr>
          <w:noProof/>
        </w:rPr>
        <w:t xml:space="preserve"> </w:t>
      </w:r>
      <w:r w:rsidR="00B65341">
        <w:rPr>
          <w:noProof/>
        </w:rPr>
        <w:t xml:space="preserve">came </w:t>
      </w:r>
      <w:r w:rsidR="00C60C27" w:rsidRPr="00DE3A6F">
        <w:rPr>
          <w:noProof/>
        </w:rPr>
        <w:t xml:space="preserve">under </w:t>
      </w:r>
      <w:r w:rsidRPr="00DE3A6F">
        <w:rPr>
          <w:noProof/>
        </w:rPr>
        <w:t>the budget heading ‘Single market, innovation and digital’</w:t>
      </w:r>
      <w:r w:rsidR="002811CB" w:rsidRPr="00DE3A6F">
        <w:rPr>
          <w:noProof/>
        </w:rPr>
        <w:t xml:space="preserve">, which also recorded </w:t>
      </w:r>
      <w:r w:rsidR="00981B12" w:rsidRPr="00DE3A6F">
        <w:rPr>
          <w:noProof/>
        </w:rPr>
        <w:t>t</w:t>
      </w:r>
      <w:r w:rsidRPr="00DE3A6F">
        <w:rPr>
          <w:noProof/>
        </w:rPr>
        <w:t>he highest irregular amounts (EUR 76.3 million).</w:t>
      </w:r>
    </w:p>
    <w:p w14:paraId="41F19621" w14:textId="4E287635" w:rsidR="00B272A4" w:rsidRPr="00DE3A6F" w:rsidRDefault="00A04A52" w:rsidP="00A04A52">
      <w:pPr>
        <w:rPr>
          <w:noProof/>
        </w:rPr>
      </w:pPr>
      <w:r w:rsidRPr="003E3442">
        <w:rPr>
          <w:noProof/>
        </w:rPr>
        <w:t xml:space="preserve">During 2021-2025, 77.7% of recovery items qualified as fraudulent </w:t>
      </w:r>
      <w:r w:rsidR="00350BCD" w:rsidRPr="003E3442">
        <w:rPr>
          <w:noProof/>
        </w:rPr>
        <w:t>(by number)</w:t>
      </w:r>
      <w:r w:rsidRPr="003E3442">
        <w:rPr>
          <w:noProof/>
        </w:rPr>
        <w:t xml:space="preserve"> and 91% </w:t>
      </w:r>
      <w:r w:rsidR="00350BCD" w:rsidRPr="003E3442">
        <w:rPr>
          <w:noProof/>
        </w:rPr>
        <w:t>(by amount) involved</w:t>
      </w:r>
      <w:r w:rsidRPr="003E3442">
        <w:rPr>
          <w:noProof/>
        </w:rPr>
        <w:t xml:space="preserve"> legal entities resident in the EU-27. For non-fraudulent irregularities, th</w:t>
      </w:r>
      <w:r w:rsidR="00493E52" w:rsidRPr="003E3442">
        <w:rPr>
          <w:noProof/>
        </w:rPr>
        <w:t>e</w:t>
      </w:r>
      <w:r w:rsidRPr="003E3442">
        <w:rPr>
          <w:noProof/>
        </w:rPr>
        <w:t>s</w:t>
      </w:r>
      <w:r w:rsidR="00493E52" w:rsidRPr="003E3442">
        <w:rPr>
          <w:noProof/>
        </w:rPr>
        <w:t>e</w:t>
      </w:r>
      <w:r w:rsidRPr="003E3442">
        <w:rPr>
          <w:noProof/>
        </w:rPr>
        <w:t xml:space="preserve"> </w:t>
      </w:r>
      <w:r w:rsidR="00493E52" w:rsidRPr="003E3442">
        <w:rPr>
          <w:noProof/>
        </w:rPr>
        <w:t xml:space="preserve">shares were </w:t>
      </w:r>
      <w:r w:rsidRPr="003E3442">
        <w:rPr>
          <w:noProof/>
        </w:rPr>
        <w:t>75.5%</w:t>
      </w:r>
      <w:r w:rsidR="00493E52" w:rsidRPr="003E3442">
        <w:rPr>
          <w:noProof/>
        </w:rPr>
        <w:t xml:space="preserve"> (by number</w:t>
      </w:r>
      <w:r w:rsidRPr="003E3442">
        <w:rPr>
          <w:noProof/>
        </w:rPr>
        <w:t>) and 81.9</w:t>
      </w:r>
      <w:r w:rsidR="00520502" w:rsidRPr="003E3442">
        <w:rPr>
          <w:noProof/>
        </w:rPr>
        <w:t>% (</w:t>
      </w:r>
      <w:r w:rsidR="00C3685A" w:rsidRPr="003E3442">
        <w:rPr>
          <w:noProof/>
        </w:rPr>
        <w:t>by amount</w:t>
      </w:r>
      <w:r w:rsidRPr="003E3442">
        <w:rPr>
          <w:noProof/>
        </w:rPr>
        <w:t>).</w:t>
      </w:r>
    </w:p>
    <w:p w14:paraId="6969E10A" w14:textId="2C43DE58" w:rsidR="00185D52" w:rsidRPr="00DE3A6F" w:rsidRDefault="00185D52" w:rsidP="00F43E85">
      <w:pPr>
        <w:pStyle w:val="Heading3"/>
        <w:rPr>
          <w:noProof/>
        </w:rPr>
      </w:pPr>
      <w:bookmarkStart w:id="81" w:name="_Recovery_and_Resilience"/>
      <w:bookmarkStart w:id="82" w:name="_Toc234447081"/>
      <w:bookmarkEnd w:id="81"/>
      <w:r w:rsidRPr="00DE3A6F">
        <w:rPr>
          <w:noProof/>
        </w:rPr>
        <w:t xml:space="preserve">Recovery and </w:t>
      </w:r>
      <w:r w:rsidR="00520502" w:rsidRPr="00DE3A6F">
        <w:rPr>
          <w:noProof/>
        </w:rPr>
        <w:t>resilience facility</w:t>
      </w:r>
      <w:bookmarkEnd w:id="82"/>
    </w:p>
    <w:p w14:paraId="1DEB2AC8" w14:textId="79F5F67D" w:rsidR="00185D52" w:rsidRPr="00DE3A6F" w:rsidRDefault="00185D52" w:rsidP="00185D52">
      <w:pPr>
        <w:rPr>
          <w:noProof/>
        </w:rPr>
      </w:pPr>
      <w:r w:rsidRPr="003E3442">
        <w:rPr>
          <w:noProof/>
        </w:rPr>
        <w:t xml:space="preserve">In 2025, the Commission continued to support Member States in amending their national recovery and resilience plans (RRPs). </w:t>
      </w:r>
      <w:r w:rsidR="00EC18BE" w:rsidRPr="003E3442">
        <w:rPr>
          <w:noProof/>
        </w:rPr>
        <w:t>It</w:t>
      </w:r>
      <w:r w:rsidRPr="003E3442">
        <w:rPr>
          <w:noProof/>
        </w:rPr>
        <w:t xml:space="preserve"> disbursed 34 payments to 24 Member States </w:t>
      </w:r>
      <w:r w:rsidR="00EC18BE" w:rsidRPr="003E3442">
        <w:rPr>
          <w:noProof/>
        </w:rPr>
        <w:t>totalling</w:t>
      </w:r>
      <w:r w:rsidRPr="003E3442">
        <w:rPr>
          <w:noProof/>
        </w:rPr>
        <w:t xml:space="preserve"> EUR 87.3 billion (</w:t>
      </w:r>
      <w:r w:rsidR="00785896" w:rsidRPr="003E3442">
        <w:rPr>
          <w:noProof/>
        </w:rPr>
        <w:t>including</w:t>
      </w:r>
      <w:r w:rsidRPr="003E3442">
        <w:rPr>
          <w:noProof/>
        </w:rPr>
        <w:t xml:space="preserve"> EUR 47.2 billion in loans), bringing </w:t>
      </w:r>
      <w:r w:rsidR="00785896" w:rsidRPr="003E3442">
        <w:rPr>
          <w:noProof/>
        </w:rPr>
        <w:t>cumulative</w:t>
      </w:r>
      <w:r w:rsidRPr="003E3442">
        <w:rPr>
          <w:noProof/>
        </w:rPr>
        <w:t xml:space="preserve"> disbursements by </w:t>
      </w:r>
      <w:r w:rsidR="00785896" w:rsidRPr="003E3442">
        <w:rPr>
          <w:noProof/>
        </w:rPr>
        <w:t>year-</w:t>
      </w:r>
      <w:r w:rsidRPr="003E3442">
        <w:rPr>
          <w:noProof/>
        </w:rPr>
        <w:t>end to EUR 393.4 billion</w:t>
      </w:r>
      <w:r w:rsidR="001F2CB4" w:rsidRPr="003E3442">
        <w:rPr>
          <w:noProof/>
        </w:rPr>
        <w:t xml:space="preserve"> (including </w:t>
      </w:r>
      <w:r w:rsidRPr="003E3442">
        <w:rPr>
          <w:noProof/>
        </w:rPr>
        <w:t xml:space="preserve">EUR 155.9 billion in loans). </w:t>
      </w:r>
    </w:p>
    <w:p w14:paraId="61D4EE94" w14:textId="16358201" w:rsidR="00185D52" w:rsidRPr="003E3442" w:rsidRDefault="00192CAE" w:rsidP="28D37C99">
      <w:pPr>
        <w:spacing w:before="120" w:line="240" w:lineRule="auto"/>
        <w:rPr>
          <w:rFonts w:eastAsia="Aptos"/>
          <w:noProof/>
        </w:rPr>
      </w:pPr>
      <w:r w:rsidRPr="003E3442">
        <w:rPr>
          <w:noProof/>
        </w:rPr>
        <w:t>T</w:t>
      </w:r>
      <w:r w:rsidR="00185D52" w:rsidRPr="003E3442">
        <w:rPr>
          <w:noProof/>
        </w:rPr>
        <w:t xml:space="preserve">he Commission </w:t>
      </w:r>
      <w:r w:rsidRPr="003E3442">
        <w:rPr>
          <w:noProof/>
        </w:rPr>
        <w:t xml:space="preserve">maintained </w:t>
      </w:r>
      <w:r w:rsidR="00185D52" w:rsidRPr="003E3442">
        <w:rPr>
          <w:noProof/>
        </w:rPr>
        <w:t>a dynamic audit and control</w:t>
      </w:r>
      <w:r w:rsidR="00953E70" w:rsidRPr="003E3442">
        <w:rPr>
          <w:noProof/>
        </w:rPr>
        <w:t xml:space="preserve"> framework, incorporating feedback </w:t>
      </w:r>
      <w:r w:rsidR="00D23177" w:rsidRPr="003E3442">
        <w:rPr>
          <w:noProof/>
        </w:rPr>
        <w:t xml:space="preserve">from </w:t>
      </w:r>
      <w:r w:rsidR="00185D52" w:rsidRPr="003E3442">
        <w:rPr>
          <w:noProof/>
        </w:rPr>
        <w:t>its own audits, the Internal Audit Service, the European Court of Auditors, the Council of the EU and the European Parliament</w:t>
      </w:r>
      <w:r w:rsidR="00185D52" w:rsidRPr="003E3442">
        <w:rPr>
          <w:rFonts w:eastAsia="EC Square Sans Pro"/>
          <w:noProof/>
        </w:rPr>
        <w:t>.</w:t>
      </w:r>
    </w:p>
    <w:p w14:paraId="40D19F3F" w14:textId="05259005" w:rsidR="00185D52" w:rsidRPr="00DE3A6F" w:rsidRDefault="00D23177" w:rsidP="00185D52">
      <w:pPr>
        <w:rPr>
          <w:noProof/>
        </w:rPr>
      </w:pPr>
      <w:r w:rsidRPr="003E3442">
        <w:rPr>
          <w:noProof/>
        </w:rPr>
        <w:t>B</w:t>
      </w:r>
      <w:r w:rsidR="00185D52" w:rsidRPr="003E3442">
        <w:rPr>
          <w:noProof/>
        </w:rPr>
        <w:t xml:space="preserve">y February 2026, the Commission had </w:t>
      </w:r>
      <w:r w:rsidR="00E03508" w:rsidRPr="003E3442">
        <w:rPr>
          <w:noProof/>
        </w:rPr>
        <w:t xml:space="preserve">conducted </w:t>
      </w:r>
      <w:r w:rsidR="00185D52" w:rsidRPr="003E3442">
        <w:rPr>
          <w:noProof/>
        </w:rPr>
        <w:t xml:space="preserve">121 audits, covering 442 milestones and targets, with 443 auditees, resulting in 701 findings. </w:t>
      </w:r>
    </w:p>
    <w:p w14:paraId="57FF72AB" w14:textId="161B5093" w:rsidR="00185D52" w:rsidRPr="003E3442" w:rsidRDefault="00185D52" w:rsidP="28D37C99">
      <w:pPr>
        <w:rPr>
          <w:rFonts w:eastAsia="EC Square Sans Pro"/>
          <w:noProof/>
          <w:color w:val="000000" w:themeColor="text1"/>
        </w:rPr>
      </w:pPr>
      <w:r w:rsidRPr="003E3442">
        <w:rPr>
          <w:noProof/>
        </w:rPr>
        <w:t xml:space="preserve">Member States </w:t>
      </w:r>
      <w:r w:rsidR="00EB4ACB">
        <w:rPr>
          <w:noProof/>
        </w:rPr>
        <w:t>have implemented most of the audit recommendations (91%)</w:t>
      </w:r>
      <w:r w:rsidR="00FF133C" w:rsidRPr="003E3442">
        <w:rPr>
          <w:noProof/>
        </w:rPr>
        <w:t xml:space="preserve">, with </w:t>
      </w:r>
      <w:r w:rsidRPr="003E3442">
        <w:rPr>
          <w:noProof/>
        </w:rPr>
        <w:t xml:space="preserve">audit and control milestones </w:t>
      </w:r>
      <w:r w:rsidR="00FF133C" w:rsidRPr="003E3442">
        <w:rPr>
          <w:noProof/>
        </w:rPr>
        <w:t xml:space="preserve">accelerating the </w:t>
      </w:r>
      <w:r w:rsidRPr="003E3442">
        <w:rPr>
          <w:noProof/>
        </w:rPr>
        <w:t>implementation of audit recommendations</w:t>
      </w:r>
      <w:r w:rsidR="003018BD" w:rsidRPr="003E3442">
        <w:rPr>
          <w:noProof/>
        </w:rPr>
        <w:t xml:space="preserve"> in some cases</w:t>
      </w:r>
      <w:r w:rsidRPr="003E3442">
        <w:rPr>
          <w:noProof/>
        </w:rPr>
        <w:t xml:space="preserve">. </w:t>
      </w:r>
      <w:r w:rsidR="003018BD" w:rsidRPr="003E3442">
        <w:rPr>
          <w:rFonts w:eastAsia="EC Square Sans Pro"/>
          <w:noProof/>
          <w:color w:val="000000" w:themeColor="text1"/>
        </w:rPr>
        <w:t>T</w:t>
      </w:r>
      <w:r w:rsidRPr="003E3442">
        <w:rPr>
          <w:rFonts w:eastAsia="EC Square Sans Pro"/>
          <w:noProof/>
          <w:color w:val="000000" w:themeColor="text1"/>
        </w:rPr>
        <w:t xml:space="preserve">he Commission </w:t>
      </w:r>
      <w:r w:rsidR="003018BD" w:rsidRPr="003E3442">
        <w:rPr>
          <w:rFonts w:eastAsia="EC Square Sans Pro"/>
          <w:noProof/>
          <w:color w:val="000000" w:themeColor="text1"/>
        </w:rPr>
        <w:t xml:space="preserve">continues to monitor </w:t>
      </w:r>
      <w:r w:rsidR="00783301">
        <w:rPr>
          <w:rFonts w:eastAsia="EC Square Sans Pro"/>
          <w:noProof/>
          <w:color w:val="000000" w:themeColor="text1"/>
        </w:rPr>
        <w:t xml:space="preserve">rigorously the implementation of audit </w:t>
      </w:r>
      <w:r w:rsidRPr="003E3442">
        <w:rPr>
          <w:rFonts w:eastAsia="EC Square Sans Pro"/>
          <w:noProof/>
          <w:color w:val="000000" w:themeColor="text1"/>
        </w:rPr>
        <w:t xml:space="preserve">recommendations </w:t>
      </w:r>
      <w:r w:rsidR="00DC4766">
        <w:rPr>
          <w:rFonts w:eastAsia="EC Square Sans Pro"/>
          <w:noProof/>
          <w:color w:val="000000" w:themeColor="text1"/>
        </w:rPr>
        <w:t xml:space="preserve">by the Member States, including during the </w:t>
      </w:r>
      <w:r w:rsidR="00161277">
        <w:rPr>
          <w:rFonts w:eastAsia="EC Square Sans Pro"/>
          <w:noProof/>
          <w:color w:val="000000" w:themeColor="text1"/>
        </w:rPr>
        <w:t xml:space="preserve">final phase </w:t>
      </w:r>
      <w:r w:rsidR="00DC4766">
        <w:rPr>
          <w:rFonts w:eastAsia="EC Square Sans Pro"/>
          <w:noProof/>
          <w:color w:val="000000" w:themeColor="text1"/>
        </w:rPr>
        <w:t xml:space="preserve">and closure </w:t>
      </w:r>
      <w:r w:rsidR="00161277">
        <w:rPr>
          <w:rFonts w:eastAsia="EC Square Sans Pro"/>
          <w:noProof/>
          <w:color w:val="000000" w:themeColor="text1"/>
        </w:rPr>
        <w:t xml:space="preserve">of the </w:t>
      </w:r>
      <w:r w:rsidRPr="003E3442">
        <w:rPr>
          <w:rFonts w:eastAsia="EC Square Sans Pro"/>
          <w:noProof/>
          <w:color w:val="000000" w:themeColor="text1"/>
        </w:rPr>
        <w:t xml:space="preserve">RRF. </w:t>
      </w:r>
    </w:p>
    <w:p w14:paraId="6D406A7D" w14:textId="2612B51F" w:rsidR="00185D52" w:rsidRPr="00DE3A6F" w:rsidRDefault="002A7282" w:rsidP="28D37C99">
      <w:pPr>
        <w:pStyle w:val="Caption"/>
        <w:pBdr>
          <w:top w:val="single" w:sz="4" w:space="1" w:color="auto"/>
          <w:left w:val="single" w:sz="4" w:space="1" w:color="auto"/>
          <w:bottom w:val="single" w:sz="4" w:space="1" w:color="auto"/>
          <w:right w:val="single" w:sz="4" w:space="1" w:color="auto"/>
        </w:pBdr>
        <w:shd w:val="clear" w:color="auto" w:fill="DEEAF6" w:themeFill="accent1" w:themeFillTint="33"/>
        <w:rPr>
          <w:noProof/>
        </w:rPr>
      </w:pPr>
      <w:bookmarkStart w:id="83" w:name="_Hlk234580689"/>
      <w:r w:rsidRPr="003E3442">
        <w:rPr>
          <w:noProof/>
        </w:rPr>
        <w:t xml:space="preserve">Snapshot </w:t>
      </w:r>
      <w:r w:rsidRPr="00DE3A6F">
        <w:rPr>
          <w:noProof/>
        </w:rPr>
        <w:fldChar w:fldCharType="begin"/>
      </w:r>
      <w:r w:rsidRPr="00DE3A6F">
        <w:rPr>
          <w:noProof/>
        </w:rPr>
        <w:instrText xml:space="preserve"> SEQ Snapshot \* ARABIC </w:instrText>
      </w:r>
      <w:r w:rsidRPr="00DE3A6F">
        <w:rPr>
          <w:noProof/>
        </w:rPr>
        <w:fldChar w:fldCharType="separate"/>
      </w:r>
      <w:r w:rsidR="00CA6005">
        <w:rPr>
          <w:noProof/>
        </w:rPr>
        <w:t>13</w:t>
      </w:r>
      <w:r w:rsidRPr="00DE3A6F">
        <w:rPr>
          <w:noProof/>
        </w:rPr>
        <w:fldChar w:fldCharType="end"/>
      </w:r>
      <w:r w:rsidRPr="003E3442">
        <w:rPr>
          <w:noProof/>
        </w:rPr>
        <w:t xml:space="preserve">: </w:t>
      </w:r>
      <w:r w:rsidR="00185D52" w:rsidRPr="003E3442">
        <w:rPr>
          <w:noProof/>
        </w:rPr>
        <w:t>Cooperation between the Commission, OLAF and the EPPO to fight fraud and irregularities in the RRF</w:t>
      </w:r>
    </w:p>
    <w:p w14:paraId="5B4241CF" w14:textId="468BCEA8" w:rsidR="00185D52" w:rsidRPr="00DE3A6F" w:rsidRDefault="00185D52" w:rsidP="00BA4723">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DE3A6F">
        <w:rPr>
          <w:noProof/>
        </w:rPr>
        <w:t xml:space="preserve">RRF funds </w:t>
      </w:r>
      <w:r w:rsidR="0041520E" w:rsidRPr="00DE3A6F">
        <w:rPr>
          <w:noProof/>
        </w:rPr>
        <w:t xml:space="preserve">are </w:t>
      </w:r>
      <w:r w:rsidRPr="00DE3A6F">
        <w:rPr>
          <w:noProof/>
        </w:rPr>
        <w:t xml:space="preserve">disbursed </w:t>
      </w:r>
      <w:r w:rsidR="008C049E">
        <w:rPr>
          <w:noProof/>
        </w:rPr>
        <w:t xml:space="preserve">once </w:t>
      </w:r>
      <w:r w:rsidRPr="00DE3A6F">
        <w:rPr>
          <w:noProof/>
        </w:rPr>
        <w:t>milestones and targets</w:t>
      </w:r>
      <w:r w:rsidR="008C049E">
        <w:rPr>
          <w:noProof/>
        </w:rPr>
        <w:t xml:space="preserve"> have been met satisfactorily</w:t>
      </w:r>
      <w:r w:rsidR="00797045" w:rsidRPr="00DE3A6F">
        <w:rPr>
          <w:noProof/>
        </w:rPr>
        <w:t xml:space="preserve">. </w:t>
      </w:r>
    </w:p>
    <w:p w14:paraId="0DB29C73" w14:textId="7C83CB2F" w:rsidR="00B200B2" w:rsidRPr="00DE3A6F" w:rsidRDefault="006E7174" w:rsidP="28D37C99">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3E3442">
        <w:rPr>
          <w:noProof/>
        </w:rPr>
        <w:t xml:space="preserve">Throughout the process, </w:t>
      </w:r>
      <w:r w:rsidR="00B323B6">
        <w:rPr>
          <w:noProof/>
        </w:rPr>
        <w:t xml:space="preserve">including through dedicated system audits, </w:t>
      </w:r>
      <w:r w:rsidRPr="003E3442">
        <w:rPr>
          <w:noProof/>
        </w:rPr>
        <w:t xml:space="preserve">the Commission verifies that Member States have the necessary control systems in place to protect the </w:t>
      </w:r>
      <w:r w:rsidR="008C049E">
        <w:rPr>
          <w:noProof/>
        </w:rPr>
        <w:t xml:space="preserve">EU’s </w:t>
      </w:r>
      <w:r w:rsidRPr="003E3442">
        <w:rPr>
          <w:noProof/>
        </w:rPr>
        <w:t xml:space="preserve">financial interests and, to that end, </w:t>
      </w:r>
      <w:r w:rsidR="00D81660" w:rsidRPr="003E3442">
        <w:rPr>
          <w:noProof/>
        </w:rPr>
        <w:t xml:space="preserve">it cooperates </w:t>
      </w:r>
      <w:r w:rsidR="00185D52" w:rsidRPr="003E3442">
        <w:rPr>
          <w:noProof/>
        </w:rPr>
        <w:t xml:space="preserve">with </w:t>
      </w:r>
      <w:r w:rsidR="00D81660" w:rsidRPr="003E3442">
        <w:rPr>
          <w:noProof/>
        </w:rPr>
        <w:t>national authorities</w:t>
      </w:r>
      <w:r w:rsidR="00185D52" w:rsidRPr="003E3442">
        <w:rPr>
          <w:noProof/>
        </w:rPr>
        <w:t xml:space="preserve">, OLAF and the EPPO. </w:t>
      </w:r>
    </w:p>
    <w:p w14:paraId="17E37A8B" w14:textId="3EC793D8" w:rsidR="00185D52" w:rsidRPr="00DE3A6F" w:rsidRDefault="00A6436C" w:rsidP="28D37C99">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3E3442">
        <w:rPr>
          <w:noProof/>
        </w:rPr>
        <w:t xml:space="preserve">By </w:t>
      </w:r>
      <w:r w:rsidR="00ED653F">
        <w:rPr>
          <w:noProof/>
        </w:rPr>
        <w:t xml:space="preserve">the </w:t>
      </w:r>
      <w:r w:rsidRPr="003E3442">
        <w:rPr>
          <w:noProof/>
        </w:rPr>
        <w:t xml:space="preserve">end of </w:t>
      </w:r>
      <w:r w:rsidR="00185D52" w:rsidRPr="003E3442">
        <w:rPr>
          <w:noProof/>
        </w:rPr>
        <w:t xml:space="preserve">February 2026, the Commission </w:t>
      </w:r>
      <w:r w:rsidR="00ED653F">
        <w:rPr>
          <w:noProof/>
        </w:rPr>
        <w:t xml:space="preserve">had </w:t>
      </w:r>
      <w:r w:rsidR="00185D52" w:rsidRPr="003E3442">
        <w:rPr>
          <w:noProof/>
        </w:rPr>
        <w:t xml:space="preserve">reported 38 potential </w:t>
      </w:r>
      <w:r w:rsidR="0036148D" w:rsidRPr="003E3442">
        <w:rPr>
          <w:noProof/>
        </w:rPr>
        <w:t>irregularities to</w:t>
      </w:r>
      <w:r w:rsidR="008C1FD5" w:rsidRPr="003E3442">
        <w:rPr>
          <w:noProof/>
        </w:rPr>
        <w:t xml:space="preserve"> OLAF (</w:t>
      </w:r>
      <w:r w:rsidR="00185D52" w:rsidRPr="003E3442">
        <w:rPr>
          <w:noProof/>
        </w:rPr>
        <w:t xml:space="preserve">identified </w:t>
      </w:r>
      <w:r w:rsidR="008C1FD5" w:rsidRPr="003E3442">
        <w:rPr>
          <w:noProof/>
        </w:rPr>
        <w:t xml:space="preserve">via </w:t>
      </w:r>
      <w:r w:rsidR="00185D52" w:rsidRPr="00ED653F">
        <w:rPr>
          <w:i/>
          <w:iCs/>
          <w:noProof/>
        </w:rPr>
        <w:t>ex</w:t>
      </w:r>
      <w:r w:rsidR="00ED653F" w:rsidRPr="00ED653F">
        <w:rPr>
          <w:i/>
          <w:iCs/>
          <w:noProof/>
        </w:rPr>
        <w:t> </w:t>
      </w:r>
      <w:r w:rsidR="00185D52" w:rsidRPr="00ED653F">
        <w:rPr>
          <w:i/>
          <w:iCs/>
          <w:noProof/>
        </w:rPr>
        <w:t>post</w:t>
      </w:r>
      <w:r w:rsidR="00185D52" w:rsidRPr="003E3442">
        <w:rPr>
          <w:noProof/>
        </w:rPr>
        <w:t xml:space="preserve"> audits or from open sources</w:t>
      </w:r>
      <w:r w:rsidR="008C1FD5" w:rsidRPr="003E3442">
        <w:rPr>
          <w:noProof/>
        </w:rPr>
        <w:t>)</w:t>
      </w:r>
      <w:r w:rsidR="00185D52" w:rsidRPr="003E3442">
        <w:rPr>
          <w:noProof/>
        </w:rPr>
        <w:t xml:space="preserve">. OLAF informed the Commission of </w:t>
      </w:r>
      <w:r w:rsidR="00ED653F">
        <w:rPr>
          <w:noProof/>
        </w:rPr>
        <w:t xml:space="preserve">an </w:t>
      </w:r>
      <w:r w:rsidR="00804679" w:rsidRPr="003E3442">
        <w:rPr>
          <w:noProof/>
        </w:rPr>
        <w:t xml:space="preserve">additional </w:t>
      </w:r>
      <w:r w:rsidR="00185D52" w:rsidRPr="003E3442">
        <w:rPr>
          <w:noProof/>
        </w:rPr>
        <w:t>50 cases</w:t>
      </w:r>
      <w:r w:rsidR="00804679" w:rsidRPr="003E3442">
        <w:rPr>
          <w:noProof/>
        </w:rPr>
        <w:t xml:space="preserve"> (for a total </w:t>
      </w:r>
      <w:r w:rsidR="00185D52" w:rsidRPr="003E3442">
        <w:rPr>
          <w:noProof/>
        </w:rPr>
        <w:t>of 88</w:t>
      </w:r>
      <w:r w:rsidR="00804679" w:rsidRPr="003E3442">
        <w:rPr>
          <w:noProof/>
        </w:rPr>
        <w:t>)</w:t>
      </w:r>
      <w:r w:rsidR="00185D52" w:rsidRPr="003E3442">
        <w:rPr>
          <w:noProof/>
        </w:rPr>
        <w:t xml:space="preserve">. </w:t>
      </w:r>
    </w:p>
    <w:p w14:paraId="0CE0DFE5" w14:textId="16C2079D" w:rsidR="00185D52" w:rsidRPr="00DE3A6F" w:rsidRDefault="00E458A3" w:rsidP="28D37C99">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sidRPr="003E3442">
        <w:rPr>
          <w:noProof/>
        </w:rPr>
        <w:t xml:space="preserve">The EPPO </w:t>
      </w:r>
      <w:r w:rsidR="000E6855" w:rsidRPr="003E3442">
        <w:rPr>
          <w:noProof/>
        </w:rPr>
        <w:t>sent</w:t>
      </w:r>
      <w:r w:rsidRPr="003E3442">
        <w:rPr>
          <w:noProof/>
        </w:rPr>
        <w:t xml:space="preserve"> </w:t>
      </w:r>
      <w:r w:rsidR="00614A93">
        <w:rPr>
          <w:noProof/>
        </w:rPr>
        <w:t xml:space="preserve">to </w:t>
      </w:r>
      <w:r w:rsidRPr="003E3442">
        <w:rPr>
          <w:noProof/>
        </w:rPr>
        <w:t xml:space="preserve">the Commission </w:t>
      </w:r>
      <w:r w:rsidR="00185D52" w:rsidRPr="003E3442">
        <w:rPr>
          <w:noProof/>
        </w:rPr>
        <w:t>137 notifications</w:t>
      </w:r>
      <w:r w:rsidR="000E6855" w:rsidRPr="003E3442">
        <w:rPr>
          <w:noProof/>
        </w:rPr>
        <w:t xml:space="preserve"> (</w:t>
      </w:r>
      <w:r w:rsidR="00185D52" w:rsidRPr="003E3442">
        <w:rPr>
          <w:noProof/>
        </w:rPr>
        <w:t>101 active cases in court proceedings or ongoing investigations. 68% of the ongoing cases notified by the EPPO to the Commission related to one measure in a single Member State</w:t>
      </w:r>
      <w:r w:rsidR="00511B85" w:rsidRPr="003E3442">
        <w:rPr>
          <w:noProof/>
        </w:rPr>
        <w:t>)</w:t>
      </w:r>
      <w:r w:rsidR="008E4658">
        <w:rPr>
          <w:noProof/>
        </w:rPr>
        <w:t xml:space="preserve"> for an estimated damage of EUR 77 million</w:t>
      </w:r>
      <w:r w:rsidR="00185D52" w:rsidRPr="003E3442">
        <w:rPr>
          <w:noProof/>
        </w:rPr>
        <w:t>.</w:t>
      </w:r>
      <w:r w:rsidR="008E4658">
        <w:rPr>
          <w:noProof/>
        </w:rPr>
        <w:t xml:space="preserve"> </w:t>
      </w:r>
      <w:r w:rsidR="008E4658" w:rsidRPr="00DE3A6F">
        <w:rPr>
          <w:noProof/>
        </w:rPr>
        <w:t xml:space="preserve">In its 2025 </w:t>
      </w:r>
      <w:r w:rsidR="008E4658">
        <w:rPr>
          <w:noProof/>
        </w:rPr>
        <w:t>a</w:t>
      </w:r>
      <w:r w:rsidR="008E4658" w:rsidRPr="00DE3A6F">
        <w:rPr>
          <w:noProof/>
        </w:rPr>
        <w:t>nnual report, the EPPO reported 512 ongoing investigations into RRF, with estimated damage amounting to about EUR</w:t>
      </w:r>
      <w:r w:rsidR="008E4658">
        <w:rPr>
          <w:noProof/>
        </w:rPr>
        <w:t> </w:t>
      </w:r>
      <w:r w:rsidR="008E4658" w:rsidRPr="00DE3A6F">
        <w:rPr>
          <w:noProof/>
        </w:rPr>
        <w:t>5 billion</w:t>
      </w:r>
      <w:r w:rsidR="008E4658" w:rsidRPr="0067128F">
        <w:rPr>
          <w:noProof/>
        </w:rPr>
        <w:t> (</w:t>
      </w:r>
      <w:r w:rsidR="008E4658">
        <w:rPr>
          <w:rStyle w:val="FootnoteReference"/>
          <w:noProof/>
        </w:rPr>
        <w:footnoteReference w:id="74"/>
      </w:r>
      <w:r w:rsidR="008E4658">
        <w:rPr>
          <w:noProof/>
        </w:rPr>
        <w:t>)</w:t>
      </w:r>
      <w:r w:rsidR="008E4658" w:rsidRPr="00DE3A6F">
        <w:rPr>
          <w:noProof/>
        </w:rPr>
        <w:t>.</w:t>
      </w:r>
    </w:p>
    <w:p w14:paraId="393AB36C" w14:textId="045F2121" w:rsidR="00185D52" w:rsidRPr="00DE3A6F" w:rsidRDefault="00356B74" w:rsidP="00BA4723">
      <w:pPr>
        <w:pBdr>
          <w:top w:val="single" w:sz="4" w:space="1" w:color="auto"/>
          <w:left w:val="single" w:sz="4" w:space="1" w:color="auto"/>
          <w:bottom w:val="single" w:sz="4" w:space="1" w:color="auto"/>
          <w:right w:val="single" w:sz="4" w:space="1" w:color="auto"/>
        </w:pBdr>
        <w:shd w:val="clear" w:color="auto" w:fill="DEEAF6" w:themeFill="accent1" w:themeFillTint="33"/>
        <w:rPr>
          <w:noProof/>
        </w:rPr>
      </w:pPr>
      <w:r>
        <w:rPr>
          <w:noProof/>
        </w:rPr>
        <w:t xml:space="preserve">Once it receives </w:t>
      </w:r>
      <w:r w:rsidR="6957AA3F" w:rsidRPr="003E3442">
        <w:rPr>
          <w:noProof/>
        </w:rPr>
        <w:t>OLAF recommendations, the Commission liaise</w:t>
      </w:r>
      <w:r w:rsidR="3607D8D0" w:rsidRPr="003E3442">
        <w:rPr>
          <w:noProof/>
        </w:rPr>
        <w:t>s</w:t>
      </w:r>
      <w:r w:rsidR="6957AA3F" w:rsidRPr="003E3442">
        <w:rPr>
          <w:noProof/>
        </w:rPr>
        <w:t xml:space="preserve"> with Member States</w:t>
      </w:r>
      <w:r w:rsidR="4FAF58DC" w:rsidRPr="003E3442">
        <w:rPr>
          <w:noProof/>
        </w:rPr>
        <w:t xml:space="preserve"> to request </w:t>
      </w:r>
      <w:r w:rsidR="7921FA65" w:rsidRPr="003E3442">
        <w:rPr>
          <w:noProof/>
        </w:rPr>
        <w:t xml:space="preserve">the </w:t>
      </w:r>
      <w:r w:rsidR="53553ED4" w:rsidRPr="003E3442">
        <w:rPr>
          <w:noProof/>
        </w:rPr>
        <w:t>correction</w:t>
      </w:r>
      <w:r w:rsidR="42F1A044" w:rsidRPr="003E3442">
        <w:rPr>
          <w:noProof/>
        </w:rPr>
        <w:t xml:space="preserve"> </w:t>
      </w:r>
      <w:r w:rsidR="53553ED4" w:rsidRPr="003E3442">
        <w:rPr>
          <w:noProof/>
        </w:rPr>
        <w:t xml:space="preserve">of </w:t>
      </w:r>
      <w:r w:rsidR="6957AA3F" w:rsidRPr="003E3442">
        <w:rPr>
          <w:noProof/>
        </w:rPr>
        <w:t xml:space="preserve">amounts unduly paid or misused. </w:t>
      </w:r>
      <w:r w:rsidR="2A98788F" w:rsidRPr="003E3442">
        <w:rPr>
          <w:noProof/>
        </w:rPr>
        <w:t>I</w:t>
      </w:r>
      <w:r w:rsidR="00CF57FD">
        <w:rPr>
          <w:noProof/>
        </w:rPr>
        <w:t xml:space="preserve">f </w:t>
      </w:r>
      <w:r w:rsidR="2A98788F" w:rsidRPr="003E3442">
        <w:rPr>
          <w:noProof/>
        </w:rPr>
        <w:t xml:space="preserve">Member States do not fulfil their </w:t>
      </w:r>
      <w:r w:rsidR="6957AA3F" w:rsidRPr="003E3442">
        <w:rPr>
          <w:noProof/>
        </w:rPr>
        <w:t>obligations</w:t>
      </w:r>
      <w:r w:rsidR="2A98788F" w:rsidRPr="003E3442">
        <w:rPr>
          <w:noProof/>
        </w:rPr>
        <w:t xml:space="preserve">, </w:t>
      </w:r>
      <w:r w:rsidR="2A98788F" w:rsidRPr="003E3442">
        <w:rPr>
          <w:noProof/>
        </w:rPr>
        <w:lastRenderedPageBreak/>
        <w:t>the Commission</w:t>
      </w:r>
      <w:r w:rsidR="6957AA3F" w:rsidRPr="003E3442">
        <w:rPr>
          <w:noProof/>
        </w:rPr>
        <w:t xml:space="preserve"> can take corrective measures</w:t>
      </w:r>
      <w:r w:rsidR="7A19E760" w:rsidRPr="003E3442">
        <w:rPr>
          <w:noProof/>
        </w:rPr>
        <w:t xml:space="preserve"> in cases of fraud, corruption, conflict of interests or double funding that has not been corrected by the Member States</w:t>
      </w:r>
      <w:r w:rsidR="6957AA3F" w:rsidRPr="003E3442">
        <w:rPr>
          <w:noProof/>
        </w:rPr>
        <w:t xml:space="preserve">. </w:t>
      </w:r>
      <w:bookmarkEnd w:id="83"/>
    </w:p>
    <w:p w14:paraId="79144248" w14:textId="433ED40A" w:rsidR="00FB5CF5" w:rsidRPr="00DE3A6F" w:rsidRDefault="00802A7B" w:rsidP="00A01F05">
      <w:pPr>
        <w:pStyle w:val="Heading2"/>
        <w:rPr>
          <w:noProof/>
        </w:rPr>
      </w:pPr>
      <w:bookmarkStart w:id="84" w:name="_Other_budgetary_areas"/>
      <w:bookmarkStart w:id="85" w:name="_Organised_crime,_corruption"/>
      <w:bookmarkStart w:id="86" w:name="_Toc234447082"/>
      <w:bookmarkStart w:id="87" w:name="_Toc134557994"/>
      <w:bookmarkStart w:id="88" w:name="_Toc202011348"/>
      <w:bookmarkEnd w:id="84"/>
      <w:bookmarkEnd w:id="85"/>
      <w:r w:rsidRPr="00DE3A6F">
        <w:rPr>
          <w:noProof/>
        </w:rPr>
        <w:t>F</w:t>
      </w:r>
      <w:r w:rsidR="00D6269A" w:rsidRPr="00DE3A6F">
        <w:rPr>
          <w:noProof/>
        </w:rPr>
        <w:t xml:space="preserve">raud enablers </w:t>
      </w:r>
      <w:r w:rsidR="1F9823E4" w:rsidRPr="00DE3A6F">
        <w:rPr>
          <w:noProof/>
        </w:rPr>
        <w:t>against the EU budget</w:t>
      </w:r>
      <w:bookmarkEnd w:id="86"/>
    </w:p>
    <w:p w14:paraId="4E132582" w14:textId="6E87CD83" w:rsidR="00FB5CF5" w:rsidRPr="00DE3A6F" w:rsidRDefault="00242D48" w:rsidP="00F43E85">
      <w:pPr>
        <w:pStyle w:val="Heading3"/>
        <w:rPr>
          <w:noProof/>
        </w:rPr>
      </w:pPr>
      <w:bookmarkStart w:id="89" w:name="_Organised_crime"/>
      <w:bookmarkStart w:id="90" w:name="_Toc234447083"/>
      <w:bookmarkEnd w:id="89"/>
      <w:r w:rsidRPr="00962587">
        <w:rPr>
          <w:noProof/>
        </w:rPr>
        <w:t>Organised crime</w:t>
      </w:r>
      <w:bookmarkEnd w:id="90"/>
      <w:r w:rsidRPr="00962587">
        <w:rPr>
          <w:noProof/>
        </w:rPr>
        <w:t xml:space="preserve"> </w:t>
      </w:r>
      <w:bookmarkEnd w:id="87"/>
      <w:bookmarkEnd w:id="88"/>
    </w:p>
    <w:p w14:paraId="4A7FF259" w14:textId="598DD9A0" w:rsidR="002855CA" w:rsidRPr="00DE3A6F" w:rsidRDefault="5FB43206" w:rsidP="00E044C9">
      <w:pPr>
        <w:rPr>
          <w:noProof/>
        </w:rPr>
      </w:pPr>
      <w:r w:rsidRPr="00962587">
        <w:rPr>
          <w:noProof/>
        </w:rPr>
        <w:t>According to Europol’s latest EU serious organised crime threat assessment (</w:t>
      </w:r>
      <w:r w:rsidR="00301CB6" w:rsidRPr="00962587">
        <w:rPr>
          <w:rStyle w:val="FootnoteReference"/>
          <w:noProof/>
        </w:rPr>
        <w:footnoteReference w:id="75"/>
      </w:r>
      <w:r w:rsidRPr="00962587">
        <w:rPr>
          <w:noProof/>
        </w:rPr>
        <w:t xml:space="preserve">), </w:t>
      </w:r>
      <w:r w:rsidR="72AF20F7" w:rsidRPr="00962587">
        <w:rPr>
          <w:noProof/>
        </w:rPr>
        <w:t>c</w:t>
      </w:r>
      <w:r w:rsidR="462914EF" w:rsidRPr="00962587">
        <w:rPr>
          <w:noProof/>
        </w:rPr>
        <w:t xml:space="preserve">riminal networks </w:t>
      </w:r>
      <w:r w:rsidR="00DF0429" w:rsidRPr="00962587">
        <w:rPr>
          <w:noProof/>
        </w:rPr>
        <w:t>exploit</w:t>
      </w:r>
      <w:r w:rsidR="462914EF" w:rsidRPr="00962587">
        <w:rPr>
          <w:noProof/>
        </w:rPr>
        <w:t xml:space="preserve"> crises</w:t>
      </w:r>
      <w:r w:rsidR="004F5402" w:rsidRPr="00962587">
        <w:rPr>
          <w:noProof/>
        </w:rPr>
        <w:t>, such as natural disasters or health emergencies,</w:t>
      </w:r>
      <w:r w:rsidR="462914EF" w:rsidRPr="00962587">
        <w:rPr>
          <w:noProof/>
        </w:rPr>
        <w:t xml:space="preserve"> </w:t>
      </w:r>
      <w:r w:rsidR="006D1EBE" w:rsidRPr="00962587">
        <w:rPr>
          <w:noProof/>
        </w:rPr>
        <w:t>to</w:t>
      </w:r>
      <w:r w:rsidR="7A3A1887" w:rsidRPr="00962587">
        <w:rPr>
          <w:noProof/>
        </w:rPr>
        <w:t xml:space="preserve"> make</w:t>
      </w:r>
      <w:r w:rsidR="462914EF" w:rsidRPr="00962587">
        <w:rPr>
          <w:noProof/>
        </w:rPr>
        <w:t xml:space="preserve"> companies or individuals eligible for </w:t>
      </w:r>
      <w:r w:rsidR="0036148D" w:rsidRPr="00962587">
        <w:rPr>
          <w:noProof/>
        </w:rPr>
        <w:t>funding.</w:t>
      </w:r>
      <w:r w:rsidR="2D22491A" w:rsidRPr="00962587">
        <w:rPr>
          <w:noProof/>
        </w:rPr>
        <w:t xml:space="preserve"> </w:t>
      </w:r>
      <w:r w:rsidR="00DE79B0" w:rsidRPr="00962587">
        <w:rPr>
          <w:noProof/>
        </w:rPr>
        <w:t>Advances</w:t>
      </w:r>
      <w:r w:rsidR="462914EF" w:rsidRPr="00962587">
        <w:rPr>
          <w:noProof/>
        </w:rPr>
        <w:t xml:space="preserve"> in AI will</w:t>
      </w:r>
      <w:r w:rsidR="57F59A40" w:rsidRPr="00962587">
        <w:rPr>
          <w:noProof/>
        </w:rPr>
        <w:t xml:space="preserve"> </w:t>
      </w:r>
      <w:r w:rsidR="00ED2500" w:rsidRPr="00962587">
        <w:rPr>
          <w:noProof/>
        </w:rPr>
        <w:t xml:space="preserve">also </w:t>
      </w:r>
      <w:r w:rsidR="462914EF" w:rsidRPr="00962587">
        <w:rPr>
          <w:noProof/>
        </w:rPr>
        <w:t xml:space="preserve">provide new </w:t>
      </w:r>
      <w:r w:rsidR="00ED2500" w:rsidRPr="00962587">
        <w:rPr>
          <w:noProof/>
        </w:rPr>
        <w:t xml:space="preserve">tools for generating </w:t>
      </w:r>
      <w:r w:rsidR="462914EF" w:rsidRPr="00962587">
        <w:rPr>
          <w:noProof/>
        </w:rPr>
        <w:t>text and image</w:t>
      </w:r>
      <w:r w:rsidR="00ED2500" w:rsidRPr="00962587">
        <w:rPr>
          <w:noProof/>
        </w:rPr>
        <w:t>s</w:t>
      </w:r>
      <w:r w:rsidR="462914EF" w:rsidRPr="00962587">
        <w:rPr>
          <w:noProof/>
        </w:rPr>
        <w:t xml:space="preserve"> which </w:t>
      </w:r>
      <w:r w:rsidR="007624AB" w:rsidRPr="00962587">
        <w:rPr>
          <w:noProof/>
        </w:rPr>
        <w:t xml:space="preserve">can </w:t>
      </w:r>
      <w:r w:rsidR="462914EF" w:rsidRPr="00962587">
        <w:rPr>
          <w:noProof/>
        </w:rPr>
        <w:t>be misused to create fake identities or</w:t>
      </w:r>
      <w:r w:rsidR="57F59A40" w:rsidRPr="00962587">
        <w:rPr>
          <w:noProof/>
        </w:rPr>
        <w:t xml:space="preserve"> </w:t>
      </w:r>
      <w:r w:rsidR="462914EF" w:rsidRPr="00962587">
        <w:rPr>
          <w:noProof/>
        </w:rPr>
        <w:t>convincing false documentation</w:t>
      </w:r>
      <w:r w:rsidR="002855CA" w:rsidRPr="00962587">
        <w:rPr>
          <w:noProof/>
        </w:rPr>
        <w:t xml:space="preserve"> at low cost</w:t>
      </w:r>
      <w:r w:rsidR="2D22491A" w:rsidRPr="00962587">
        <w:rPr>
          <w:noProof/>
        </w:rPr>
        <w:t xml:space="preserve">. </w:t>
      </w:r>
    </w:p>
    <w:p w14:paraId="319C24ED" w14:textId="591EE78B" w:rsidR="006E3D62" w:rsidRPr="00DE3A6F" w:rsidRDefault="002855CA" w:rsidP="00E044C9">
      <w:pPr>
        <w:rPr>
          <w:noProof/>
        </w:rPr>
      </w:pPr>
      <w:r w:rsidRPr="00962587">
        <w:rPr>
          <w:noProof/>
        </w:rPr>
        <w:t>F</w:t>
      </w:r>
      <w:r w:rsidR="19AE4622" w:rsidRPr="00962587">
        <w:rPr>
          <w:noProof/>
        </w:rPr>
        <w:t xml:space="preserve">raud schemes </w:t>
      </w:r>
      <w:r w:rsidRPr="00962587">
        <w:rPr>
          <w:noProof/>
        </w:rPr>
        <w:t xml:space="preserve">targeting </w:t>
      </w:r>
      <w:r w:rsidR="19AE4622" w:rsidRPr="00962587">
        <w:rPr>
          <w:noProof/>
        </w:rPr>
        <w:t>the financial interest</w:t>
      </w:r>
      <w:r w:rsidR="1C214C2F" w:rsidRPr="00962587">
        <w:rPr>
          <w:noProof/>
        </w:rPr>
        <w:t>s</w:t>
      </w:r>
      <w:r w:rsidR="19AE4622" w:rsidRPr="00962587">
        <w:rPr>
          <w:noProof/>
        </w:rPr>
        <w:t xml:space="preserve"> of Member States and the EU </w:t>
      </w:r>
      <w:r w:rsidRPr="00962587">
        <w:rPr>
          <w:noProof/>
        </w:rPr>
        <w:t xml:space="preserve">vary </w:t>
      </w:r>
      <w:r w:rsidR="19AE4622" w:rsidRPr="00962587">
        <w:rPr>
          <w:noProof/>
        </w:rPr>
        <w:t>in sophistication</w:t>
      </w:r>
      <w:r w:rsidR="007D5C95">
        <w:rPr>
          <w:noProof/>
        </w:rPr>
        <w:t>.</w:t>
      </w:r>
      <w:r w:rsidR="19AE4622" w:rsidRPr="00962587">
        <w:rPr>
          <w:noProof/>
        </w:rPr>
        <w:t xml:space="preserve"> </w:t>
      </w:r>
      <w:r w:rsidR="003A3482" w:rsidRPr="00962587">
        <w:rPr>
          <w:noProof/>
        </w:rPr>
        <w:t>Missing trader intra-Community (</w:t>
      </w:r>
      <w:r w:rsidR="19AE4622" w:rsidRPr="00962587">
        <w:rPr>
          <w:noProof/>
        </w:rPr>
        <w:t>MTIC</w:t>
      </w:r>
      <w:r w:rsidR="003A3482" w:rsidRPr="00962587">
        <w:rPr>
          <w:noProof/>
        </w:rPr>
        <w:t>)</w:t>
      </w:r>
      <w:r w:rsidR="19AE4622" w:rsidRPr="00962587">
        <w:rPr>
          <w:noProof/>
        </w:rPr>
        <w:t xml:space="preserve"> fraud in particular inherently relies on complex networks of companies to obscure connections</w:t>
      </w:r>
      <w:r w:rsidR="00011C90" w:rsidRPr="00962587">
        <w:rPr>
          <w:noProof/>
        </w:rPr>
        <w:t xml:space="preserve"> between participants</w:t>
      </w:r>
      <w:r w:rsidR="19AE4622" w:rsidRPr="00962587">
        <w:rPr>
          <w:noProof/>
        </w:rPr>
        <w:t xml:space="preserve">, </w:t>
      </w:r>
      <w:r w:rsidR="00011C90" w:rsidRPr="00962587">
        <w:rPr>
          <w:noProof/>
        </w:rPr>
        <w:t xml:space="preserve">often </w:t>
      </w:r>
      <w:r w:rsidR="19AE4622" w:rsidRPr="00962587">
        <w:rPr>
          <w:noProof/>
        </w:rPr>
        <w:t>culminating in contra-trading schemes.</w:t>
      </w:r>
      <w:r w:rsidR="4A0C6084" w:rsidRPr="00962587">
        <w:rPr>
          <w:noProof/>
        </w:rPr>
        <w:t xml:space="preserve"> The systematic misuse of legal business structures is a </w:t>
      </w:r>
      <w:r w:rsidR="0080341C" w:rsidRPr="00962587">
        <w:rPr>
          <w:noProof/>
        </w:rPr>
        <w:t>key feature</w:t>
      </w:r>
      <w:r w:rsidR="4A0C6084" w:rsidRPr="00962587">
        <w:rPr>
          <w:noProof/>
        </w:rPr>
        <w:t xml:space="preserve"> of VAT and MTIC fraud. Shell or buffer companies, whether infiltrated or </w:t>
      </w:r>
      <w:r w:rsidR="0080341C" w:rsidRPr="00962587">
        <w:rPr>
          <w:noProof/>
        </w:rPr>
        <w:t>newly established</w:t>
      </w:r>
      <w:r w:rsidR="4A0C6084" w:rsidRPr="00962587">
        <w:rPr>
          <w:noProof/>
        </w:rPr>
        <w:t>, facilitate the exploitation of cross-border VAT systems and VAT refund processes.</w:t>
      </w:r>
    </w:p>
    <w:p w14:paraId="4F92CC5C" w14:textId="38BD9DDA" w:rsidR="00542122" w:rsidRPr="00DE3A6F" w:rsidRDefault="007338E2" w:rsidP="001623A1">
      <w:pPr>
        <w:rPr>
          <w:noProof/>
        </w:rPr>
      </w:pPr>
      <w:r>
        <w:rPr>
          <w:noProof/>
        </w:rPr>
        <w:t xml:space="preserve">The </w:t>
      </w:r>
      <w:r w:rsidR="00664FD0" w:rsidRPr="00962587">
        <w:rPr>
          <w:noProof/>
        </w:rPr>
        <w:t>EPPO’s annual report</w:t>
      </w:r>
      <w:r w:rsidR="00681755" w:rsidRPr="00962587">
        <w:rPr>
          <w:noProof/>
        </w:rPr>
        <w:t>s</w:t>
      </w:r>
      <w:r w:rsidR="00664FD0" w:rsidRPr="00962587">
        <w:rPr>
          <w:noProof/>
        </w:rPr>
        <w:t xml:space="preserve"> </w:t>
      </w:r>
      <w:r w:rsidR="003E4BC6" w:rsidRPr="00962587">
        <w:rPr>
          <w:noProof/>
        </w:rPr>
        <w:t xml:space="preserve">underline the involvement of organised </w:t>
      </w:r>
      <w:r w:rsidR="005E55BF" w:rsidRPr="00962587">
        <w:rPr>
          <w:noProof/>
        </w:rPr>
        <w:t xml:space="preserve">crime </w:t>
      </w:r>
      <w:r w:rsidR="003E4BC6" w:rsidRPr="00962587">
        <w:rPr>
          <w:noProof/>
        </w:rPr>
        <w:t xml:space="preserve">groups </w:t>
      </w:r>
      <w:r w:rsidR="00396B23">
        <w:rPr>
          <w:noProof/>
        </w:rPr>
        <w:t xml:space="preserve">including </w:t>
      </w:r>
      <w:r w:rsidR="003E4BC6" w:rsidRPr="00962587">
        <w:rPr>
          <w:noProof/>
        </w:rPr>
        <w:t xml:space="preserve">in VAT </w:t>
      </w:r>
      <w:r w:rsidR="00954EF6">
        <w:rPr>
          <w:noProof/>
        </w:rPr>
        <w:t xml:space="preserve">and customs </w:t>
      </w:r>
      <w:r w:rsidR="003E4BC6" w:rsidRPr="00962587">
        <w:rPr>
          <w:noProof/>
        </w:rPr>
        <w:t>fraud</w:t>
      </w:r>
      <w:r w:rsidR="005E55BF" w:rsidRPr="00962587">
        <w:rPr>
          <w:noProof/>
        </w:rPr>
        <w:t xml:space="preserve">. </w:t>
      </w:r>
      <w:r w:rsidR="00954EF6">
        <w:rPr>
          <w:noProof/>
        </w:rPr>
        <w:t>In its 2025 annual report, t</w:t>
      </w:r>
      <w:r>
        <w:rPr>
          <w:noProof/>
        </w:rPr>
        <w:t xml:space="preserve">he </w:t>
      </w:r>
      <w:r w:rsidR="3CC9DF8F" w:rsidRPr="00962587">
        <w:rPr>
          <w:noProof/>
        </w:rPr>
        <w:t>E</w:t>
      </w:r>
      <w:r w:rsidR="2710CDED" w:rsidRPr="00962587">
        <w:rPr>
          <w:noProof/>
        </w:rPr>
        <w:t xml:space="preserve">PPO </w:t>
      </w:r>
      <w:r w:rsidR="00C46C47">
        <w:rPr>
          <w:noProof/>
        </w:rPr>
        <w:t xml:space="preserve">reported </w:t>
      </w:r>
      <w:r w:rsidR="44D88E55" w:rsidRPr="00962587">
        <w:rPr>
          <w:noProof/>
        </w:rPr>
        <w:t>52</w:t>
      </w:r>
      <w:r w:rsidR="2FB8EA5B" w:rsidRPr="00962587">
        <w:rPr>
          <w:noProof/>
        </w:rPr>
        <w:t>9</w:t>
      </w:r>
      <w:r w:rsidR="08B5272C" w:rsidRPr="00962587">
        <w:rPr>
          <w:noProof/>
        </w:rPr>
        <w:t xml:space="preserve"> </w:t>
      </w:r>
      <w:r w:rsidR="589F922F" w:rsidRPr="00962587">
        <w:rPr>
          <w:noProof/>
        </w:rPr>
        <w:t xml:space="preserve">active investigations </w:t>
      </w:r>
      <w:r w:rsidR="00894E86">
        <w:rPr>
          <w:noProof/>
        </w:rPr>
        <w:t xml:space="preserve">at the end of </w:t>
      </w:r>
      <w:r w:rsidR="007379AB">
        <w:rPr>
          <w:noProof/>
        </w:rPr>
        <w:t xml:space="preserve">2025 </w:t>
      </w:r>
      <w:r w:rsidR="00783D84" w:rsidRPr="00962587">
        <w:rPr>
          <w:noProof/>
        </w:rPr>
        <w:t>(14.</w:t>
      </w:r>
      <w:r w:rsidR="00D719AD" w:rsidRPr="00962587">
        <w:rPr>
          <w:noProof/>
        </w:rPr>
        <w:t>7</w:t>
      </w:r>
      <w:r w:rsidR="00783D84" w:rsidRPr="00962587">
        <w:rPr>
          <w:noProof/>
        </w:rPr>
        <w:t xml:space="preserve">% of the total active investigations) </w:t>
      </w:r>
      <w:r w:rsidR="589F922F" w:rsidRPr="00962587">
        <w:rPr>
          <w:noProof/>
        </w:rPr>
        <w:t xml:space="preserve">in which </w:t>
      </w:r>
      <w:r w:rsidR="002E5503" w:rsidRPr="00962587">
        <w:rPr>
          <w:noProof/>
        </w:rPr>
        <w:t xml:space="preserve">participation in </w:t>
      </w:r>
      <w:r w:rsidR="0036148D" w:rsidRPr="00962587">
        <w:rPr>
          <w:noProof/>
        </w:rPr>
        <w:t>criminal</w:t>
      </w:r>
      <w:r w:rsidR="00783D84" w:rsidRPr="00962587">
        <w:rPr>
          <w:noProof/>
        </w:rPr>
        <w:t xml:space="preserve"> organisations </w:t>
      </w:r>
      <w:r w:rsidR="007379AB">
        <w:rPr>
          <w:noProof/>
        </w:rPr>
        <w:t>wa</w:t>
      </w:r>
      <w:r w:rsidR="007379AB" w:rsidRPr="00962587">
        <w:rPr>
          <w:noProof/>
        </w:rPr>
        <w:t xml:space="preserve">s </w:t>
      </w:r>
      <w:r w:rsidR="589F922F" w:rsidRPr="00962587">
        <w:rPr>
          <w:noProof/>
        </w:rPr>
        <w:t xml:space="preserve">among the </w:t>
      </w:r>
      <w:r w:rsidR="3C4C91CA" w:rsidRPr="00962587">
        <w:rPr>
          <w:noProof/>
        </w:rPr>
        <w:t>investigated offences.</w:t>
      </w:r>
      <w:r w:rsidR="79F0CCC5" w:rsidRPr="00962587">
        <w:rPr>
          <w:noProof/>
        </w:rPr>
        <w:t xml:space="preserve"> </w:t>
      </w:r>
    </w:p>
    <w:p w14:paraId="45A1BB5B" w14:textId="431BFA3D" w:rsidR="00716652" w:rsidRPr="00DE3A6F" w:rsidRDefault="00A01D8F" w:rsidP="001623A1">
      <w:pPr>
        <w:rPr>
          <w:noProof/>
        </w:rPr>
      </w:pPr>
      <w:r>
        <w:rPr>
          <w:noProof/>
        </w:rPr>
        <w:t>B</w:t>
      </w:r>
      <w:r w:rsidR="00B921D1" w:rsidRPr="00962587">
        <w:rPr>
          <w:noProof/>
        </w:rPr>
        <w:t>y the end of 2025,</w:t>
      </w:r>
      <w:r w:rsidR="00716652" w:rsidRPr="00962587">
        <w:rPr>
          <w:noProof/>
        </w:rPr>
        <w:t xml:space="preserve"> </w:t>
      </w:r>
      <w:r w:rsidR="00681004">
        <w:rPr>
          <w:noProof/>
        </w:rPr>
        <w:t xml:space="preserve">the EPPO </w:t>
      </w:r>
      <w:r w:rsidR="00716652" w:rsidRPr="00962587">
        <w:rPr>
          <w:noProof/>
        </w:rPr>
        <w:t>had 648 VAT-related active investigations</w:t>
      </w:r>
      <w:r w:rsidR="007379AB" w:rsidRPr="00825482">
        <w:rPr>
          <w:noProof/>
        </w:rPr>
        <w:t> (</w:t>
      </w:r>
      <w:r w:rsidR="007379AB">
        <w:rPr>
          <w:rStyle w:val="FootnoteReference"/>
          <w:noProof/>
        </w:rPr>
        <w:footnoteReference w:id="76"/>
      </w:r>
      <w:r w:rsidR="007379AB">
        <w:rPr>
          <w:noProof/>
        </w:rPr>
        <w:t>)</w:t>
      </w:r>
      <w:r w:rsidR="00716652" w:rsidRPr="00962587">
        <w:rPr>
          <w:noProof/>
        </w:rPr>
        <w:t xml:space="preserve">, </w:t>
      </w:r>
      <w:r w:rsidR="00B921D1" w:rsidRPr="00962587">
        <w:rPr>
          <w:noProof/>
        </w:rPr>
        <w:t xml:space="preserve">with </w:t>
      </w:r>
      <w:r w:rsidR="00716652" w:rsidRPr="00962587">
        <w:rPr>
          <w:noProof/>
        </w:rPr>
        <w:t xml:space="preserve">estimated financial damage of EUR </w:t>
      </w:r>
      <w:r w:rsidR="007869E5" w:rsidRPr="00962587">
        <w:rPr>
          <w:noProof/>
        </w:rPr>
        <w:t>43</w:t>
      </w:r>
      <w:r w:rsidR="00716652" w:rsidRPr="00962587">
        <w:rPr>
          <w:noProof/>
        </w:rPr>
        <w:t>.</w:t>
      </w:r>
      <w:r w:rsidR="00184DDA" w:rsidRPr="00962587">
        <w:rPr>
          <w:noProof/>
        </w:rPr>
        <w:t>84</w:t>
      </w:r>
      <w:r w:rsidR="00716652" w:rsidRPr="00962587">
        <w:rPr>
          <w:noProof/>
        </w:rPr>
        <w:t xml:space="preserve"> billion</w:t>
      </w:r>
      <w:r w:rsidR="0079627D" w:rsidRPr="00962587">
        <w:rPr>
          <w:noProof/>
        </w:rPr>
        <w:t xml:space="preserve"> </w:t>
      </w:r>
      <w:r w:rsidR="00681004">
        <w:rPr>
          <w:noProof/>
        </w:rPr>
        <w:t xml:space="preserve">mostly </w:t>
      </w:r>
      <w:r w:rsidR="0079627D" w:rsidRPr="00962587">
        <w:rPr>
          <w:noProof/>
        </w:rPr>
        <w:t>impacting on national budgets</w:t>
      </w:r>
      <w:r w:rsidR="00716652" w:rsidRPr="00962587">
        <w:rPr>
          <w:noProof/>
        </w:rPr>
        <w:t>. This represent</w:t>
      </w:r>
      <w:r w:rsidR="00B921D1" w:rsidRPr="00962587">
        <w:rPr>
          <w:noProof/>
        </w:rPr>
        <w:t>s</w:t>
      </w:r>
      <w:r w:rsidR="00716652" w:rsidRPr="00962587">
        <w:rPr>
          <w:noProof/>
        </w:rPr>
        <w:t xml:space="preserve"> </w:t>
      </w:r>
      <w:r w:rsidR="00E019F4" w:rsidRPr="00962587">
        <w:rPr>
          <w:noProof/>
        </w:rPr>
        <w:t xml:space="preserve">about 18% </w:t>
      </w:r>
      <w:r w:rsidR="001B655B" w:rsidRPr="00962587">
        <w:rPr>
          <w:noProof/>
        </w:rPr>
        <w:t xml:space="preserve">of </w:t>
      </w:r>
      <w:r w:rsidR="007338E2">
        <w:rPr>
          <w:noProof/>
        </w:rPr>
        <w:t xml:space="preserve">the </w:t>
      </w:r>
      <w:r w:rsidR="001B655B" w:rsidRPr="00962587">
        <w:rPr>
          <w:noProof/>
        </w:rPr>
        <w:t xml:space="preserve">EPPO’s 3 602 active investigations and </w:t>
      </w:r>
      <w:r w:rsidR="00716652" w:rsidRPr="00962587">
        <w:rPr>
          <w:noProof/>
        </w:rPr>
        <w:t xml:space="preserve">almost </w:t>
      </w:r>
      <w:r w:rsidR="00114B6D" w:rsidRPr="00962587">
        <w:rPr>
          <w:noProof/>
        </w:rPr>
        <w:t>65</w:t>
      </w:r>
      <w:r w:rsidR="00716652" w:rsidRPr="00962587">
        <w:rPr>
          <w:noProof/>
        </w:rPr>
        <w:t>% of the estimated financial damage.</w:t>
      </w:r>
    </w:p>
    <w:p w14:paraId="3A3C61A4" w14:textId="65D2167D" w:rsidR="2B2C4263" w:rsidRPr="00DE3A6F" w:rsidRDefault="2B2C4263" w:rsidP="00F43E85">
      <w:pPr>
        <w:pStyle w:val="Heading3"/>
        <w:rPr>
          <w:noProof/>
        </w:rPr>
      </w:pPr>
      <w:bookmarkStart w:id="91" w:name="_Toc234447084"/>
      <w:r w:rsidRPr="00DE3A6F">
        <w:rPr>
          <w:noProof/>
        </w:rPr>
        <w:t>Corruption</w:t>
      </w:r>
      <w:bookmarkEnd w:id="91"/>
    </w:p>
    <w:p w14:paraId="7FF7D582" w14:textId="0D1DC814" w:rsidR="004453B0" w:rsidRPr="00DE3A6F" w:rsidRDefault="439DDBCD" w:rsidP="001623A1">
      <w:pPr>
        <w:rPr>
          <w:noProof/>
        </w:rPr>
      </w:pPr>
      <w:r w:rsidRPr="00962587">
        <w:rPr>
          <w:noProof/>
        </w:rPr>
        <w:t xml:space="preserve">Corruption </w:t>
      </w:r>
      <w:r w:rsidR="00D72271" w:rsidRPr="00962587">
        <w:rPr>
          <w:noProof/>
        </w:rPr>
        <w:t xml:space="preserve">is </w:t>
      </w:r>
      <w:r w:rsidRPr="00962587">
        <w:rPr>
          <w:noProof/>
        </w:rPr>
        <w:t xml:space="preserve">a critical enabler of organised crime, allowing criminal networks to infiltrate institutions, evade law enforcement, and expand their influence across political, economic, and social </w:t>
      </w:r>
      <w:r w:rsidR="0083111A" w:rsidRPr="00962587">
        <w:rPr>
          <w:noProof/>
        </w:rPr>
        <w:t>spheres</w:t>
      </w:r>
      <w:r w:rsidRPr="00962587">
        <w:rPr>
          <w:noProof/>
        </w:rPr>
        <w:t xml:space="preserve">. It undermines the rule of law, weakens governance structures, and distorts economic systems, creating an environment conducive to illicit activities. The intersection of corruption and </w:t>
      </w:r>
      <w:r w:rsidR="00C37B97">
        <w:rPr>
          <w:noProof/>
        </w:rPr>
        <w:t xml:space="preserve">organised </w:t>
      </w:r>
      <w:r w:rsidRPr="00962587">
        <w:rPr>
          <w:noProof/>
        </w:rPr>
        <w:t>crime presents several significant threats to societal stability and security (</w:t>
      </w:r>
      <w:r w:rsidR="004453B0" w:rsidRPr="00962587">
        <w:rPr>
          <w:rStyle w:val="FootnoteReference"/>
          <w:noProof/>
        </w:rPr>
        <w:footnoteReference w:id="77"/>
      </w:r>
      <w:r w:rsidRPr="00962587">
        <w:rPr>
          <w:noProof/>
        </w:rPr>
        <w:t>)</w:t>
      </w:r>
    </w:p>
    <w:p w14:paraId="73ED6909" w14:textId="021E0306" w:rsidR="00FE7908" w:rsidRPr="00DE3A6F" w:rsidRDefault="00C9755E" w:rsidP="001623A1">
      <w:pPr>
        <w:rPr>
          <w:noProof/>
        </w:rPr>
      </w:pPr>
      <w:r>
        <w:rPr>
          <w:noProof/>
        </w:rPr>
        <w:t xml:space="preserve">The </w:t>
      </w:r>
      <w:r w:rsidR="3C4C91CA" w:rsidRPr="00962587">
        <w:rPr>
          <w:noProof/>
        </w:rPr>
        <w:t xml:space="preserve">EPPO reported </w:t>
      </w:r>
      <w:r w:rsidR="00782538" w:rsidRPr="00962587">
        <w:rPr>
          <w:noProof/>
        </w:rPr>
        <w:t>16</w:t>
      </w:r>
      <w:r w:rsidR="00782538">
        <w:rPr>
          <w:noProof/>
        </w:rPr>
        <w:t>9</w:t>
      </w:r>
      <w:r w:rsidR="00782538" w:rsidRPr="00962587">
        <w:rPr>
          <w:noProof/>
        </w:rPr>
        <w:t xml:space="preserve"> </w:t>
      </w:r>
      <w:r w:rsidR="600A5B51" w:rsidRPr="00962587">
        <w:rPr>
          <w:noProof/>
        </w:rPr>
        <w:t xml:space="preserve">active </w:t>
      </w:r>
      <w:r w:rsidR="3C4C91CA" w:rsidRPr="00962587">
        <w:rPr>
          <w:noProof/>
        </w:rPr>
        <w:t>investigat</w:t>
      </w:r>
      <w:r w:rsidR="600A5B51" w:rsidRPr="00962587">
        <w:rPr>
          <w:noProof/>
        </w:rPr>
        <w:t>ions</w:t>
      </w:r>
      <w:r w:rsidR="3C4C91CA" w:rsidRPr="00962587">
        <w:rPr>
          <w:noProof/>
        </w:rPr>
        <w:t xml:space="preserve"> </w:t>
      </w:r>
      <w:r w:rsidR="00D84C7A" w:rsidRPr="00962587">
        <w:rPr>
          <w:noProof/>
        </w:rPr>
        <w:t>(4.</w:t>
      </w:r>
      <w:r w:rsidR="00E06DBF">
        <w:rPr>
          <w:noProof/>
        </w:rPr>
        <w:t>7</w:t>
      </w:r>
      <w:r w:rsidR="00D84C7A" w:rsidRPr="00962587">
        <w:rPr>
          <w:noProof/>
        </w:rPr>
        <w:t xml:space="preserve">% of the total) </w:t>
      </w:r>
      <w:r>
        <w:rPr>
          <w:noProof/>
        </w:rPr>
        <w:t xml:space="preserve">involving </w:t>
      </w:r>
      <w:r w:rsidR="198D570A" w:rsidRPr="00962587">
        <w:rPr>
          <w:b/>
          <w:bCs/>
          <w:noProof/>
        </w:rPr>
        <w:t>corruption</w:t>
      </w:r>
      <w:r w:rsidR="198D570A" w:rsidRPr="00962587">
        <w:rPr>
          <w:noProof/>
        </w:rPr>
        <w:t xml:space="preserve"> among the </w:t>
      </w:r>
      <w:r w:rsidR="3C4C91CA" w:rsidRPr="00962587">
        <w:rPr>
          <w:noProof/>
        </w:rPr>
        <w:t>offences</w:t>
      </w:r>
      <w:r w:rsidR="00D84C7A" w:rsidRPr="00962587">
        <w:rPr>
          <w:noProof/>
        </w:rPr>
        <w:t xml:space="preserve"> </w:t>
      </w:r>
      <w:r w:rsidRPr="00962587">
        <w:rPr>
          <w:noProof/>
        </w:rPr>
        <w:t xml:space="preserve">investigated </w:t>
      </w:r>
      <w:r w:rsidR="1548BED3" w:rsidRPr="00962587">
        <w:rPr>
          <w:noProof/>
        </w:rPr>
        <w:t>up to</w:t>
      </w:r>
      <w:r w:rsidR="3C4C91CA" w:rsidRPr="00962587">
        <w:rPr>
          <w:noProof/>
        </w:rPr>
        <w:t xml:space="preserve"> the end of 202</w:t>
      </w:r>
      <w:r w:rsidR="600A5B51" w:rsidRPr="00962587">
        <w:rPr>
          <w:noProof/>
        </w:rPr>
        <w:t>5</w:t>
      </w:r>
      <w:r w:rsidR="3C4C91CA" w:rsidRPr="00962587">
        <w:rPr>
          <w:noProof/>
        </w:rPr>
        <w:t xml:space="preserve">. </w:t>
      </w:r>
    </w:p>
    <w:p w14:paraId="4DB6C0FC" w14:textId="5466BEAB" w:rsidR="001623A1" w:rsidRPr="00DE3A6F" w:rsidRDefault="6B570053" w:rsidP="001623A1">
      <w:pPr>
        <w:rPr>
          <w:noProof/>
        </w:rPr>
      </w:pPr>
      <w:r w:rsidRPr="00DE3A6F">
        <w:rPr>
          <w:noProof/>
        </w:rPr>
        <w:t xml:space="preserve">From </w:t>
      </w:r>
      <w:r w:rsidR="3C4C91CA" w:rsidRPr="00DE3A6F">
        <w:rPr>
          <w:noProof/>
        </w:rPr>
        <w:t>20</w:t>
      </w:r>
      <w:r w:rsidR="79F0CCC5" w:rsidRPr="00DE3A6F">
        <w:rPr>
          <w:noProof/>
        </w:rPr>
        <w:t>2</w:t>
      </w:r>
      <w:r w:rsidR="3FAAB354" w:rsidRPr="00DE3A6F">
        <w:rPr>
          <w:noProof/>
        </w:rPr>
        <w:t>1</w:t>
      </w:r>
      <w:r w:rsidRPr="00DE3A6F">
        <w:rPr>
          <w:noProof/>
        </w:rPr>
        <w:t xml:space="preserve"> to </w:t>
      </w:r>
      <w:r w:rsidR="3C4C91CA" w:rsidRPr="00DE3A6F">
        <w:rPr>
          <w:noProof/>
        </w:rPr>
        <w:t>202</w:t>
      </w:r>
      <w:r w:rsidR="3FAAB354" w:rsidRPr="00DE3A6F">
        <w:rPr>
          <w:noProof/>
        </w:rPr>
        <w:t>5</w:t>
      </w:r>
      <w:r w:rsidR="3C4C91CA" w:rsidRPr="00DE3A6F">
        <w:rPr>
          <w:noProof/>
        </w:rPr>
        <w:t xml:space="preserve">, </w:t>
      </w:r>
      <w:r w:rsidR="008449A4" w:rsidRPr="00DE3A6F">
        <w:rPr>
          <w:noProof/>
        </w:rPr>
        <w:t xml:space="preserve">40 </w:t>
      </w:r>
      <w:r w:rsidR="5F7B9F1B" w:rsidRPr="00DE3A6F">
        <w:rPr>
          <w:noProof/>
        </w:rPr>
        <w:t xml:space="preserve">corruption </w:t>
      </w:r>
      <w:r w:rsidR="3C4C91CA" w:rsidRPr="00DE3A6F">
        <w:rPr>
          <w:noProof/>
        </w:rPr>
        <w:t xml:space="preserve">cases </w:t>
      </w:r>
      <w:r w:rsidR="1548BED3" w:rsidRPr="00DE3A6F">
        <w:rPr>
          <w:noProof/>
        </w:rPr>
        <w:t>were</w:t>
      </w:r>
      <w:r w:rsidR="3C4C91CA" w:rsidRPr="00DE3A6F">
        <w:rPr>
          <w:noProof/>
        </w:rPr>
        <w:t xml:space="preserve"> reported </w:t>
      </w:r>
      <w:r w:rsidR="573ADB51" w:rsidRPr="00DE3A6F">
        <w:rPr>
          <w:noProof/>
        </w:rPr>
        <w:t xml:space="preserve">to the Commission </w:t>
      </w:r>
      <w:r w:rsidR="3C4C91CA" w:rsidRPr="00DE3A6F">
        <w:rPr>
          <w:noProof/>
        </w:rPr>
        <w:t xml:space="preserve">via IMS by </w:t>
      </w:r>
      <w:r w:rsidR="00F51830" w:rsidRPr="00DE3A6F">
        <w:rPr>
          <w:noProof/>
        </w:rPr>
        <w:t xml:space="preserve">12 </w:t>
      </w:r>
      <w:r w:rsidR="3C4C91CA" w:rsidRPr="00DE3A6F">
        <w:rPr>
          <w:noProof/>
        </w:rPr>
        <w:t>countries</w:t>
      </w:r>
      <w:r w:rsidR="005914F5" w:rsidRPr="00DE3A6F">
        <w:rPr>
          <w:noProof/>
        </w:rPr>
        <w:t>. Of these</w:t>
      </w:r>
      <w:r w:rsidR="00F51830" w:rsidRPr="00DE3A6F">
        <w:rPr>
          <w:noProof/>
        </w:rPr>
        <w:t xml:space="preserve">, </w:t>
      </w:r>
      <w:r w:rsidR="005914F5" w:rsidRPr="00DE3A6F">
        <w:rPr>
          <w:noProof/>
        </w:rPr>
        <w:t xml:space="preserve">36 were reported by </w:t>
      </w:r>
      <w:r w:rsidR="00D115C4" w:rsidRPr="00DE3A6F">
        <w:rPr>
          <w:noProof/>
        </w:rPr>
        <w:t>8 Member States</w:t>
      </w:r>
      <w:r w:rsidR="3C4C91CA" w:rsidRPr="00DE3A6F">
        <w:rPr>
          <w:noProof/>
        </w:rPr>
        <w:t>.</w:t>
      </w:r>
      <w:r w:rsidR="00F46371" w:rsidRPr="00DE3A6F">
        <w:rPr>
          <w:noProof/>
        </w:rPr>
        <w:t xml:space="preserve"> </w:t>
      </w:r>
      <w:r w:rsidR="002464BC" w:rsidRPr="00DE3A6F">
        <w:rPr>
          <w:noProof/>
        </w:rPr>
        <w:t xml:space="preserve">In view of the EPPO’s investigations, these data </w:t>
      </w:r>
      <w:r w:rsidR="005914F5" w:rsidRPr="00DE3A6F">
        <w:rPr>
          <w:noProof/>
        </w:rPr>
        <w:t xml:space="preserve">appear </w:t>
      </w:r>
      <w:r w:rsidR="00827229" w:rsidRPr="00DE3A6F">
        <w:rPr>
          <w:noProof/>
        </w:rPr>
        <w:t>incomplete</w:t>
      </w:r>
      <w:r w:rsidR="00F46371" w:rsidRPr="00DE3A6F">
        <w:rPr>
          <w:noProof/>
        </w:rPr>
        <w:t xml:space="preserve"> </w:t>
      </w:r>
      <w:r w:rsidR="00827229" w:rsidRPr="00DE3A6F">
        <w:rPr>
          <w:noProof/>
        </w:rPr>
        <w:t xml:space="preserve">and may </w:t>
      </w:r>
      <w:r w:rsidR="00C9755E">
        <w:rPr>
          <w:noProof/>
        </w:rPr>
        <w:t xml:space="preserve">reflect </w:t>
      </w:r>
      <w:r w:rsidR="00827229" w:rsidRPr="00DE3A6F">
        <w:rPr>
          <w:noProof/>
        </w:rPr>
        <w:t>specific difficulties in</w:t>
      </w:r>
      <w:r w:rsidR="00F30E9C" w:rsidRPr="00DE3A6F">
        <w:rPr>
          <w:noProof/>
        </w:rPr>
        <w:t xml:space="preserve"> detecting and</w:t>
      </w:r>
      <w:r w:rsidR="00827229" w:rsidRPr="00DE3A6F">
        <w:rPr>
          <w:noProof/>
        </w:rPr>
        <w:t xml:space="preserve"> investigating corruption offences.</w:t>
      </w:r>
      <w:r w:rsidR="79F0CCC5" w:rsidRPr="00DE3A6F">
        <w:rPr>
          <w:noProof/>
        </w:rPr>
        <w:t xml:space="preserve"> </w:t>
      </w:r>
    </w:p>
    <w:p w14:paraId="377A26C3" w14:textId="752ABBC1" w:rsidR="03DA592F" w:rsidRPr="00DE3A6F" w:rsidRDefault="03DA592F" w:rsidP="00F43E85">
      <w:pPr>
        <w:pStyle w:val="Heading3"/>
        <w:rPr>
          <w:noProof/>
        </w:rPr>
      </w:pPr>
      <w:bookmarkStart w:id="92" w:name="_Toc234447085"/>
      <w:r w:rsidRPr="00DE3A6F">
        <w:rPr>
          <w:noProof/>
        </w:rPr>
        <w:lastRenderedPageBreak/>
        <w:t>Conflicts of interest</w:t>
      </w:r>
      <w:bookmarkEnd w:id="92"/>
    </w:p>
    <w:p w14:paraId="77165C09" w14:textId="59F61029" w:rsidR="00242D48" w:rsidRPr="00DE3A6F" w:rsidRDefault="0022348E" w:rsidP="00471A80">
      <w:pPr>
        <w:rPr>
          <w:noProof/>
        </w:rPr>
      </w:pPr>
      <w:r w:rsidRPr="00DE3A6F">
        <w:rPr>
          <w:noProof/>
        </w:rPr>
        <w:t>Between</w:t>
      </w:r>
      <w:r w:rsidR="00471A80" w:rsidRPr="00DE3A6F">
        <w:rPr>
          <w:noProof/>
        </w:rPr>
        <w:t xml:space="preserve"> 2021 </w:t>
      </w:r>
      <w:r w:rsidRPr="00DE3A6F">
        <w:rPr>
          <w:noProof/>
        </w:rPr>
        <w:t xml:space="preserve">and </w:t>
      </w:r>
      <w:r w:rsidR="00471A80" w:rsidRPr="00DE3A6F">
        <w:rPr>
          <w:noProof/>
        </w:rPr>
        <w:t>202</w:t>
      </w:r>
      <w:r w:rsidR="005D4771" w:rsidRPr="00DE3A6F">
        <w:rPr>
          <w:noProof/>
        </w:rPr>
        <w:t>5</w:t>
      </w:r>
      <w:r w:rsidR="00471A80" w:rsidRPr="00DE3A6F">
        <w:rPr>
          <w:noProof/>
        </w:rPr>
        <w:t xml:space="preserve">, national authorities from 26 countries </w:t>
      </w:r>
      <w:r w:rsidR="005D4771" w:rsidRPr="00DE3A6F">
        <w:rPr>
          <w:noProof/>
        </w:rPr>
        <w:t>(</w:t>
      </w:r>
      <w:r w:rsidR="00471A80" w:rsidRPr="00DE3A6F">
        <w:rPr>
          <w:noProof/>
        </w:rPr>
        <w:t>21 Member States, 4 candidate countries and the United Kingdom</w:t>
      </w:r>
      <w:r w:rsidR="005D4771" w:rsidRPr="00DE3A6F">
        <w:rPr>
          <w:noProof/>
        </w:rPr>
        <w:t>)</w:t>
      </w:r>
      <w:r w:rsidR="00471A80" w:rsidRPr="00DE3A6F">
        <w:rPr>
          <w:noProof/>
        </w:rPr>
        <w:t xml:space="preserve"> reported 562 irregularities </w:t>
      </w:r>
      <w:r w:rsidR="007D1D45">
        <w:rPr>
          <w:noProof/>
        </w:rPr>
        <w:t xml:space="preserve">involving </w:t>
      </w:r>
      <w:r w:rsidR="00471A80" w:rsidRPr="00DE3A6F">
        <w:rPr>
          <w:noProof/>
        </w:rPr>
        <w:t>conflict</w:t>
      </w:r>
      <w:r w:rsidRPr="00DE3A6F">
        <w:rPr>
          <w:noProof/>
        </w:rPr>
        <w:t>s</w:t>
      </w:r>
      <w:r w:rsidR="00471A80" w:rsidRPr="00DE3A6F">
        <w:rPr>
          <w:noProof/>
        </w:rPr>
        <w:t xml:space="preserve"> of interest</w:t>
      </w:r>
      <w:r w:rsidR="001A3A62" w:rsidRPr="00DE3A6F">
        <w:rPr>
          <w:noProof/>
        </w:rPr>
        <w:t xml:space="preserve"> </w:t>
      </w:r>
      <w:r w:rsidR="007D1D45">
        <w:rPr>
          <w:noProof/>
        </w:rPr>
        <w:t xml:space="preserve">totalling </w:t>
      </w:r>
      <w:r w:rsidR="001A3A62" w:rsidRPr="00DE3A6F">
        <w:rPr>
          <w:noProof/>
        </w:rPr>
        <w:t xml:space="preserve">over </w:t>
      </w:r>
      <w:r w:rsidR="007D1D45" w:rsidRPr="00DE3A6F">
        <w:rPr>
          <w:noProof/>
        </w:rPr>
        <w:t>EUR</w:t>
      </w:r>
      <w:r w:rsidR="007D1D45">
        <w:rPr>
          <w:noProof/>
        </w:rPr>
        <w:t> </w:t>
      </w:r>
      <w:r w:rsidR="001A3A62" w:rsidRPr="00DE3A6F">
        <w:rPr>
          <w:noProof/>
        </w:rPr>
        <w:t>240 million</w:t>
      </w:r>
      <w:r w:rsidR="007D1D45">
        <w:rPr>
          <w:noProof/>
        </w:rPr>
        <w:t xml:space="preserve"> in the areas of shared management and pre-accession</w:t>
      </w:r>
      <w:r w:rsidR="009B3A4F">
        <w:rPr>
          <w:noProof/>
        </w:rPr>
        <w:t xml:space="preserve"> assistance</w:t>
      </w:r>
      <w:r w:rsidR="009D09CC" w:rsidRPr="00DE3A6F">
        <w:rPr>
          <w:noProof/>
        </w:rPr>
        <w:t xml:space="preserve">. Of these, </w:t>
      </w:r>
      <w:r w:rsidR="00377904" w:rsidRPr="00DE3A6F">
        <w:rPr>
          <w:noProof/>
        </w:rPr>
        <w:t xml:space="preserve">157 </w:t>
      </w:r>
      <w:r w:rsidRPr="00DE3A6F">
        <w:rPr>
          <w:noProof/>
        </w:rPr>
        <w:t xml:space="preserve">cases </w:t>
      </w:r>
      <w:r w:rsidR="00377904" w:rsidRPr="00DE3A6F">
        <w:rPr>
          <w:noProof/>
        </w:rPr>
        <w:t xml:space="preserve">(28%) were classified as fraudulent by the reporting authorities, </w:t>
      </w:r>
      <w:r w:rsidR="007D1D45">
        <w:rPr>
          <w:noProof/>
        </w:rPr>
        <w:t xml:space="preserve">amounting to </w:t>
      </w:r>
      <w:r w:rsidR="00A3082D" w:rsidRPr="00DE3A6F">
        <w:rPr>
          <w:noProof/>
        </w:rPr>
        <w:t xml:space="preserve">more than </w:t>
      </w:r>
      <w:r w:rsidR="007D1D45" w:rsidRPr="00DE3A6F">
        <w:rPr>
          <w:noProof/>
        </w:rPr>
        <w:t>EUR</w:t>
      </w:r>
      <w:r w:rsidR="007D1D45">
        <w:rPr>
          <w:noProof/>
        </w:rPr>
        <w:t> </w:t>
      </w:r>
      <w:r w:rsidR="00A3082D" w:rsidRPr="00DE3A6F">
        <w:rPr>
          <w:noProof/>
        </w:rPr>
        <w:t>100 million</w:t>
      </w:r>
      <w:r w:rsidR="007F2AD9" w:rsidRPr="00DE3A6F">
        <w:rPr>
          <w:noProof/>
        </w:rPr>
        <w:t xml:space="preserve"> (42%</w:t>
      </w:r>
      <w:r w:rsidR="00D1769B" w:rsidRPr="00DE3A6F">
        <w:rPr>
          <w:noProof/>
        </w:rPr>
        <w:t xml:space="preserve"> of the total irregular amounts)</w:t>
      </w:r>
      <w:r w:rsidR="00242D48" w:rsidRPr="00DE3A6F">
        <w:rPr>
          <w:noProof/>
        </w:rPr>
        <w:t>.</w:t>
      </w:r>
      <w:r w:rsidR="00A14C02" w:rsidRPr="00DE3A6F">
        <w:rPr>
          <w:noProof/>
        </w:rPr>
        <w:t xml:space="preserve"> </w:t>
      </w:r>
      <w:r w:rsidR="00580246" w:rsidRPr="00DE3A6F">
        <w:rPr>
          <w:noProof/>
        </w:rPr>
        <w:t>T</w:t>
      </w:r>
      <w:r w:rsidR="00D1769B" w:rsidRPr="00DE3A6F">
        <w:rPr>
          <w:noProof/>
        </w:rPr>
        <w:t>he majority (</w:t>
      </w:r>
      <w:r w:rsidR="00BF3A1F" w:rsidRPr="00DE3A6F">
        <w:rPr>
          <w:noProof/>
        </w:rPr>
        <w:t>over</w:t>
      </w:r>
      <w:r w:rsidR="00D1769B" w:rsidRPr="00DE3A6F">
        <w:rPr>
          <w:noProof/>
        </w:rPr>
        <w:t xml:space="preserve"> </w:t>
      </w:r>
      <w:r w:rsidR="004D1DD5" w:rsidRPr="00DE3A6F">
        <w:rPr>
          <w:noProof/>
        </w:rPr>
        <w:t xml:space="preserve">80%) </w:t>
      </w:r>
      <w:r w:rsidR="00D1769B" w:rsidRPr="00DE3A6F">
        <w:rPr>
          <w:noProof/>
        </w:rPr>
        <w:t xml:space="preserve">of the reported cases </w:t>
      </w:r>
      <w:r w:rsidR="004D1DD5" w:rsidRPr="00DE3A6F">
        <w:rPr>
          <w:noProof/>
        </w:rPr>
        <w:t>and related amounts</w:t>
      </w:r>
      <w:r w:rsidR="00580246" w:rsidRPr="00DE3A6F">
        <w:rPr>
          <w:noProof/>
        </w:rPr>
        <w:t xml:space="preserve"> </w:t>
      </w:r>
      <w:r w:rsidR="009B3A4F">
        <w:rPr>
          <w:noProof/>
        </w:rPr>
        <w:t xml:space="preserve">fell under </w:t>
      </w:r>
      <w:r w:rsidR="00580246" w:rsidRPr="00DE3A6F">
        <w:rPr>
          <w:noProof/>
        </w:rPr>
        <w:t>cohesion policy.</w:t>
      </w:r>
    </w:p>
    <w:p w14:paraId="1EF52A43" w14:textId="4D672007" w:rsidR="005C02FA" w:rsidRPr="00DE3A6F" w:rsidRDefault="009B3A4F" w:rsidP="00796A5F">
      <w:pPr>
        <w:rPr>
          <w:noProof/>
        </w:rPr>
      </w:pPr>
      <w:r>
        <w:rPr>
          <w:noProof/>
        </w:rPr>
        <w:t xml:space="preserve">The </w:t>
      </w:r>
      <w:r w:rsidR="005C02FA" w:rsidRPr="00DE3A6F">
        <w:rPr>
          <w:noProof/>
        </w:rPr>
        <w:t>conflict</w:t>
      </w:r>
      <w:r w:rsidR="008C397A" w:rsidRPr="00DE3A6F">
        <w:rPr>
          <w:noProof/>
        </w:rPr>
        <w:t>s</w:t>
      </w:r>
      <w:r w:rsidR="005C02FA" w:rsidRPr="00DE3A6F">
        <w:rPr>
          <w:noProof/>
        </w:rPr>
        <w:t xml:space="preserve"> of </w:t>
      </w:r>
      <w:r w:rsidR="0036148D" w:rsidRPr="00DE3A6F">
        <w:rPr>
          <w:noProof/>
        </w:rPr>
        <w:t xml:space="preserve">interest </w:t>
      </w:r>
      <w:r>
        <w:rPr>
          <w:noProof/>
        </w:rPr>
        <w:t xml:space="preserve">detected </w:t>
      </w:r>
      <w:r w:rsidR="0036148D" w:rsidRPr="00DE3A6F">
        <w:rPr>
          <w:noProof/>
        </w:rPr>
        <w:t>primarily</w:t>
      </w:r>
      <w:r w:rsidR="005C02FA" w:rsidRPr="00DE3A6F">
        <w:rPr>
          <w:noProof/>
        </w:rPr>
        <w:t xml:space="preserve"> </w:t>
      </w:r>
      <w:r w:rsidR="008C397A" w:rsidRPr="00DE3A6F">
        <w:rPr>
          <w:noProof/>
        </w:rPr>
        <w:t xml:space="preserve">occurred during </w:t>
      </w:r>
      <w:r w:rsidR="005C02FA" w:rsidRPr="00DE3A6F">
        <w:rPr>
          <w:noProof/>
        </w:rPr>
        <w:t>the implementation phase of project</w:t>
      </w:r>
      <w:r w:rsidR="00683B56" w:rsidRPr="00DE3A6F">
        <w:rPr>
          <w:noProof/>
        </w:rPr>
        <w:t>s</w:t>
      </w:r>
      <w:r w:rsidR="005C02FA" w:rsidRPr="00DE3A6F">
        <w:rPr>
          <w:noProof/>
        </w:rPr>
        <w:t xml:space="preserve"> </w:t>
      </w:r>
      <w:r w:rsidR="00683B56" w:rsidRPr="00DE3A6F">
        <w:rPr>
          <w:noProof/>
        </w:rPr>
        <w:t>(</w:t>
      </w:r>
      <w:r w:rsidR="008C397A" w:rsidRPr="00DE3A6F">
        <w:rPr>
          <w:noProof/>
        </w:rPr>
        <w:t xml:space="preserve">in </w:t>
      </w:r>
      <w:r w:rsidR="00683B56" w:rsidRPr="00DE3A6F">
        <w:rPr>
          <w:noProof/>
        </w:rPr>
        <w:t>almost 90% of cases)</w:t>
      </w:r>
      <w:r w:rsidR="000A3744" w:rsidRPr="00DE3A6F">
        <w:rPr>
          <w:noProof/>
        </w:rPr>
        <w:t xml:space="preserve">, </w:t>
      </w:r>
      <w:r>
        <w:rPr>
          <w:noProof/>
        </w:rPr>
        <w:t>i.e.</w:t>
      </w:r>
      <w:r w:rsidRPr="00DE3A6F">
        <w:rPr>
          <w:noProof/>
        </w:rPr>
        <w:t xml:space="preserve"> </w:t>
      </w:r>
      <w:r w:rsidR="000A3744" w:rsidRPr="00DE3A6F">
        <w:rPr>
          <w:noProof/>
        </w:rPr>
        <w:t>between the beneficiary</w:t>
      </w:r>
      <w:r w:rsidR="000B430C" w:rsidRPr="00DE3A6F">
        <w:rPr>
          <w:noProof/>
        </w:rPr>
        <w:t xml:space="preserve"> of the funding (</w:t>
      </w:r>
      <w:r w:rsidR="00200ED4" w:rsidRPr="00DE3A6F">
        <w:rPr>
          <w:noProof/>
        </w:rPr>
        <w:t>mostly</w:t>
      </w:r>
      <w:r w:rsidR="003D3BB6" w:rsidRPr="00DE3A6F">
        <w:rPr>
          <w:noProof/>
        </w:rPr>
        <w:t xml:space="preserve"> private entities, but also NGOs and public bodies)</w:t>
      </w:r>
      <w:r w:rsidR="000B430C" w:rsidRPr="00DE3A6F">
        <w:rPr>
          <w:noProof/>
        </w:rPr>
        <w:t xml:space="preserve"> </w:t>
      </w:r>
      <w:r w:rsidR="003D3BB6" w:rsidRPr="00DE3A6F">
        <w:rPr>
          <w:noProof/>
        </w:rPr>
        <w:t>and their contractors or subcontractors.</w:t>
      </w:r>
    </w:p>
    <w:p w14:paraId="2FD5B2F7" w14:textId="77777777" w:rsidR="004E2A2E" w:rsidRPr="00DE3A6F" w:rsidRDefault="004E2A2E">
      <w:pPr>
        <w:spacing w:after="0" w:line="240" w:lineRule="auto"/>
        <w:jc w:val="left"/>
        <w:rPr>
          <w:b/>
          <w:smallCaps/>
          <w:noProof/>
          <w:sz w:val="26"/>
        </w:rPr>
      </w:pPr>
      <w:bookmarkStart w:id="93" w:name="_Toc134557995"/>
      <w:r w:rsidRPr="00DE3A6F">
        <w:rPr>
          <w:noProof/>
        </w:rPr>
        <w:br w:type="page"/>
      </w:r>
    </w:p>
    <w:p w14:paraId="343F8493" w14:textId="77777777" w:rsidR="00FB5CF5" w:rsidRPr="00DE3A6F" w:rsidRDefault="00FD31CE" w:rsidP="00B147F9">
      <w:pPr>
        <w:pStyle w:val="Heading1"/>
        <w:rPr>
          <w:noProof/>
        </w:rPr>
      </w:pPr>
      <w:bookmarkStart w:id="94" w:name="_Conclusions_and_recommendations"/>
      <w:bookmarkStart w:id="95" w:name="_Toc202011349"/>
      <w:bookmarkStart w:id="96" w:name="_Toc234447086"/>
      <w:bookmarkEnd w:id="94"/>
      <w:r w:rsidRPr="00DE3A6F">
        <w:rPr>
          <w:noProof/>
        </w:rPr>
        <w:lastRenderedPageBreak/>
        <w:t>Conclusions and recommendations</w:t>
      </w:r>
      <w:bookmarkEnd w:id="93"/>
      <w:bookmarkEnd w:id="95"/>
      <w:bookmarkEnd w:id="96"/>
    </w:p>
    <w:p w14:paraId="3FA9962E" w14:textId="5596C9D1" w:rsidR="00C054F9" w:rsidRPr="00DE3A6F" w:rsidRDefault="00D117F5" w:rsidP="003F3100">
      <w:pPr>
        <w:rPr>
          <w:noProof/>
        </w:rPr>
      </w:pPr>
      <w:r>
        <w:rPr>
          <w:noProof/>
        </w:rPr>
        <w:t>F</w:t>
      </w:r>
      <w:r w:rsidR="00CF6995" w:rsidRPr="003F299F">
        <w:rPr>
          <w:noProof/>
        </w:rPr>
        <w:t xml:space="preserve">or the first time, </w:t>
      </w:r>
      <w:r w:rsidR="00CF6995">
        <w:rPr>
          <w:noProof/>
        </w:rPr>
        <w:t>t</w:t>
      </w:r>
      <w:r w:rsidR="00964C6E" w:rsidRPr="003F299F">
        <w:rPr>
          <w:noProof/>
        </w:rPr>
        <w:t xml:space="preserve">his report </w:t>
      </w:r>
      <w:r w:rsidR="00876AC8" w:rsidRPr="003F299F">
        <w:rPr>
          <w:noProof/>
        </w:rPr>
        <w:t xml:space="preserve">provides </w:t>
      </w:r>
      <w:r w:rsidR="00964C6E" w:rsidRPr="003F299F">
        <w:rPr>
          <w:noProof/>
        </w:rPr>
        <w:t xml:space="preserve">a </w:t>
      </w:r>
      <w:r w:rsidR="00964C6E" w:rsidRPr="003F299F">
        <w:rPr>
          <w:b/>
          <w:bCs/>
          <w:noProof/>
        </w:rPr>
        <w:t>comprehensive and holistic view</w:t>
      </w:r>
      <w:r w:rsidR="00964C6E" w:rsidRPr="003F299F">
        <w:rPr>
          <w:noProof/>
        </w:rPr>
        <w:t xml:space="preserve"> of</w:t>
      </w:r>
      <w:r w:rsidR="00E95547" w:rsidRPr="003F299F">
        <w:rPr>
          <w:noProof/>
        </w:rPr>
        <w:t xml:space="preserve"> efforts</w:t>
      </w:r>
      <w:r w:rsidR="00964C6E" w:rsidRPr="003F299F">
        <w:rPr>
          <w:noProof/>
        </w:rPr>
        <w:t xml:space="preserve"> </w:t>
      </w:r>
      <w:r w:rsidR="00D01CD7" w:rsidRPr="003F299F">
        <w:rPr>
          <w:noProof/>
        </w:rPr>
        <w:t xml:space="preserve">to combat </w:t>
      </w:r>
      <w:r w:rsidR="00964C6E" w:rsidRPr="003F299F">
        <w:rPr>
          <w:noProof/>
        </w:rPr>
        <w:t>fraud and irregularities affecting the EU’s financial interests</w:t>
      </w:r>
      <w:r w:rsidR="00D01CD7" w:rsidRPr="003F299F">
        <w:rPr>
          <w:noProof/>
        </w:rPr>
        <w:t>. It structures</w:t>
      </w:r>
      <w:r w:rsidR="000313C7" w:rsidRPr="003F299F">
        <w:rPr>
          <w:noProof/>
        </w:rPr>
        <w:t xml:space="preserve"> data from </w:t>
      </w:r>
      <w:r w:rsidR="005B34FF" w:rsidRPr="003F299F">
        <w:rPr>
          <w:noProof/>
        </w:rPr>
        <w:t xml:space="preserve">multiple </w:t>
      </w:r>
      <w:r w:rsidR="000313C7" w:rsidRPr="003F299F">
        <w:rPr>
          <w:noProof/>
        </w:rPr>
        <w:t>sources around the anti-fraud cycle</w:t>
      </w:r>
      <w:r w:rsidR="000665A6">
        <w:rPr>
          <w:noProof/>
        </w:rPr>
        <w:t>’s</w:t>
      </w:r>
      <w:r w:rsidR="27B87C03" w:rsidRPr="003F299F">
        <w:rPr>
          <w:noProof/>
        </w:rPr>
        <w:t xml:space="preserve"> </w:t>
      </w:r>
      <w:r w:rsidR="000716FD" w:rsidRPr="003F299F">
        <w:rPr>
          <w:noProof/>
        </w:rPr>
        <w:t xml:space="preserve">key conceptual framework </w:t>
      </w:r>
      <w:r w:rsidR="000665A6">
        <w:rPr>
          <w:noProof/>
        </w:rPr>
        <w:t>to</w:t>
      </w:r>
      <w:r w:rsidR="000665A6" w:rsidRPr="003F299F">
        <w:rPr>
          <w:noProof/>
        </w:rPr>
        <w:t xml:space="preserve"> analys</w:t>
      </w:r>
      <w:r w:rsidR="000665A6">
        <w:rPr>
          <w:noProof/>
        </w:rPr>
        <w:t>e</w:t>
      </w:r>
      <w:r w:rsidR="000665A6" w:rsidRPr="003F299F">
        <w:rPr>
          <w:noProof/>
        </w:rPr>
        <w:t xml:space="preserve"> </w:t>
      </w:r>
      <w:r w:rsidR="000716FD" w:rsidRPr="003F299F">
        <w:rPr>
          <w:noProof/>
        </w:rPr>
        <w:t>progress in this area</w:t>
      </w:r>
      <w:r w:rsidR="000313C7" w:rsidRPr="003F299F">
        <w:rPr>
          <w:noProof/>
        </w:rPr>
        <w:t>.</w:t>
      </w:r>
    </w:p>
    <w:p w14:paraId="666269D3" w14:textId="6C40C287" w:rsidR="000456CC" w:rsidRPr="00DE3A6F" w:rsidRDefault="002962F6" w:rsidP="003F3100">
      <w:pPr>
        <w:rPr>
          <w:noProof/>
        </w:rPr>
      </w:pPr>
      <w:r w:rsidRPr="00DE3A6F">
        <w:rPr>
          <w:noProof/>
        </w:rPr>
        <w:t xml:space="preserve">The report marks </w:t>
      </w:r>
      <w:r w:rsidR="000456CC" w:rsidRPr="00DE3A6F">
        <w:rPr>
          <w:noProof/>
        </w:rPr>
        <w:t xml:space="preserve">the first step in </w:t>
      </w:r>
      <w:r w:rsidR="00D67483" w:rsidRPr="00DE3A6F">
        <w:rPr>
          <w:noProof/>
        </w:rPr>
        <w:t>improv</w:t>
      </w:r>
      <w:r w:rsidR="00F86D47" w:rsidRPr="00DE3A6F">
        <w:rPr>
          <w:noProof/>
        </w:rPr>
        <w:t>ing</w:t>
      </w:r>
      <w:r w:rsidR="00D67483" w:rsidRPr="00DE3A6F">
        <w:rPr>
          <w:noProof/>
        </w:rPr>
        <w:t xml:space="preserve"> the </w:t>
      </w:r>
      <w:r w:rsidRPr="00DE3A6F">
        <w:rPr>
          <w:noProof/>
        </w:rPr>
        <w:t xml:space="preserve">EU’s </w:t>
      </w:r>
      <w:r w:rsidR="00D67483" w:rsidRPr="00DE3A6F">
        <w:rPr>
          <w:noProof/>
        </w:rPr>
        <w:t xml:space="preserve">reporting framework by incorporating results from all components </w:t>
      </w:r>
      <w:r w:rsidR="000E7625" w:rsidRPr="00DE3A6F">
        <w:rPr>
          <w:noProof/>
        </w:rPr>
        <w:t xml:space="preserve">of the anti-fraud architecture </w:t>
      </w:r>
      <w:r w:rsidR="00D67483" w:rsidRPr="00DE3A6F">
        <w:rPr>
          <w:noProof/>
        </w:rPr>
        <w:t xml:space="preserve">into the PIF </w:t>
      </w:r>
      <w:r w:rsidR="00A43E97">
        <w:rPr>
          <w:noProof/>
        </w:rPr>
        <w:t>r</w:t>
      </w:r>
      <w:r w:rsidR="00A43E97" w:rsidRPr="00DE3A6F">
        <w:rPr>
          <w:noProof/>
        </w:rPr>
        <w:t>eport</w:t>
      </w:r>
      <w:r w:rsidR="000E7625" w:rsidRPr="00DE3A6F">
        <w:rPr>
          <w:noProof/>
        </w:rPr>
        <w:t xml:space="preserve">. This will enhance </w:t>
      </w:r>
      <w:r w:rsidR="00D67483" w:rsidRPr="00DE3A6F">
        <w:rPr>
          <w:noProof/>
        </w:rPr>
        <w:t>transparency and accountability</w:t>
      </w:r>
      <w:r w:rsidR="00F86D47" w:rsidRPr="00DE3A6F">
        <w:rPr>
          <w:noProof/>
        </w:rPr>
        <w:t xml:space="preserve">, </w:t>
      </w:r>
      <w:r w:rsidR="003D6E49" w:rsidRPr="00DE3A6F">
        <w:rPr>
          <w:noProof/>
        </w:rPr>
        <w:t xml:space="preserve">in line with the proposals set out </w:t>
      </w:r>
      <w:r w:rsidR="00F61784" w:rsidRPr="00DE3A6F">
        <w:rPr>
          <w:noProof/>
        </w:rPr>
        <w:t xml:space="preserve">in the </w:t>
      </w:r>
      <w:r w:rsidR="00A43E97">
        <w:rPr>
          <w:noProof/>
        </w:rPr>
        <w:t>W</w:t>
      </w:r>
      <w:r w:rsidR="00A43E97" w:rsidRPr="00DE3A6F">
        <w:rPr>
          <w:noProof/>
        </w:rPr>
        <w:t xml:space="preserve">hite </w:t>
      </w:r>
      <w:r w:rsidR="00A43E97">
        <w:rPr>
          <w:noProof/>
        </w:rPr>
        <w:t>P</w:t>
      </w:r>
      <w:r w:rsidR="00A43E97" w:rsidRPr="00DE3A6F">
        <w:rPr>
          <w:noProof/>
        </w:rPr>
        <w:t xml:space="preserve">aper </w:t>
      </w:r>
      <w:r w:rsidR="00F61784" w:rsidRPr="00DE3A6F">
        <w:rPr>
          <w:noProof/>
        </w:rPr>
        <w:t xml:space="preserve">for the </w:t>
      </w:r>
      <w:r w:rsidR="00A43E97" w:rsidRPr="00DE3A6F">
        <w:rPr>
          <w:noProof/>
        </w:rPr>
        <w:t>anti-fraud architecture review</w:t>
      </w:r>
      <w:r w:rsidR="00D67483" w:rsidRPr="00DE3A6F">
        <w:rPr>
          <w:noProof/>
        </w:rPr>
        <w:t>.</w:t>
      </w:r>
      <w:r w:rsidR="00E46444">
        <w:rPr>
          <w:noProof/>
        </w:rPr>
        <w:t xml:space="preserve"> </w:t>
      </w:r>
      <w:r w:rsidR="00E46444" w:rsidRPr="0011607B">
        <w:rPr>
          <w:noProof/>
        </w:rPr>
        <w:t xml:space="preserve">The results of the AFA review will be presented in a Commission </w:t>
      </w:r>
      <w:r w:rsidR="00E46444">
        <w:rPr>
          <w:noProof/>
        </w:rPr>
        <w:t>c</w:t>
      </w:r>
      <w:r w:rsidR="00E46444" w:rsidRPr="0011607B">
        <w:rPr>
          <w:noProof/>
        </w:rPr>
        <w:t>ommunication planned for the end of 2026.</w:t>
      </w:r>
    </w:p>
    <w:p w14:paraId="5C48F3E9" w14:textId="6CE99280" w:rsidR="00961C3F" w:rsidRPr="00DE3A6F" w:rsidRDefault="00961C3F" w:rsidP="003F3100">
      <w:pPr>
        <w:rPr>
          <w:noProof/>
        </w:rPr>
      </w:pPr>
      <w:r w:rsidRPr="003F299F">
        <w:rPr>
          <w:noProof/>
        </w:rPr>
        <w:t xml:space="preserve">To this end, the report </w:t>
      </w:r>
      <w:r w:rsidR="003D6E49" w:rsidRPr="003F299F">
        <w:rPr>
          <w:noProof/>
        </w:rPr>
        <w:t>proposes</w:t>
      </w:r>
      <w:r w:rsidRPr="003F299F">
        <w:rPr>
          <w:noProof/>
        </w:rPr>
        <w:t xml:space="preserve"> a number of indicators</w:t>
      </w:r>
      <w:r w:rsidR="00CD4C25" w:rsidRPr="003F299F">
        <w:rPr>
          <w:noProof/>
        </w:rPr>
        <w:t xml:space="preserve"> and </w:t>
      </w:r>
      <w:r w:rsidR="0041600C" w:rsidRPr="003F299F">
        <w:rPr>
          <w:noProof/>
        </w:rPr>
        <w:t xml:space="preserve">assesses </w:t>
      </w:r>
      <w:r w:rsidR="00CD4C25" w:rsidRPr="003F299F">
        <w:rPr>
          <w:noProof/>
        </w:rPr>
        <w:t xml:space="preserve">the </w:t>
      </w:r>
      <w:r w:rsidR="0041600C" w:rsidRPr="003F299F">
        <w:rPr>
          <w:noProof/>
        </w:rPr>
        <w:t xml:space="preserve">suitability of existing </w:t>
      </w:r>
      <w:r w:rsidR="00CD4C25" w:rsidRPr="003F299F">
        <w:rPr>
          <w:noProof/>
        </w:rPr>
        <w:t xml:space="preserve">data sources to </w:t>
      </w:r>
      <w:r w:rsidR="0041600C" w:rsidRPr="003F299F">
        <w:rPr>
          <w:noProof/>
        </w:rPr>
        <w:t>populate them adequately</w:t>
      </w:r>
      <w:r w:rsidR="00DA376E" w:rsidRPr="003F299F">
        <w:rPr>
          <w:noProof/>
        </w:rPr>
        <w:t xml:space="preserve">. </w:t>
      </w:r>
      <w:r w:rsidR="00A43E97">
        <w:rPr>
          <w:noProof/>
        </w:rPr>
        <w:t>S</w:t>
      </w:r>
      <w:r w:rsidR="00DA376E" w:rsidRPr="003F299F">
        <w:rPr>
          <w:noProof/>
        </w:rPr>
        <w:t xml:space="preserve">ome </w:t>
      </w:r>
      <w:r w:rsidR="001B3B21" w:rsidRPr="003F299F">
        <w:rPr>
          <w:noProof/>
        </w:rPr>
        <w:t xml:space="preserve">data </w:t>
      </w:r>
      <w:r w:rsidR="00DA376E" w:rsidRPr="003F299F">
        <w:rPr>
          <w:noProof/>
        </w:rPr>
        <w:t>gaps have already been identified</w:t>
      </w:r>
      <w:r w:rsidR="001B3B21" w:rsidRPr="003F299F">
        <w:rPr>
          <w:noProof/>
        </w:rPr>
        <w:t>,</w:t>
      </w:r>
      <w:r w:rsidR="009A3377" w:rsidRPr="003F299F">
        <w:rPr>
          <w:noProof/>
        </w:rPr>
        <w:t xml:space="preserve"> </w:t>
      </w:r>
      <w:r w:rsidR="00A43E97">
        <w:rPr>
          <w:noProof/>
        </w:rPr>
        <w:t xml:space="preserve">but </w:t>
      </w:r>
      <w:r w:rsidR="009A3377" w:rsidRPr="003F299F">
        <w:rPr>
          <w:noProof/>
        </w:rPr>
        <w:t xml:space="preserve">the findings </w:t>
      </w:r>
      <w:r w:rsidR="004B636F" w:rsidRPr="003F299F">
        <w:rPr>
          <w:noProof/>
        </w:rPr>
        <w:t xml:space="preserve">will </w:t>
      </w:r>
      <w:r w:rsidR="001B3B21" w:rsidRPr="003F299F">
        <w:rPr>
          <w:noProof/>
        </w:rPr>
        <w:t>help</w:t>
      </w:r>
      <w:r w:rsidR="00A01351" w:rsidRPr="003F299F">
        <w:rPr>
          <w:noProof/>
        </w:rPr>
        <w:t xml:space="preserve"> </w:t>
      </w:r>
      <w:r w:rsidR="004B636F" w:rsidRPr="003F299F">
        <w:rPr>
          <w:noProof/>
        </w:rPr>
        <w:t>shap</w:t>
      </w:r>
      <w:r w:rsidR="001B3B21" w:rsidRPr="003F299F">
        <w:rPr>
          <w:noProof/>
        </w:rPr>
        <w:t>e</w:t>
      </w:r>
      <w:r w:rsidR="004B636F" w:rsidRPr="003F299F">
        <w:rPr>
          <w:noProof/>
        </w:rPr>
        <w:t xml:space="preserve"> future action</w:t>
      </w:r>
      <w:r w:rsidR="00B92E8F" w:rsidRPr="003F299F">
        <w:rPr>
          <w:noProof/>
        </w:rPr>
        <w:t xml:space="preserve">s to </w:t>
      </w:r>
      <w:r w:rsidR="00EB11F5" w:rsidRPr="003F299F">
        <w:rPr>
          <w:noProof/>
        </w:rPr>
        <w:t xml:space="preserve">address </w:t>
      </w:r>
      <w:r w:rsidR="00B92E8F" w:rsidRPr="003F299F">
        <w:rPr>
          <w:noProof/>
        </w:rPr>
        <w:t>them</w:t>
      </w:r>
      <w:r w:rsidR="00DA376E" w:rsidRPr="003F299F">
        <w:rPr>
          <w:noProof/>
        </w:rPr>
        <w:t>.</w:t>
      </w:r>
    </w:p>
    <w:p w14:paraId="731D5A08" w14:textId="0ACBE7BE" w:rsidR="00DA376E" w:rsidRPr="00DE3A6F" w:rsidRDefault="5685EBBA" w:rsidP="650AFE01">
      <w:pPr>
        <w:pStyle w:val="Heading2"/>
        <w:ind w:left="907" w:hanging="453"/>
        <w:rPr>
          <w:noProof/>
        </w:rPr>
      </w:pPr>
      <w:bookmarkStart w:id="97" w:name="_Toc234447087"/>
      <w:r w:rsidRPr="00DE3A6F">
        <w:rPr>
          <w:noProof/>
        </w:rPr>
        <w:t>P</w:t>
      </w:r>
      <w:r w:rsidR="43D0B7CB" w:rsidRPr="00DE3A6F">
        <w:rPr>
          <w:noProof/>
        </w:rPr>
        <w:t>revention</w:t>
      </w:r>
      <w:bookmarkEnd w:id="97"/>
      <w:r w:rsidRPr="00DE3A6F">
        <w:rPr>
          <w:noProof/>
        </w:rPr>
        <w:t xml:space="preserve"> </w:t>
      </w:r>
    </w:p>
    <w:p w14:paraId="05EFAE05" w14:textId="6105157A" w:rsidR="00035DD4" w:rsidRPr="00DE3A6F" w:rsidRDefault="00EB11F5" w:rsidP="00C54310">
      <w:pPr>
        <w:rPr>
          <w:noProof/>
        </w:rPr>
      </w:pPr>
      <w:r w:rsidRPr="003F299F">
        <w:rPr>
          <w:noProof/>
        </w:rPr>
        <w:t>Recent</w:t>
      </w:r>
      <w:r w:rsidR="00C54310" w:rsidRPr="003F299F">
        <w:rPr>
          <w:noProof/>
        </w:rPr>
        <w:t xml:space="preserve"> PIF reports consistently </w:t>
      </w:r>
      <w:r w:rsidRPr="003F299F">
        <w:rPr>
          <w:noProof/>
        </w:rPr>
        <w:t xml:space="preserve">highlight </w:t>
      </w:r>
      <w:r w:rsidR="00C54310" w:rsidRPr="003F299F">
        <w:rPr>
          <w:noProof/>
        </w:rPr>
        <w:t xml:space="preserve">that prevention remains the </w:t>
      </w:r>
      <w:r w:rsidRPr="003F299F">
        <w:rPr>
          <w:noProof/>
        </w:rPr>
        <w:t xml:space="preserve">most prioritised </w:t>
      </w:r>
      <w:r w:rsidR="00C54310" w:rsidRPr="003F299F">
        <w:rPr>
          <w:noProof/>
        </w:rPr>
        <w:t xml:space="preserve">phase of the anti-fraud cycle </w:t>
      </w:r>
      <w:r w:rsidR="007F310D" w:rsidRPr="003F299F">
        <w:rPr>
          <w:noProof/>
        </w:rPr>
        <w:t xml:space="preserve">for </w:t>
      </w:r>
      <w:r w:rsidR="00C54310" w:rsidRPr="003F299F">
        <w:rPr>
          <w:noProof/>
        </w:rPr>
        <w:t xml:space="preserve">Member States. This </w:t>
      </w:r>
      <w:r w:rsidR="007F310D" w:rsidRPr="003F299F">
        <w:rPr>
          <w:noProof/>
        </w:rPr>
        <w:t>focus</w:t>
      </w:r>
      <w:r w:rsidR="00C54310" w:rsidRPr="003F299F">
        <w:rPr>
          <w:noProof/>
        </w:rPr>
        <w:t xml:space="preserve"> is justified</w:t>
      </w:r>
      <w:r w:rsidR="007F310D" w:rsidRPr="003F299F">
        <w:rPr>
          <w:noProof/>
        </w:rPr>
        <w:t>:</w:t>
      </w:r>
      <w:r w:rsidR="00C54310" w:rsidRPr="003F299F">
        <w:rPr>
          <w:noProof/>
        </w:rPr>
        <w:t xml:space="preserve"> early detection or prevention of irregularities and fraud </w:t>
      </w:r>
      <w:r w:rsidR="005F0992" w:rsidRPr="003F299F">
        <w:rPr>
          <w:noProof/>
        </w:rPr>
        <w:t xml:space="preserve">improve </w:t>
      </w:r>
      <w:r w:rsidR="00E947B4">
        <w:rPr>
          <w:noProof/>
        </w:rPr>
        <w:t xml:space="preserve">the </w:t>
      </w:r>
      <w:r w:rsidR="005F0992" w:rsidRPr="003F299F">
        <w:rPr>
          <w:noProof/>
        </w:rPr>
        <w:t xml:space="preserve">cost-effectiveness </w:t>
      </w:r>
      <w:r w:rsidR="00E947B4">
        <w:rPr>
          <w:noProof/>
        </w:rPr>
        <w:t xml:space="preserve">of </w:t>
      </w:r>
      <w:r w:rsidR="00C54310" w:rsidRPr="003F299F">
        <w:rPr>
          <w:noProof/>
        </w:rPr>
        <w:t>protective measures</w:t>
      </w:r>
      <w:r w:rsidR="005F0992" w:rsidRPr="003F299F">
        <w:rPr>
          <w:noProof/>
        </w:rPr>
        <w:t xml:space="preserve">, </w:t>
      </w:r>
      <w:r w:rsidR="00C54310" w:rsidRPr="003F299F">
        <w:rPr>
          <w:noProof/>
        </w:rPr>
        <w:t xml:space="preserve">reducing the need for </w:t>
      </w:r>
      <w:r w:rsidR="001E588B" w:rsidRPr="003F299F">
        <w:rPr>
          <w:noProof/>
        </w:rPr>
        <w:t xml:space="preserve">lengthy and </w:t>
      </w:r>
      <w:r w:rsidR="00C54310" w:rsidRPr="003F299F">
        <w:rPr>
          <w:noProof/>
        </w:rPr>
        <w:t xml:space="preserve">costly recovery proceedings </w:t>
      </w:r>
      <w:r w:rsidR="001E588B" w:rsidRPr="003F299F">
        <w:rPr>
          <w:noProof/>
        </w:rPr>
        <w:t xml:space="preserve">while </w:t>
      </w:r>
      <w:r w:rsidR="00C54310" w:rsidRPr="003F299F">
        <w:rPr>
          <w:noProof/>
        </w:rPr>
        <w:t xml:space="preserve">mitigating risks </w:t>
      </w:r>
      <w:r w:rsidR="001E588B" w:rsidRPr="003F299F">
        <w:rPr>
          <w:noProof/>
        </w:rPr>
        <w:t xml:space="preserve">linked </w:t>
      </w:r>
      <w:r w:rsidR="00035DD4" w:rsidRPr="003F299F">
        <w:rPr>
          <w:noProof/>
        </w:rPr>
        <w:t xml:space="preserve">to </w:t>
      </w:r>
      <w:r w:rsidR="00C54310" w:rsidRPr="003F299F">
        <w:rPr>
          <w:noProof/>
        </w:rPr>
        <w:t xml:space="preserve">failed fund retrieval. </w:t>
      </w:r>
    </w:p>
    <w:p w14:paraId="3E1BE874" w14:textId="4E8F96DB" w:rsidR="00C54310" w:rsidRPr="00DE3A6F" w:rsidRDefault="00035DD4" w:rsidP="00C54310">
      <w:pPr>
        <w:rPr>
          <w:noProof/>
        </w:rPr>
      </w:pPr>
      <w:r w:rsidRPr="003F299F">
        <w:rPr>
          <w:noProof/>
        </w:rPr>
        <w:t>However, effective prevention</w:t>
      </w:r>
      <w:r w:rsidR="00C54310" w:rsidRPr="003F299F">
        <w:rPr>
          <w:noProof/>
        </w:rPr>
        <w:t xml:space="preserve">, particularly in cases of suspected fraud, must extend beyond financial safeguards. It should be followed by thorough investigation and prosecution to ensure that perpetrators face appropriate sanctions and are </w:t>
      </w:r>
      <w:r w:rsidR="003E4008" w:rsidRPr="003F299F">
        <w:rPr>
          <w:noProof/>
        </w:rPr>
        <w:t xml:space="preserve">excluded </w:t>
      </w:r>
      <w:r w:rsidR="00C54310" w:rsidRPr="003F299F">
        <w:rPr>
          <w:noProof/>
        </w:rPr>
        <w:t>from future access to EU and public funding.</w:t>
      </w:r>
    </w:p>
    <w:p w14:paraId="07027429" w14:textId="57A63807" w:rsidR="004446CB" w:rsidRPr="00DE3A6F" w:rsidRDefault="002D355A" w:rsidP="004446CB">
      <w:pPr>
        <w:pStyle w:val="Caption"/>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DE3A6F">
        <w:rPr>
          <w:noProof/>
        </w:rPr>
        <w:t xml:space="preserve">Focus point </w:t>
      </w:r>
      <w:r w:rsidRPr="00DE3A6F">
        <w:rPr>
          <w:noProof/>
        </w:rPr>
        <w:fldChar w:fldCharType="begin"/>
      </w:r>
      <w:r w:rsidRPr="00DE3A6F">
        <w:rPr>
          <w:noProof/>
        </w:rPr>
        <w:instrText xml:space="preserve"> SEQ Focus_point \* ARABIC </w:instrText>
      </w:r>
      <w:r w:rsidRPr="00DE3A6F">
        <w:rPr>
          <w:noProof/>
        </w:rPr>
        <w:fldChar w:fldCharType="separate"/>
      </w:r>
      <w:r w:rsidR="00C32ABD">
        <w:rPr>
          <w:noProof/>
        </w:rPr>
        <w:t>9</w:t>
      </w:r>
      <w:r w:rsidRPr="00DE3A6F">
        <w:rPr>
          <w:noProof/>
        </w:rPr>
        <w:fldChar w:fldCharType="end"/>
      </w:r>
      <w:r w:rsidRPr="00DE3A6F">
        <w:rPr>
          <w:noProof/>
        </w:rPr>
        <w:t xml:space="preserve">: </w:t>
      </w:r>
      <w:r w:rsidR="00DB6916" w:rsidRPr="00DE3A6F">
        <w:rPr>
          <w:noProof/>
        </w:rPr>
        <w:t xml:space="preserve">Ensuring </w:t>
      </w:r>
      <w:r w:rsidR="00D34923" w:rsidRPr="00DE3A6F">
        <w:rPr>
          <w:noProof/>
        </w:rPr>
        <w:t>robust monitoring of prevention data</w:t>
      </w:r>
    </w:p>
    <w:p w14:paraId="59745297" w14:textId="510BFCED" w:rsidR="004446CB" w:rsidRPr="00DE3A6F" w:rsidRDefault="00AF27B6"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3F299F">
        <w:rPr>
          <w:noProof/>
        </w:rPr>
        <w:t>Given the limitations arising from the existing regulatory framework, t</w:t>
      </w:r>
      <w:r w:rsidR="00B20930" w:rsidRPr="003F299F">
        <w:rPr>
          <w:noProof/>
        </w:rPr>
        <w:t xml:space="preserve">he Commission will </w:t>
      </w:r>
      <w:r w:rsidR="008C4590" w:rsidRPr="003F299F">
        <w:rPr>
          <w:noProof/>
        </w:rPr>
        <w:t>continue</w:t>
      </w:r>
      <w:r w:rsidR="009B2052" w:rsidRPr="003F299F">
        <w:rPr>
          <w:noProof/>
        </w:rPr>
        <w:t xml:space="preserve"> </w:t>
      </w:r>
      <w:r w:rsidR="00E947B4">
        <w:rPr>
          <w:noProof/>
        </w:rPr>
        <w:t xml:space="preserve">to </w:t>
      </w:r>
      <w:r w:rsidR="002A3599" w:rsidRPr="003F299F">
        <w:rPr>
          <w:noProof/>
        </w:rPr>
        <w:t xml:space="preserve">monitor the quality of data submitted </w:t>
      </w:r>
      <w:r w:rsidR="00566B1D" w:rsidRPr="003F299F">
        <w:rPr>
          <w:noProof/>
        </w:rPr>
        <w:t>and support national authorities</w:t>
      </w:r>
      <w:r w:rsidR="000D324C" w:rsidRPr="003F299F">
        <w:rPr>
          <w:noProof/>
        </w:rPr>
        <w:t>.</w:t>
      </w:r>
    </w:p>
    <w:p w14:paraId="729BDAF5" w14:textId="09C00541" w:rsidR="00BE7AB0" w:rsidRPr="00DE3A6F" w:rsidRDefault="00BE7AB0" w:rsidP="00BE7AB0">
      <w:pPr>
        <w:pStyle w:val="Caption"/>
        <w:pBdr>
          <w:top w:val="single" w:sz="4" w:space="1" w:color="auto"/>
          <w:left w:val="single" w:sz="4" w:space="0" w:color="auto"/>
          <w:bottom w:val="single" w:sz="4" w:space="1" w:color="auto"/>
          <w:right w:val="single" w:sz="4" w:space="1" w:color="auto"/>
        </w:pBdr>
        <w:shd w:val="clear" w:color="auto" w:fill="FBE4D5" w:themeFill="accent2" w:themeFillTint="33"/>
        <w:rPr>
          <w:noProof/>
        </w:rPr>
      </w:pPr>
      <w:r w:rsidRPr="00DE3A6F">
        <w:rPr>
          <w:noProof/>
        </w:rPr>
        <w:t xml:space="preserve">Recommendation </w:t>
      </w:r>
      <w:r w:rsidRPr="00DE3A6F">
        <w:rPr>
          <w:noProof/>
        </w:rPr>
        <w:fldChar w:fldCharType="begin"/>
      </w:r>
      <w:r w:rsidRPr="00DE3A6F">
        <w:rPr>
          <w:noProof/>
        </w:rPr>
        <w:instrText xml:space="preserve"> SEQ Recommendation \* ARABIC </w:instrText>
      </w:r>
      <w:r w:rsidRPr="00DE3A6F">
        <w:rPr>
          <w:noProof/>
        </w:rPr>
        <w:fldChar w:fldCharType="separate"/>
      </w:r>
      <w:r w:rsidRPr="00DE3A6F">
        <w:rPr>
          <w:noProof/>
        </w:rPr>
        <w:t>1</w:t>
      </w:r>
      <w:r w:rsidRPr="00DE3A6F">
        <w:rPr>
          <w:noProof/>
        </w:rPr>
        <w:fldChar w:fldCharType="end"/>
      </w:r>
      <w:r w:rsidRPr="00DE3A6F">
        <w:rPr>
          <w:noProof/>
        </w:rPr>
        <w:t xml:space="preserve">: </w:t>
      </w:r>
      <w:r w:rsidR="00D65A1B" w:rsidRPr="001A2BD7">
        <w:rPr>
          <w:noProof/>
        </w:rPr>
        <w:t>Ensure that cases of attempted fraud detected at an early stage are duly referred to competent prosecution services</w:t>
      </w:r>
    </w:p>
    <w:p w14:paraId="602BCC0F" w14:textId="203F1BB1" w:rsidR="00BE7AB0" w:rsidRPr="00DE3A6F" w:rsidRDefault="00E43879" w:rsidP="00BE7AB0">
      <w:pPr>
        <w:pBdr>
          <w:top w:val="single" w:sz="4" w:space="1" w:color="auto"/>
          <w:left w:val="single" w:sz="4" w:space="0" w:color="auto"/>
          <w:bottom w:val="single" w:sz="4" w:space="1" w:color="auto"/>
          <w:right w:val="single" w:sz="4" w:space="1" w:color="auto"/>
        </w:pBdr>
        <w:shd w:val="clear" w:color="auto" w:fill="FBE4D5" w:themeFill="accent2" w:themeFillTint="33"/>
        <w:rPr>
          <w:noProof/>
        </w:rPr>
      </w:pPr>
      <w:r w:rsidRPr="00DE3A6F">
        <w:rPr>
          <w:noProof/>
        </w:rPr>
        <w:t>Member States</w:t>
      </w:r>
      <w:r w:rsidR="00FC7144" w:rsidRPr="00DE3A6F">
        <w:rPr>
          <w:noProof/>
        </w:rPr>
        <w:t xml:space="preserve"> authorities</w:t>
      </w:r>
      <w:r w:rsidRPr="00DE3A6F">
        <w:rPr>
          <w:noProof/>
        </w:rPr>
        <w:t xml:space="preserve"> are invited to pay particular attention to cases detected at </w:t>
      </w:r>
      <w:r w:rsidR="00C87183" w:rsidRPr="00DE3A6F">
        <w:rPr>
          <w:noProof/>
        </w:rPr>
        <w:t xml:space="preserve">an </w:t>
      </w:r>
      <w:r w:rsidRPr="00DE3A6F">
        <w:rPr>
          <w:noProof/>
        </w:rPr>
        <w:t>early stage,</w:t>
      </w:r>
      <w:r w:rsidR="00FC7144" w:rsidRPr="00DE3A6F">
        <w:rPr>
          <w:noProof/>
        </w:rPr>
        <w:t xml:space="preserve"> </w:t>
      </w:r>
      <w:r w:rsidR="00941839">
        <w:rPr>
          <w:noProof/>
        </w:rPr>
        <w:t>before</w:t>
      </w:r>
      <w:r w:rsidR="00FC7144" w:rsidRPr="00DE3A6F">
        <w:rPr>
          <w:noProof/>
        </w:rPr>
        <w:t xml:space="preserve"> funding </w:t>
      </w:r>
      <w:r w:rsidR="00941839">
        <w:rPr>
          <w:noProof/>
        </w:rPr>
        <w:t>has been</w:t>
      </w:r>
      <w:r w:rsidR="00941839" w:rsidRPr="00DE3A6F">
        <w:rPr>
          <w:noProof/>
        </w:rPr>
        <w:t xml:space="preserve"> </w:t>
      </w:r>
      <w:r w:rsidR="00FC7144" w:rsidRPr="00DE3A6F">
        <w:rPr>
          <w:noProof/>
        </w:rPr>
        <w:t>disbursed to benefici</w:t>
      </w:r>
      <w:r w:rsidR="00580246" w:rsidRPr="00DE3A6F">
        <w:rPr>
          <w:noProof/>
        </w:rPr>
        <w:t>aries</w:t>
      </w:r>
      <w:r w:rsidR="00FC7144" w:rsidRPr="00DE3A6F">
        <w:rPr>
          <w:noProof/>
        </w:rPr>
        <w:t>,</w:t>
      </w:r>
      <w:r w:rsidRPr="00DE3A6F">
        <w:rPr>
          <w:noProof/>
        </w:rPr>
        <w:t xml:space="preserve"> in particular if </w:t>
      </w:r>
      <w:r w:rsidR="000C5C9D" w:rsidRPr="00DE3A6F">
        <w:rPr>
          <w:noProof/>
        </w:rPr>
        <w:t xml:space="preserve">attempted </w:t>
      </w:r>
      <w:r w:rsidR="00E16F7F" w:rsidRPr="00DE3A6F">
        <w:rPr>
          <w:noProof/>
        </w:rPr>
        <w:t>fraud</w:t>
      </w:r>
      <w:r w:rsidR="00941839">
        <w:rPr>
          <w:noProof/>
        </w:rPr>
        <w:t xml:space="preserve"> might be involved. Authorities should </w:t>
      </w:r>
      <w:r w:rsidR="00E16F7F" w:rsidRPr="00DE3A6F">
        <w:rPr>
          <w:noProof/>
        </w:rPr>
        <w:t>ensure that the</w:t>
      </w:r>
      <w:r w:rsidR="00941839">
        <w:rPr>
          <w:noProof/>
        </w:rPr>
        <w:t>se cases</w:t>
      </w:r>
      <w:r w:rsidR="00E16F7F" w:rsidRPr="00DE3A6F">
        <w:rPr>
          <w:noProof/>
        </w:rPr>
        <w:t xml:space="preserve"> are duly </w:t>
      </w:r>
      <w:r w:rsidR="00580246" w:rsidRPr="00DE3A6F">
        <w:rPr>
          <w:noProof/>
        </w:rPr>
        <w:t>re</w:t>
      </w:r>
      <w:r w:rsidR="00E16F7F" w:rsidRPr="00DE3A6F">
        <w:rPr>
          <w:noProof/>
        </w:rPr>
        <w:t xml:space="preserve">ferred to </w:t>
      </w:r>
      <w:r w:rsidR="00C35071" w:rsidRPr="00DE3A6F">
        <w:rPr>
          <w:noProof/>
        </w:rPr>
        <w:t xml:space="preserve">the competent </w:t>
      </w:r>
      <w:r w:rsidR="00E16F7F" w:rsidRPr="00DE3A6F">
        <w:rPr>
          <w:noProof/>
        </w:rPr>
        <w:t>prosecution services</w:t>
      </w:r>
      <w:r w:rsidR="00FE233B">
        <w:rPr>
          <w:noProof/>
        </w:rPr>
        <w:t>, including the EPPO,</w:t>
      </w:r>
      <w:r w:rsidR="00E16F7F" w:rsidRPr="00DE3A6F">
        <w:rPr>
          <w:noProof/>
        </w:rPr>
        <w:t xml:space="preserve"> and reported to the Commission in </w:t>
      </w:r>
      <w:r w:rsidR="0036148D" w:rsidRPr="00DE3A6F">
        <w:rPr>
          <w:noProof/>
        </w:rPr>
        <w:t>compliance</w:t>
      </w:r>
      <w:r w:rsidR="00E16F7F" w:rsidRPr="00DE3A6F">
        <w:rPr>
          <w:noProof/>
        </w:rPr>
        <w:t xml:space="preserve"> with sectoral regulations</w:t>
      </w:r>
      <w:r w:rsidR="00D65A1B">
        <w:rPr>
          <w:noProof/>
        </w:rPr>
        <w:t xml:space="preserve"> </w:t>
      </w:r>
      <w:r w:rsidR="00D65A1B" w:rsidRPr="001A2BD7">
        <w:rPr>
          <w:noProof/>
        </w:rPr>
        <w:t>even when the prevention of financial damage was successful thanks to early detection</w:t>
      </w:r>
      <w:r w:rsidR="00324AC2">
        <w:rPr>
          <w:noProof/>
        </w:rPr>
        <w:t>.</w:t>
      </w:r>
    </w:p>
    <w:p w14:paraId="4FEA3BCA" w14:textId="57AF174A" w:rsidR="5685EBBA" w:rsidRPr="00DE3A6F" w:rsidRDefault="00DA376E" w:rsidP="650AFE01">
      <w:pPr>
        <w:pStyle w:val="Heading2"/>
        <w:ind w:left="907" w:hanging="453"/>
        <w:rPr>
          <w:noProof/>
        </w:rPr>
      </w:pPr>
      <w:bookmarkStart w:id="98" w:name="_Toc231571320"/>
      <w:bookmarkStart w:id="99" w:name="_Toc234447088"/>
      <w:bookmarkEnd w:id="98"/>
      <w:r w:rsidRPr="00DE3A6F">
        <w:rPr>
          <w:noProof/>
        </w:rPr>
        <w:t>D</w:t>
      </w:r>
      <w:r w:rsidR="5685EBBA" w:rsidRPr="00DE3A6F">
        <w:rPr>
          <w:noProof/>
        </w:rPr>
        <w:t>etection</w:t>
      </w:r>
      <w:bookmarkEnd w:id="99"/>
    </w:p>
    <w:p w14:paraId="4F15EFB8" w14:textId="2A6CE211" w:rsidR="008A001C" w:rsidRPr="00DE3A6F" w:rsidRDefault="008A001C" w:rsidP="008A001C">
      <w:pPr>
        <w:rPr>
          <w:noProof/>
        </w:rPr>
      </w:pPr>
      <w:r w:rsidRPr="003F299F">
        <w:rPr>
          <w:noProof/>
        </w:rPr>
        <w:t xml:space="preserve">Over recent years, the detection of fraud and irregularities has remained largely stable, though variations persist across specific budgetary areas. </w:t>
      </w:r>
    </w:p>
    <w:p w14:paraId="12C3972C" w14:textId="49ABF1DC" w:rsidR="008A001C" w:rsidRPr="00DE3A6F" w:rsidRDefault="008B144C" w:rsidP="008A001C">
      <w:pPr>
        <w:rPr>
          <w:noProof/>
        </w:rPr>
      </w:pPr>
      <w:r>
        <w:rPr>
          <w:noProof/>
        </w:rPr>
        <w:t>T</w:t>
      </w:r>
      <w:r w:rsidR="008A001C" w:rsidRPr="003F299F">
        <w:rPr>
          <w:noProof/>
        </w:rPr>
        <w:t xml:space="preserve">he number of cases </w:t>
      </w:r>
      <w:r w:rsidRPr="003F299F">
        <w:rPr>
          <w:noProof/>
        </w:rPr>
        <w:t xml:space="preserve">detected </w:t>
      </w:r>
      <w:r w:rsidR="008A001C" w:rsidRPr="003F299F">
        <w:rPr>
          <w:noProof/>
        </w:rPr>
        <w:t>has stayed broadly constant</w:t>
      </w:r>
      <w:r>
        <w:rPr>
          <w:noProof/>
        </w:rPr>
        <w:t xml:space="preserve"> – </w:t>
      </w:r>
      <w:r w:rsidR="00573A9E" w:rsidRPr="003F299F">
        <w:rPr>
          <w:noProof/>
        </w:rPr>
        <w:t xml:space="preserve">apart </w:t>
      </w:r>
      <w:r w:rsidR="008A001C" w:rsidRPr="003F299F">
        <w:rPr>
          <w:noProof/>
        </w:rPr>
        <w:t>f</w:t>
      </w:r>
      <w:r w:rsidR="00B63937">
        <w:rPr>
          <w:noProof/>
        </w:rPr>
        <w:t>r</w:t>
      </w:r>
      <w:r w:rsidR="008A001C" w:rsidRPr="003F299F">
        <w:rPr>
          <w:noProof/>
        </w:rPr>
        <w:t>o</w:t>
      </w:r>
      <w:r w:rsidR="00B63937">
        <w:rPr>
          <w:noProof/>
        </w:rPr>
        <w:t>m</w:t>
      </w:r>
      <w:r w:rsidR="008A001C" w:rsidRPr="003F299F">
        <w:rPr>
          <w:noProof/>
        </w:rPr>
        <w:t xml:space="preserve"> a notable spike in fraudulent irregularities in 2024</w:t>
      </w:r>
      <w:r w:rsidR="00B63937">
        <w:rPr>
          <w:noProof/>
        </w:rPr>
        <w:t xml:space="preserve"> – </w:t>
      </w:r>
      <w:r w:rsidR="004A56C4">
        <w:rPr>
          <w:noProof/>
        </w:rPr>
        <w:t>but</w:t>
      </w:r>
      <w:r w:rsidR="004A56C4" w:rsidRPr="003F299F">
        <w:rPr>
          <w:noProof/>
        </w:rPr>
        <w:t xml:space="preserve"> the</w:t>
      </w:r>
      <w:r w:rsidR="008A001C" w:rsidRPr="003F299F">
        <w:rPr>
          <w:noProof/>
        </w:rPr>
        <w:t xml:space="preserve"> financial </w:t>
      </w:r>
      <w:r w:rsidR="00B63937">
        <w:rPr>
          <w:noProof/>
        </w:rPr>
        <w:t xml:space="preserve">amounts </w:t>
      </w:r>
      <w:r w:rsidR="00573A9E" w:rsidRPr="003F299F">
        <w:rPr>
          <w:noProof/>
        </w:rPr>
        <w:t xml:space="preserve">involved </w:t>
      </w:r>
      <w:r w:rsidR="008A001C" w:rsidRPr="003F299F">
        <w:rPr>
          <w:noProof/>
        </w:rPr>
        <w:t>ha</w:t>
      </w:r>
      <w:r w:rsidR="004F11D9" w:rsidRPr="003F299F">
        <w:rPr>
          <w:noProof/>
        </w:rPr>
        <w:t>ve</w:t>
      </w:r>
      <w:r w:rsidR="008A001C" w:rsidRPr="003F299F">
        <w:rPr>
          <w:noProof/>
        </w:rPr>
        <w:t xml:space="preserve"> </w:t>
      </w:r>
      <w:r w:rsidR="004F11D9" w:rsidRPr="003F299F">
        <w:rPr>
          <w:noProof/>
        </w:rPr>
        <w:t xml:space="preserve">increased </w:t>
      </w:r>
      <w:r w:rsidR="008A001C" w:rsidRPr="003F299F">
        <w:rPr>
          <w:noProof/>
        </w:rPr>
        <w:t>over the past two years. This shift toward targeting higher-impact cases</w:t>
      </w:r>
      <w:r w:rsidR="00FB65CE" w:rsidRPr="003F299F">
        <w:rPr>
          <w:noProof/>
        </w:rPr>
        <w:t xml:space="preserve"> could </w:t>
      </w:r>
      <w:r w:rsidR="00652471" w:rsidRPr="003F299F">
        <w:rPr>
          <w:noProof/>
        </w:rPr>
        <w:t xml:space="preserve">be </w:t>
      </w:r>
      <w:r w:rsidR="00FB65CE" w:rsidRPr="003F299F">
        <w:rPr>
          <w:noProof/>
        </w:rPr>
        <w:t xml:space="preserve">further </w:t>
      </w:r>
      <w:r w:rsidR="00652471" w:rsidRPr="003F299F">
        <w:rPr>
          <w:noProof/>
        </w:rPr>
        <w:t>strengthened through</w:t>
      </w:r>
      <w:r w:rsidR="00B63937">
        <w:rPr>
          <w:noProof/>
        </w:rPr>
        <w:t xml:space="preserve"> as</w:t>
      </w:r>
      <w:r w:rsidR="00FB65CE" w:rsidRPr="003F299F">
        <w:rPr>
          <w:noProof/>
        </w:rPr>
        <w:t xml:space="preserve"> yet untapped </w:t>
      </w:r>
      <w:r w:rsidR="008A001C" w:rsidRPr="003F299F">
        <w:rPr>
          <w:noProof/>
        </w:rPr>
        <w:t>potential in risk-based analysis, IT tools and whistleblowing, particularly for fraud identification.</w:t>
      </w:r>
    </w:p>
    <w:p w14:paraId="630E207B" w14:textId="75B382A2" w:rsidR="002C0C3C" w:rsidRPr="00DE3A6F" w:rsidRDefault="002C0C3C" w:rsidP="00FF24CC">
      <w:pPr>
        <w:pStyle w:val="Caption"/>
        <w:keepNext/>
        <w:pBdr>
          <w:top w:val="single" w:sz="4" w:space="1" w:color="auto"/>
          <w:left w:val="single" w:sz="4" w:space="4" w:color="auto"/>
          <w:bottom w:val="single" w:sz="4" w:space="1" w:color="auto"/>
          <w:right w:val="single" w:sz="4" w:space="4" w:color="auto"/>
        </w:pBdr>
        <w:shd w:val="clear" w:color="auto" w:fill="FFF2CC" w:themeFill="accent4" w:themeFillTint="33"/>
        <w:spacing w:before="0"/>
        <w:rPr>
          <w:noProof/>
        </w:rPr>
      </w:pPr>
      <w:r w:rsidRPr="00DE3A6F">
        <w:rPr>
          <w:noProof/>
        </w:rPr>
        <w:lastRenderedPageBreak/>
        <w:t xml:space="preserve">Focus point </w:t>
      </w:r>
      <w:r w:rsidR="002D355A" w:rsidRPr="00DE3A6F">
        <w:rPr>
          <w:noProof/>
        </w:rPr>
        <w:fldChar w:fldCharType="begin"/>
      </w:r>
      <w:r w:rsidR="002D355A" w:rsidRPr="00DE3A6F">
        <w:rPr>
          <w:noProof/>
        </w:rPr>
        <w:instrText xml:space="preserve"> SEQ Focus_point \* ARABIC </w:instrText>
      </w:r>
      <w:r w:rsidR="002D355A" w:rsidRPr="00DE3A6F">
        <w:rPr>
          <w:noProof/>
        </w:rPr>
        <w:fldChar w:fldCharType="separate"/>
      </w:r>
      <w:r w:rsidR="004C2263">
        <w:rPr>
          <w:noProof/>
        </w:rPr>
        <w:t>10</w:t>
      </w:r>
      <w:r w:rsidR="002D355A" w:rsidRPr="00DE3A6F">
        <w:rPr>
          <w:noProof/>
        </w:rPr>
        <w:fldChar w:fldCharType="end"/>
      </w:r>
      <w:r w:rsidRPr="00DE3A6F">
        <w:rPr>
          <w:noProof/>
        </w:rPr>
        <w:t xml:space="preserve">: Arachne+ </w:t>
      </w:r>
      <w:r w:rsidR="003750D7" w:rsidRPr="00DE3A6F">
        <w:rPr>
          <w:noProof/>
        </w:rPr>
        <w:t>developments</w:t>
      </w:r>
    </w:p>
    <w:p w14:paraId="3582107D" w14:textId="01C31FFF" w:rsidR="003750D7" w:rsidRPr="00DE3A6F" w:rsidRDefault="003750D7" w:rsidP="28D37C99">
      <w:pPr>
        <w:pBdr>
          <w:top w:val="single" w:sz="4" w:space="1" w:color="auto"/>
          <w:left w:val="single" w:sz="4" w:space="4" w:color="auto"/>
          <w:bottom w:val="single" w:sz="4" w:space="1" w:color="auto"/>
          <w:right w:val="single" w:sz="4" w:space="4" w:color="auto"/>
        </w:pBdr>
        <w:shd w:val="clear" w:color="auto" w:fill="FFF2CC" w:themeFill="accent4" w:themeFillTint="33"/>
        <w:rPr>
          <w:noProof/>
        </w:rPr>
      </w:pPr>
      <w:r w:rsidRPr="00B63937">
        <w:rPr>
          <w:noProof/>
        </w:rPr>
        <w:t xml:space="preserve">The Commission </w:t>
      </w:r>
      <w:r w:rsidR="00376A21" w:rsidRPr="00B63937">
        <w:rPr>
          <w:noProof/>
        </w:rPr>
        <w:t xml:space="preserve">is committed to </w:t>
      </w:r>
      <w:r w:rsidR="0043101E">
        <w:rPr>
          <w:noProof/>
        </w:rPr>
        <w:t xml:space="preserve">continued development of </w:t>
      </w:r>
      <w:r w:rsidR="00376A21" w:rsidRPr="00B63937">
        <w:rPr>
          <w:noProof/>
        </w:rPr>
        <w:t xml:space="preserve">Arachne+ in line with the </w:t>
      </w:r>
      <w:r w:rsidR="003264D7" w:rsidRPr="00B63937">
        <w:rPr>
          <w:noProof/>
        </w:rPr>
        <w:t xml:space="preserve">current </w:t>
      </w:r>
      <w:r w:rsidR="00376A21" w:rsidRPr="00B63937">
        <w:rPr>
          <w:noProof/>
        </w:rPr>
        <w:t>plan</w:t>
      </w:r>
      <w:r w:rsidR="003264D7" w:rsidRPr="00B63937">
        <w:rPr>
          <w:noProof/>
        </w:rPr>
        <w:t xml:space="preserve">s to provide national authorities </w:t>
      </w:r>
      <w:r w:rsidR="0043101E">
        <w:rPr>
          <w:noProof/>
        </w:rPr>
        <w:t xml:space="preserve">with </w:t>
      </w:r>
      <w:r w:rsidR="003264D7" w:rsidRPr="00B63937">
        <w:rPr>
          <w:noProof/>
        </w:rPr>
        <w:t>a modern</w:t>
      </w:r>
      <w:r w:rsidR="00665939" w:rsidRPr="00B63937">
        <w:rPr>
          <w:noProof/>
        </w:rPr>
        <w:t>, comprehensive and efficient</w:t>
      </w:r>
      <w:r w:rsidR="003264D7" w:rsidRPr="00B63937">
        <w:rPr>
          <w:noProof/>
        </w:rPr>
        <w:t xml:space="preserve"> tool</w:t>
      </w:r>
      <w:r w:rsidR="00665939" w:rsidRPr="00B63937">
        <w:rPr>
          <w:noProof/>
        </w:rPr>
        <w:t xml:space="preserve"> to support their prevention and detection efforts.</w:t>
      </w:r>
    </w:p>
    <w:p w14:paraId="2DD4AD41" w14:textId="685F901F" w:rsidR="00E221B1" w:rsidRPr="00DE3A6F" w:rsidRDefault="00947EF7" w:rsidP="00B14F7C">
      <w:pPr>
        <w:pStyle w:val="Caption"/>
        <w:pBdr>
          <w:top w:val="single" w:sz="4" w:space="1" w:color="auto"/>
          <w:left w:val="single" w:sz="4" w:space="0" w:color="auto"/>
          <w:bottom w:val="single" w:sz="4" w:space="1" w:color="auto"/>
          <w:right w:val="single" w:sz="4" w:space="1" w:color="auto"/>
        </w:pBdr>
        <w:shd w:val="clear" w:color="auto" w:fill="FBE4D5" w:themeFill="accent2" w:themeFillTint="33"/>
        <w:rPr>
          <w:noProof/>
        </w:rPr>
      </w:pPr>
      <w:r w:rsidRPr="00DE3A6F">
        <w:rPr>
          <w:noProof/>
        </w:rPr>
        <w:t xml:space="preserve">Recommendation </w:t>
      </w:r>
      <w:r w:rsidRPr="00DE3A6F">
        <w:rPr>
          <w:noProof/>
        </w:rPr>
        <w:fldChar w:fldCharType="begin"/>
      </w:r>
      <w:r w:rsidRPr="00DE3A6F">
        <w:rPr>
          <w:noProof/>
        </w:rPr>
        <w:instrText xml:space="preserve"> SEQ Recommendation \* ARABIC </w:instrText>
      </w:r>
      <w:r w:rsidRPr="00DE3A6F">
        <w:rPr>
          <w:noProof/>
        </w:rPr>
        <w:fldChar w:fldCharType="separate"/>
      </w:r>
      <w:r w:rsidRPr="00DE3A6F">
        <w:rPr>
          <w:noProof/>
        </w:rPr>
        <w:t>2</w:t>
      </w:r>
      <w:r w:rsidRPr="00DE3A6F">
        <w:rPr>
          <w:noProof/>
        </w:rPr>
        <w:fldChar w:fldCharType="end"/>
      </w:r>
      <w:r w:rsidR="00EB0FB2" w:rsidRPr="00DE3A6F">
        <w:rPr>
          <w:noProof/>
        </w:rPr>
        <w:t xml:space="preserve">: </w:t>
      </w:r>
      <w:r w:rsidR="007964B5" w:rsidRPr="00DE3A6F">
        <w:rPr>
          <w:noProof/>
        </w:rPr>
        <w:t xml:space="preserve">Enhance </w:t>
      </w:r>
      <w:r w:rsidR="00F10221" w:rsidRPr="00DE3A6F">
        <w:rPr>
          <w:noProof/>
        </w:rPr>
        <w:t>detection through risk analysis and IT tools</w:t>
      </w:r>
    </w:p>
    <w:p w14:paraId="124C2102" w14:textId="7CE11F17" w:rsidR="009640AB" w:rsidRPr="00DE3A6F" w:rsidRDefault="00CE31F3" w:rsidP="00C57159">
      <w:pPr>
        <w:pStyle w:val="Caption"/>
        <w:pBdr>
          <w:top w:val="single" w:sz="4" w:space="1" w:color="auto"/>
          <w:left w:val="single" w:sz="4" w:space="0" w:color="auto"/>
          <w:bottom w:val="single" w:sz="4" w:space="1" w:color="auto"/>
          <w:right w:val="single" w:sz="4" w:space="1" w:color="auto"/>
        </w:pBdr>
        <w:shd w:val="clear" w:color="auto" w:fill="FBE4D5" w:themeFill="accent2" w:themeFillTint="33"/>
        <w:spacing w:before="0"/>
        <w:rPr>
          <w:b w:val="0"/>
          <w:bCs/>
          <w:i w:val="0"/>
          <w:iCs/>
          <w:noProof/>
        </w:rPr>
      </w:pPr>
      <w:r w:rsidRPr="00DE3A6F">
        <w:rPr>
          <w:b w:val="0"/>
          <w:bCs/>
          <w:i w:val="0"/>
          <w:iCs/>
          <w:noProof/>
        </w:rPr>
        <w:t xml:space="preserve">Member States </w:t>
      </w:r>
      <w:r w:rsidR="00305D81" w:rsidRPr="00DE3A6F">
        <w:rPr>
          <w:b w:val="0"/>
          <w:bCs/>
          <w:i w:val="0"/>
          <w:iCs/>
          <w:noProof/>
        </w:rPr>
        <w:t xml:space="preserve">should </w:t>
      </w:r>
      <w:r w:rsidR="008168C7" w:rsidRPr="00DE3A6F">
        <w:rPr>
          <w:b w:val="0"/>
          <w:bCs/>
          <w:i w:val="0"/>
          <w:iCs/>
          <w:noProof/>
        </w:rPr>
        <w:t xml:space="preserve">strengthen </w:t>
      </w:r>
      <w:r w:rsidR="00DD36AE">
        <w:rPr>
          <w:b w:val="0"/>
          <w:bCs/>
          <w:i w:val="0"/>
          <w:iCs/>
          <w:noProof/>
        </w:rPr>
        <w:t xml:space="preserve">detection of </w:t>
      </w:r>
      <w:r w:rsidR="008168C7" w:rsidRPr="00DE3A6F">
        <w:rPr>
          <w:b w:val="0"/>
          <w:bCs/>
          <w:i w:val="0"/>
          <w:iCs/>
          <w:noProof/>
        </w:rPr>
        <w:t xml:space="preserve">fraud and irregularities through </w:t>
      </w:r>
      <w:r w:rsidR="00D92A6C" w:rsidRPr="00DE3A6F">
        <w:rPr>
          <w:b w:val="0"/>
          <w:bCs/>
          <w:i w:val="0"/>
          <w:iCs/>
          <w:noProof/>
        </w:rPr>
        <w:t xml:space="preserve">enhanced use of </w:t>
      </w:r>
      <w:r w:rsidR="00E221B1" w:rsidRPr="00DE3A6F">
        <w:rPr>
          <w:b w:val="0"/>
          <w:bCs/>
          <w:i w:val="0"/>
          <w:iCs/>
          <w:noProof/>
        </w:rPr>
        <w:t>r</w:t>
      </w:r>
      <w:r w:rsidR="008168C7" w:rsidRPr="00DE3A6F">
        <w:rPr>
          <w:b w:val="0"/>
          <w:bCs/>
          <w:i w:val="0"/>
          <w:iCs/>
          <w:noProof/>
        </w:rPr>
        <w:t xml:space="preserve">isk analysis and IT </w:t>
      </w:r>
      <w:r w:rsidR="00D92A6C" w:rsidRPr="00DE3A6F">
        <w:rPr>
          <w:b w:val="0"/>
          <w:bCs/>
          <w:i w:val="0"/>
          <w:iCs/>
          <w:noProof/>
        </w:rPr>
        <w:t>tools</w:t>
      </w:r>
      <w:r w:rsidR="005C05DB" w:rsidRPr="00DE3A6F">
        <w:rPr>
          <w:b w:val="0"/>
          <w:bCs/>
          <w:i w:val="0"/>
          <w:iCs/>
          <w:noProof/>
        </w:rPr>
        <w:t xml:space="preserve"> such as Arachne+.</w:t>
      </w:r>
    </w:p>
    <w:p w14:paraId="2D50998A" w14:textId="6372A78B" w:rsidR="00BE5D90" w:rsidRPr="00B63937" w:rsidRDefault="00ED4117" w:rsidP="28D37C99">
      <w:pPr>
        <w:pStyle w:val="Caption"/>
        <w:pBdr>
          <w:top w:val="single" w:sz="4" w:space="1" w:color="auto"/>
          <w:left w:val="single" w:sz="4" w:space="0" w:color="auto"/>
          <w:bottom w:val="single" w:sz="4" w:space="1" w:color="auto"/>
          <w:right w:val="single" w:sz="4" w:space="1" w:color="auto"/>
        </w:pBdr>
        <w:shd w:val="clear" w:color="auto" w:fill="FBE4D5" w:themeFill="accent2" w:themeFillTint="33"/>
        <w:spacing w:before="0"/>
        <w:rPr>
          <w:b w:val="0"/>
          <w:i w:val="0"/>
          <w:noProof/>
        </w:rPr>
      </w:pPr>
      <w:r w:rsidRPr="00B63937">
        <w:rPr>
          <w:b w:val="0"/>
          <w:i w:val="0"/>
          <w:noProof/>
        </w:rPr>
        <w:t xml:space="preserve">The resulting control approaches should include </w:t>
      </w:r>
      <w:r w:rsidRPr="00DD36AE">
        <w:rPr>
          <w:b w:val="0"/>
          <w:iCs/>
          <w:noProof/>
        </w:rPr>
        <w:t>ex</w:t>
      </w:r>
      <w:r w:rsidR="00DD36AE" w:rsidRPr="00DD36AE">
        <w:rPr>
          <w:b w:val="0"/>
          <w:iCs/>
          <w:noProof/>
        </w:rPr>
        <w:t> </w:t>
      </w:r>
      <w:r w:rsidRPr="00DD36AE">
        <w:rPr>
          <w:b w:val="0"/>
          <w:iCs/>
          <w:noProof/>
        </w:rPr>
        <w:t>post</w:t>
      </w:r>
      <w:r w:rsidRPr="00B63937">
        <w:rPr>
          <w:b w:val="0"/>
          <w:i w:val="0"/>
          <w:noProof/>
        </w:rPr>
        <w:t xml:space="preserve"> controls on </w:t>
      </w:r>
      <w:r w:rsidR="00BE5D90" w:rsidRPr="00B63937">
        <w:rPr>
          <w:b w:val="0"/>
          <w:i w:val="0"/>
          <w:noProof/>
        </w:rPr>
        <w:t>sets of past transactions</w:t>
      </w:r>
      <w:r w:rsidR="005C05DB" w:rsidRPr="00B63937">
        <w:rPr>
          <w:b w:val="0"/>
          <w:i w:val="0"/>
          <w:noProof/>
        </w:rPr>
        <w:t xml:space="preserve"> </w:t>
      </w:r>
      <w:r w:rsidR="00BE5D90" w:rsidRPr="00B63937">
        <w:rPr>
          <w:b w:val="0"/>
          <w:i w:val="0"/>
          <w:noProof/>
        </w:rPr>
        <w:t>identified via risk analysis and IT tools.</w:t>
      </w:r>
    </w:p>
    <w:p w14:paraId="26E6E8FB" w14:textId="1C85FFD0" w:rsidR="00FA28FD" w:rsidRPr="00DE3A6F" w:rsidRDefault="39649485" w:rsidP="00A01F05">
      <w:pPr>
        <w:pStyle w:val="Heading2"/>
        <w:rPr>
          <w:noProof/>
        </w:rPr>
      </w:pPr>
      <w:bookmarkStart w:id="100" w:name="_Toc234447089"/>
      <w:r w:rsidRPr="00DE3A6F">
        <w:rPr>
          <w:noProof/>
        </w:rPr>
        <w:t>Investigation and prosecution</w:t>
      </w:r>
      <w:bookmarkEnd w:id="100"/>
    </w:p>
    <w:p w14:paraId="49B1B435" w14:textId="426CF998" w:rsidR="00823079" w:rsidRPr="00DE3A6F" w:rsidRDefault="00823079" w:rsidP="00823079">
      <w:pPr>
        <w:rPr>
          <w:noProof/>
        </w:rPr>
      </w:pPr>
      <w:r w:rsidRPr="00B63937">
        <w:rPr>
          <w:noProof/>
        </w:rPr>
        <w:t xml:space="preserve">Investigations and prosecutions </w:t>
      </w:r>
      <w:r w:rsidR="00DD36AE">
        <w:rPr>
          <w:noProof/>
        </w:rPr>
        <w:t xml:space="preserve">largely </w:t>
      </w:r>
      <w:r w:rsidRPr="00B63937">
        <w:rPr>
          <w:noProof/>
        </w:rPr>
        <w:t xml:space="preserve">depend on frontline </w:t>
      </w:r>
      <w:r w:rsidR="006629AC" w:rsidRPr="00B63937">
        <w:rPr>
          <w:noProof/>
        </w:rPr>
        <w:t xml:space="preserve">detection </w:t>
      </w:r>
      <w:r w:rsidR="00B42609" w:rsidRPr="00B63937">
        <w:rPr>
          <w:noProof/>
        </w:rPr>
        <w:t xml:space="preserve">(by IBOAs and national authorities) </w:t>
      </w:r>
      <w:r w:rsidRPr="00B63937">
        <w:rPr>
          <w:noProof/>
        </w:rPr>
        <w:t xml:space="preserve">and third-party </w:t>
      </w:r>
      <w:r w:rsidR="00EE5B20" w:rsidRPr="00B63937">
        <w:rPr>
          <w:noProof/>
        </w:rPr>
        <w:t>complain</w:t>
      </w:r>
      <w:r w:rsidRPr="00B63937">
        <w:rPr>
          <w:noProof/>
        </w:rPr>
        <w:t xml:space="preserve">ts. </w:t>
      </w:r>
      <w:r w:rsidR="00B42609" w:rsidRPr="00B63937">
        <w:rPr>
          <w:noProof/>
        </w:rPr>
        <w:t xml:space="preserve">OLAF </w:t>
      </w:r>
      <w:r w:rsidR="006629AC" w:rsidRPr="00B63937">
        <w:rPr>
          <w:noProof/>
        </w:rPr>
        <w:t>add</w:t>
      </w:r>
      <w:r w:rsidR="00654713">
        <w:rPr>
          <w:noProof/>
        </w:rPr>
        <w:t>s</w:t>
      </w:r>
      <w:r w:rsidR="006629AC" w:rsidRPr="00B63937">
        <w:rPr>
          <w:noProof/>
        </w:rPr>
        <w:t xml:space="preserve"> value </w:t>
      </w:r>
      <w:r w:rsidRPr="00B63937">
        <w:rPr>
          <w:noProof/>
        </w:rPr>
        <w:t xml:space="preserve">by providing specialised </w:t>
      </w:r>
      <w:r w:rsidR="00B42609" w:rsidRPr="00B63937">
        <w:rPr>
          <w:noProof/>
        </w:rPr>
        <w:t xml:space="preserve">investigative </w:t>
      </w:r>
      <w:r w:rsidR="005F78FB" w:rsidRPr="00B63937">
        <w:rPr>
          <w:noProof/>
        </w:rPr>
        <w:t>capacities,</w:t>
      </w:r>
      <w:r w:rsidRPr="00B63937">
        <w:rPr>
          <w:noProof/>
        </w:rPr>
        <w:t xml:space="preserve"> prioritis</w:t>
      </w:r>
      <w:r w:rsidR="005F78FB" w:rsidRPr="00B63937">
        <w:rPr>
          <w:noProof/>
        </w:rPr>
        <w:t>ing</w:t>
      </w:r>
      <w:r w:rsidRPr="00B63937">
        <w:rPr>
          <w:noProof/>
        </w:rPr>
        <w:t xml:space="preserve"> </w:t>
      </w:r>
      <w:r w:rsidR="00166022" w:rsidRPr="00B63937">
        <w:rPr>
          <w:noProof/>
        </w:rPr>
        <w:t xml:space="preserve">the protection of the </w:t>
      </w:r>
      <w:r w:rsidRPr="00B63937">
        <w:rPr>
          <w:noProof/>
        </w:rPr>
        <w:t>EU</w:t>
      </w:r>
      <w:r w:rsidR="00166022" w:rsidRPr="00B63937">
        <w:rPr>
          <w:noProof/>
        </w:rPr>
        <w:t xml:space="preserve">’s </w:t>
      </w:r>
      <w:r w:rsidRPr="00B63937">
        <w:rPr>
          <w:noProof/>
        </w:rPr>
        <w:t xml:space="preserve">financial </w:t>
      </w:r>
      <w:r w:rsidR="00166022" w:rsidRPr="00B63937">
        <w:rPr>
          <w:noProof/>
        </w:rPr>
        <w:t>interest</w:t>
      </w:r>
      <w:r w:rsidRPr="00B63937">
        <w:rPr>
          <w:noProof/>
        </w:rPr>
        <w:t xml:space="preserve">s and </w:t>
      </w:r>
      <w:r w:rsidR="005F78FB" w:rsidRPr="00B63937">
        <w:rPr>
          <w:noProof/>
        </w:rPr>
        <w:t xml:space="preserve">enabling </w:t>
      </w:r>
      <w:r w:rsidRPr="00B63937">
        <w:rPr>
          <w:noProof/>
        </w:rPr>
        <w:t>streamlined cross-border cooperation.</w:t>
      </w:r>
    </w:p>
    <w:p w14:paraId="16A8CCA2" w14:textId="2131E27E" w:rsidR="00823079" w:rsidRPr="00DE3A6F" w:rsidRDefault="003A741E" w:rsidP="00823079">
      <w:pPr>
        <w:rPr>
          <w:noProof/>
        </w:rPr>
      </w:pPr>
      <w:r>
        <w:rPr>
          <w:noProof/>
        </w:rPr>
        <w:t>T</w:t>
      </w:r>
      <w:r w:rsidR="008F6AD8" w:rsidRPr="00B63937">
        <w:rPr>
          <w:noProof/>
        </w:rPr>
        <w:t>he</w:t>
      </w:r>
      <w:r w:rsidR="00823079" w:rsidRPr="00B63937">
        <w:rPr>
          <w:noProof/>
        </w:rPr>
        <w:t xml:space="preserve"> EPPO</w:t>
      </w:r>
      <w:r w:rsidR="008F6AD8" w:rsidRPr="00B63937">
        <w:rPr>
          <w:noProof/>
        </w:rPr>
        <w:t xml:space="preserve"> </w:t>
      </w:r>
      <w:r w:rsidR="00C00602">
        <w:rPr>
          <w:noProof/>
        </w:rPr>
        <w:t xml:space="preserve">has the power to investigate and prosecute fraud and other criminal offences affecting the EU’s financial interests and </w:t>
      </w:r>
      <w:r w:rsidR="00575A67">
        <w:rPr>
          <w:noProof/>
        </w:rPr>
        <w:t xml:space="preserve">has </w:t>
      </w:r>
      <w:r w:rsidR="00452B8C">
        <w:rPr>
          <w:noProof/>
        </w:rPr>
        <w:t>already</w:t>
      </w:r>
      <w:r w:rsidR="00FF04B2">
        <w:rPr>
          <w:noProof/>
        </w:rPr>
        <w:t xml:space="preserve"> </w:t>
      </w:r>
      <w:r w:rsidR="00F900B6" w:rsidRPr="00B63937">
        <w:rPr>
          <w:noProof/>
        </w:rPr>
        <w:t>improve</w:t>
      </w:r>
      <w:r w:rsidR="00452B8C">
        <w:rPr>
          <w:noProof/>
        </w:rPr>
        <w:t>d</w:t>
      </w:r>
      <w:r w:rsidR="00F900B6" w:rsidRPr="00B63937">
        <w:rPr>
          <w:noProof/>
        </w:rPr>
        <w:t xml:space="preserve"> </w:t>
      </w:r>
      <w:r w:rsidR="007F3F20" w:rsidRPr="00B63937">
        <w:rPr>
          <w:noProof/>
        </w:rPr>
        <w:t xml:space="preserve">criminal proceedings, </w:t>
      </w:r>
      <w:r w:rsidR="00823079" w:rsidRPr="00B63937">
        <w:rPr>
          <w:noProof/>
        </w:rPr>
        <w:t>reducing investigation times (</w:t>
      </w:r>
      <w:r w:rsidR="007F3F20" w:rsidRPr="00B63937">
        <w:rPr>
          <w:noProof/>
        </w:rPr>
        <w:t xml:space="preserve">particularly </w:t>
      </w:r>
      <w:r w:rsidR="00823079" w:rsidRPr="00B63937">
        <w:rPr>
          <w:noProof/>
        </w:rPr>
        <w:t xml:space="preserve">for cross-border cases), </w:t>
      </w:r>
      <w:r w:rsidR="007F3F20" w:rsidRPr="00B63937">
        <w:rPr>
          <w:noProof/>
        </w:rPr>
        <w:t xml:space="preserve">minimising </w:t>
      </w:r>
      <w:r w:rsidR="00823079" w:rsidRPr="00B63937">
        <w:rPr>
          <w:noProof/>
        </w:rPr>
        <w:t>time-barred dismissals, and increasing indictment and conviction rates.</w:t>
      </w:r>
    </w:p>
    <w:p w14:paraId="457AC418" w14:textId="11CAC641" w:rsidR="003744B8" w:rsidRPr="00DE3A6F" w:rsidRDefault="003744B8" w:rsidP="00823079">
      <w:pPr>
        <w:rPr>
          <w:noProof/>
        </w:rPr>
      </w:pPr>
      <w:r w:rsidRPr="00DE3A6F">
        <w:rPr>
          <w:noProof/>
        </w:rPr>
        <w:t xml:space="preserve">Complementary activities by OLAF can </w:t>
      </w:r>
      <w:r w:rsidR="00024E9F">
        <w:rPr>
          <w:noProof/>
        </w:rPr>
        <w:t xml:space="preserve">support </w:t>
      </w:r>
      <w:r w:rsidR="00BE5CDF" w:rsidRPr="00DE3A6F">
        <w:rPr>
          <w:noProof/>
        </w:rPr>
        <w:t>prosecution with swift administrative action</w:t>
      </w:r>
      <w:r w:rsidR="00024E9F">
        <w:rPr>
          <w:noProof/>
        </w:rPr>
        <w:t xml:space="preserve"> in accordance with existing rules</w:t>
      </w:r>
      <w:r w:rsidR="00BE5CDF" w:rsidRPr="00DE3A6F">
        <w:rPr>
          <w:noProof/>
        </w:rPr>
        <w:t>.</w:t>
      </w:r>
    </w:p>
    <w:p w14:paraId="10EFCAE5" w14:textId="2B247438" w:rsidR="00616F01" w:rsidRPr="00DE3A6F" w:rsidRDefault="00616F01" w:rsidP="00823079">
      <w:pPr>
        <w:rPr>
          <w:noProof/>
        </w:rPr>
      </w:pPr>
      <w:r w:rsidRPr="00DE3A6F">
        <w:rPr>
          <w:noProof/>
        </w:rPr>
        <w:t xml:space="preserve">Full cooperation by national services is </w:t>
      </w:r>
      <w:r w:rsidR="00F86C64">
        <w:rPr>
          <w:noProof/>
        </w:rPr>
        <w:t>necessary.</w:t>
      </w:r>
    </w:p>
    <w:p w14:paraId="487D293A" w14:textId="6E50D619" w:rsidR="00E600E2" w:rsidRPr="00DE3A6F" w:rsidRDefault="00E600E2" w:rsidP="00F3155B">
      <w:pPr>
        <w:pStyle w:val="Caption"/>
        <w:pBdr>
          <w:top w:val="single" w:sz="4" w:space="1" w:color="auto"/>
          <w:left w:val="single" w:sz="4" w:space="1" w:color="auto"/>
          <w:bottom w:val="single" w:sz="4" w:space="1" w:color="auto"/>
          <w:right w:val="single" w:sz="4" w:space="1" w:color="auto"/>
        </w:pBdr>
        <w:shd w:val="clear" w:color="auto" w:fill="FFF2CC" w:themeFill="accent4" w:themeFillTint="33"/>
        <w:spacing w:before="0"/>
        <w:rPr>
          <w:noProof/>
        </w:rPr>
      </w:pPr>
      <w:r w:rsidRPr="00DE3A6F">
        <w:rPr>
          <w:noProof/>
        </w:rPr>
        <w:t xml:space="preserve">Focus point </w:t>
      </w:r>
      <w:r w:rsidR="00FF24CC" w:rsidRPr="00DE3A6F">
        <w:rPr>
          <w:noProof/>
        </w:rPr>
        <w:fldChar w:fldCharType="begin"/>
      </w:r>
      <w:r w:rsidR="00FF24CC" w:rsidRPr="00DE3A6F">
        <w:rPr>
          <w:noProof/>
        </w:rPr>
        <w:instrText xml:space="preserve"> SEQ Focus_point \* ARABIC </w:instrText>
      </w:r>
      <w:r w:rsidR="00FF24CC" w:rsidRPr="00DE3A6F">
        <w:rPr>
          <w:noProof/>
        </w:rPr>
        <w:fldChar w:fldCharType="separate"/>
      </w:r>
      <w:r w:rsidR="00C32ABD">
        <w:rPr>
          <w:noProof/>
        </w:rPr>
        <w:t>11</w:t>
      </w:r>
      <w:r w:rsidR="00FF24CC" w:rsidRPr="00DE3A6F">
        <w:rPr>
          <w:noProof/>
        </w:rPr>
        <w:fldChar w:fldCharType="end"/>
      </w:r>
      <w:r w:rsidRPr="00DE3A6F">
        <w:rPr>
          <w:noProof/>
        </w:rPr>
        <w:t xml:space="preserve">: </w:t>
      </w:r>
      <w:r w:rsidR="004D7A33" w:rsidRPr="00DE3A6F">
        <w:rPr>
          <w:noProof/>
        </w:rPr>
        <w:t xml:space="preserve">Strengthening </w:t>
      </w:r>
      <w:r w:rsidR="0036148D" w:rsidRPr="00DE3A6F">
        <w:rPr>
          <w:noProof/>
        </w:rPr>
        <w:t>coordination</w:t>
      </w:r>
      <w:r w:rsidR="004D7A33" w:rsidRPr="00DE3A6F">
        <w:rPr>
          <w:noProof/>
        </w:rPr>
        <w:t xml:space="preserve"> and cooperation </w:t>
      </w:r>
      <w:r w:rsidR="003166C3" w:rsidRPr="00DE3A6F">
        <w:rPr>
          <w:noProof/>
        </w:rPr>
        <w:t xml:space="preserve">among </w:t>
      </w:r>
      <w:r w:rsidR="004D7A33" w:rsidRPr="00DE3A6F">
        <w:rPr>
          <w:noProof/>
        </w:rPr>
        <w:t>AFA actors</w:t>
      </w:r>
    </w:p>
    <w:p w14:paraId="6B393A6F" w14:textId="066040BB" w:rsidR="004D7A33" w:rsidRPr="00DE3A6F" w:rsidRDefault="004D7A33" w:rsidP="28D37C99">
      <w:pPr>
        <w:pBdr>
          <w:top w:val="single" w:sz="4" w:space="1" w:color="auto"/>
          <w:left w:val="single" w:sz="4" w:space="1" w:color="auto"/>
          <w:bottom w:val="single" w:sz="4" w:space="1" w:color="auto"/>
          <w:right w:val="single" w:sz="4" w:space="1" w:color="auto"/>
        </w:pBdr>
        <w:shd w:val="clear" w:color="auto" w:fill="FFF2CC" w:themeFill="accent4" w:themeFillTint="33"/>
        <w:rPr>
          <w:noProof/>
        </w:rPr>
      </w:pPr>
      <w:r w:rsidRPr="00B63937">
        <w:rPr>
          <w:noProof/>
        </w:rPr>
        <w:t>The AFA review will</w:t>
      </w:r>
      <w:r w:rsidR="00A348CD">
        <w:rPr>
          <w:noProof/>
        </w:rPr>
        <w:t xml:space="preserve"> look</w:t>
      </w:r>
      <w:r w:rsidR="007E5BA2">
        <w:rPr>
          <w:noProof/>
        </w:rPr>
        <w:t xml:space="preserve">, amongst other, at how cooperation and coordination between AFA actors can be </w:t>
      </w:r>
      <w:r w:rsidR="007E5BA2" w:rsidRPr="13F9CCF2">
        <w:rPr>
          <w:noProof/>
          <w:color w:val="000000" w:themeColor="text1"/>
        </w:rPr>
        <w:t>enhanc</w:t>
      </w:r>
      <w:r w:rsidR="007E5BA2">
        <w:rPr>
          <w:noProof/>
          <w:color w:val="000000" w:themeColor="text1"/>
        </w:rPr>
        <w:t>ed</w:t>
      </w:r>
      <w:r w:rsidR="007E5BA2" w:rsidRPr="13F9CCF2">
        <w:rPr>
          <w:noProof/>
          <w:color w:val="000000" w:themeColor="text1"/>
        </w:rPr>
        <w:t xml:space="preserve"> </w:t>
      </w:r>
      <w:r w:rsidR="007E5BA2">
        <w:rPr>
          <w:noProof/>
          <w:color w:val="000000" w:themeColor="text1"/>
        </w:rPr>
        <w:t xml:space="preserve">to ensure effective </w:t>
      </w:r>
      <w:r w:rsidR="000558FD" w:rsidRPr="00B63937">
        <w:rPr>
          <w:noProof/>
          <w:color w:val="000000" w:themeColor="text1"/>
        </w:rPr>
        <w:t xml:space="preserve">investigation and prosecution </w:t>
      </w:r>
      <w:r w:rsidR="007E5BA2">
        <w:rPr>
          <w:noProof/>
          <w:color w:val="000000" w:themeColor="text1"/>
        </w:rPr>
        <w:t>of PIF offences</w:t>
      </w:r>
      <w:r w:rsidR="005C05DB" w:rsidRPr="00B63937">
        <w:rPr>
          <w:noProof/>
          <w:color w:val="000000" w:themeColor="text1"/>
        </w:rPr>
        <w:t>,</w:t>
      </w:r>
      <w:r w:rsidR="00376503" w:rsidRPr="00B63937">
        <w:rPr>
          <w:noProof/>
          <w:color w:val="000000" w:themeColor="text1"/>
        </w:rPr>
        <w:t xml:space="preserve"> </w:t>
      </w:r>
      <w:r w:rsidR="0066664A" w:rsidRPr="00B63937">
        <w:rPr>
          <w:noProof/>
          <w:color w:val="000000" w:themeColor="text1"/>
        </w:rPr>
        <w:t xml:space="preserve">harnessing </w:t>
      </w:r>
      <w:r w:rsidR="00376503" w:rsidRPr="00B63937">
        <w:rPr>
          <w:noProof/>
          <w:color w:val="000000" w:themeColor="text1"/>
        </w:rPr>
        <w:t>new technologies.</w:t>
      </w:r>
    </w:p>
    <w:p w14:paraId="360F0D05" w14:textId="02A736A8" w:rsidR="002B22B6" w:rsidRPr="00DE3A6F" w:rsidRDefault="002B22B6" w:rsidP="00B14F7C">
      <w:pPr>
        <w:pStyle w:val="Caption"/>
        <w:pBdr>
          <w:top w:val="single" w:sz="4" w:space="1" w:color="auto"/>
          <w:left w:val="single" w:sz="4" w:space="0" w:color="auto"/>
          <w:bottom w:val="single" w:sz="4" w:space="1" w:color="auto"/>
          <w:right w:val="single" w:sz="4" w:space="1" w:color="auto"/>
        </w:pBdr>
        <w:shd w:val="clear" w:color="auto" w:fill="FBE4D5" w:themeFill="accent2" w:themeFillTint="33"/>
        <w:rPr>
          <w:noProof/>
        </w:rPr>
      </w:pPr>
      <w:r w:rsidRPr="00DE3A6F">
        <w:rPr>
          <w:noProof/>
        </w:rPr>
        <w:t xml:space="preserve">Recommendation </w:t>
      </w:r>
      <w:r w:rsidRPr="00DE3A6F">
        <w:rPr>
          <w:noProof/>
        </w:rPr>
        <w:fldChar w:fldCharType="begin"/>
      </w:r>
      <w:r w:rsidRPr="00DE3A6F">
        <w:rPr>
          <w:noProof/>
        </w:rPr>
        <w:instrText xml:space="preserve"> SEQ Recommendation \* ARABIC </w:instrText>
      </w:r>
      <w:r w:rsidRPr="00DE3A6F">
        <w:rPr>
          <w:noProof/>
        </w:rPr>
        <w:fldChar w:fldCharType="separate"/>
      </w:r>
      <w:r w:rsidR="00947EF7" w:rsidRPr="00DE3A6F">
        <w:rPr>
          <w:noProof/>
        </w:rPr>
        <w:t>3</w:t>
      </w:r>
      <w:r w:rsidRPr="00DE3A6F">
        <w:rPr>
          <w:noProof/>
        </w:rPr>
        <w:fldChar w:fldCharType="end"/>
      </w:r>
      <w:r w:rsidRPr="00DE3A6F">
        <w:rPr>
          <w:noProof/>
        </w:rPr>
        <w:t xml:space="preserve">: </w:t>
      </w:r>
      <w:r w:rsidR="003166C3" w:rsidRPr="00DE3A6F">
        <w:rPr>
          <w:noProof/>
        </w:rPr>
        <w:t>Ensure f</w:t>
      </w:r>
      <w:r w:rsidR="00714D8F" w:rsidRPr="00DE3A6F">
        <w:rPr>
          <w:noProof/>
        </w:rPr>
        <w:t xml:space="preserve">ull support </w:t>
      </w:r>
      <w:r w:rsidR="00EE6BC7" w:rsidRPr="00DE3A6F">
        <w:rPr>
          <w:noProof/>
        </w:rPr>
        <w:t xml:space="preserve">for OLAF and </w:t>
      </w:r>
      <w:r w:rsidR="00714D8F" w:rsidRPr="00DE3A6F">
        <w:rPr>
          <w:noProof/>
        </w:rPr>
        <w:t xml:space="preserve">the EPPO </w:t>
      </w:r>
    </w:p>
    <w:p w14:paraId="69EE2AFC" w14:textId="60A5464B" w:rsidR="00FF247E" w:rsidRPr="00DE3A6F" w:rsidRDefault="52FF39DB" w:rsidP="0A00D70D">
      <w:pPr>
        <w:pBdr>
          <w:top w:val="single" w:sz="4" w:space="1" w:color="auto"/>
          <w:left w:val="single" w:sz="4" w:space="0" w:color="auto"/>
          <w:bottom w:val="single" w:sz="4" w:space="1" w:color="auto"/>
          <w:right w:val="single" w:sz="4" w:space="1" w:color="auto"/>
        </w:pBdr>
        <w:shd w:val="clear" w:color="auto" w:fill="FBE4D5" w:themeFill="accent2" w:themeFillTint="33"/>
        <w:rPr>
          <w:noProof/>
        </w:rPr>
      </w:pPr>
      <w:r w:rsidRPr="00B63937">
        <w:rPr>
          <w:noProof/>
        </w:rPr>
        <w:t>Competent</w:t>
      </w:r>
      <w:r w:rsidR="7B25CF84" w:rsidRPr="00B63937">
        <w:rPr>
          <w:noProof/>
        </w:rPr>
        <w:t xml:space="preserve"> authorities </w:t>
      </w:r>
      <w:r w:rsidR="3FC72105" w:rsidRPr="00B63937">
        <w:rPr>
          <w:noProof/>
        </w:rPr>
        <w:t>must</w:t>
      </w:r>
      <w:r w:rsidR="1F9BF183" w:rsidRPr="00B63937">
        <w:rPr>
          <w:noProof/>
        </w:rPr>
        <w:t xml:space="preserve"> full</w:t>
      </w:r>
      <w:r w:rsidR="00946B1E">
        <w:rPr>
          <w:noProof/>
        </w:rPr>
        <w:t>y</w:t>
      </w:r>
      <w:r w:rsidR="1F9BF183" w:rsidRPr="00B63937">
        <w:rPr>
          <w:noProof/>
        </w:rPr>
        <w:t xml:space="preserve"> </w:t>
      </w:r>
      <w:r w:rsidR="00946B1E" w:rsidRPr="00B63937">
        <w:rPr>
          <w:noProof/>
        </w:rPr>
        <w:t>cooperat</w:t>
      </w:r>
      <w:r w:rsidR="00946B1E">
        <w:rPr>
          <w:noProof/>
        </w:rPr>
        <w:t>e with</w:t>
      </w:r>
      <w:r w:rsidR="1F9BF183" w:rsidRPr="00B63937">
        <w:rPr>
          <w:noProof/>
        </w:rPr>
        <w:t xml:space="preserve"> </w:t>
      </w:r>
      <w:r w:rsidR="4345E65B" w:rsidRPr="00B63937">
        <w:rPr>
          <w:noProof/>
        </w:rPr>
        <w:t xml:space="preserve">OLAF and </w:t>
      </w:r>
      <w:r w:rsidR="1F9BF183" w:rsidRPr="00B63937">
        <w:rPr>
          <w:noProof/>
        </w:rPr>
        <w:t>the EPPO</w:t>
      </w:r>
      <w:r w:rsidR="7145E30D" w:rsidRPr="00B63937">
        <w:rPr>
          <w:noProof/>
        </w:rPr>
        <w:t xml:space="preserve">, </w:t>
      </w:r>
      <w:r w:rsidR="62CEBEE3" w:rsidRPr="00B63937">
        <w:rPr>
          <w:noProof/>
        </w:rPr>
        <w:t>including</w:t>
      </w:r>
      <w:r w:rsidR="55B595C0" w:rsidRPr="00B63937">
        <w:rPr>
          <w:noProof/>
        </w:rPr>
        <w:t xml:space="preserve"> </w:t>
      </w:r>
      <w:r w:rsidR="00946B1E">
        <w:rPr>
          <w:noProof/>
        </w:rPr>
        <w:t xml:space="preserve">by </w:t>
      </w:r>
      <w:r w:rsidR="55B595C0" w:rsidRPr="00B63937">
        <w:rPr>
          <w:noProof/>
        </w:rPr>
        <w:t>reporting without delay suspected criminal offences</w:t>
      </w:r>
      <w:r w:rsidR="00E17A4E">
        <w:rPr>
          <w:noProof/>
        </w:rPr>
        <w:t xml:space="preserve"> and</w:t>
      </w:r>
      <w:r w:rsidR="62CEBEE3" w:rsidRPr="00B63937">
        <w:rPr>
          <w:noProof/>
        </w:rPr>
        <w:t xml:space="preserve"> granting </w:t>
      </w:r>
      <w:r w:rsidR="6816BE2E" w:rsidRPr="00B63937">
        <w:rPr>
          <w:noProof/>
        </w:rPr>
        <w:t>timely</w:t>
      </w:r>
      <w:r w:rsidR="6FA5124B" w:rsidRPr="00B63937">
        <w:rPr>
          <w:noProof/>
        </w:rPr>
        <w:t xml:space="preserve"> access to </w:t>
      </w:r>
      <w:r w:rsidR="65162657" w:rsidRPr="00B63937">
        <w:rPr>
          <w:noProof/>
        </w:rPr>
        <w:t>data collected</w:t>
      </w:r>
      <w:r w:rsidR="2111326B" w:rsidRPr="00B63937">
        <w:rPr>
          <w:noProof/>
        </w:rPr>
        <w:t xml:space="preserve"> for </w:t>
      </w:r>
      <w:r w:rsidR="004A56C4" w:rsidRPr="00B63937">
        <w:rPr>
          <w:noProof/>
        </w:rPr>
        <w:t>implementing</w:t>
      </w:r>
      <w:r w:rsidR="009B3EF6" w:rsidRPr="00B63937">
        <w:rPr>
          <w:noProof/>
        </w:rPr>
        <w:t xml:space="preserve"> </w:t>
      </w:r>
      <w:r w:rsidR="2111326B" w:rsidRPr="00B63937">
        <w:rPr>
          <w:noProof/>
        </w:rPr>
        <w:t xml:space="preserve">funds </w:t>
      </w:r>
      <w:r w:rsidR="03669922" w:rsidRPr="00B63937">
        <w:rPr>
          <w:noProof/>
        </w:rPr>
        <w:t xml:space="preserve">or the </w:t>
      </w:r>
      <w:r w:rsidR="009B3EF6" w:rsidRPr="00B63937">
        <w:rPr>
          <w:noProof/>
        </w:rPr>
        <w:t>collecti</w:t>
      </w:r>
      <w:r w:rsidR="009B3EF6">
        <w:rPr>
          <w:noProof/>
        </w:rPr>
        <w:t>ng</w:t>
      </w:r>
      <w:r w:rsidR="009B3EF6" w:rsidRPr="00B63937">
        <w:rPr>
          <w:noProof/>
        </w:rPr>
        <w:t xml:space="preserve"> </w:t>
      </w:r>
      <w:r w:rsidR="03669922" w:rsidRPr="00B63937">
        <w:rPr>
          <w:noProof/>
        </w:rPr>
        <w:t xml:space="preserve">revenue </w:t>
      </w:r>
      <w:r w:rsidR="009B3EF6">
        <w:rPr>
          <w:noProof/>
        </w:rPr>
        <w:t xml:space="preserve">relevant </w:t>
      </w:r>
      <w:r w:rsidR="16F90A8B" w:rsidRPr="00B63937">
        <w:rPr>
          <w:noProof/>
        </w:rPr>
        <w:t xml:space="preserve">to </w:t>
      </w:r>
      <w:r w:rsidR="03669922" w:rsidRPr="00B63937">
        <w:rPr>
          <w:noProof/>
        </w:rPr>
        <w:t>the</w:t>
      </w:r>
      <w:r w:rsidR="16F90A8B" w:rsidRPr="00B63937">
        <w:rPr>
          <w:noProof/>
        </w:rPr>
        <w:t xml:space="preserve"> EU budget.</w:t>
      </w:r>
    </w:p>
    <w:p w14:paraId="550B9379" w14:textId="3B3F1760" w:rsidR="00F86360" w:rsidRPr="00DE3A6F" w:rsidRDefault="307C7784" w:rsidP="00A01F05">
      <w:pPr>
        <w:pStyle w:val="Heading2"/>
        <w:rPr>
          <w:noProof/>
        </w:rPr>
      </w:pPr>
      <w:bookmarkStart w:id="101" w:name="_Toc202011352"/>
      <w:bookmarkStart w:id="102" w:name="_Toc234447090"/>
      <w:r w:rsidRPr="00DE3A6F">
        <w:rPr>
          <w:noProof/>
        </w:rPr>
        <w:t>Recovery and sanctioning</w:t>
      </w:r>
      <w:bookmarkEnd w:id="101"/>
      <w:bookmarkEnd w:id="102"/>
    </w:p>
    <w:p w14:paraId="38256CC3" w14:textId="4EAAC4DC" w:rsidR="00AD0D22" w:rsidRPr="00DE3A6F" w:rsidRDefault="004B2A94" w:rsidP="007C6AB4">
      <w:pPr>
        <w:rPr>
          <w:noProof/>
        </w:rPr>
      </w:pPr>
      <w:r w:rsidRPr="00B63937">
        <w:rPr>
          <w:noProof/>
        </w:rPr>
        <w:t>Recovery</w:t>
      </w:r>
      <w:r w:rsidR="00F87884" w:rsidRPr="00B63937">
        <w:rPr>
          <w:noProof/>
        </w:rPr>
        <w:t xml:space="preserve"> is an </w:t>
      </w:r>
      <w:r w:rsidRPr="00B63937">
        <w:rPr>
          <w:noProof/>
        </w:rPr>
        <w:t xml:space="preserve">area of the anti-fraud cycle where </w:t>
      </w:r>
      <w:r w:rsidR="00F87884" w:rsidRPr="00B63937">
        <w:rPr>
          <w:noProof/>
        </w:rPr>
        <w:t xml:space="preserve">progress </w:t>
      </w:r>
      <w:r w:rsidR="00164176" w:rsidRPr="00B63937">
        <w:rPr>
          <w:noProof/>
        </w:rPr>
        <w:t xml:space="preserve">has </w:t>
      </w:r>
      <w:r w:rsidR="00F87884" w:rsidRPr="00B63937">
        <w:rPr>
          <w:noProof/>
        </w:rPr>
        <w:t>be</w:t>
      </w:r>
      <w:r w:rsidR="00164176" w:rsidRPr="00B63937">
        <w:rPr>
          <w:noProof/>
        </w:rPr>
        <w:t>en</w:t>
      </w:r>
      <w:r w:rsidR="00F87884" w:rsidRPr="00B63937">
        <w:rPr>
          <w:noProof/>
        </w:rPr>
        <w:t xml:space="preserve"> made but further</w:t>
      </w:r>
      <w:r w:rsidRPr="00B63937">
        <w:rPr>
          <w:noProof/>
        </w:rPr>
        <w:t xml:space="preserve"> </w:t>
      </w:r>
      <w:r w:rsidR="000A689A" w:rsidRPr="00B63937">
        <w:rPr>
          <w:noProof/>
        </w:rPr>
        <w:t>improvement</w:t>
      </w:r>
      <w:r w:rsidR="00164176" w:rsidRPr="00B63937">
        <w:rPr>
          <w:noProof/>
        </w:rPr>
        <w:t>s</w:t>
      </w:r>
      <w:r w:rsidR="00F87884" w:rsidRPr="00B63937">
        <w:rPr>
          <w:noProof/>
        </w:rPr>
        <w:t xml:space="preserve"> </w:t>
      </w:r>
      <w:r w:rsidR="00164176" w:rsidRPr="00B63937">
        <w:rPr>
          <w:noProof/>
        </w:rPr>
        <w:t>are needed</w:t>
      </w:r>
      <w:r w:rsidR="00F87884" w:rsidRPr="00B63937">
        <w:rPr>
          <w:noProof/>
        </w:rPr>
        <w:t>,</w:t>
      </w:r>
      <w:r w:rsidR="002171FA" w:rsidRPr="00B63937">
        <w:rPr>
          <w:noProof/>
        </w:rPr>
        <w:t xml:space="preserve"> particular</w:t>
      </w:r>
      <w:r w:rsidR="00F87884" w:rsidRPr="00B63937">
        <w:rPr>
          <w:noProof/>
        </w:rPr>
        <w:t xml:space="preserve">ly </w:t>
      </w:r>
      <w:r w:rsidR="00A802CF" w:rsidRPr="00B63937">
        <w:rPr>
          <w:noProof/>
        </w:rPr>
        <w:t>for</w:t>
      </w:r>
      <w:r w:rsidR="002171FA" w:rsidRPr="00B63937">
        <w:rPr>
          <w:noProof/>
        </w:rPr>
        <w:t xml:space="preserve"> fraud cases.</w:t>
      </w:r>
      <w:r w:rsidR="004C51F4" w:rsidRPr="00B63937">
        <w:rPr>
          <w:noProof/>
        </w:rPr>
        <w:t xml:space="preserve"> </w:t>
      </w:r>
    </w:p>
    <w:p w14:paraId="11311810" w14:textId="4A9F1333" w:rsidR="009632A6" w:rsidRPr="00DE3A6F" w:rsidRDefault="00A802CF" w:rsidP="007C6AB4">
      <w:pPr>
        <w:rPr>
          <w:noProof/>
        </w:rPr>
      </w:pPr>
      <w:r w:rsidRPr="00B63937">
        <w:rPr>
          <w:noProof/>
        </w:rPr>
        <w:t xml:space="preserve">Effective protection of </w:t>
      </w:r>
      <w:r w:rsidR="009632A6" w:rsidRPr="00B63937">
        <w:rPr>
          <w:noProof/>
        </w:rPr>
        <w:t xml:space="preserve">EU </w:t>
      </w:r>
      <w:r w:rsidR="0036148D" w:rsidRPr="00B63937">
        <w:rPr>
          <w:noProof/>
        </w:rPr>
        <w:t>funding requires</w:t>
      </w:r>
      <w:r w:rsidR="009632A6" w:rsidRPr="00B63937">
        <w:rPr>
          <w:noProof/>
        </w:rPr>
        <w:t xml:space="preserve"> </w:t>
      </w:r>
      <w:r w:rsidRPr="00B63937">
        <w:rPr>
          <w:b/>
          <w:bCs/>
          <w:noProof/>
        </w:rPr>
        <w:t xml:space="preserve">close </w:t>
      </w:r>
      <w:r w:rsidR="004928A8" w:rsidRPr="00B63937">
        <w:rPr>
          <w:b/>
          <w:bCs/>
          <w:noProof/>
        </w:rPr>
        <w:t>cooperation</w:t>
      </w:r>
      <w:r w:rsidR="004928A8" w:rsidRPr="00B63937">
        <w:rPr>
          <w:noProof/>
        </w:rPr>
        <w:t xml:space="preserve"> between investigative </w:t>
      </w:r>
      <w:r w:rsidR="00411BD1" w:rsidRPr="00B63937">
        <w:rPr>
          <w:noProof/>
        </w:rPr>
        <w:t>bodies and authorities in charge of recover</w:t>
      </w:r>
      <w:r w:rsidR="00022EA6" w:rsidRPr="00B63937">
        <w:rPr>
          <w:noProof/>
        </w:rPr>
        <w:t>ies.</w:t>
      </w:r>
      <w:r w:rsidR="00411BD1" w:rsidRPr="00B63937">
        <w:rPr>
          <w:noProof/>
        </w:rPr>
        <w:t xml:space="preserve"> </w:t>
      </w:r>
      <w:r w:rsidR="00ED6AC9" w:rsidRPr="00B63937">
        <w:rPr>
          <w:noProof/>
        </w:rPr>
        <w:t xml:space="preserve">The long-standing collaboration between the Commission and OLAF demonstrates the value of </w:t>
      </w:r>
      <w:r w:rsidR="00ED6AC9" w:rsidRPr="00B63937">
        <w:rPr>
          <w:b/>
          <w:bCs/>
          <w:noProof/>
        </w:rPr>
        <w:t xml:space="preserve">shared procedures and </w:t>
      </w:r>
      <w:r w:rsidR="00347A0B" w:rsidRPr="00B63937">
        <w:rPr>
          <w:b/>
          <w:bCs/>
          <w:noProof/>
        </w:rPr>
        <w:t>practices</w:t>
      </w:r>
      <w:r w:rsidR="00411BD1" w:rsidRPr="00B63937">
        <w:rPr>
          <w:noProof/>
        </w:rPr>
        <w:t>.</w:t>
      </w:r>
    </w:p>
    <w:p w14:paraId="7C7151E3" w14:textId="2A8AA197" w:rsidR="00DC57A2" w:rsidRPr="00DE3A6F" w:rsidRDefault="00FF24CC" w:rsidP="00EC7BE6">
      <w:pPr>
        <w:pStyle w:val="Caption"/>
        <w:keepNext/>
        <w:pBdr>
          <w:top w:val="single" w:sz="4" w:space="1" w:color="auto"/>
          <w:left w:val="single" w:sz="4" w:space="1" w:color="auto"/>
          <w:bottom w:val="single" w:sz="4" w:space="1" w:color="auto"/>
          <w:right w:val="single" w:sz="4" w:space="1" w:color="auto"/>
        </w:pBdr>
        <w:shd w:val="clear" w:color="auto" w:fill="FFF2CC" w:themeFill="accent4" w:themeFillTint="33"/>
        <w:spacing w:before="0"/>
        <w:rPr>
          <w:noProof/>
        </w:rPr>
      </w:pPr>
      <w:r w:rsidRPr="00DE3A6F">
        <w:rPr>
          <w:noProof/>
        </w:rPr>
        <w:lastRenderedPageBreak/>
        <w:t xml:space="preserve">Focus point </w:t>
      </w:r>
      <w:r w:rsidRPr="00DE3A6F">
        <w:rPr>
          <w:noProof/>
        </w:rPr>
        <w:fldChar w:fldCharType="begin"/>
      </w:r>
      <w:r w:rsidRPr="00DE3A6F">
        <w:rPr>
          <w:noProof/>
        </w:rPr>
        <w:instrText xml:space="preserve"> SEQ Focus_point \* ARABIC </w:instrText>
      </w:r>
      <w:r w:rsidRPr="00DE3A6F">
        <w:rPr>
          <w:noProof/>
        </w:rPr>
        <w:fldChar w:fldCharType="separate"/>
      </w:r>
      <w:r w:rsidR="00C32ABD">
        <w:rPr>
          <w:noProof/>
        </w:rPr>
        <w:t>12</w:t>
      </w:r>
      <w:r w:rsidRPr="00DE3A6F">
        <w:rPr>
          <w:noProof/>
        </w:rPr>
        <w:fldChar w:fldCharType="end"/>
      </w:r>
      <w:r w:rsidRPr="00DE3A6F">
        <w:rPr>
          <w:noProof/>
        </w:rPr>
        <w:t xml:space="preserve">: </w:t>
      </w:r>
      <w:r w:rsidR="00493A96" w:rsidRPr="00DE3A6F">
        <w:rPr>
          <w:noProof/>
        </w:rPr>
        <w:t xml:space="preserve">Monitoring </w:t>
      </w:r>
      <w:r w:rsidR="009F6578">
        <w:rPr>
          <w:noProof/>
        </w:rPr>
        <w:t xml:space="preserve">the </w:t>
      </w:r>
      <w:r w:rsidR="00493A96" w:rsidRPr="00DE3A6F">
        <w:rPr>
          <w:noProof/>
        </w:rPr>
        <w:t xml:space="preserve">EPPO </w:t>
      </w:r>
      <w:r w:rsidR="0036148D" w:rsidRPr="00DE3A6F">
        <w:rPr>
          <w:noProof/>
        </w:rPr>
        <w:t>notifications</w:t>
      </w:r>
    </w:p>
    <w:p w14:paraId="06D2E700" w14:textId="69757A25" w:rsidR="00D50E21" w:rsidRPr="00DE3A6F" w:rsidRDefault="00DC57A2" w:rsidP="28D37C99">
      <w:pPr>
        <w:pBdr>
          <w:top w:val="single" w:sz="4" w:space="1" w:color="auto"/>
          <w:left w:val="single" w:sz="4" w:space="1" w:color="auto"/>
          <w:bottom w:val="single" w:sz="4" w:space="1" w:color="auto"/>
          <w:right w:val="single" w:sz="4" w:space="1" w:color="auto"/>
        </w:pBdr>
        <w:shd w:val="clear" w:color="auto" w:fill="FFF2CC" w:themeFill="accent4" w:themeFillTint="33"/>
        <w:rPr>
          <w:noProof/>
        </w:rPr>
      </w:pPr>
      <w:r w:rsidRPr="00B63937">
        <w:rPr>
          <w:noProof/>
        </w:rPr>
        <w:t xml:space="preserve">The Commission </w:t>
      </w:r>
      <w:r w:rsidR="00A05507" w:rsidRPr="00B63937">
        <w:rPr>
          <w:noProof/>
        </w:rPr>
        <w:t>ha</w:t>
      </w:r>
      <w:r w:rsidRPr="00B63937">
        <w:rPr>
          <w:noProof/>
        </w:rPr>
        <w:t xml:space="preserve">s </w:t>
      </w:r>
      <w:r w:rsidR="00EB0B6D" w:rsidRPr="00B63937">
        <w:rPr>
          <w:noProof/>
        </w:rPr>
        <w:t>established</w:t>
      </w:r>
      <w:r w:rsidR="00493A96" w:rsidRPr="00B63937">
        <w:rPr>
          <w:noProof/>
        </w:rPr>
        <w:t xml:space="preserve"> a monitoring mechanism</w:t>
      </w:r>
      <w:r w:rsidR="00461585" w:rsidRPr="00B63937">
        <w:rPr>
          <w:noProof/>
        </w:rPr>
        <w:t xml:space="preserve">, </w:t>
      </w:r>
      <w:r w:rsidR="00493A96" w:rsidRPr="00B63937">
        <w:rPr>
          <w:noProof/>
        </w:rPr>
        <w:t xml:space="preserve">similar to </w:t>
      </w:r>
      <w:r w:rsidR="00EB0B6D" w:rsidRPr="00B63937">
        <w:rPr>
          <w:noProof/>
        </w:rPr>
        <w:t xml:space="preserve">the one in place for </w:t>
      </w:r>
      <w:r w:rsidR="006F140B" w:rsidRPr="00B63937">
        <w:rPr>
          <w:noProof/>
        </w:rPr>
        <w:t>OLAF’s financial recommendations</w:t>
      </w:r>
      <w:r w:rsidR="00461585" w:rsidRPr="00B63937">
        <w:rPr>
          <w:noProof/>
        </w:rPr>
        <w:t xml:space="preserve">, </w:t>
      </w:r>
      <w:r w:rsidR="006F140B" w:rsidRPr="00B63937">
        <w:rPr>
          <w:noProof/>
        </w:rPr>
        <w:t xml:space="preserve">to ensure that </w:t>
      </w:r>
      <w:r w:rsidR="00461585" w:rsidRPr="00B63937">
        <w:rPr>
          <w:noProof/>
        </w:rPr>
        <w:t>the actual</w:t>
      </w:r>
      <w:r w:rsidR="00A05507" w:rsidRPr="00B63937">
        <w:rPr>
          <w:noProof/>
        </w:rPr>
        <w:t xml:space="preserve"> damage </w:t>
      </w:r>
      <w:r w:rsidR="00461585" w:rsidRPr="00B63937">
        <w:rPr>
          <w:noProof/>
        </w:rPr>
        <w:t xml:space="preserve">established in </w:t>
      </w:r>
      <w:r w:rsidR="00EC7BE6">
        <w:rPr>
          <w:noProof/>
        </w:rPr>
        <w:t xml:space="preserve">the </w:t>
      </w:r>
      <w:r w:rsidR="00A05507" w:rsidRPr="00B63937">
        <w:rPr>
          <w:noProof/>
        </w:rPr>
        <w:t xml:space="preserve">EPPO </w:t>
      </w:r>
      <w:r w:rsidR="00461585" w:rsidRPr="00B63937">
        <w:rPr>
          <w:noProof/>
        </w:rPr>
        <w:t xml:space="preserve">cases </w:t>
      </w:r>
      <w:r w:rsidR="00F87884" w:rsidRPr="00B63937">
        <w:rPr>
          <w:noProof/>
        </w:rPr>
        <w:t xml:space="preserve">is </w:t>
      </w:r>
      <w:r w:rsidR="00A05507" w:rsidRPr="00B63937">
        <w:rPr>
          <w:noProof/>
        </w:rPr>
        <w:t xml:space="preserve"> </w:t>
      </w:r>
      <w:r w:rsidR="00F87884" w:rsidRPr="00B63937">
        <w:rPr>
          <w:noProof/>
        </w:rPr>
        <w:t xml:space="preserve">correctly quantified and </w:t>
      </w:r>
      <w:r w:rsidR="00D50E21" w:rsidRPr="00B63937">
        <w:rPr>
          <w:noProof/>
        </w:rPr>
        <w:t>appropriate follow-up action is taken</w:t>
      </w:r>
      <w:r w:rsidR="00F87884" w:rsidRPr="00B63937">
        <w:rPr>
          <w:noProof/>
        </w:rPr>
        <w:t xml:space="preserve">. </w:t>
      </w:r>
    </w:p>
    <w:p w14:paraId="44F0379E" w14:textId="2365EEEE" w:rsidR="00DC57A2" w:rsidRPr="00DE3A6F" w:rsidRDefault="00A05507" w:rsidP="0024301C">
      <w:pPr>
        <w:pBdr>
          <w:top w:val="single" w:sz="4" w:space="1" w:color="auto"/>
          <w:left w:val="single" w:sz="4" w:space="1" w:color="auto"/>
          <w:bottom w:val="single" w:sz="4" w:space="1" w:color="auto"/>
          <w:right w:val="single" w:sz="4" w:space="1" w:color="auto"/>
        </w:pBdr>
        <w:shd w:val="clear" w:color="auto" w:fill="FFF2CC" w:themeFill="accent4" w:themeFillTint="33"/>
        <w:rPr>
          <w:noProof/>
        </w:rPr>
      </w:pPr>
      <w:r w:rsidRPr="00DE3A6F">
        <w:rPr>
          <w:noProof/>
        </w:rPr>
        <w:t xml:space="preserve">The </w:t>
      </w:r>
      <w:r w:rsidR="00AE6DD0" w:rsidRPr="00DE3A6F">
        <w:rPr>
          <w:noProof/>
        </w:rPr>
        <w:t>Commission</w:t>
      </w:r>
      <w:r w:rsidR="0048578F" w:rsidRPr="00DE3A6F">
        <w:rPr>
          <w:noProof/>
        </w:rPr>
        <w:t xml:space="preserve"> </w:t>
      </w:r>
      <w:r w:rsidR="00F87884" w:rsidRPr="00DE3A6F">
        <w:rPr>
          <w:noProof/>
        </w:rPr>
        <w:t xml:space="preserve">will be </w:t>
      </w:r>
      <w:r w:rsidR="00A26079" w:rsidRPr="00DE3A6F">
        <w:rPr>
          <w:noProof/>
        </w:rPr>
        <w:t xml:space="preserve">reporting </w:t>
      </w:r>
      <w:r w:rsidR="0001012C">
        <w:rPr>
          <w:noProof/>
        </w:rPr>
        <w:t>on</w:t>
      </w:r>
      <w:r w:rsidR="0001012C" w:rsidRPr="00DE3A6F">
        <w:rPr>
          <w:noProof/>
        </w:rPr>
        <w:t xml:space="preserve"> </w:t>
      </w:r>
      <w:r w:rsidR="00A26079" w:rsidRPr="00DE3A6F">
        <w:rPr>
          <w:noProof/>
        </w:rPr>
        <w:t xml:space="preserve">progress in this area </w:t>
      </w:r>
      <w:r w:rsidR="00F87884" w:rsidRPr="00DE3A6F">
        <w:rPr>
          <w:noProof/>
        </w:rPr>
        <w:t>in future</w:t>
      </w:r>
      <w:r w:rsidR="00B438FC">
        <w:rPr>
          <w:noProof/>
        </w:rPr>
        <w:t xml:space="preserve"> PIF</w:t>
      </w:r>
      <w:r w:rsidR="00F87884" w:rsidRPr="00DE3A6F">
        <w:rPr>
          <w:noProof/>
        </w:rPr>
        <w:t xml:space="preserve"> reports. </w:t>
      </w:r>
    </w:p>
    <w:p w14:paraId="6C59DE16" w14:textId="4D39F636" w:rsidR="0038694C" w:rsidRPr="00DE3A6F" w:rsidRDefault="0038694C" w:rsidP="007C6AB4">
      <w:pPr>
        <w:rPr>
          <w:noProof/>
        </w:rPr>
      </w:pPr>
      <w:r w:rsidRPr="0001012C">
        <w:rPr>
          <w:noProof/>
        </w:rPr>
        <w:t>Data on sanctions</w:t>
      </w:r>
      <w:r w:rsidR="00252F13" w:rsidRPr="0001012C">
        <w:rPr>
          <w:noProof/>
        </w:rPr>
        <w:t xml:space="preserve"> reported by national authorities </w:t>
      </w:r>
      <w:r w:rsidR="008E00E2" w:rsidRPr="0001012C">
        <w:rPr>
          <w:noProof/>
        </w:rPr>
        <w:t xml:space="preserve">remain largely incomplete and should be improved to </w:t>
      </w:r>
      <w:r w:rsidR="00CB3C5A" w:rsidRPr="0001012C">
        <w:rPr>
          <w:noProof/>
        </w:rPr>
        <w:t>provide a clearer</w:t>
      </w:r>
      <w:r w:rsidR="00BA6C41" w:rsidRPr="0001012C">
        <w:rPr>
          <w:noProof/>
        </w:rPr>
        <w:t xml:space="preserve"> overview </w:t>
      </w:r>
      <w:r w:rsidR="00697704" w:rsidRPr="0001012C">
        <w:rPr>
          <w:noProof/>
        </w:rPr>
        <w:t xml:space="preserve">of the </w:t>
      </w:r>
      <w:r w:rsidR="00BA6C41" w:rsidRPr="0001012C">
        <w:rPr>
          <w:noProof/>
        </w:rPr>
        <w:t xml:space="preserve">penalties </w:t>
      </w:r>
      <w:r w:rsidR="00697704" w:rsidRPr="0001012C">
        <w:rPr>
          <w:noProof/>
        </w:rPr>
        <w:t xml:space="preserve">applied </w:t>
      </w:r>
      <w:r w:rsidR="004F6CC2" w:rsidRPr="0001012C">
        <w:rPr>
          <w:noProof/>
        </w:rPr>
        <w:t xml:space="preserve">following criminal and </w:t>
      </w:r>
      <w:r w:rsidR="0072729D" w:rsidRPr="0001012C">
        <w:rPr>
          <w:noProof/>
        </w:rPr>
        <w:t>adm</w:t>
      </w:r>
      <w:r w:rsidR="1E0CE397" w:rsidRPr="0001012C">
        <w:rPr>
          <w:noProof/>
        </w:rPr>
        <w:t>i</w:t>
      </w:r>
      <w:r w:rsidR="0072729D" w:rsidRPr="0001012C">
        <w:rPr>
          <w:noProof/>
        </w:rPr>
        <w:t>nistrative proceedings.</w:t>
      </w:r>
    </w:p>
    <w:p w14:paraId="0EF407E6" w14:textId="03135F07" w:rsidR="00461830" w:rsidRPr="00DE3A6F" w:rsidRDefault="002B22B6" w:rsidP="00D360B5">
      <w:pPr>
        <w:pStyle w:val="Caption"/>
        <w:keepNext/>
        <w:pBdr>
          <w:top w:val="single" w:sz="4" w:space="1" w:color="auto"/>
          <w:left w:val="single" w:sz="4" w:space="1" w:color="auto"/>
          <w:bottom w:val="single" w:sz="4" w:space="1" w:color="auto"/>
          <w:right w:val="single" w:sz="4" w:space="1" w:color="auto"/>
        </w:pBdr>
        <w:shd w:val="clear" w:color="auto" w:fill="FBE4D5" w:themeFill="accent2" w:themeFillTint="33"/>
        <w:rPr>
          <w:noProof/>
        </w:rPr>
      </w:pPr>
      <w:r w:rsidRPr="00DE3A6F">
        <w:rPr>
          <w:noProof/>
        </w:rPr>
        <w:t xml:space="preserve">Recommendation </w:t>
      </w:r>
      <w:r w:rsidRPr="00DE3A6F">
        <w:rPr>
          <w:noProof/>
        </w:rPr>
        <w:fldChar w:fldCharType="begin"/>
      </w:r>
      <w:r w:rsidRPr="00DE3A6F">
        <w:rPr>
          <w:noProof/>
        </w:rPr>
        <w:instrText xml:space="preserve"> SEQ Recommendation \* ARABIC </w:instrText>
      </w:r>
      <w:r w:rsidRPr="00DE3A6F">
        <w:rPr>
          <w:noProof/>
        </w:rPr>
        <w:fldChar w:fldCharType="separate"/>
      </w:r>
      <w:r w:rsidR="00947EF7" w:rsidRPr="00DE3A6F">
        <w:rPr>
          <w:noProof/>
        </w:rPr>
        <w:t>4</w:t>
      </w:r>
      <w:r w:rsidRPr="00DE3A6F">
        <w:rPr>
          <w:noProof/>
        </w:rPr>
        <w:fldChar w:fldCharType="end"/>
      </w:r>
      <w:r w:rsidR="00AD0D22" w:rsidRPr="00DE3A6F">
        <w:rPr>
          <w:noProof/>
        </w:rPr>
        <w:t xml:space="preserve">: </w:t>
      </w:r>
      <w:r w:rsidR="003F4BF7" w:rsidRPr="00DE3A6F">
        <w:rPr>
          <w:noProof/>
        </w:rPr>
        <w:t xml:space="preserve">Boost </w:t>
      </w:r>
      <w:r w:rsidR="00144592" w:rsidRPr="00DE3A6F">
        <w:rPr>
          <w:noProof/>
        </w:rPr>
        <w:t>cooperation</w:t>
      </w:r>
      <w:r w:rsidR="003F4BF7" w:rsidRPr="00DE3A6F">
        <w:rPr>
          <w:noProof/>
        </w:rPr>
        <w:t xml:space="preserve"> between administrative </w:t>
      </w:r>
      <w:r w:rsidR="00EC5E33" w:rsidRPr="00DE3A6F">
        <w:rPr>
          <w:noProof/>
        </w:rPr>
        <w:t>and judicia</w:t>
      </w:r>
      <w:r w:rsidR="0082347D" w:rsidRPr="00DE3A6F">
        <w:rPr>
          <w:noProof/>
        </w:rPr>
        <w:t xml:space="preserve">l services. </w:t>
      </w:r>
    </w:p>
    <w:p w14:paraId="202C5709" w14:textId="19313BD4" w:rsidR="00B12A67" w:rsidRPr="00DE3A6F" w:rsidRDefault="0044595E" w:rsidP="008136EE">
      <w:pPr>
        <w:pStyle w:val="Caption"/>
        <w:pBdr>
          <w:top w:val="single" w:sz="4" w:space="1" w:color="auto"/>
          <w:left w:val="single" w:sz="4" w:space="1" w:color="auto"/>
          <w:bottom w:val="single" w:sz="4" w:space="1" w:color="auto"/>
          <w:right w:val="single" w:sz="4" w:space="1" w:color="auto"/>
        </w:pBdr>
        <w:shd w:val="clear" w:color="auto" w:fill="FBE4D5" w:themeFill="accent2" w:themeFillTint="33"/>
        <w:spacing w:before="0"/>
        <w:rPr>
          <w:b w:val="0"/>
          <w:i w:val="0"/>
          <w:iCs/>
          <w:noProof/>
        </w:rPr>
      </w:pPr>
      <w:r w:rsidRPr="00DE3A6F">
        <w:rPr>
          <w:b w:val="0"/>
          <w:i w:val="0"/>
          <w:iCs/>
          <w:noProof/>
        </w:rPr>
        <w:t xml:space="preserve">Member States </w:t>
      </w:r>
      <w:r w:rsidR="00144592" w:rsidRPr="00DE3A6F">
        <w:rPr>
          <w:b w:val="0"/>
          <w:i w:val="0"/>
          <w:iCs/>
          <w:noProof/>
        </w:rPr>
        <w:t>should</w:t>
      </w:r>
      <w:r w:rsidR="00B12A67" w:rsidRPr="00DE3A6F">
        <w:rPr>
          <w:b w:val="0"/>
          <w:i w:val="0"/>
          <w:iCs/>
          <w:noProof/>
        </w:rPr>
        <w:t>:</w:t>
      </w:r>
    </w:p>
    <w:p w14:paraId="28AE362C" w14:textId="4A620C6C" w:rsidR="0043066A" w:rsidRPr="00DE3A6F" w:rsidRDefault="007A4677" w:rsidP="008136EE">
      <w:pPr>
        <w:pStyle w:val="Caption"/>
        <w:numPr>
          <w:ilvl w:val="0"/>
          <w:numId w:val="65"/>
        </w:numPr>
        <w:pBdr>
          <w:top w:val="single" w:sz="4" w:space="1" w:color="auto"/>
          <w:left w:val="single" w:sz="4" w:space="1" w:color="auto"/>
          <w:bottom w:val="single" w:sz="4" w:space="1" w:color="auto"/>
          <w:right w:val="single" w:sz="4" w:space="1" w:color="auto"/>
        </w:pBdr>
        <w:shd w:val="clear" w:color="auto" w:fill="FBE4D5" w:themeFill="accent2" w:themeFillTint="33"/>
        <w:spacing w:before="0"/>
        <w:rPr>
          <w:b w:val="0"/>
          <w:noProof/>
        </w:rPr>
      </w:pPr>
      <w:r>
        <w:rPr>
          <w:b w:val="0"/>
          <w:i w:val="0"/>
          <w:iCs/>
          <w:noProof/>
        </w:rPr>
        <w:t>set up</w:t>
      </w:r>
      <w:r w:rsidRPr="00DE3A6F">
        <w:rPr>
          <w:b w:val="0"/>
          <w:i w:val="0"/>
          <w:iCs/>
          <w:noProof/>
        </w:rPr>
        <w:t xml:space="preserve"> </w:t>
      </w:r>
      <w:r w:rsidR="0036148D" w:rsidRPr="00DE3A6F">
        <w:rPr>
          <w:b w:val="0"/>
          <w:i w:val="0"/>
          <w:iCs/>
          <w:noProof/>
        </w:rPr>
        <w:t>mechanisms to</w:t>
      </w:r>
      <w:r w:rsidR="0044595E" w:rsidRPr="00DE3A6F">
        <w:rPr>
          <w:b w:val="0"/>
          <w:i w:val="0"/>
          <w:iCs/>
          <w:noProof/>
        </w:rPr>
        <w:t xml:space="preserve"> </w:t>
      </w:r>
      <w:r w:rsidR="00B12A67" w:rsidRPr="00DE3A6F">
        <w:rPr>
          <w:b w:val="0"/>
          <w:i w:val="0"/>
          <w:iCs/>
          <w:noProof/>
        </w:rPr>
        <w:t xml:space="preserve">improve </w:t>
      </w:r>
      <w:r w:rsidR="0043066A" w:rsidRPr="00DE3A6F">
        <w:rPr>
          <w:b w:val="0"/>
          <w:i w:val="0"/>
          <w:iCs/>
          <w:noProof/>
        </w:rPr>
        <w:t xml:space="preserve">cooperation and information </w:t>
      </w:r>
      <w:r w:rsidR="0036148D" w:rsidRPr="00DE3A6F">
        <w:rPr>
          <w:b w:val="0"/>
          <w:i w:val="0"/>
          <w:iCs/>
          <w:noProof/>
        </w:rPr>
        <w:t>exchange between</w:t>
      </w:r>
      <w:r w:rsidR="002F7EA4" w:rsidRPr="00DE3A6F">
        <w:rPr>
          <w:b w:val="0"/>
          <w:i w:val="0"/>
          <w:iCs/>
          <w:noProof/>
        </w:rPr>
        <w:t xml:space="preserve"> investigative and administrative</w:t>
      </w:r>
      <w:r w:rsidR="00461585" w:rsidRPr="00DE3A6F">
        <w:rPr>
          <w:b w:val="0"/>
          <w:i w:val="0"/>
          <w:iCs/>
          <w:noProof/>
        </w:rPr>
        <w:t xml:space="preserve"> services</w:t>
      </w:r>
      <w:r w:rsidR="0043066A" w:rsidRPr="00DE3A6F">
        <w:rPr>
          <w:b w:val="0"/>
          <w:i w:val="0"/>
          <w:iCs/>
          <w:noProof/>
        </w:rPr>
        <w:t>,</w:t>
      </w:r>
      <w:r w:rsidR="00461585" w:rsidRPr="00DE3A6F">
        <w:rPr>
          <w:b w:val="0"/>
          <w:i w:val="0"/>
          <w:iCs/>
          <w:noProof/>
        </w:rPr>
        <w:t xml:space="preserve"> </w:t>
      </w:r>
      <w:r w:rsidR="0043066A" w:rsidRPr="00DE3A6F">
        <w:rPr>
          <w:b w:val="0"/>
          <w:i w:val="0"/>
          <w:iCs/>
          <w:noProof/>
        </w:rPr>
        <w:t xml:space="preserve">boosting </w:t>
      </w:r>
      <w:r w:rsidR="00461585" w:rsidRPr="00DE3A6F">
        <w:rPr>
          <w:b w:val="0"/>
          <w:i w:val="0"/>
          <w:iCs/>
          <w:noProof/>
        </w:rPr>
        <w:t xml:space="preserve">financial </w:t>
      </w:r>
      <w:r w:rsidR="002F7EA4" w:rsidRPr="00DE3A6F">
        <w:rPr>
          <w:b w:val="0"/>
          <w:i w:val="0"/>
          <w:iCs/>
          <w:noProof/>
        </w:rPr>
        <w:t>recovery</w:t>
      </w:r>
      <w:r w:rsidR="00F8285E" w:rsidRPr="00DE3A6F">
        <w:rPr>
          <w:b w:val="0"/>
          <w:i w:val="0"/>
          <w:iCs/>
          <w:noProof/>
        </w:rPr>
        <w:t xml:space="preserve">. </w:t>
      </w:r>
    </w:p>
    <w:p w14:paraId="5C4F156C" w14:textId="7062FBFE" w:rsidR="00F42DC6" w:rsidRPr="00DE3A6F" w:rsidRDefault="007A4677" w:rsidP="008136EE">
      <w:pPr>
        <w:pStyle w:val="Caption"/>
        <w:numPr>
          <w:ilvl w:val="0"/>
          <w:numId w:val="65"/>
        </w:numPr>
        <w:pBdr>
          <w:top w:val="single" w:sz="4" w:space="1" w:color="auto"/>
          <w:left w:val="single" w:sz="4" w:space="1" w:color="auto"/>
          <w:bottom w:val="single" w:sz="4" w:space="1" w:color="auto"/>
          <w:right w:val="single" w:sz="4" w:space="1" w:color="auto"/>
        </w:pBdr>
        <w:shd w:val="clear" w:color="auto" w:fill="FBE4D5" w:themeFill="accent2" w:themeFillTint="33"/>
        <w:spacing w:before="0"/>
        <w:rPr>
          <w:b w:val="0"/>
          <w:noProof/>
        </w:rPr>
      </w:pPr>
      <w:r w:rsidRPr="00DE3A6F">
        <w:rPr>
          <w:b w:val="0"/>
          <w:i w:val="0"/>
          <w:iCs/>
          <w:noProof/>
        </w:rPr>
        <w:t>strengthen</w:t>
      </w:r>
      <w:r w:rsidR="008136EE" w:rsidRPr="00DE3A6F">
        <w:rPr>
          <w:b w:val="0"/>
          <w:i w:val="0"/>
          <w:iCs/>
          <w:noProof/>
        </w:rPr>
        <w:t xml:space="preserve"> </w:t>
      </w:r>
      <w:r w:rsidR="00F8285E" w:rsidRPr="00DE3A6F">
        <w:rPr>
          <w:b w:val="0"/>
          <w:i w:val="0"/>
          <w:iCs/>
          <w:noProof/>
        </w:rPr>
        <w:t xml:space="preserve">reporting </w:t>
      </w:r>
      <w:r w:rsidR="008136EE" w:rsidRPr="00DE3A6F">
        <w:rPr>
          <w:b w:val="0"/>
          <w:i w:val="0"/>
          <w:iCs/>
          <w:noProof/>
        </w:rPr>
        <w:t xml:space="preserve">on </w:t>
      </w:r>
      <w:r w:rsidR="00F8285E" w:rsidRPr="00DE3A6F">
        <w:rPr>
          <w:b w:val="0"/>
          <w:i w:val="0"/>
          <w:iCs/>
          <w:noProof/>
        </w:rPr>
        <w:t xml:space="preserve">sanctions and penalties </w:t>
      </w:r>
      <w:r w:rsidR="008136EE" w:rsidRPr="00DE3A6F">
        <w:rPr>
          <w:b w:val="0"/>
          <w:i w:val="0"/>
          <w:iCs/>
          <w:noProof/>
        </w:rPr>
        <w:t xml:space="preserve">imposed after </w:t>
      </w:r>
      <w:r w:rsidR="0044595E" w:rsidRPr="00DE3A6F">
        <w:rPr>
          <w:b w:val="0"/>
          <w:i w:val="0"/>
          <w:iCs/>
          <w:noProof/>
        </w:rPr>
        <w:t xml:space="preserve">final </w:t>
      </w:r>
      <w:r w:rsidR="00FA2732" w:rsidRPr="00DE3A6F">
        <w:rPr>
          <w:b w:val="0"/>
          <w:i w:val="0"/>
          <w:iCs/>
          <w:noProof/>
        </w:rPr>
        <w:t xml:space="preserve">judicial and administrative </w:t>
      </w:r>
      <w:r w:rsidR="0044595E" w:rsidRPr="00DE3A6F">
        <w:rPr>
          <w:b w:val="0"/>
          <w:i w:val="0"/>
          <w:iCs/>
          <w:noProof/>
        </w:rPr>
        <w:t>decisions.</w:t>
      </w:r>
    </w:p>
    <w:p w14:paraId="2014AAC8" w14:textId="77777777" w:rsidR="002E23A4" w:rsidRPr="00DE3A6F" w:rsidRDefault="002E23A4">
      <w:pPr>
        <w:spacing w:after="0" w:line="240" w:lineRule="auto"/>
        <w:jc w:val="left"/>
        <w:rPr>
          <w:noProof/>
        </w:rPr>
        <w:sectPr w:rsidR="002E23A4" w:rsidRPr="00DE3A6F" w:rsidSect="007C0183">
          <w:pgSz w:w="11906" w:h="16838"/>
          <w:pgMar w:top="1020" w:right="1701" w:bottom="1020" w:left="1587" w:header="601" w:footer="1077" w:gutter="0"/>
          <w:cols w:space="720"/>
          <w:titlePg/>
          <w:docGrid w:linePitch="326"/>
        </w:sectPr>
      </w:pPr>
    </w:p>
    <w:p w14:paraId="7360A9D8" w14:textId="0685B6D1" w:rsidR="00702040" w:rsidRDefault="0048467D">
      <w:pPr>
        <w:spacing w:after="0" w:line="240" w:lineRule="auto"/>
        <w:jc w:val="left"/>
        <w:rPr>
          <w:b/>
          <w:bCs/>
          <w:noProof/>
        </w:rPr>
      </w:pPr>
      <w:r w:rsidRPr="00DE3A6F">
        <w:rPr>
          <w:b/>
          <w:bCs/>
          <w:noProof/>
        </w:rPr>
        <w:lastRenderedPageBreak/>
        <w:t>ANNEX 1</w:t>
      </w:r>
      <w:r w:rsidR="005A578D">
        <w:rPr>
          <w:b/>
          <w:bCs/>
          <w:noProof/>
        </w:rPr>
        <w:t xml:space="preserve"> - </w:t>
      </w:r>
      <w:r w:rsidR="005A578D" w:rsidRPr="005A578D">
        <w:rPr>
          <w:b/>
          <w:bCs/>
          <w:noProof/>
        </w:rPr>
        <w:t>Irregularities reported as fraudulent in 2025 (</w:t>
      </w:r>
      <w:r w:rsidR="005A578D">
        <w:rPr>
          <w:rStyle w:val="FootnoteReference"/>
          <w:b/>
          <w:bCs/>
          <w:noProof/>
        </w:rPr>
        <w:footnoteReference w:id="78"/>
      </w:r>
      <w:r w:rsidR="005A578D">
        <w:rPr>
          <w:b/>
          <w:bCs/>
          <w:noProof/>
        </w:rPr>
        <w:t>)</w:t>
      </w:r>
    </w:p>
    <w:p w14:paraId="0FDD29FC" w14:textId="64461A36" w:rsidR="005A578D" w:rsidRPr="00591759" w:rsidRDefault="000930AF">
      <w:pPr>
        <w:spacing w:after="0" w:line="240" w:lineRule="auto"/>
        <w:jc w:val="left"/>
        <w:rPr>
          <w:noProof/>
          <w:sz w:val="20"/>
          <w:szCs w:val="18"/>
        </w:rPr>
      </w:pPr>
      <w:r w:rsidRPr="00591759">
        <w:rPr>
          <w:noProof/>
          <w:sz w:val="20"/>
          <w:szCs w:val="18"/>
        </w:rPr>
        <w:t>The number of irregularities reported as fraudulent measures the results of Member States' work to counter fraud and other illegal activities affecting the EU's financial interests. Therefore, the figures should not be interpreted as indicating the level of fraud in the Member States territories. Annex for the PIF Report does not include third countries (pre-accession), the UK and direct expenditure.</w:t>
      </w:r>
    </w:p>
    <w:tbl>
      <w:tblPr>
        <w:tblW w:w="15930" w:type="dxa"/>
        <w:tblLook w:val="04A0" w:firstRow="1" w:lastRow="0" w:firstColumn="1" w:lastColumn="0" w:noHBand="0" w:noVBand="1"/>
      </w:tblPr>
      <w:tblGrid>
        <w:gridCol w:w="1778"/>
        <w:gridCol w:w="916"/>
        <w:gridCol w:w="1242"/>
        <w:gridCol w:w="884"/>
        <w:gridCol w:w="1417"/>
        <w:gridCol w:w="709"/>
        <w:gridCol w:w="1276"/>
        <w:gridCol w:w="1217"/>
        <w:gridCol w:w="1040"/>
        <w:gridCol w:w="1295"/>
        <w:gridCol w:w="1399"/>
        <w:gridCol w:w="1256"/>
        <w:gridCol w:w="1279"/>
        <w:gridCol w:w="222"/>
      </w:tblGrid>
      <w:tr w:rsidR="00C31C24" w:rsidRPr="00226540" w14:paraId="797AF68E" w14:textId="77777777" w:rsidTr="007E2B13">
        <w:trPr>
          <w:gridAfter w:val="1"/>
          <w:wAfter w:w="222" w:type="dxa"/>
          <w:trHeight w:val="255"/>
        </w:trPr>
        <w:tc>
          <w:tcPr>
            <w:tcW w:w="1778" w:type="dxa"/>
            <w:vMerge w:val="restart"/>
            <w:tcBorders>
              <w:top w:val="single" w:sz="4" w:space="0" w:color="auto"/>
              <w:left w:val="single" w:sz="4" w:space="0" w:color="auto"/>
              <w:bottom w:val="nil"/>
              <w:right w:val="nil"/>
            </w:tcBorders>
            <w:shd w:val="clear" w:color="000000" w:fill="538DD5"/>
            <w:vAlign w:val="center"/>
            <w:hideMark/>
          </w:tcPr>
          <w:p w14:paraId="113BA2B8" w14:textId="77777777" w:rsidR="00C31C24" w:rsidRPr="005037C8" w:rsidRDefault="00C31C24" w:rsidP="00C31C24">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Member States</w:t>
            </w:r>
          </w:p>
        </w:tc>
        <w:tc>
          <w:tcPr>
            <w:tcW w:w="2158" w:type="dxa"/>
            <w:gridSpan w:val="2"/>
            <w:vMerge w:val="restart"/>
            <w:tcBorders>
              <w:top w:val="single" w:sz="4" w:space="0" w:color="auto"/>
              <w:left w:val="nil"/>
              <w:bottom w:val="nil"/>
              <w:right w:val="nil"/>
            </w:tcBorders>
            <w:shd w:val="clear" w:color="000000" w:fill="538DD5"/>
            <w:vAlign w:val="center"/>
            <w:hideMark/>
          </w:tcPr>
          <w:p w14:paraId="37DE32E7" w14:textId="77777777" w:rsidR="00C31C24" w:rsidRPr="005037C8" w:rsidRDefault="00C31C24" w:rsidP="00C31C24">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Agriculture</w:t>
            </w:r>
          </w:p>
        </w:tc>
        <w:tc>
          <w:tcPr>
            <w:tcW w:w="2301" w:type="dxa"/>
            <w:gridSpan w:val="2"/>
            <w:vMerge w:val="restart"/>
            <w:tcBorders>
              <w:top w:val="single" w:sz="4" w:space="0" w:color="auto"/>
              <w:left w:val="nil"/>
              <w:bottom w:val="nil"/>
              <w:right w:val="nil"/>
            </w:tcBorders>
            <w:shd w:val="clear" w:color="000000" w:fill="538DD5"/>
            <w:vAlign w:val="center"/>
            <w:hideMark/>
          </w:tcPr>
          <w:p w14:paraId="62539B63" w14:textId="053DFB73" w:rsidR="00C31C24" w:rsidRPr="005037C8" w:rsidRDefault="00C31C24" w:rsidP="00C31C24">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 xml:space="preserve">Cohesion </w:t>
            </w:r>
            <w:r w:rsidR="00226540" w:rsidRPr="005037C8">
              <w:rPr>
                <w:rFonts w:ascii="Arial" w:hAnsi="Arial" w:cs="Arial"/>
                <w:b/>
                <w:bCs/>
                <w:noProof/>
                <w:color w:val="161616"/>
                <w:sz w:val="18"/>
                <w:szCs w:val="18"/>
                <w:lang w:val="en-IE" w:eastAsia="en-IE"/>
              </w:rPr>
              <w:t>policy</w:t>
            </w:r>
            <w:r w:rsidRPr="005037C8">
              <w:rPr>
                <w:rFonts w:ascii="Arial" w:hAnsi="Arial" w:cs="Arial"/>
                <w:b/>
                <w:bCs/>
                <w:noProof/>
                <w:color w:val="161616"/>
                <w:sz w:val="18"/>
                <w:szCs w:val="18"/>
                <w:lang w:val="en-IE" w:eastAsia="en-IE"/>
              </w:rPr>
              <w:t xml:space="preserve"> and Fisheries</w:t>
            </w:r>
          </w:p>
        </w:tc>
        <w:tc>
          <w:tcPr>
            <w:tcW w:w="1985" w:type="dxa"/>
            <w:gridSpan w:val="2"/>
            <w:vMerge w:val="restart"/>
            <w:tcBorders>
              <w:top w:val="single" w:sz="4" w:space="0" w:color="auto"/>
              <w:left w:val="nil"/>
              <w:bottom w:val="nil"/>
              <w:right w:val="nil"/>
            </w:tcBorders>
            <w:shd w:val="clear" w:color="000000" w:fill="538DD5"/>
            <w:vAlign w:val="center"/>
            <w:hideMark/>
          </w:tcPr>
          <w:p w14:paraId="3C7D0C24" w14:textId="77777777" w:rsidR="00C31C24" w:rsidRPr="005037C8" w:rsidRDefault="00C31C24" w:rsidP="00C31C24">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Other internal policies</w:t>
            </w:r>
          </w:p>
        </w:tc>
        <w:tc>
          <w:tcPr>
            <w:tcW w:w="2257" w:type="dxa"/>
            <w:gridSpan w:val="2"/>
            <w:vMerge w:val="restart"/>
            <w:tcBorders>
              <w:top w:val="single" w:sz="4" w:space="0" w:color="auto"/>
              <w:left w:val="nil"/>
              <w:bottom w:val="nil"/>
              <w:right w:val="nil"/>
            </w:tcBorders>
            <w:shd w:val="clear" w:color="000000" w:fill="538DD5"/>
            <w:vAlign w:val="center"/>
            <w:hideMark/>
          </w:tcPr>
          <w:p w14:paraId="24479F7D" w14:textId="19DC4ADE" w:rsidR="00C31C24" w:rsidRPr="005037C8" w:rsidRDefault="00C31C24" w:rsidP="00C31C24">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Pre accession &amp; Neighbourhood</w:t>
            </w:r>
            <w:r w:rsidR="000930AF" w:rsidRPr="005037C8">
              <w:rPr>
                <w:rFonts w:ascii="Arial" w:hAnsi="Arial" w:cs="Arial"/>
                <w:b/>
                <w:bCs/>
                <w:noProof/>
                <w:color w:val="161616"/>
                <w:sz w:val="18"/>
                <w:szCs w:val="18"/>
                <w:lang w:val="en-IE" w:eastAsia="en-IE"/>
              </w:rPr>
              <w:t> (</w:t>
            </w:r>
            <w:r w:rsidR="000930AF" w:rsidRPr="005037C8">
              <w:rPr>
                <w:rStyle w:val="FootnoteReference"/>
                <w:rFonts w:ascii="Arial" w:hAnsi="Arial" w:cs="Arial"/>
                <w:b/>
                <w:bCs/>
                <w:noProof/>
                <w:color w:val="161616"/>
                <w:sz w:val="18"/>
                <w:szCs w:val="18"/>
                <w:lang w:val="en-IE" w:eastAsia="en-IE"/>
              </w:rPr>
              <w:footnoteReference w:id="79"/>
            </w:r>
            <w:r w:rsidR="000930AF" w:rsidRPr="005037C8">
              <w:rPr>
                <w:rFonts w:ascii="Arial" w:hAnsi="Arial" w:cs="Arial"/>
                <w:b/>
                <w:bCs/>
                <w:noProof/>
                <w:color w:val="161616"/>
                <w:sz w:val="18"/>
                <w:szCs w:val="18"/>
                <w:lang w:val="en-IE" w:eastAsia="en-IE"/>
              </w:rPr>
              <w:t>)</w:t>
            </w:r>
          </w:p>
        </w:tc>
        <w:tc>
          <w:tcPr>
            <w:tcW w:w="2694" w:type="dxa"/>
            <w:gridSpan w:val="2"/>
            <w:vMerge w:val="restart"/>
            <w:tcBorders>
              <w:top w:val="single" w:sz="4" w:space="0" w:color="auto"/>
              <w:left w:val="nil"/>
              <w:bottom w:val="nil"/>
              <w:right w:val="nil"/>
            </w:tcBorders>
            <w:shd w:val="clear" w:color="000000" w:fill="538DD5"/>
            <w:vAlign w:val="center"/>
            <w:hideMark/>
          </w:tcPr>
          <w:p w14:paraId="6ABE5327" w14:textId="77777777" w:rsidR="00C31C24" w:rsidRPr="005037C8" w:rsidRDefault="00C31C24" w:rsidP="00C31C24">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TOTAL EXPENDITURE</w:t>
            </w:r>
          </w:p>
        </w:tc>
        <w:tc>
          <w:tcPr>
            <w:tcW w:w="2535" w:type="dxa"/>
            <w:gridSpan w:val="2"/>
            <w:vMerge w:val="restart"/>
            <w:tcBorders>
              <w:top w:val="single" w:sz="4" w:space="0" w:color="auto"/>
              <w:left w:val="nil"/>
              <w:bottom w:val="nil"/>
              <w:right w:val="single" w:sz="4" w:space="0" w:color="auto"/>
            </w:tcBorders>
            <w:shd w:val="clear" w:color="000000" w:fill="538DD5"/>
            <w:vAlign w:val="center"/>
            <w:hideMark/>
          </w:tcPr>
          <w:p w14:paraId="2288E9B8" w14:textId="77777777" w:rsidR="00C31C24" w:rsidRPr="005037C8" w:rsidRDefault="00C31C24" w:rsidP="00C31C24">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REVENUE</w:t>
            </w:r>
          </w:p>
        </w:tc>
      </w:tr>
      <w:tr w:rsidR="00C31C24" w:rsidRPr="00226540" w14:paraId="620229EB" w14:textId="77777777" w:rsidTr="007E2B13">
        <w:trPr>
          <w:trHeight w:val="255"/>
        </w:trPr>
        <w:tc>
          <w:tcPr>
            <w:tcW w:w="1778" w:type="dxa"/>
            <w:vMerge/>
            <w:tcBorders>
              <w:top w:val="nil"/>
              <w:left w:val="single" w:sz="4" w:space="0" w:color="auto"/>
              <w:bottom w:val="nil"/>
              <w:right w:val="nil"/>
            </w:tcBorders>
            <w:vAlign w:val="center"/>
            <w:hideMark/>
          </w:tcPr>
          <w:p w14:paraId="7D51A70F" w14:textId="77777777" w:rsidR="00C31C24" w:rsidRPr="00226540" w:rsidRDefault="00C31C24" w:rsidP="00C31C24">
            <w:pPr>
              <w:spacing w:after="0" w:line="240" w:lineRule="auto"/>
              <w:jc w:val="left"/>
              <w:rPr>
                <w:rFonts w:ascii="Arial" w:hAnsi="Arial" w:cs="Arial"/>
                <w:b/>
                <w:bCs/>
                <w:noProof/>
                <w:color w:val="FFFFFF"/>
                <w:sz w:val="18"/>
                <w:szCs w:val="18"/>
                <w:lang w:val="en-IE" w:eastAsia="en-IE"/>
              </w:rPr>
            </w:pPr>
          </w:p>
        </w:tc>
        <w:tc>
          <w:tcPr>
            <w:tcW w:w="2158" w:type="dxa"/>
            <w:gridSpan w:val="2"/>
            <w:vMerge/>
            <w:tcBorders>
              <w:top w:val="nil"/>
              <w:left w:val="nil"/>
              <w:bottom w:val="nil"/>
              <w:right w:val="nil"/>
            </w:tcBorders>
            <w:vAlign w:val="center"/>
            <w:hideMark/>
          </w:tcPr>
          <w:p w14:paraId="4082E5DB" w14:textId="77777777" w:rsidR="00C31C24" w:rsidRPr="00226540" w:rsidRDefault="00C31C24" w:rsidP="00C31C24">
            <w:pPr>
              <w:spacing w:after="0" w:line="240" w:lineRule="auto"/>
              <w:jc w:val="left"/>
              <w:rPr>
                <w:rFonts w:ascii="Arial" w:hAnsi="Arial" w:cs="Arial"/>
                <w:b/>
                <w:bCs/>
                <w:noProof/>
                <w:color w:val="FFFFFF"/>
                <w:sz w:val="18"/>
                <w:szCs w:val="18"/>
                <w:lang w:val="en-IE" w:eastAsia="en-IE"/>
              </w:rPr>
            </w:pPr>
          </w:p>
        </w:tc>
        <w:tc>
          <w:tcPr>
            <w:tcW w:w="2301" w:type="dxa"/>
            <w:gridSpan w:val="2"/>
            <w:vMerge/>
            <w:tcBorders>
              <w:top w:val="nil"/>
              <w:left w:val="nil"/>
              <w:bottom w:val="nil"/>
              <w:right w:val="nil"/>
            </w:tcBorders>
            <w:vAlign w:val="center"/>
            <w:hideMark/>
          </w:tcPr>
          <w:p w14:paraId="78B8E2B0" w14:textId="77777777" w:rsidR="00C31C24" w:rsidRPr="00226540" w:rsidRDefault="00C31C24" w:rsidP="00C31C24">
            <w:pPr>
              <w:spacing w:after="0" w:line="240" w:lineRule="auto"/>
              <w:jc w:val="left"/>
              <w:rPr>
                <w:rFonts w:ascii="Arial" w:hAnsi="Arial" w:cs="Arial"/>
                <w:b/>
                <w:bCs/>
                <w:noProof/>
                <w:color w:val="FFFFFF"/>
                <w:sz w:val="18"/>
                <w:szCs w:val="18"/>
                <w:lang w:val="en-IE" w:eastAsia="en-IE"/>
              </w:rPr>
            </w:pPr>
          </w:p>
        </w:tc>
        <w:tc>
          <w:tcPr>
            <w:tcW w:w="1985" w:type="dxa"/>
            <w:gridSpan w:val="2"/>
            <w:vMerge/>
            <w:tcBorders>
              <w:top w:val="nil"/>
              <w:left w:val="nil"/>
              <w:bottom w:val="nil"/>
              <w:right w:val="nil"/>
            </w:tcBorders>
            <w:vAlign w:val="center"/>
            <w:hideMark/>
          </w:tcPr>
          <w:p w14:paraId="67DD7BDC" w14:textId="77777777" w:rsidR="00C31C24" w:rsidRPr="00226540" w:rsidRDefault="00C31C24" w:rsidP="00C31C24">
            <w:pPr>
              <w:spacing w:after="0" w:line="240" w:lineRule="auto"/>
              <w:jc w:val="left"/>
              <w:rPr>
                <w:rFonts w:ascii="Arial" w:hAnsi="Arial" w:cs="Arial"/>
                <w:b/>
                <w:bCs/>
                <w:noProof/>
                <w:color w:val="FFFFFF"/>
                <w:sz w:val="18"/>
                <w:szCs w:val="18"/>
                <w:lang w:val="en-IE" w:eastAsia="en-IE"/>
              </w:rPr>
            </w:pPr>
          </w:p>
        </w:tc>
        <w:tc>
          <w:tcPr>
            <w:tcW w:w="2257" w:type="dxa"/>
            <w:gridSpan w:val="2"/>
            <w:vMerge/>
            <w:tcBorders>
              <w:top w:val="nil"/>
              <w:left w:val="nil"/>
              <w:bottom w:val="nil"/>
              <w:right w:val="nil"/>
            </w:tcBorders>
            <w:vAlign w:val="center"/>
            <w:hideMark/>
          </w:tcPr>
          <w:p w14:paraId="36E5A5ED" w14:textId="77777777" w:rsidR="00C31C24" w:rsidRPr="00226540" w:rsidRDefault="00C31C24" w:rsidP="00C31C24">
            <w:pPr>
              <w:spacing w:after="0" w:line="240" w:lineRule="auto"/>
              <w:jc w:val="left"/>
              <w:rPr>
                <w:rFonts w:ascii="Arial" w:hAnsi="Arial" w:cs="Arial"/>
                <w:b/>
                <w:bCs/>
                <w:noProof/>
                <w:color w:val="FFFFFF"/>
                <w:sz w:val="18"/>
                <w:szCs w:val="18"/>
                <w:lang w:val="en-IE" w:eastAsia="en-IE"/>
              </w:rPr>
            </w:pPr>
          </w:p>
        </w:tc>
        <w:tc>
          <w:tcPr>
            <w:tcW w:w="2694" w:type="dxa"/>
            <w:gridSpan w:val="2"/>
            <w:vMerge/>
            <w:tcBorders>
              <w:top w:val="nil"/>
              <w:left w:val="nil"/>
              <w:bottom w:val="nil"/>
              <w:right w:val="nil"/>
            </w:tcBorders>
            <w:vAlign w:val="center"/>
            <w:hideMark/>
          </w:tcPr>
          <w:p w14:paraId="231B4A5E" w14:textId="77777777" w:rsidR="00C31C24" w:rsidRPr="00226540" w:rsidRDefault="00C31C24" w:rsidP="00C31C24">
            <w:pPr>
              <w:spacing w:after="0" w:line="240" w:lineRule="auto"/>
              <w:jc w:val="left"/>
              <w:rPr>
                <w:rFonts w:ascii="Arial" w:hAnsi="Arial" w:cs="Arial"/>
                <w:b/>
                <w:bCs/>
                <w:noProof/>
                <w:color w:val="FFFFFF"/>
                <w:sz w:val="18"/>
                <w:szCs w:val="18"/>
                <w:lang w:val="en-IE" w:eastAsia="en-IE"/>
              </w:rPr>
            </w:pPr>
          </w:p>
        </w:tc>
        <w:tc>
          <w:tcPr>
            <w:tcW w:w="2535" w:type="dxa"/>
            <w:gridSpan w:val="2"/>
            <w:vMerge/>
            <w:tcBorders>
              <w:top w:val="nil"/>
              <w:left w:val="nil"/>
              <w:bottom w:val="nil"/>
              <w:right w:val="nil"/>
            </w:tcBorders>
            <w:vAlign w:val="center"/>
            <w:hideMark/>
          </w:tcPr>
          <w:p w14:paraId="6900C6BF" w14:textId="77777777" w:rsidR="00C31C24" w:rsidRPr="00226540" w:rsidRDefault="00C31C24" w:rsidP="00C31C24">
            <w:pPr>
              <w:spacing w:after="0" w:line="240" w:lineRule="auto"/>
              <w:jc w:val="left"/>
              <w:rPr>
                <w:rFonts w:ascii="Arial" w:hAnsi="Arial" w:cs="Arial"/>
                <w:b/>
                <w:bCs/>
                <w:noProof/>
                <w:color w:val="FFFFFF"/>
                <w:sz w:val="18"/>
                <w:szCs w:val="18"/>
                <w:lang w:val="en-IE" w:eastAsia="en-IE"/>
              </w:rPr>
            </w:pPr>
          </w:p>
        </w:tc>
        <w:tc>
          <w:tcPr>
            <w:tcW w:w="222" w:type="dxa"/>
            <w:tcBorders>
              <w:top w:val="nil"/>
              <w:left w:val="nil"/>
              <w:bottom w:val="nil"/>
              <w:right w:val="single" w:sz="4" w:space="0" w:color="auto"/>
            </w:tcBorders>
            <w:noWrap/>
            <w:vAlign w:val="bottom"/>
            <w:hideMark/>
          </w:tcPr>
          <w:p w14:paraId="5DD57BFB" w14:textId="77777777" w:rsidR="00C31C24" w:rsidRPr="00226540" w:rsidRDefault="00C31C24" w:rsidP="00C31C24">
            <w:pPr>
              <w:spacing w:after="0" w:line="240" w:lineRule="auto"/>
              <w:jc w:val="center"/>
              <w:rPr>
                <w:rFonts w:ascii="Arial" w:hAnsi="Arial" w:cs="Arial"/>
                <w:b/>
                <w:bCs/>
                <w:noProof/>
                <w:color w:val="FFFFFF"/>
                <w:sz w:val="18"/>
                <w:szCs w:val="18"/>
                <w:lang w:val="en-IE" w:eastAsia="en-IE"/>
              </w:rPr>
            </w:pPr>
          </w:p>
        </w:tc>
      </w:tr>
      <w:tr w:rsidR="00C31C24" w:rsidRPr="00226540" w14:paraId="6C732D27" w14:textId="77777777" w:rsidTr="007E2B13">
        <w:trPr>
          <w:trHeight w:val="255"/>
        </w:trPr>
        <w:tc>
          <w:tcPr>
            <w:tcW w:w="1778" w:type="dxa"/>
            <w:tcBorders>
              <w:top w:val="nil"/>
              <w:left w:val="single" w:sz="4" w:space="0" w:color="auto"/>
              <w:bottom w:val="nil"/>
              <w:right w:val="nil"/>
            </w:tcBorders>
            <w:shd w:val="clear" w:color="000000" w:fill="538DD5"/>
            <w:vAlign w:val="center"/>
            <w:hideMark/>
          </w:tcPr>
          <w:p w14:paraId="080EFF21" w14:textId="77777777" w:rsidR="00C31C24" w:rsidRPr="00226540" w:rsidRDefault="00C31C24" w:rsidP="00C31C24">
            <w:pPr>
              <w:spacing w:after="0" w:line="240" w:lineRule="auto"/>
              <w:jc w:val="center"/>
              <w:rPr>
                <w:rFonts w:ascii="Arial" w:hAnsi="Arial" w:cs="Arial"/>
                <w:b/>
                <w:bCs/>
                <w:noProof/>
                <w:color w:val="FFFFFF"/>
                <w:sz w:val="18"/>
                <w:szCs w:val="18"/>
                <w:lang w:val="en-IE" w:eastAsia="en-IE"/>
              </w:rPr>
            </w:pPr>
            <w:r w:rsidRPr="00226540">
              <w:rPr>
                <w:rFonts w:ascii="Arial" w:hAnsi="Arial" w:cs="Arial"/>
                <w:b/>
                <w:bCs/>
                <w:noProof/>
                <w:color w:val="FFFFFF"/>
                <w:sz w:val="18"/>
                <w:szCs w:val="18"/>
                <w:lang w:val="en-IE" w:eastAsia="en-IE"/>
              </w:rPr>
              <w:t> </w:t>
            </w:r>
          </w:p>
        </w:tc>
        <w:tc>
          <w:tcPr>
            <w:tcW w:w="916" w:type="dxa"/>
            <w:tcBorders>
              <w:top w:val="single" w:sz="4" w:space="0" w:color="auto"/>
              <w:left w:val="single" w:sz="4" w:space="0" w:color="auto"/>
              <w:bottom w:val="nil"/>
              <w:right w:val="nil"/>
            </w:tcBorders>
            <w:shd w:val="clear" w:color="000000" w:fill="8DB4E2"/>
            <w:noWrap/>
            <w:vAlign w:val="bottom"/>
            <w:hideMark/>
          </w:tcPr>
          <w:p w14:paraId="425E57E6"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242" w:type="dxa"/>
            <w:tcBorders>
              <w:top w:val="single" w:sz="4" w:space="0" w:color="auto"/>
              <w:left w:val="nil"/>
              <w:bottom w:val="nil"/>
              <w:right w:val="single" w:sz="4" w:space="0" w:color="auto"/>
            </w:tcBorders>
            <w:shd w:val="clear" w:color="000000" w:fill="8DB4E2"/>
            <w:noWrap/>
            <w:vAlign w:val="bottom"/>
            <w:hideMark/>
          </w:tcPr>
          <w:p w14:paraId="385EF443"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884" w:type="dxa"/>
            <w:tcBorders>
              <w:top w:val="single" w:sz="4" w:space="0" w:color="auto"/>
              <w:left w:val="nil"/>
              <w:bottom w:val="nil"/>
              <w:right w:val="nil"/>
            </w:tcBorders>
            <w:shd w:val="clear" w:color="000000" w:fill="8DB4E2"/>
            <w:noWrap/>
            <w:vAlign w:val="bottom"/>
            <w:hideMark/>
          </w:tcPr>
          <w:p w14:paraId="2DCD82C9"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417" w:type="dxa"/>
            <w:tcBorders>
              <w:top w:val="single" w:sz="4" w:space="0" w:color="auto"/>
              <w:left w:val="nil"/>
              <w:bottom w:val="nil"/>
              <w:right w:val="single" w:sz="4" w:space="0" w:color="auto"/>
            </w:tcBorders>
            <w:shd w:val="clear" w:color="000000" w:fill="8DB4E2"/>
            <w:noWrap/>
            <w:vAlign w:val="bottom"/>
            <w:hideMark/>
          </w:tcPr>
          <w:p w14:paraId="401F27B2"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709" w:type="dxa"/>
            <w:tcBorders>
              <w:top w:val="single" w:sz="4" w:space="0" w:color="auto"/>
              <w:left w:val="nil"/>
              <w:bottom w:val="nil"/>
              <w:right w:val="nil"/>
            </w:tcBorders>
            <w:shd w:val="clear" w:color="000000" w:fill="8DB4E2"/>
            <w:noWrap/>
            <w:vAlign w:val="bottom"/>
            <w:hideMark/>
          </w:tcPr>
          <w:p w14:paraId="0642A6DE"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276" w:type="dxa"/>
            <w:tcBorders>
              <w:top w:val="single" w:sz="4" w:space="0" w:color="auto"/>
              <w:left w:val="nil"/>
              <w:bottom w:val="nil"/>
              <w:right w:val="single" w:sz="4" w:space="0" w:color="auto"/>
            </w:tcBorders>
            <w:shd w:val="clear" w:color="000000" w:fill="8DB4E2"/>
            <w:noWrap/>
            <w:vAlign w:val="bottom"/>
            <w:hideMark/>
          </w:tcPr>
          <w:p w14:paraId="460845E6"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1217" w:type="dxa"/>
            <w:tcBorders>
              <w:top w:val="single" w:sz="4" w:space="0" w:color="auto"/>
              <w:left w:val="nil"/>
              <w:bottom w:val="nil"/>
              <w:right w:val="nil"/>
            </w:tcBorders>
            <w:shd w:val="clear" w:color="000000" w:fill="8DB4E2"/>
            <w:noWrap/>
            <w:vAlign w:val="bottom"/>
            <w:hideMark/>
          </w:tcPr>
          <w:p w14:paraId="466E6BAF"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040" w:type="dxa"/>
            <w:tcBorders>
              <w:top w:val="single" w:sz="4" w:space="0" w:color="auto"/>
              <w:left w:val="nil"/>
              <w:bottom w:val="nil"/>
              <w:right w:val="single" w:sz="4" w:space="0" w:color="auto"/>
            </w:tcBorders>
            <w:shd w:val="clear" w:color="000000" w:fill="8DB4E2"/>
            <w:noWrap/>
            <w:vAlign w:val="bottom"/>
            <w:hideMark/>
          </w:tcPr>
          <w:p w14:paraId="1525FE54"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1295" w:type="dxa"/>
            <w:tcBorders>
              <w:top w:val="single" w:sz="4" w:space="0" w:color="auto"/>
              <w:left w:val="nil"/>
              <w:bottom w:val="nil"/>
              <w:right w:val="nil"/>
            </w:tcBorders>
            <w:shd w:val="clear" w:color="000000" w:fill="8DB4E2"/>
            <w:noWrap/>
            <w:vAlign w:val="bottom"/>
            <w:hideMark/>
          </w:tcPr>
          <w:p w14:paraId="6D9AA99D"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399" w:type="dxa"/>
            <w:tcBorders>
              <w:top w:val="single" w:sz="4" w:space="0" w:color="auto"/>
              <w:left w:val="nil"/>
              <w:bottom w:val="nil"/>
              <w:right w:val="single" w:sz="4" w:space="0" w:color="auto"/>
            </w:tcBorders>
            <w:shd w:val="clear" w:color="000000" w:fill="8DB4E2"/>
            <w:noWrap/>
            <w:vAlign w:val="bottom"/>
            <w:hideMark/>
          </w:tcPr>
          <w:p w14:paraId="6169E8B7"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1256" w:type="dxa"/>
            <w:tcBorders>
              <w:top w:val="single" w:sz="4" w:space="0" w:color="auto"/>
              <w:left w:val="nil"/>
              <w:bottom w:val="nil"/>
              <w:right w:val="nil"/>
            </w:tcBorders>
            <w:shd w:val="clear" w:color="000000" w:fill="8DB4E2"/>
            <w:noWrap/>
            <w:vAlign w:val="bottom"/>
            <w:hideMark/>
          </w:tcPr>
          <w:p w14:paraId="371197E9"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279" w:type="dxa"/>
            <w:tcBorders>
              <w:top w:val="single" w:sz="4" w:space="0" w:color="auto"/>
              <w:left w:val="nil"/>
              <w:bottom w:val="nil"/>
              <w:right w:val="single" w:sz="4" w:space="0" w:color="auto"/>
            </w:tcBorders>
            <w:shd w:val="clear" w:color="000000" w:fill="8DB4E2"/>
            <w:noWrap/>
            <w:vAlign w:val="bottom"/>
            <w:hideMark/>
          </w:tcPr>
          <w:p w14:paraId="38FDA0E8" w14:textId="77777777" w:rsidR="00C31C24" w:rsidRPr="005037C8" w:rsidRDefault="00C31C24" w:rsidP="00C31C24">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222" w:type="dxa"/>
            <w:tcBorders>
              <w:right w:val="single" w:sz="4" w:space="0" w:color="auto"/>
            </w:tcBorders>
            <w:vAlign w:val="center"/>
            <w:hideMark/>
          </w:tcPr>
          <w:p w14:paraId="7512C742" w14:textId="77777777" w:rsidR="00C31C24" w:rsidRPr="00226540" w:rsidRDefault="00C31C24" w:rsidP="00C31C24">
            <w:pPr>
              <w:spacing w:after="0" w:line="240" w:lineRule="auto"/>
              <w:jc w:val="left"/>
              <w:rPr>
                <w:noProof/>
                <w:sz w:val="18"/>
                <w:szCs w:val="18"/>
                <w:lang w:val="en-IE" w:eastAsia="en-IE"/>
              </w:rPr>
            </w:pPr>
          </w:p>
        </w:tc>
      </w:tr>
      <w:tr w:rsidR="00C31C24" w:rsidRPr="00226540" w14:paraId="5ECC8CE7"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19982CE1"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Belgique/België</w:t>
            </w:r>
          </w:p>
        </w:tc>
        <w:tc>
          <w:tcPr>
            <w:tcW w:w="916" w:type="dxa"/>
            <w:tcBorders>
              <w:top w:val="nil"/>
              <w:left w:val="single" w:sz="4" w:space="0" w:color="auto"/>
              <w:bottom w:val="nil"/>
              <w:right w:val="nil"/>
            </w:tcBorders>
            <w:shd w:val="clear" w:color="000000" w:fill="DCE6F1"/>
            <w:vAlign w:val="bottom"/>
            <w:hideMark/>
          </w:tcPr>
          <w:p w14:paraId="7DFE630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DCE6F1"/>
            <w:vAlign w:val="bottom"/>
            <w:hideMark/>
          </w:tcPr>
          <w:p w14:paraId="232981E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DCE6F1"/>
            <w:vAlign w:val="bottom"/>
            <w:hideMark/>
          </w:tcPr>
          <w:p w14:paraId="0A69085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417" w:type="dxa"/>
            <w:tcBorders>
              <w:top w:val="nil"/>
              <w:left w:val="nil"/>
              <w:bottom w:val="nil"/>
              <w:right w:val="single" w:sz="4" w:space="0" w:color="auto"/>
            </w:tcBorders>
            <w:shd w:val="clear" w:color="000000" w:fill="DCE6F1"/>
            <w:vAlign w:val="bottom"/>
            <w:hideMark/>
          </w:tcPr>
          <w:p w14:paraId="7A716C0F" w14:textId="27E9FEDD"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404</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886</w:t>
            </w:r>
          </w:p>
        </w:tc>
        <w:tc>
          <w:tcPr>
            <w:tcW w:w="709" w:type="dxa"/>
            <w:tcBorders>
              <w:top w:val="nil"/>
              <w:left w:val="nil"/>
              <w:bottom w:val="nil"/>
              <w:right w:val="nil"/>
            </w:tcBorders>
            <w:shd w:val="clear" w:color="000000" w:fill="DCE6F1"/>
            <w:vAlign w:val="bottom"/>
            <w:hideMark/>
          </w:tcPr>
          <w:p w14:paraId="6C4B6AB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2449E4A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41D552A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2FD099C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70A90BB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399" w:type="dxa"/>
            <w:tcBorders>
              <w:top w:val="nil"/>
              <w:left w:val="nil"/>
              <w:bottom w:val="nil"/>
              <w:right w:val="single" w:sz="4" w:space="0" w:color="auto"/>
            </w:tcBorders>
            <w:shd w:val="clear" w:color="000000" w:fill="DCE6F1"/>
            <w:vAlign w:val="bottom"/>
            <w:hideMark/>
          </w:tcPr>
          <w:p w14:paraId="20342954" w14:textId="60142C82"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404</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886</w:t>
            </w:r>
          </w:p>
        </w:tc>
        <w:tc>
          <w:tcPr>
            <w:tcW w:w="1256" w:type="dxa"/>
            <w:tcBorders>
              <w:top w:val="nil"/>
              <w:left w:val="nil"/>
              <w:bottom w:val="nil"/>
              <w:right w:val="nil"/>
            </w:tcBorders>
            <w:shd w:val="clear" w:color="000000" w:fill="DCE6F1"/>
            <w:vAlign w:val="bottom"/>
            <w:hideMark/>
          </w:tcPr>
          <w:p w14:paraId="0C224313"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29</w:t>
            </w:r>
          </w:p>
        </w:tc>
        <w:tc>
          <w:tcPr>
            <w:tcW w:w="1279" w:type="dxa"/>
            <w:tcBorders>
              <w:top w:val="nil"/>
              <w:left w:val="nil"/>
              <w:bottom w:val="nil"/>
              <w:right w:val="single" w:sz="4" w:space="0" w:color="auto"/>
            </w:tcBorders>
            <w:shd w:val="clear" w:color="000000" w:fill="DCE6F1"/>
            <w:vAlign w:val="bottom"/>
            <w:hideMark/>
          </w:tcPr>
          <w:p w14:paraId="1973F54A" w14:textId="415C8DF3"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24</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655</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630</w:t>
            </w:r>
          </w:p>
        </w:tc>
        <w:tc>
          <w:tcPr>
            <w:tcW w:w="222" w:type="dxa"/>
            <w:tcBorders>
              <w:right w:val="single" w:sz="4" w:space="0" w:color="auto"/>
            </w:tcBorders>
            <w:vAlign w:val="center"/>
            <w:hideMark/>
          </w:tcPr>
          <w:p w14:paraId="1095D301" w14:textId="77777777" w:rsidR="00C31C24" w:rsidRPr="00226540" w:rsidRDefault="00C31C24" w:rsidP="00C31C24">
            <w:pPr>
              <w:spacing w:after="0" w:line="240" w:lineRule="auto"/>
              <w:jc w:val="left"/>
              <w:rPr>
                <w:noProof/>
                <w:sz w:val="18"/>
                <w:szCs w:val="18"/>
                <w:lang w:val="en-IE" w:eastAsia="en-IE"/>
              </w:rPr>
            </w:pPr>
          </w:p>
        </w:tc>
      </w:tr>
      <w:tr w:rsidR="00C31C24" w:rsidRPr="00226540" w14:paraId="72F1CAEE"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684654F4"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Bulgaria</w:t>
            </w:r>
          </w:p>
        </w:tc>
        <w:tc>
          <w:tcPr>
            <w:tcW w:w="916" w:type="dxa"/>
            <w:tcBorders>
              <w:top w:val="nil"/>
              <w:left w:val="single" w:sz="4" w:space="0" w:color="auto"/>
              <w:bottom w:val="nil"/>
              <w:right w:val="nil"/>
            </w:tcBorders>
            <w:shd w:val="clear" w:color="000000" w:fill="FFFFFF"/>
            <w:vAlign w:val="bottom"/>
            <w:hideMark/>
          </w:tcPr>
          <w:p w14:paraId="6D36091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p>
        </w:tc>
        <w:tc>
          <w:tcPr>
            <w:tcW w:w="1242" w:type="dxa"/>
            <w:tcBorders>
              <w:top w:val="nil"/>
              <w:left w:val="nil"/>
              <w:bottom w:val="nil"/>
              <w:right w:val="single" w:sz="4" w:space="0" w:color="auto"/>
            </w:tcBorders>
            <w:shd w:val="clear" w:color="000000" w:fill="FFFFFF"/>
            <w:vAlign w:val="bottom"/>
            <w:hideMark/>
          </w:tcPr>
          <w:p w14:paraId="4D072872" w14:textId="34B3FF29"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220</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578</w:t>
            </w:r>
          </w:p>
        </w:tc>
        <w:tc>
          <w:tcPr>
            <w:tcW w:w="884" w:type="dxa"/>
            <w:tcBorders>
              <w:top w:val="nil"/>
              <w:left w:val="nil"/>
              <w:bottom w:val="nil"/>
              <w:right w:val="nil"/>
            </w:tcBorders>
            <w:shd w:val="clear" w:color="000000" w:fill="FFFFFF"/>
            <w:vAlign w:val="bottom"/>
            <w:hideMark/>
          </w:tcPr>
          <w:p w14:paraId="26A771B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417" w:type="dxa"/>
            <w:tcBorders>
              <w:top w:val="nil"/>
              <w:left w:val="nil"/>
              <w:bottom w:val="nil"/>
              <w:right w:val="single" w:sz="4" w:space="0" w:color="auto"/>
            </w:tcBorders>
            <w:shd w:val="clear" w:color="000000" w:fill="FFFFFF"/>
            <w:vAlign w:val="bottom"/>
            <w:hideMark/>
          </w:tcPr>
          <w:p w14:paraId="00C213DC" w14:textId="45515DE3"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238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894</w:t>
            </w:r>
          </w:p>
        </w:tc>
        <w:tc>
          <w:tcPr>
            <w:tcW w:w="709" w:type="dxa"/>
            <w:tcBorders>
              <w:top w:val="nil"/>
              <w:left w:val="nil"/>
              <w:bottom w:val="nil"/>
              <w:right w:val="nil"/>
            </w:tcBorders>
            <w:shd w:val="clear" w:color="000000" w:fill="FFFFFF"/>
            <w:vAlign w:val="bottom"/>
            <w:hideMark/>
          </w:tcPr>
          <w:p w14:paraId="3080900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4F2128D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46299BF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4550FD4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4F11E05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7</w:t>
            </w:r>
          </w:p>
        </w:tc>
        <w:tc>
          <w:tcPr>
            <w:tcW w:w="1399" w:type="dxa"/>
            <w:tcBorders>
              <w:top w:val="nil"/>
              <w:left w:val="nil"/>
              <w:bottom w:val="nil"/>
              <w:right w:val="single" w:sz="4" w:space="0" w:color="auto"/>
            </w:tcBorders>
            <w:shd w:val="clear" w:color="000000" w:fill="FFFFFF"/>
            <w:vAlign w:val="bottom"/>
            <w:hideMark/>
          </w:tcPr>
          <w:p w14:paraId="7BD7547F" w14:textId="44B52F50"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459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472</w:t>
            </w:r>
          </w:p>
        </w:tc>
        <w:tc>
          <w:tcPr>
            <w:tcW w:w="1256" w:type="dxa"/>
            <w:tcBorders>
              <w:top w:val="nil"/>
              <w:left w:val="nil"/>
              <w:bottom w:val="nil"/>
              <w:right w:val="nil"/>
            </w:tcBorders>
            <w:shd w:val="clear" w:color="000000" w:fill="FFFFFF"/>
            <w:vAlign w:val="bottom"/>
            <w:hideMark/>
          </w:tcPr>
          <w:p w14:paraId="0ED17A82"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23</w:t>
            </w:r>
          </w:p>
        </w:tc>
        <w:tc>
          <w:tcPr>
            <w:tcW w:w="1279" w:type="dxa"/>
            <w:tcBorders>
              <w:top w:val="nil"/>
              <w:left w:val="nil"/>
              <w:bottom w:val="nil"/>
              <w:right w:val="single" w:sz="4" w:space="0" w:color="auto"/>
            </w:tcBorders>
            <w:shd w:val="clear" w:color="000000" w:fill="FFFFFF"/>
            <w:vAlign w:val="bottom"/>
            <w:hideMark/>
          </w:tcPr>
          <w:p w14:paraId="15559622" w14:textId="563B216A"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500</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070</w:t>
            </w:r>
          </w:p>
        </w:tc>
        <w:tc>
          <w:tcPr>
            <w:tcW w:w="222" w:type="dxa"/>
            <w:tcBorders>
              <w:right w:val="single" w:sz="4" w:space="0" w:color="auto"/>
            </w:tcBorders>
            <w:vAlign w:val="center"/>
            <w:hideMark/>
          </w:tcPr>
          <w:p w14:paraId="0F6D6614"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F8133B7"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4102F91B"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Ceská republika</w:t>
            </w:r>
          </w:p>
        </w:tc>
        <w:tc>
          <w:tcPr>
            <w:tcW w:w="916" w:type="dxa"/>
            <w:tcBorders>
              <w:top w:val="nil"/>
              <w:left w:val="single" w:sz="4" w:space="0" w:color="auto"/>
              <w:bottom w:val="nil"/>
              <w:right w:val="nil"/>
            </w:tcBorders>
            <w:shd w:val="clear" w:color="000000" w:fill="DCE6F1"/>
            <w:vAlign w:val="bottom"/>
            <w:hideMark/>
          </w:tcPr>
          <w:p w14:paraId="2A1B695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7</w:t>
            </w:r>
          </w:p>
        </w:tc>
        <w:tc>
          <w:tcPr>
            <w:tcW w:w="1242" w:type="dxa"/>
            <w:tcBorders>
              <w:top w:val="nil"/>
              <w:left w:val="nil"/>
              <w:bottom w:val="nil"/>
              <w:right w:val="single" w:sz="4" w:space="0" w:color="auto"/>
            </w:tcBorders>
            <w:shd w:val="clear" w:color="000000" w:fill="DCE6F1"/>
            <w:vAlign w:val="bottom"/>
            <w:hideMark/>
          </w:tcPr>
          <w:p w14:paraId="78A4CAA0" w14:textId="7EAE58AD"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410</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581</w:t>
            </w:r>
          </w:p>
        </w:tc>
        <w:tc>
          <w:tcPr>
            <w:tcW w:w="884" w:type="dxa"/>
            <w:tcBorders>
              <w:top w:val="nil"/>
              <w:left w:val="nil"/>
              <w:bottom w:val="nil"/>
              <w:right w:val="nil"/>
            </w:tcBorders>
            <w:shd w:val="clear" w:color="000000" w:fill="DCE6F1"/>
            <w:vAlign w:val="bottom"/>
            <w:hideMark/>
          </w:tcPr>
          <w:p w14:paraId="64FE59C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64</w:t>
            </w:r>
          </w:p>
        </w:tc>
        <w:tc>
          <w:tcPr>
            <w:tcW w:w="1417" w:type="dxa"/>
            <w:tcBorders>
              <w:top w:val="nil"/>
              <w:left w:val="nil"/>
              <w:bottom w:val="nil"/>
              <w:right w:val="single" w:sz="4" w:space="0" w:color="auto"/>
            </w:tcBorders>
            <w:shd w:val="clear" w:color="000000" w:fill="DCE6F1"/>
            <w:vAlign w:val="bottom"/>
            <w:hideMark/>
          </w:tcPr>
          <w:p w14:paraId="0CC718AA" w14:textId="79A2557D"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442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320</w:t>
            </w:r>
          </w:p>
        </w:tc>
        <w:tc>
          <w:tcPr>
            <w:tcW w:w="709" w:type="dxa"/>
            <w:tcBorders>
              <w:top w:val="nil"/>
              <w:left w:val="nil"/>
              <w:bottom w:val="nil"/>
              <w:right w:val="nil"/>
            </w:tcBorders>
            <w:shd w:val="clear" w:color="000000" w:fill="DCE6F1"/>
            <w:vAlign w:val="bottom"/>
            <w:hideMark/>
          </w:tcPr>
          <w:p w14:paraId="4D09DE6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0EA66C3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219330E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26C9135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0AF70A1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71</w:t>
            </w:r>
          </w:p>
        </w:tc>
        <w:tc>
          <w:tcPr>
            <w:tcW w:w="1399" w:type="dxa"/>
            <w:tcBorders>
              <w:top w:val="nil"/>
              <w:left w:val="nil"/>
              <w:bottom w:val="nil"/>
              <w:right w:val="single" w:sz="4" w:space="0" w:color="auto"/>
            </w:tcBorders>
            <w:shd w:val="clear" w:color="000000" w:fill="DCE6F1"/>
            <w:vAlign w:val="bottom"/>
            <w:hideMark/>
          </w:tcPr>
          <w:p w14:paraId="424B7511" w14:textId="6D51E17B"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852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902</w:t>
            </w:r>
          </w:p>
        </w:tc>
        <w:tc>
          <w:tcPr>
            <w:tcW w:w="1256" w:type="dxa"/>
            <w:tcBorders>
              <w:top w:val="nil"/>
              <w:left w:val="nil"/>
              <w:bottom w:val="nil"/>
              <w:right w:val="nil"/>
            </w:tcBorders>
            <w:shd w:val="clear" w:color="000000" w:fill="DCE6F1"/>
            <w:vAlign w:val="bottom"/>
            <w:hideMark/>
          </w:tcPr>
          <w:p w14:paraId="63D6DD0C"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1279" w:type="dxa"/>
            <w:tcBorders>
              <w:top w:val="nil"/>
              <w:left w:val="nil"/>
              <w:bottom w:val="nil"/>
              <w:right w:val="single" w:sz="4" w:space="0" w:color="auto"/>
            </w:tcBorders>
            <w:shd w:val="clear" w:color="000000" w:fill="DCE6F1"/>
            <w:vAlign w:val="bottom"/>
            <w:hideMark/>
          </w:tcPr>
          <w:p w14:paraId="44EB0753"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222" w:type="dxa"/>
            <w:tcBorders>
              <w:right w:val="single" w:sz="4" w:space="0" w:color="auto"/>
            </w:tcBorders>
            <w:vAlign w:val="center"/>
            <w:hideMark/>
          </w:tcPr>
          <w:p w14:paraId="0784DF8F"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9E7071E"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6AA9A0E2"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Danmark</w:t>
            </w:r>
          </w:p>
        </w:tc>
        <w:tc>
          <w:tcPr>
            <w:tcW w:w="916" w:type="dxa"/>
            <w:tcBorders>
              <w:top w:val="nil"/>
              <w:left w:val="single" w:sz="4" w:space="0" w:color="auto"/>
              <w:bottom w:val="nil"/>
              <w:right w:val="nil"/>
            </w:tcBorders>
            <w:shd w:val="clear" w:color="000000" w:fill="FFFFFF"/>
            <w:vAlign w:val="bottom"/>
            <w:hideMark/>
          </w:tcPr>
          <w:p w14:paraId="088E012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15</w:t>
            </w:r>
          </w:p>
        </w:tc>
        <w:tc>
          <w:tcPr>
            <w:tcW w:w="1242" w:type="dxa"/>
            <w:tcBorders>
              <w:top w:val="nil"/>
              <w:left w:val="nil"/>
              <w:bottom w:val="nil"/>
              <w:right w:val="single" w:sz="4" w:space="0" w:color="auto"/>
            </w:tcBorders>
            <w:shd w:val="clear" w:color="000000" w:fill="FFFFFF"/>
            <w:vAlign w:val="bottom"/>
            <w:hideMark/>
          </w:tcPr>
          <w:p w14:paraId="4ACF0318" w14:textId="449434F9"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605</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625</w:t>
            </w:r>
          </w:p>
        </w:tc>
        <w:tc>
          <w:tcPr>
            <w:tcW w:w="884" w:type="dxa"/>
            <w:tcBorders>
              <w:top w:val="nil"/>
              <w:left w:val="nil"/>
              <w:bottom w:val="nil"/>
              <w:right w:val="nil"/>
            </w:tcBorders>
            <w:shd w:val="clear" w:color="000000" w:fill="FFFFFF"/>
            <w:vAlign w:val="bottom"/>
            <w:hideMark/>
          </w:tcPr>
          <w:p w14:paraId="02B685F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p>
        </w:tc>
        <w:tc>
          <w:tcPr>
            <w:tcW w:w="1417" w:type="dxa"/>
            <w:tcBorders>
              <w:top w:val="nil"/>
              <w:left w:val="nil"/>
              <w:bottom w:val="nil"/>
              <w:right w:val="single" w:sz="4" w:space="0" w:color="auto"/>
            </w:tcBorders>
            <w:shd w:val="clear" w:color="000000" w:fill="FFFFFF"/>
            <w:vAlign w:val="bottom"/>
            <w:hideMark/>
          </w:tcPr>
          <w:p w14:paraId="2F3E0AD4" w14:textId="7B6B6101"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347</w:t>
            </w:r>
          </w:p>
        </w:tc>
        <w:tc>
          <w:tcPr>
            <w:tcW w:w="709" w:type="dxa"/>
            <w:tcBorders>
              <w:top w:val="nil"/>
              <w:left w:val="nil"/>
              <w:bottom w:val="nil"/>
              <w:right w:val="nil"/>
            </w:tcBorders>
            <w:shd w:val="clear" w:color="000000" w:fill="FFFFFF"/>
            <w:vAlign w:val="bottom"/>
            <w:hideMark/>
          </w:tcPr>
          <w:p w14:paraId="7A32466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75C3B0A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6F5D3C1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66D7A34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799F17E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16</w:t>
            </w:r>
          </w:p>
        </w:tc>
        <w:tc>
          <w:tcPr>
            <w:tcW w:w="1399" w:type="dxa"/>
            <w:tcBorders>
              <w:top w:val="nil"/>
              <w:left w:val="nil"/>
              <w:bottom w:val="nil"/>
              <w:right w:val="single" w:sz="4" w:space="0" w:color="auto"/>
            </w:tcBorders>
            <w:shd w:val="clear" w:color="000000" w:fill="FFFFFF"/>
            <w:vAlign w:val="bottom"/>
            <w:hideMark/>
          </w:tcPr>
          <w:p w14:paraId="67640B12" w14:textId="6FAD4118"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638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972</w:t>
            </w:r>
          </w:p>
        </w:tc>
        <w:tc>
          <w:tcPr>
            <w:tcW w:w="1256" w:type="dxa"/>
            <w:tcBorders>
              <w:top w:val="nil"/>
              <w:left w:val="nil"/>
              <w:bottom w:val="nil"/>
              <w:right w:val="nil"/>
            </w:tcBorders>
            <w:shd w:val="clear" w:color="000000" w:fill="FFFFFF"/>
            <w:vAlign w:val="bottom"/>
            <w:hideMark/>
          </w:tcPr>
          <w:p w14:paraId="0409A6F5"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w:t>
            </w:r>
          </w:p>
        </w:tc>
        <w:tc>
          <w:tcPr>
            <w:tcW w:w="1279" w:type="dxa"/>
            <w:tcBorders>
              <w:top w:val="nil"/>
              <w:left w:val="nil"/>
              <w:bottom w:val="nil"/>
              <w:right w:val="single" w:sz="4" w:space="0" w:color="auto"/>
            </w:tcBorders>
            <w:shd w:val="clear" w:color="000000" w:fill="FFFFFF"/>
            <w:vAlign w:val="bottom"/>
            <w:hideMark/>
          </w:tcPr>
          <w:p w14:paraId="0156AA53" w14:textId="796882F8"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56</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641</w:t>
            </w:r>
          </w:p>
        </w:tc>
        <w:tc>
          <w:tcPr>
            <w:tcW w:w="222" w:type="dxa"/>
            <w:tcBorders>
              <w:right w:val="single" w:sz="4" w:space="0" w:color="auto"/>
            </w:tcBorders>
            <w:vAlign w:val="center"/>
            <w:hideMark/>
          </w:tcPr>
          <w:p w14:paraId="74D0D0CC" w14:textId="77777777" w:rsidR="00C31C24" w:rsidRPr="00226540" w:rsidRDefault="00C31C24" w:rsidP="00C31C24">
            <w:pPr>
              <w:spacing w:after="0" w:line="240" w:lineRule="auto"/>
              <w:jc w:val="left"/>
              <w:rPr>
                <w:noProof/>
                <w:sz w:val="18"/>
                <w:szCs w:val="18"/>
                <w:lang w:val="en-IE" w:eastAsia="en-IE"/>
              </w:rPr>
            </w:pPr>
          </w:p>
        </w:tc>
      </w:tr>
      <w:tr w:rsidR="00C31C24" w:rsidRPr="00226540" w14:paraId="145A5B34"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7F08C337"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Deutschland</w:t>
            </w:r>
          </w:p>
        </w:tc>
        <w:tc>
          <w:tcPr>
            <w:tcW w:w="916" w:type="dxa"/>
            <w:tcBorders>
              <w:top w:val="nil"/>
              <w:left w:val="single" w:sz="4" w:space="0" w:color="auto"/>
              <w:bottom w:val="nil"/>
              <w:right w:val="nil"/>
            </w:tcBorders>
            <w:shd w:val="clear" w:color="000000" w:fill="DCE6F1"/>
            <w:vAlign w:val="bottom"/>
            <w:hideMark/>
          </w:tcPr>
          <w:p w14:paraId="0E36137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10</w:t>
            </w:r>
          </w:p>
        </w:tc>
        <w:tc>
          <w:tcPr>
            <w:tcW w:w="1242" w:type="dxa"/>
            <w:tcBorders>
              <w:top w:val="nil"/>
              <w:left w:val="nil"/>
              <w:bottom w:val="nil"/>
              <w:right w:val="single" w:sz="4" w:space="0" w:color="auto"/>
            </w:tcBorders>
            <w:shd w:val="clear" w:color="000000" w:fill="DCE6F1"/>
            <w:vAlign w:val="bottom"/>
            <w:hideMark/>
          </w:tcPr>
          <w:p w14:paraId="4B9560B8" w14:textId="67872A13"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646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596</w:t>
            </w:r>
          </w:p>
        </w:tc>
        <w:tc>
          <w:tcPr>
            <w:tcW w:w="884" w:type="dxa"/>
            <w:tcBorders>
              <w:top w:val="nil"/>
              <w:left w:val="nil"/>
              <w:bottom w:val="nil"/>
              <w:right w:val="nil"/>
            </w:tcBorders>
            <w:shd w:val="clear" w:color="000000" w:fill="DCE6F1"/>
            <w:vAlign w:val="bottom"/>
            <w:hideMark/>
          </w:tcPr>
          <w:p w14:paraId="3CAC5E4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52</w:t>
            </w:r>
          </w:p>
        </w:tc>
        <w:tc>
          <w:tcPr>
            <w:tcW w:w="1417" w:type="dxa"/>
            <w:tcBorders>
              <w:top w:val="nil"/>
              <w:left w:val="nil"/>
              <w:bottom w:val="nil"/>
              <w:right w:val="single" w:sz="4" w:space="0" w:color="auto"/>
            </w:tcBorders>
            <w:shd w:val="clear" w:color="000000" w:fill="DCE6F1"/>
            <w:vAlign w:val="bottom"/>
            <w:hideMark/>
          </w:tcPr>
          <w:p w14:paraId="3BAA28DB" w14:textId="5F9BFF91"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182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519</w:t>
            </w:r>
          </w:p>
        </w:tc>
        <w:tc>
          <w:tcPr>
            <w:tcW w:w="709" w:type="dxa"/>
            <w:tcBorders>
              <w:top w:val="nil"/>
              <w:left w:val="nil"/>
              <w:bottom w:val="nil"/>
              <w:right w:val="nil"/>
            </w:tcBorders>
            <w:shd w:val="clear" w:color="000000" w:fill="DCE6F1"/>
            <w:vAlign w:val="bottom"/>
            <w:hideMark/>
          </w:tcPr>
          <w:p w14:paraId="09EE299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p>
        </w:tc>
        <w:tc>
          <w:tcPr>
            <w:tcW w:w="1276" w:type="dxa"/>
            <w:tcBorders>
              <w:top w:val="nil"/>
              <w:left w:val="nil"/>
              <w:bottom w:val="nil"/>
              <w:right w:val="single" w:sz="4" w:space="0" w:color="auto"/>
            </w:tcBorders>
            <w:shd w:val="clear" w:color="000000" w:fill="DCE6F1"/>
            <w:vAlign w:val="bottom"/>
            <w:hideMark/>
          </w:tcPr>
          <w:p w14:paraId="10BE12AC" w14:textId="1B62DB35"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326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004</w:t>
            </w:r>
          </w:p>
        </w:tc>
        <w:tc>
          <w:tcPr>
            <w:tcW w:w="1217" w:type="dxa"/>
            <w:tcBorders>
              <w:top w:val="nil"/>
              <w:left w:val="nil"/>
              <w:bottom w:val="nil"/>
              <w:right w:val="nil"/>
            </w:tcBorders>
            <w:shd w:val="clear" w:color="000000" w:fill="DCE6F1"/>
            <w:vAlign w:val="bottom"/>
            <w:hideMark/>
          </w:tcPr>
          <w:p w14:paraId="66DF064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1500E20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5DEC19A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66</w:t>
            </w:r>
          </w:p>
        </w:tc>
        <w:tc>
          <w:tcPr>
            <w:tcW w:w="1399" w:type="dxa"/>
            <w:tcBorders>
              <w:top w:val="nil"/>
              <w:left w:val="nil"/>
              <w:bottom w:val="nil"/>
              <w:right w:val="single" w:sz="4" w:space="0" w:color="auto"/>
            </w:tcBorders>
            <w:shd w:val="clear" w:color="000000" w:fill="DCE6F1"/>
            <w:vAlign w:val="bottom"/>
            <w:hideMark/>
          </w:tcPr>
          <w:p w14:paraId="45A035B1" w14:textId="7F88F512"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155</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119</w:t>
            </w:r>
          </w:p>
        </w:tc>
        <w:tc>
          <w:tcPr>
            <w:tcW w:w="1256" w:type="dxa"/>
            <w:tcBorders>
              <w:top w:val="nil"/>
              <w:left w:val="nil"/>
              <w:bottom w:val="nil"/>
              <w:right w:val="nil"/>
            </w:tcBorders>
            <w:shd w:val="clear" w:color="000000" w:fill="DCE6F1"/>
            <w:vAlign w:val="bottom"/>
            <w:hideMark/>
          </w:tcPr>
          <w:p w14:paraId="2E3898F9"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22</w:t>
            </w:r>
          </w:p>
        </w:tc>
        <w:tc>
          <w:tcPr>
            <w:tcW w:w="1279" w:type="dxa"/>
            <w:tcBorders>
              <w:top w:val="nil"/>
              <w:left w:val="nil"/>
              <w:bottom w:val="nil"/>
              <w:right w:val="single" w:sz="4" w:space="0" w:color="auto"/>
            </w:tcBorders>
            <w:shd w:val="clear" w:color="000000" w:fill="DCE6F1"/>
            <w:vAlign w:val="bottom"/>
            <w:hideMark/>
          </w:tcPr>
          <w:p w14:paraId="4C5161D9" w14:textId="068036F4"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216</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031</w:t>
            </w:r>
          </w:p>
        </w:tc>
        <w:tc>
          <w:tcPr>
            <w:tcW w:w="222" w:type="dxa"/>
            <w:tcBorders>
              <w:right w:val="single" w:sz="4" w:space="0" w:color="auto"/>
            </w:tcBorders>
            <w:vAlign w:val="center"/>
            <w:hideMark/>
          </w:tcPr>
          <w:p w14:paraId="6923900E"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2756098"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6969A5DE"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Eesti</w:t>
            </w:r>
          </w:p>
        </w:tc>
        <w:tc>
          <w:tcPr>
            <w:tcW w:w="916" w:type="dxa"/>
            <w:tcBorders>
              <w:top w:val="nil"/>
              <w:left w:val="single" w:sz="4" w:space="0" w:color="auto"/>
              <w:bottom w:val="nil"/>
              <w:right w:val="nil"/>
            </w:tcBorders>
            <w:shd w:val="clear" w:color="000000" w:fill="FFFFFF"/>
            <w:vAlign w:val="bottom"/>
            <w:hideMark/>
          </w:tcPr>
          <w:p w14:paraId="150D168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21</w:t>
            </w:r>
          </w:p>
        </w:tc>
        <w:tc>
          <w:tcPr>
            <w:tcW w:w="1242" w:type="dxa"/>
            <w:tcBorders>
              <w:top w:val="nil"/>
              <w:left w:val="nil"/>
              <w:bottom w:val="nil"/>
              <w:right w:val="single" w:sz="4" w:space="0" w:color="auto"/>
            </w:tcBorders>
            <w:shd w:val="clear" w:color="000000" w:fill="FFFFFF"/>
            <w:vAlign w:val="bottom"/>
            <w:hideMark/>
          </w:tcPr>
          <w:p w14:paraId="322633ED" w14:textId="0D4966A2"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463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863</w:t>
            </w:r>
          </w:p>
        </w:tc>
        <w:tc>
          <w:tcPr>
            <w:tcW w:w="884" w:type="dxa"/>
            <w:tcBorders>
              <w:top w:val="nil"/>
              <w:left w:val="nil"/>
              <w:bottom w:val="nil"/>
              <w:right w:val="nil"/>
            </w:tcBorders>
            <w:shd w:val="clear" w:color="000000" w:fill="FFFFFF"/>
            <w:vAlign w:val="bottom"/>
            <w:hideMark/>
          </w:tcPr>
          <w:p w14:paraId="7EA2E0B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w:t>
            </w:r>
          </w:p>
        </w:tc>
        <w:tc>
          <w:tcPr>
            <w:tcW w:w="1417" w:type="dxa"/>
            <w:tcBorders>
              <w:top w:val="nil"/>
              <w:left w:val="nil"/>
              <w:bottom w:val="nil"/>
              <w:right w:val="single" w:sz="4" w:space="0" w:color="auto"/>
            </w:tcBorders>
            <w:shd w:val="clear" w:color="000000" w:fill="FFFFFF"/>
            <w:vAlign w:val="bottom"/>
            <w:hideMark/>
          </w:tcPr>
          <w:p w14:paraId="4994A41A" w14:textId="2C2EE03A"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286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615</w:t>
            </w:r>
          </w:p>
        </w:tc>
        <w:tc>
          <w:tcPr>
            <w:tcW w:w="709" w:type="dxa"/>
            <w:tcBorders>
              <w:top w:val="nil"/>
              <w:left w:val="nil"/>
              <w:bottom w:val="nil"/>
              <w:right w:val="nil"/>
            </w:tcBorders>
            <w:shd w:val="clear" w:color="000000" w:fill="FFFFFF"/>
            <w:vAlign w:val="bottom"/>
            <w:hideMark/>
          </w:tcPr>
          <w:p w14:paraId="6668539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4B5B68A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0CCB7DC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75A424D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352609C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23</w:t>
            </w:r>
          </w:p>
        </w:tc>
        <w:tc>
          <w:tcPr>
            <w:tcW w:w="1399" w:type="dxa"/>
            <w:tcBorders>
              <w:top w:val="nil"/>
              <w:left w:val="nil"/>
              <w:bottom w:val="nil"/>
              <w:right w:val="single" w:sz="4" w:space="0" w:color="auto"/>
            </w:tcBorders>
            <w:shd w:val="clear" w:color="000000" w:fill="FFFFFF"/>
            <w:vAlign w:val="bottom"/>
            <w:hideMark/>
          </w:tcPr>
          <w:p w14:paraId="0F51B74A" w14:textId="7B07F25E"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750</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477</w:t>
            </w:r>
          </w:p>
        </w:tc>
        <w:tc>
          <w:tcPr>
            <w:tcW w:w="1256" w:type="dxa"/>
            <w:tcBorders>
              <w:top w:val="nil"/>
              <w:left w:val="nil"/>
              <w:bottom w:val="nil"/>
              <w:right w:val="nil"/>
            </w:tcBorders>
            <w:shd w:val="clear" w:color="000000" w:fill="FFFFFF"/>
            <w:vAlign w:val="bottom"/>
            <w:hideMark/>
          </w:tcPr>
          <w:p w14:paraId="4CF15ADD"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15</w:t>
            </w:r>
          </w:p>
        </w:tc>
        <w:tc>
          <w:tcPr>
            <w:tcW w:w="1279" w:type="dxa"/>
            <w:tcBorders>
              <w:top w:val="nil"/>
              <w:left w:val="nil"/>
              <w:bottom w:val="nil"/>
              <w:right w:val="single" w:sz="4" w:space="0" w:color="auto"/>
            </w:tcBorders>
            <w:shd w:val="clear" w:color="000000" w:fill="FFFFFF"/>
            <w:vAlign w:val="bottom"/>
            <w:hideMark/>
          </w:tcPr>
          <w:p w14:paraId="6237A6FA" w14:textId="57298493"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748</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159</w:t>
            </w:r>
          </w:p>
        </w:tc>
        <w:tc>
          <w:tcPr>
            <w:tcW w:w="222" w:type="dxa"/>
            <w:tcBorders>
              <w:right w:val="single" w:sz="4" w:space="0" w:color="auto"/>
            </w:tcBorders>
            <w:vAlign w:val="center"/>
            <w:hideMark/>
          </w:tcPr>
          <w:p w14:paraId="0C0DA4BB" w14:textId="77777777" w:rsidR="00C31C24" w:rsidRPr="00226540" w:rsidRDefault="00C31C24" w:rsidP="00C31C24">
            <w:pPr>
              <w:spacing w:after="0" w:line="240" w:lineRule="auto"/>
              <w:jc w:val="left"/>
              <w:rPr>
                <w:noProof/>
                <w:sz w:val="18"/>
                <w:szCs w:val="18"/>
                <w:lang w:val="en-IE" w:eastAsia="en-IE"/>
              </w:rPr>
            </w:pPr>
          </w:p>
        </w:tc>
      </w:tr>
      <w:tr w:rsidR="00C31C24" w:rsidRPr="00226540" w14:paraId="4422307D"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6C0765B5"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Éire/Ireland</w:t>
            </w:r>
          </w:p>
        </w:tc>
        <w:tc>
          <w:tcPr>
            <w:tcW w:w="916" w:type="dxa"/>
            <w:tcBorders>
              <w:top w:val="nil"/>
              <w:left w:val="single" w:sz="4" w:space="0" w:color="auto"/>
              <w:bottom w:val="nil"/>
              <w:right w:val="nil"/>
            </w:tcBorders>
            <w:shd w:val="clear" w:color="000000" w:fill="DCE6F1"/>
            <w:vAlign w:val="bottom"/>
            <w:hideMark/>
          </w:tcPr>
          <w:p w14:paraId="72D5BD5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DCE6F1"/>
            <w:vAlign w:val="bottom"/>
            <w:hideMark/>
          </w:tcPr>
          <w:p w14:paraId="0CCD119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DCE6F1"/>
            <w:vAlign w:val="bottom"/>
            <w:hideMark/>
          </w:tcPr>
          <w:p w14:paraId="3227974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417" w:type="dxa"/>
            <w:tcBorders>
              <w:top w:val="nil"/>
              <w:left w:val="nil"/>
              <w:bottom w:val="nil"/>
              <w:right w:val="single" w:sz="4" w:space="0" w:color="auto"/>
            </w:tcBorders>
            <w:shd w:val="clear" w:color="000000" w:fill="DCE6F1"/>
            <w:vAlign w:val="bottom"/>
            <w:hideMark/>
          </w:tcPr>
          <w:p w14:paraId="33E27F9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709" w:type="dxa"/>
            <w:tcBorders>
              <w:top w:val="nil"/>
              <w:left w:val="nil"/>
              <w:bottom w:val="nil"/>
              <w:right w:val="nil"/>
            </w:tcBorders>
            <w:shd w:val="clear" w:color="000000" w:fill="DCE6F1"/>
            <w:vAlign w:val="bottom"/>
            <w:hideMark/>
          </w:tcPr>
          <w:p w14:paraId="1344A72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4BCE70D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49CAEB5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08B3A4F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6ECCD70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399" w:type="dxa"/>
            <w:tcBorders>
              <w:top w:val="nil"/>
              <w:left w:val="nil"/>
              <w:bottom w:val="nil"/>
              <w:right w:val="single" w:sz="4" w:space="0" w:color="auto"/>
            </w:tcBorders>
            <w:shd w:val="clear" w:color="000000" w:fill="DCE6F1"/>
            <w:vAlign w:val="bottom"/>
            <w:hideMark/>
          </w:tcPr>
          <w:p w14:paraId="4361D09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56" w:type="dxa"/>
            <w:tcBorders>
              <w:top w:val="nil"/>
              <w:left w:val="nil"/>
              <w:bottom w:val="nil"/>
              <w:right w:val="nil"/>
            </w:tcBorders>
            <w:shd w:val="clear" w:color="000000" w:fill="DCE6F1"/>
            <w:vAlign w:val="bottom"/>
            <w:hideMark/>
          </w:tcPr>
          <w:p w14:paraId="1A8C9278"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1279" w:type="dxa"/>
            <w:tcBorders>
              <w:top w:val="nil"/>
              <w:left w:val="nil"/>
              <w:bottom w:val="nil"/>
              <w:right w:val="single" w:sz="4" w:space="0" w:color="auto"/>
            </w:tcBorders>
            <w:shd w:val="clear" w:color="000000" w:fill="DCE6F1"/>
            <w:vAlign w:val="bottom"/>
            <w:hideMark/>
          </w:tcPr>
          <w:p w14:paraId="1DDBB600"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222" w:type="dxa"/>
            <w:tcBorders>
              <w:right w:val="single" w:sz="4" w:space="0" w:color="auto"/>
            </w:tcBorders>
            <w:vAlign w:val="center"/>
            <w:hideMark/>
          </w:tcPr>
          <w:p w14:paraId="10E1DE84" w14:textId="77777777" w:rsidR="00C31C24" w:rsidRPr="00226540" w:rsidRDefault="00C31C24" w:rsidP="00C31C24">
            <w:pPr>
              <w:spacing w:after="0" w:line="240" w:lineRule="auto"/>
              <w:jc w:val="left"/>
              <w:rPr>
                <w:noProof/>
                <w:sz w:val="18"/>
                <w:szCs w:val="18"/>
                <w:lang w:val="en-IE" w:eastAsia="en-IE"/>
              </w:rPr>
            </w:pPr>
          </w:p>
        </w:tc>
      </w:tr>
      <w:tr w:rsidR="00C31C24" w:rsidRPr="00226540" w14:paraId="6EB99A70"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6EAB10A3"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Ellada</w:t>
            </w:r>
          </w:p>
        </w:tc>
        <w:tc>
          <w:tcPr>
            <w:tcW w:w="916" w:type="dxa"/>
            <w:tcBorders>
              <w:top w:val="nil"/>
              <w:left w:val="single" w:sz="4" w:space="0" w:color="auto"/>
              <w:bottom w:val="nil"/>
              <w:right w:val="nil"/>
            </w:tcBorders>
            <w:shd w:val="clear" w:color="000000" w:fill="FFFFFF"/>
            <w:vAlign w:val="bottom"/>
            <w:hideMark/>
          </w:tcPr>
          <w:p w14:paraId="33AA264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FFFFFF"/>
            <w:vAlign w:val="bottom"/>
            <w:hideMark/>
          </w:tcPr>
          <w:p w14:paraId="218ACBA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FFFFFF"/>
            <w:vAlign w:val="bottom"/>
            <w:hideMark/>
          </w:tcPr>
          <w:p w14:paraId="64B3B46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417" w:type="dxa"/>
            <w:tcBorders>
              <w:top w:val="nil"/>
              <w:left w:val="nil"/>
              <w:bottom w:val="nil"/>
              <w:right w:val="single" w:sz="4" w:space="0" w:color="auto"/>
            </w:tcBorders>
            <w:shd w:val="clear" w:color="000000" w:fill="FFFFFF"/>
            <w:vAlign w:val="bottom"/>
            <w:hideMark/>
          </w:tcPr>
          <w:p w14:paraId="5D1D0BD1" w14:textId="39FD319D"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242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515</w:t>
            </w:r>
          </w:p>
        </w:tc>
        <w:tc>
          <w:tcPr>
            <w:tcW w:w="709" w:type="dxa"/>
            <w:tcBorders>
              <w:top w:val="nil"/>
              <w:left w:val="nil"/>
              <w:bottom w:val="nil"/>
              <w:right w:val="nil"/>
            </w:tcBorders>
            <w:shd w:val="clear" w:color="000000" w:fill="FFFFFF"/>
            <w:vAlign w:val="bottom"/>
            <w:hideMark/>
          </w:tcPr>
          <w:p w14:paraId="3E5B2B7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4A9E51B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36B18DC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5499034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0D1EA70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399" w:type="dxa"/>
            <w:tcBorders>
              <w:top w:val="nil"/>
              <w:left w:val="nil"/>
              <w:bottom w:val="nil"/>
              <w:right w:val="single" w:sz="4" w:space="0" w:color="auto"/>
            </w:tcBorders>
            <w:shd w:val="clear" w:color="000000" w:fill="FFFFFF"/>
            <w:vAlign w:val="bottom"/>
            <w:hideMark/>
          </w:tcPr>
          <w:p w14:paraId="6BFAD69D" w14:textId="60674A03"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242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515</w:t>
            </w:r>
          </w:p>
        </w:tc>
        <w:tc>
          <w:tcPr>
            <w:tcW w:w="1256" w:type="dxa"/>
            <w:tcBorders>
              <w:top w:val="nil"/>
              <w:left w:val="nil"/>
              <w:bottom w:val="nil"/>
              <w:right w:val="nil"/>
            </w:tcBorders>
            <w:shd w:val="clear" w:color="000000" w:fill="FFFFFF"/>
            <w:vAlign w:val="bottom"/>
            <w:hideMark/>
          </w:tcPr>
          <w:p w14:paraId="110836C8"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26</w:t>
            </w:r>
          </w:p>
        </w:tc>
        <w:tc>
          <w:tcPr>
            <w:tcW w:w="1279" w:type="dxa"/>
            <w:tcBorders>
              <w:top w:val="nil"/>
              <w:left w:val="nil"/>
              <w:bottom w:val="nil"/>
              <w:right w:val="single" w:sz="4" w:space="0" w:color="auto"/>
            </w:tcBorders>
            <w:shd w:val="clear" w:color="000000" w:fill="FFFFFF"/>
            <w:vAlign w:val="bottom"/>
            <w:hideMark/>
          </w:tcPr>
          <w:p w14:paraId="032A3FF2" w14:textId="38D3B37C"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918</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814</w:t>
            </w:r>
          </w:p>
        </w:tc>
        <w:tc>
          <w:tcPr>
            <w:tcW w:w="222" w:type="dxa"/>
            <w:tcBorders>
              <w:right w:val="single" w:sz="4" w:space="0" w:color="auto"/>
            </w:tcBorders>
            <w:vAlign w:val="center"/>
            <w:hideMark/>
          </w:tcPr>
          <w:p w14:paraId="06E3DD9E" w14:textId="77777777" w:rsidR="00C31C24" w:rsidRPr="00226540" w:rsidRDefault="00C31C24" w:rsidP="00C31C24">
            <w:pPr>
              <w:spacing w:after="0" w:line="240" w:lineRule="auto"/>
              <w:jc w:val="left"/>
              <w:rPr>
                <w:noProof/>
                <w:sz w:val="18"/>
                <w:szCs w:val="18"/>
                <w:lang w:val="en-IE" w:eastAsia="en-IE"/>
              </w:rPr>
            </w:pPr>
          </w:p>
        </w:tc>
      </w:tr>
      <w:tr w:rsidR="00C31C24" w:rsidRPr="00226540" w14:paraId="2533BEAD"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6166B9AE"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España</w:t>
            </w:r>
          </w:p>
        </w:tc>
        <w:tc>
          <w:tcPr>
            <w:tcW w:w="916" w:type="dxa"/>
            <w:tcBorders>
              <w:top w:val="nil"/>
              <w:left w:val="single" w:sz="4" w:space="0" w:color="auto"/>
              <w:bottom w:val="nil"/>
              <w:right w:val="nil"/>
            </w:tcBorders>
            <w:shd w:val="clear" w:color="000000" w:fill="DCE6F1"/>
            <w:vAlign w:val="bottom"/>
            <w:hideMark/>
          </w:tcPr>
          <w:p w14:paraId="3CEE34A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w:t>
            </w:r>
          </w:p>
        </w:tc>
        <w:tc>
          <w:tcPr>
            <w:tcW w:w="1242" w:type="dxa"/>
            <w:tcBorders>
              <w:top w:val="nil"/>
              <w:left w:val="nil"/>
              <w:bottom w:val="nil"/>
              <w:right w:val="single" w:sz="4" w:space="0" w:color="auto"/>
            </w:tcBorders>
            <w:shd w:val="clear" w:color="000000" w:fill="DCE6F1"/>
            <w:vAlign w:val="bottom"/>
            <w:hideMark/>
          </w:tcPr>
          <w:p w14:paraId="1965FE53" w14:textId="15C81D1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623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420</w:t>
            </w:r>
          </w:p>
        </w:tc>
        <w:tc>
          <w:tcPr>
            <w:tcW w:w="884" w:type="dxa"/>
            <w:tcBorders>
              <w:top w:val="nil"/>
              <w:left w:val="nil"/>
              <w:bottom w:val="nil"/>
              <w:right w:val="nil"/>
            </w:tcBorders>
            <w:shd w:val="clear" w:color="000000" w:fill="DCE6F1"/>
            <w:vAlign w:val="bottom"/>
            <w:hideMark/>
          </w:tcPr>
          <w:p w14:paraId="78DA76F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8</w:t>
            </w:r>
          </w:p>
        </w:tc>
        <w:tc>
          <w:tcPr>
            <w:tcW w:w="1417" w:type="dxa"/>
            <w:tcBorders>
              <w:top w:val="nil"/>
              <w:left w:val="nil"/>
              <w:bottom w:val="nil"/>
              <w:right w:val="single" w:sz="4" w:space="0" w:color="auto"/>
            </w:tcBorders>
            <w:shd w:val="clear" w:color="000000" w:fill="DCE6F1"/>
            <w:vAlign w:val="bottom"/>
            <w:hideMark/>
          </w:tcPr>
          <w:p w14:paraId="7012C023" w14:textId="1AEAC6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923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627</w:t>
            </w:r>
          </w:p>
        </w:tc>
        <w:tc>
          <w:tcPr>
            <w:tcW w:w="709" w:type="dxa"/>
            <w:tcBorders>
              <w:top w:val="nil"/>
              <w:left w:val="nil"/>
              <w:bottom w:val="nil"/>
              <w:right w:val="nil"/>
            </w:tcBorders>
            <w:shd w:val="clear" w:color="000000" w:fill="DCE6F1"/>
            <w:vAlign w:val="bottom"/>
            <w:hideMark/>
          </w:tcPr>
          <w:p w14:paraId="1A61F9D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3BB9D7E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639CF1B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16F0EA4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335914A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13</w:t>
            </w:r>
          </w:p>
        </w:tc>
        <w:tc>
          <w:tcPr>
            <w:tcW w:w="1399" w:type="dxa"/>
            <w:tcBorders>
              <w:top w:val="nil"/>
              <w:left w:val="nil"/>
              <w:bottom w:val="nil"/>
              <w:right w:val="single" w:sz="4" w:space="0" w:color="auto"/>
            </w:tcBorders>
            <w:shd w:val="clear" w:color="000000" w:fill="DCE6F1"/>
            <w:vAlign w:val="bottom"/>
            <w:hideMark/>
          </w:tcPr>
          <w:p w14:paraId="7B7A9A4A" w14:textId="278DEEA6"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547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047</w:t>
            </w:r>
          </w:p>
        </w:tc>
        <w:tc>
          <w:tcPr>
            <w:tcW w:w="1256" w:type="dxa"/>
            <w:tcBorders>
              <w:top w:val="nil"/>
              <w:left w:val="nil"/>
              <w:bottom w:val="nil"/>
              <w:right w:val="nil"/>
            </w:tcBorders>
            <w:shd w:val="clear" w:color="000000" w:fill="DCE6F1"/>
            <w:vAlign w:val="bottom"/>
            <w:hideMark/>
          </w:tcPr>
          <w:p w14:paraId="297E159A"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6</w:t>
            </w:r>
          </w:p>
        </w:tc>
        <w:tc>
          <w:tcPr>
            <w:tcW w:w="1279" w:type="dxa"/>
            <w:tcBorders>
              <w:top w:val="nil"/>
              <w:left w:val="nil"/>
              <w:bottom w:val="nil"/>
              <w:right w:val="single" w:sz="4" w:space="0" w:color="auto"/>
            </w:tcBorders>
            <w:shd w:val="clear" w:color="000000" w:fill="DCE6F1"/>
            <w:vAlign w:val="bottom"/>
            <w:hideMark/>
          </w:tcPr>
          <w:p w14:paraId="650F6D37" w14:textId="78106990"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799</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036</w:t>
            </w:r>
          </w:p>
        </w:tc>
        <w:tc>
          <w:tcPr>
            <w:tcW w:w="222" w:type="dxa"/>
            <w:tcBorders>
              <w:right w:val="single" w:sz="4" w:space="0" w:color="auto"/>
            </w:tcBorders>
            <w:vAlign w:val="center"/>
            <w:hideMark/>
          </w:tcPr>
          <w:p w14:paraId="1BDDC0A2"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84D989D"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4D26B2B0"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France</w:t>
            </w:r>
          </w:p>
        </w:tc>
        <w:tc>
          <w:tcPr>
            <w:tcW w:w="916" w:type="dxa"/>
            <w:tcBorders>
              <w:top w:val="nil"/>
              <w:left w:val="single" w:sz="4" w:space="0" w:color="auto"/>
              <w:bottom w:val="nil"/>
              <w:right w:val="nil"/>
            </w:tcBorders>
            <w:shd w:val="clear" w:color="000000" w:fill="FFFFFF"/>
            <w:vAlign w:val="bottom"/>
            <w:hideMark/>
          </w:tcPr>
          <w:p w14:paraId="60A1DA7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9</w:t>
            </w:r>
          </w:p>
        </w:tc>
        <w:tc>
          <w:tcPr>
            <w:tcW w:w="1242" w:type="dxa"/>
            <w:tcBorders>
              <w:top w:val="nil"/>
              <w:left w:val="nil"/>
              <w:bottom w:val="nil"/>
              <w:right w:val="single" w:sz="4" w:space="0" w:color="auto"/>
            </w:tcBorders>
            <w:shd w:val="clear" w:color="000000" w:fill="FFFFFF"/>
            <w:vAlign w:val="bottom"/>
            <w:hideMark/>
          </w:tcPr>
          <w:p w14:paraId="3C47AB00" w14:textId="4FE227CA"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512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973</w:t>
            </w:r>
          </w:p>
        </w:tc>
        <w:tc>
          <w:tcPr>
            <w:tcW w:w="884" w:type="dxa"/>
            <w:tcBorders>
              <w:top w:val="nil"/>
              <w:left w:val="nil"/>
              <w:bottom w:val="nil"/>
              <w:right w:val="nil"/>
            </w:tcBorders>
            <w:shd w:val="clear" w:color="000000" w:fill="FFFFFF"/>
            <w:vAlign w:val="bottom"/>
            <w:hideMark/>
          </w:tcPr>
          <w:p w14:paraId="247804A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417" w:type="dxa"/>
            <w:tcBorders>
              <w:top w:val="nil"/>
              <w:left w:val="nil"/>
              <w:bottom w:val="nil"/>
              <w:right w:val="single" w:sz="4" w:space="0" w:color="auto"/>
            </w:tcBorders>
            <w:shd w:val="clear" w:color="000000" w:fill="FFFFFF"/>
            <w:vAlign w:val="bottom"/>
            <w:hideMark/>
          </w:tcPr>
          <w:p w14:paraId="2B584D58" w14:textId="1C34C7BB"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333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629</w:t>
            </w:r>
          </w:p>
        </w:tc>
        <w:tc>
          <w:tcPr>
            <w:tcW w:w="709" w:type="dxa"/>
            <w:tcBorders>
              <w:top w:val="nil"/>
              <w:left w:val="nil"/>
              <w:bottom w:val="nil"/>
              <w:right w:val="nil"/>
            </w:tcBorders>
            <w:shd w:val="clear" w:color="000000" w:fill="FFFFFF"/>
            <w:vAlign w:val="bottom"/>
            <w:hideMark/>
          </w:tcPr>
          <w:p w14:paraId="759C036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7D3B8FD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7109E3A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2370431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24CA516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12</w:t>
            </w:r>
          </w:p>
        </w:tc>
        <w:tc>
          <w:tcPr>
            <w:tcW w:w="1399" w:type="dxa"/>
            <w:tcBorders>
              <w:top w:val="nil"/>
              <w:left w:val="nil"/>
              <w:bottom w:val="nil"/>
              <w:right w:val="single" w:sz="4" w:space="0" w:color="auto"/>
            </w:tcBorders>
            <w:shd w:val="clear" w:color="000000" w:fill="FFFFFF"/>
            <w:vAlign w:val="bottom"/>
            <w:hideMark/>
          </w:tcPr>
          <w:p w14:paraId="00A09410" w14:textId="38598BE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846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602</w:t>
            </w:r>
          </w:p>
        </w:tc>
        <w:tc>
          <w:tcPr>
            <w:tcW w:w="1256" w:type="dxa"/>
            <w:tcBorders>
              <w:top w:val="nil"/>
              <w:left w:val="nil"/>
              <w:bottom w:val="nil"/>
              <w:right w:val="nil"/>
            </w:tcBorders>
            <w:shd w:val="clear" w:color="000000" w:fill="FFFFFF"/>
            <w:vAlign w:val="bottom"/>
            <w:hideMark/>
          </w:tcPr>
          <w:p w14:paraId="2B5CE887"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62</w:t>
            </w:r>
          </w:p>
        </w:tc>
        <w:tc>
          <w:tcPr>
            <w:tcW w:w="1279" w:type="dxa"/>
            <w:tcBorders>
              <w:top w:val="nil"/>
              <w:left w:val="nil"/>
              <w:bottom w:val="nil"/>
              <w:right w:val="single" w:sz="4" w:space="0" w:color="auto"/>
            </w:tcBorders>
            <w:shd w:val="clear" w:color="000000" w:fill="FFFFFF"/>
            <w:vAlign w:val="bottom"/>
            <w:hideMark/>
          </w:tcPr>
          <w:p w14:paraId="26515E29" w14:textId="029ABC1A"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25</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443</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268</w:t>
            </w:r>
          </w:p>
        </w:tc>
        <w:tc>
          <w:tcPr>
            <w:tcW w:w="222" w:type="dxa"/>
            <w:tcBorders>
              <w:right w:val="single" w:sz="4" w:space="0" w:color="auto"/>
            </w:tcBorders>
            <w:vAlign w:val="center"/>
            <w:hideMark/>
          </w:tcPr>
          <w:p w14:paraId="1A960514" w14:textId="77777777" w:rsidR="00C31C24" w:rsidRPr="00226540" w:rsidRDefault="00C31C24" w:rsidP="00C31C24">
            <w:pPr>
              <w:spacing w:after="0" w:line="240" w:lineRule="auto"/>
              <w:jc w:val="left"/>
              <w:rPr>
                <w:noProof/>
                <w:sz w:val="18"/>
                <w:szCs w:val="18"/>
                <w:lang w:val="en-IE" w:eastAsia="en-IE"/>
              </w:rPr>
            </w:pPr>
          </w:p>
        </w:tc>
      </w:tr>
      <w:tr w:rsidR="00C31C24" w:rsidRPr="00226540" w14:paraId="261BC9B4"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23E46DAE"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Hrvatska</w:t>
            </w:r>
          </w:p>
        </w:tc>
        <w:tc>
          <w:tcPr>
            <w:tcW w:w="916" w:type="dxa"/>
            <w:tcBorders>
              <w:top w:val="nil"/>
              <w:left w:val="single" w:sz="4" w:space="0" w:color="auto"/>
              <w:bottom w:val="nil"/>
              <w:right w:val="nil"/>
            </w:tcBorders>
            <w:shd w:val="clear" w:color="000000" w:fill="DCE6F1"/>
            <w:vAlign w:val="bottom"/>
            <w:hideMark/>
          </w:tcPr>
          <w:p w14:paraId="0D50759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DCE6F1"/>
            <w:vAlign w:val="bottom"/>
            <w:hideMark/>
          </w:tcPr>
          <w:p w14:paraId="62BC7EC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DCE6F1"/>
            <w:vAlign w:val="bottom"/>
            <w:hideMark/>
          </w:tcPr>
          <w:p w14:paraId="74589B1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p>
        </w:tc>
        <w:tc>
          <w:tcPr>
            <w:tcW w:w="1417" w:type="dxa"/>
            <w:tcBorders>
              <w:top w:val="nil"/>
              <w:left w:val="nil"/>
              <w:bottom w:val="nil"/>
              <w:right w:val="single" w:sz="4" w:space="0" w:color="auto"/>
            </w:tcBorders>
            <w:shd w:val="clear" w:color="000000" w:fill="DCE6F1"/>
            <w:vAlign w:val="bottom"/>
            <w:hideMark/>
          </w:tcPr>
          <w:p w14:paraId="06423D50" w14:textId="742AB6BB"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657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624</w:t>
            </w:r>
          </w:p>
        </w:tc>
        <w:tc>
          <w:tcPr>
            <w:tcW w:w="709" w:type="dxa"/>
            <w:tcBorders>
              <w:top w:val="nil"/>
              <w:left w:val="nil"/>
              <w:bottom w:val="nil"/>
              <w:right w:val="nil"/>
            </w:tcBorders>
            <w:shd w:val="clear" w:color="000000" w:fill="DCE6F1"/>
            <w:vAlign w:val="bottom"/>
            <w:hideMark/>
          </w:tcPr>
          <w:p w14:paraId="3636E10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7263C7D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78F7994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4DC09FA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71B96F3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p>
        </w:tc>
        <w:tc>
          <w:tcPr>
            <w:tcW w:w="1399" w:type="dxa"/>
            <w:tcBorders>
              <w:top w:val="nil"/>
              <w:left w:val="nil"/>
              <w:bottom w:val="nil"/>
              <w:right w:val="single" w:sz="4" w:space="0" w:color="auto"/>
            </w:tcBorders>
            <w:shd w:val="clear" w:color="000000" w:fill="DCE6F1"/>
            <w:vAlign w:val="bottom"/>
            <w:hideMark/>
          </w:tcPr>
          <w:p w14:paraId="71EC1E2A" w14:textId="181CE485"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657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624</w:t>
            </w:r>
          </w:p>
        </w:tc>
        <w:tc>
          <w:tcPr>
            <w:tcW w:w="1256" w:type="dxa"/>
            <w:tcBorders>
              <w:top w:val="nil"/>
              <w:left w:val="nil"/>
              <w:bottom w:val="nil"/>
              <w:right w:val="nil"/>
            </w:tcBorders>
            <w:shd w:val="clear" w:color="000000" w:fill="DCE6F1"/>
            <w:vAlign w:val="bottom"/>
            <w:hideMark/>
          </w:tcPr>
          <w:p w14:paraId="0A4E3044"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6</w:t>
            </w:r>
          </w:p>
        </w:tc>
        <w:tc>
          <w:tcPr>
            <w:tcW w:w="1279" w:type="dxa"/>
            <w:tcBorders>
              <w:top w:val="nil"/>
              <w:left w:val="nil"/>
              <w:bottom w:val="nil"/>
              <w:right w:val="single" w:sz="4" w:space="0" w:color="auto"/>
            </w:tcBorders>
            <w:shd w:val="clear" w:color="000000" w:fill="DCE6F1"/>
            <w:vAlign w:val="bottom"/>
            <w:hideMark/>
          </w:tcPr>
          <w:p w14:paraId="749E4FAE" w14:textId="2CBDE09E"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628</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115</w:t>
            </w:r>
          </w:p>
        </w:tc>
        <w:tc>
          <w:tcPr>
            <w:tcW w:w="222" w:type="dxa"/>
            <w:tcBorders>
              <w:right w:val="single" w:sz="4" w:space="0" w:color="auto"/>
            </w:tcBorders>
            <w:vAlign w:val="center"/>
            <w:hideMark/>
          </w:tcPr>
          <w:p w14:paraId="7863C224" w14:textId="77777777" w:rsidR="00C31C24" w:rsidRPr="00226540" w:rsidRDefault="00C31C24" w:rsidP="00C31C24">
            <w:pPr>
              <w:spacing w:after="0" w:line="240" w:lineRule="auto"/>
              <w:jc w:val="left"/>
              <w:rPr>
                <w:noProof/>
                <w:sz w:val="18"/>
                <w:szCs w:val="18"/>
                <w:lang w:val="en-IE" w:eastAsia="en-IE"/>
              </w:rPr>
            </w:pPr>
          </w:p>
        </w:tc>
      </w:tr>
      <w:tr w:rsidR="00C31C24" w:rsidRPr="00226540" w14:paraId="413D69EF"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1315C427"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Italia</w:t>
            </w:r>
          </w:p>
        </w:tc>
        <w:tc>
          <w:tcPr>
            <w:tcW w:w="916" w:type="dxa"/>
            <w:tcBorders>
              <w:top w:val="nil"/>
              <w:left w:val="single" w:sz="4" w:space="0" w:color="auto"/>
              <w:bottom w:val="nil"/>
              <w:right w:val="nil"/>
            </w:tcBorders>
            <w:shd w:val="clear" w:color="000000" w:fill="FFFFFF"/>
            <w:vAlign w:val="bottom"/>
            <w:hideMark/>
          </w:tcPr>
          <w:p w14:paraId="4512C3C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10</w:t>
            </w:r>
          </w:p>
        </w:tc>
        <w:tc>
          <w:tcPr>
            <w:tcW w:w="1242" w:type="dxa"/>
            <w:tcBorders>
              <w:top w:val="nil"/>
              <w:left w:val="nil"/>
              <w:bottom w:val="nil"/>
              <w:right w:val="single" w:sz="4" w:space="0" w:color="auto"/>
            </w:tcBorders>
            <w:shd w:val="clear" w:color="000000" w:fill="FFFFFF"/>
            <w:vAlign w:val="bottom"/>
            <w:hideMark/>
          </w:tcPr>
          <w:p w14:paraId="7BED077F" w14:textId="6DA4A48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058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725</w:t>
            </w:r>
          </w:p>
        </w:tc>
        <w:tc>
          <w:tcPr>
            <w:tcW w:w="884" w:type="dxa"/>
            <w:tcBorders>
              <w:top w:val="nil"/>
              <w:left w:val="nil"/>
              <w:bottom w:val="nil"/>
              <w:right w:val="nil"/>
            </w:tcBorders>
            <w:shd w:val="clear" w:color="000000" w:fill="FFFFFF"/>
            <w:vAlign w:val="bottom"/>
            <w:hideMark/>
          </w:tcPr>
          <w:p w14:paraId="4F45966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p>
        </w:tc>
        <w:tc>
          <w:tcPr>
            <w:tcW w:w="1417" w:type="dxa"/>
            <w:tcBorders>
              <w:top w:val="nil"/>
              <w:left w:val="nil"/>
              <w:bottom w:val="nil"/>
              <w:right w:val="single" w:sz="4" w:space="0" w:color="auto"/>
            </w:tcBorders>
            <w:shd w:val="clear" w:color="000000" w:fill="FFFFFF"/>
            <w:vAlign w:val="bottom"/>
            <w:hideMark/>
          </w:tcPr>
          <w:p w14:paraId="3BA81CFA" w14:textId="608C005D"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727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293</w:t>
            </w:r>
          </w:p>
        </w:tc>
        <w:tc>
          <w:tcPr>
            <w:tcW w:w="709" w:type="dxa"/>
            <w:tcBorders>
              <w:top w:val="nil"/>
              <w:left w:val="nil"/>
              <w:bottom w:val="nil"/>
              <w:right w:val="nil"/>
            </w:tcBorders>
            <w:shd w:val="clear" w:color="000000" w:fill="FFFFFF"/>
            <w:vAlign w:val="bottom"/>
            <w:hideMark/>
          </w:tcPr>
          <w:p w14:paraId="3B6C6CB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4992EC9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248C17D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2D7BF7B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07DAE21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14</w:t>
            </w:r>
          </w:p>
        </w:tc>
        <w:tc>
          <w:tcPr>
            <w:tcW w:w="1399" w:type="dxa"/>
            <w:tcBorders>
              <w:top w:val="nil"/>
              <w:left w:val="nil"/>
              <w:bottom w:val="nil"/>
              <w:right w:val="single" w:sz="4" w:space="0" w:color="auto"/>
            </w:tcBorders>
            <w:shd w:val="clear" w:color="000000" w:fill="FFFFFF"/>
            <w:vAlign w:val="bottom"/>
            <w:hideMark/>
          </w:tcPr>
          <w:p w14:paraId="731FCE63" w14:textId="3892742B"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786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018</w:t>
            </w:r>
          </w:p>
        </w:tc>
        <w:tc>
          <w:tcPr>
            <w:tcW w:w="1256" w:type="dxa"/>
            <w:tcBorders>
              <w:top w:val="nil"/>
              <w:left w:val="nil"/>
              <w:bottom w:val="nil"/>
              <w:right w:val="nil"/>
            </w:tcBorders>
            <w:shd w:val="clear" w:color="000000" w:fill="FFFFFF"/>
            <w:vAlign w:val="bottom"/>
            <w:hideMark/>
          </w:tcPr>
          <w:p w14:paraId="263DA3DA"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19</w:t>
            </w:r>
          </w:p>
        </w:tc>
        <w:tc>
          <w:tcPr>
            <w:tcW w:w="1279" w:type="dxa"/>
            <w:tcBorders>
              <w:top w:val="nil"/>
              <w:left w:val="nil"/>
              <w:bottom w:val="nil"/>
              <w:right w:val="single" w:sz="4" w:space="0" w:color="auto"/>
            </w:tcBorders>
            <w:shd w:val="clear" w:color="000000" w:fill="FFFFFF"/>
            <w:vAlign w:val="bottom"/>
            <w:hideMark/>
          </w:tcPr>
          <w:p w14:paraId="25C3ADA6" w14:textId="35E2CFFC"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7</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171</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687</w:t>
            </w:r>
          </w:p>
        </w:tc>
        <w:tc>
          <w:tcPr>
            <w:tcW w:w="222" w:type="dxa"/>
            <w:tcBorders>
              <w:right w:val="single" w:sz="4" w:space="0" w:color="auto"/>
            </w:tcBorders>
            <w:vAlign w:val="center"/>
            <w:hideMark/>
          </w:tcPr>
          <w:p w14:paraId="5EE98FC5"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D2921A4"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6C15C8D8"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Kypros</w:t>
            </w:r>
          </w:p>
        </w:tc>
        <w:tc>
          <w:tcPr>
            <w:tcW w:w="916" w:type="dxa"/>
            <w:tcBorders>
              <w:top w:val="nil"/>
              <w:left w:val="single" w:sz="4" w:space="0" w:color="auto"/>
              <w:bottom w:val="nil"/>
              <w:right w:val="nil"/>
            </w:tcBorders>
            <w:shd w:val="clear" w:color="000000" w:fill="DCE6F1"/>
            <w:vAlign w:val="bottom"/>
            <w:hideMark/>
          </w:tcPr>
          <w:p w14:paraId="1AC6EA3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DCE6F1"/>
            <w:vAlign w:val="bottom"/>
            <w:hideMark/>
          </w:tcPr>
          <w:p w14:paraId="5C13776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DCE6F1"/>
            <w:vAlign w:val="bottom"/>
            <w:hideMark/>
          </w:tcPr>
          <w:p w14:paraId="71D7775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417" w:type="dxa"/>
            <w:tcBorders>
              <w:top w:val="nil"/>
              <w:left w:val="nil"/>
              <w:bottom w:val="nil"/>
              <w:right w:val="single" w:sz="4" w:space="0" w:color="auto"/>
            </w:tcBorders>
            <w:shd w:val="clear" w:color="000000" w:fill="DCE6F1"/>
            <w:vAlign w:val="bottom"/>
            <w:hideMark/>
          </w:tcPr>
          <w:p w14:paraId="720A19C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709" w:type="dxa"/>
            <w:tcBorders>
              <w:top w:val="nil"/>
              <w:left w:val="nil"/>
              <w:bottom w:val="nil"/>
              <w:right w:val="nil"/>
            </w:tcBorders>
            <w:shd w:val="clear" w:color="000000" w:fill="DCE6F1"/>
            <w:vAlign w:val="bottom"/>
            <w:hideMark/>
          </w:tcPr>
          <w:p w14:paraId="088C952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1443D91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09ECC10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5AB598F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03BACFE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399" w:type="dxa"/>
            <w:tcBorders>
              <w:top w:val="nil"/>
              <w:left w:val="nil"/>
              <w:bottom w:val="nil"/>
              <w:right w:val="single" w:sz="4" w:space="0" w:color="auto"/>
            </w:tcBorders>
            <w:shd w:val="clear" w:color="000000" w:fill="DCE6F1"/>
            <w:vAlign w:val="bottom"/>
            <w:hideMark/>
          </w:tcPr>
          <w:p w14:paraId="30C7321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56" w:type="dxa"/>
            <w:tcBorders>
              <w:top w:val="nil"/>
              <w:left w:val="nil"/>
              <w:bottom w:val="nil"/>
              <w:right w:val="nil"/>
            </w:tcBorders>
            <w:shd w:val="clear" w:color="000000" w:fill="DCE6F1"/>
            <w:vAlign w:val="bottom"/>
            <w:hideMark/>
          </w:tcPr>
          <w:p w14:paraId="64D8FC95"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7</w:t>
            </w:r>
          </w:p>
        </w:tc>
        <w:tc>
          <w:tcPr>
            <w:tcW w:w="1279" w:type="dxa"/>
            <w:tcBorders>
              <w:top w:val="nil"/>
              <w:left w:val="nil"/>
              <w:bottom w:val="nil"/>
              <w:right w:val="single" w:sz="4" w:space="0" w:color="auto"/>
            </w:tcBorders>
            <w:shd w:val="clear" w:color="000000" w:fill="DCE6F1"/>
            <w:vAlign w:val="bottom"/>
            <w:hideMark/>
          </w:tcPr>
          <w:p w14:paraId="735EDFBB" w14:textId="30D14D5D"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188</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692</w:t>
            </w:r>
          </w:p>
        </w:tc>
        <w:tc>
          <w:tcPr>
            <w:tcW w:w="222" w:type="dxa"/>
            <w:tcBorders>
              <w:right w:val="single" w:sz="4" w:space="0" w:color="auto"/>
            </w:tcBorders>
            <w:vAlign w:val="center"/>
            <w:hideMark/>
          </w:tcPr>
          <w:p w14:paraId="19B9EF97" w14:textId="77777777" w:rsidR="00C31C24" w:rsidRPr="00226540" w:rsidRDefault="00C31C24" w:rsidP="00C31C24">
            <w:pPr>
              <w:spacing w:after="0" w:line="240" w:lineRule="auto"/>
              <w:jc w:val="left"/>
              <w:rPr>
                <w:noProof/>
                <w:sz w:val="18"/>
                <w:szCs w:val="18"/>
                <w:lang w:val="en-IE" w:eastAsia="en-IE"/>
              </w:rPr>
            </w:pPr>
          </w:p>
        </w:tc>
      </w:tr>
      <w:tr w:rsidR="00C31C24" w:rsidRPr="00226540" w14:paraId="1ACA643A"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7DFC4360"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Latvija</w:t>
            </w:r>
          </w:p>
        </w:tc>
        <w:tc>
          <w:tcPr>
            <w:tcW w:w="916" w:type="dxa"/>
            <w:tcBorders>
              <w:top w:val="nil"/>
              <w:left w:val="single" w:sz="4" w:space="0" w:color="auto"/>
              <w:bottom w:val="nil"/>
              <w:right w:val="nil"/>
            </w:tcBorders>
            <w:shd w:val="clear" w:color="000000" w:fill="FFFFFF"/>
            <w:vAlign w:val="bottom"/>
            <w:hideMark/>
          </w:tcPr>
          <w:p w14:paraId="51B1BFE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w:t>
            </w:r>
          </w:p>
        </w:tc>
        <w:tc>
          <w:tcPr>
            <w:tcW w:w="1242" w:type="dxa"/>
            <w:tcBorders>
              <w:top w:val="nil"/>
              <w:left w:val="nil"/>
              <w:bottom w:val="nil"/>
              <w:right w:val="single" w:sz="4" w:space="0" w:color="auto"/>
            </w:tcBorders>
            <w:shd w:val="clear" w:color="000000" w:fill="FFFFFF"/>
            <w:vAlign w:val="bottom"/>
            <w:hideMark/>
          </w:tcPr>
          <w:p w14:paraId="2B1C98ED" w14:textId="3B180378"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75</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232</w:t>
            </w:r>
          </w:p>
        </w:tc>
        <w:tc>
          <w:tcPr>
            <w:tcW w:w="884" w:type="dxa"/>
            <w:tcBorders>
              <w:top w:val="nil"/>
              <w:left w:val="nil"/>
              <w:bottom w:val="nil"/>
              <w:right w:val="nil"/>
            </w:tcBorders>
            <w:shd w:val="clear" w:color="000000" w:fill="FFFFFF"/>
            <w:vAlign w:val="bottom"/>
            <w:hideMark/>
          </w:tcPr>
          <w:p w14:paraId="03238DE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w:t>
            </w:r>
          </w:p>
        </w:tc>
        <w:tc>
          <w:tcPr>
            <w:tcW w:w="1417" w:type="dxa"/>
            <w:tcBorders>
              <w:top w:val="nil"/>
              <w:left w:val="nil"/>
              <w:bottom w:val="nil"/>
              <w:right w:val="single" w:sz="4" w:space="0" w:color="auto"/>
            </w:tcBorders>
            <w:shd w:val="clear" w:color="000000" w:fill="FFFFFF"/>
            <w:vAlign w:val="bottom"/>
            <w:hideMark/>
          </w:tcPr>
          <w:p w14:paraId="060857B3" w14:textId="6650AC5F"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878</w:t>
            </w:r>
          </w:p>
        </w:tc>
        <w:tc>
          <w:tcPr>
            <w:tcW w:w="709" w:type="dxa"/>
            <w:tcBorders>
              <w:top w:val="nil"/>
              <w:left w:val="nil"/>
              <w:bottom w:val="nil"/>
              <w:right w:val="nil"/>
            </w:tcBorders>
            <w:shd w:val="clear" w:color="000000" w:fill="FFFFFF"/>
            <w:vAlign w:val="bottom"/>
            <w:hideMark/>
          </w:tcPr>
          <w:p w14:paraId="0919340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26ED3A9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75ED5F7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2E743C6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3C3E5C7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p>
        </w:tc>
        <w:tc>
          <w:tcPr>
            <w:tcW w:w="1399" w:type="dxa"/>
            <w:tcBorders>
              <w:top w:val="nil"/>
              <w:left w:val="nil"/>
              <w:bottom w:val="nil"/>
              <w:right w:val="single" w:sz="4" w:space="0" w:color="auto"/>
            </w:tcBorders>
            <w:shd w:val="clear" w:color="000000" w:fill="FFFFFF"/>
            <w:vAlign w:val="bottom"/>
            <w:hideMark/>
          </w:tcPr>
          <w:p w14:paraId="3F6D1BCA" w14:textId="372B5772"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135</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110</w:t>
            </w:r>
          </w:p>
        </w:tc>
        <w:tc>
          <w:tcPr>
            <w:tcW w:w="1256" w:type="dxa"/>
            <w:tcBorders>
              <w:top w:val="nil"/>
              <w:left w:val="nil"/>
              <w:bottom w:val="nil"/>
              <w:right w:val="nil"/>
            </w:tcBorders>
            <w:shd w:val="clear" w:color="000000" w:fill="FFFFFF"/>
            <w:vAlign w:val="bottom"/>
            <w:hideMark/>
          </w:tcPr>
          <w:p w14:paraId="57CFEBD3"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1279" w:type="dxa"/>
            <w:tcBorders>
              <w:top w:val="nil"/>
              <w:left w:val="nil"/>
              <w:bottom w:val="nil"/>
              <w:right w:val="single" w:sz="4" w:space="0" w:color="auto"/>
            </w:tcBorders>
            <w:shd w:val="clear" w:color="000000" w:fill="FFFFFF"/>
            <w:vAlign w:val="bottom"/>
            <w:hideMark/>
          </w:tcPr>
          <w:p w14:paraId="5E96D684"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222" w:type="dxa"/>
            <w:tcBorders>
              <w:right w:val="single" w:sz="4" w:space="0" w:color="auto"/>
            </w:tcBorders>
            <w:vAlign w:val="center"/>
            <w:hideMark/>
          </w:tcPr>
          <w:p w14:paraId="5BB07020" w14:textId="77777777" w:rsidR="00C31C24" w:rsidRPr="00226540" w:rsidRDefault="00C31C24" w:rsidP="00C31C24">
            <w:pPr>
              <w:spacing w:after="0" w:line="240" w:lineRule="auto"/>
              <w:jc w:val="left"/>
              <w:rPr>
                <w:noProof/>
                <w:sz w:val="18"/>
                <w:szCs w:val="18"/>
                <w:lang w:val="en-IE" w:eastAsia="en-IE"/>
              </w:rPr>
            </w:pPr>
          </w:p>
        </w:tc>
      </w:tr>
      <w:tr w:rsidR="00C31C24" w:rsidRPr="00226540" w14:paraId="17444A71"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6173CE6C"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Lietuva</w:t>
            </w:r>
          </w:p>
        </w:tc>
        <w:tc>
          <w:tcPr>
            <w:tcW w:w="916" w:type="dxa"/>
            <w:tcBorders>
              <w:top w:val="nil"/>
              <w:left w:val="single" w:sz="4" w:space="0" w:color="auto"/>
              <w:bottom w:val="nil"/>
              <w:right w:val="nil"/>
            </w:tcBorders>
            <w:shd w:val="clear" w:color="000000" w:fill="DCE6F1"/>
            <w:vAlign w:val="bottom"/>
            <w:hideMark/>
          </w:tcPr>
          <w:p w14:paraId="32C2FEC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15</w:t>
            </w:r>
          </w:p>
        </w:tc>
        <w:tc>
          <w:tcPr>
            <w:tcW w:w="1242" w:type="dxa"/>
            <w:tcBorders>
              <w:top w:val="nil"/>
              <w:left w:val="nil"/>
              <w:bottom w:val="nil"/>
              <w:right w:val="single" w:sz="4" w:space="0" w:color="auto"/>
            </w:tcBorders>
            <w:shd w:val="clear" w:color="000000" w:fill="DCE6F1"/>
            <w:vAlign w:val="bottom"/>
            <w:hideMark/>
          </w:tcPr>
          <w:p w14:paraId="7DB496DE" w14:textId="200EAD26"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946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157</w:t>
            </w:r>
          </w:p>
        </w:tc>
        <w:tc>
          <w:tcPr>
            <w:tcW w:w="884" w:type="dxa"/>
            <w:tcBorders>
              <w:top w:val="nil"/>
              <w:left w:val="nil"/>
              <w:bottom w:val="nil"/>
              <w:right w:val="nil"/>
            </w:tcBorders>
            <w:shd w:val="clear" w:color="000000" w:fill="DCE6F1"/>
            <w:vAlign w:val="bottom"/>
            <w:hideMark/>
          </w:tcPr>
          <w:p w14:paraId="140CB18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417" w:type="dxa"/>
            <w:tcBorders>
              <w:top w:val="nil"/>
              <w:left w:val="nil"/>
              <w:bottom w:val="nil"/>
              <w:right w:val="single" w:sz="4" w:space="0" w:color="auto"/>
            </w:tcBorders>
            <w:shd w:val="clear" w:color="000000" w:fill="DCE6F1"/>
            <w:vAlign w:val="bottom"/>
            <w:hideMark/>
          </w:tcPr>
          <w:p w14:paraId="4603F4B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709" w:type="dxa"/>
            <w:tcBorders>
              <w:top w:val="nil"/>
              <w:left w:val="nil"/>
              <w:bottom w:val="nil"/>
              <w:right w:val="nil"/>
            </w:tcBorders>
            <w:shd w:val="clear" w:color="000000" w:fill="DCE6F1"/>
            <w:vAlign w:val="bottom"/>
            <w:hideMark/>
          </w:tcPr>
          <w:p w14:paraId="20D0EF4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0A78FB0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5E42C26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422A117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62EBCBD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15</w:t>
            </w:r>
          </w:p>
        </w:tc>
        <w:tc>
          <w:tcPr>
            <w:tcW w:w="1399" w:type="dxa"/>
            <w:tcBorders>
              <w:top w:val="nil"/>
              <w:left w:val="nil"/>
              <w:bottom w:val="nil"/>
              <w:right w:val="single" w:sz="4" w:space="0" w:color="auto"/>
            </w:tcBorders>
            <w:shd w:val="clear" w:color="000000" w:fill="DCE6F1"/>
            <w:vAlign w:val="bottom"/>
            <w:hideMark/>
          </w:tcPr>
          <w:p w14:paraId="0AF8660E" w14:textId="432DBD5C"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946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157</w:t>
            </w:r>
          </w:p>
        </w:tc>
        <w:tc>
          <w:tcPr>
            <w:tcW w:w="1256" w:type="dxa"/>
            <w:tcBorders>
              <w:top w:val="nil"/>
              <w:left w:val="nil"/>
              <w:bottom w:val="nil"/>
              <w:right w:val="nil"/>
            </w:tcBorders>
            <w:shd w:val="clear" w:color="000000" w:fill="DCE6F1"/>
            <w:vAlign w:val="bottom"/>
            <w:hideMark/>
          </w:tcPr>
          <w:p w14:paraId="766FE439"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18</w:t>
            </w:r>
          </w:p>
        </w:tc>
        <w:tc>
          <w:tcPr>
            <w:tcW w:w="1279" w:type="dxa"/>
            <w:tcBorders>
              <w:top w:val="nil"/>
              <w:left w:val="nil"/>
              <w:bottom w:val="nil"/>
              <w:right w:val="single" w:sz="4" w:space="0" w:color="auto"/>
            </w:tcBorders>
            <w:shd w:val="clear" w:color="000000" w:fill="DCE6F1"/>
            <w:vAlign w:val="bottom"/>
            <w:hideMark/>
          </w:tcPr>
          <w:p w14:paraId="3D93674D" w14:textId="3E59315A"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470</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847</w:t>
            </w:r>
          </w:p>
        </w:tc>
        <w:tc>
          <w:tcPr>
            <w:tcW w:w="222" w:type="dxa"/>
            <w:tcBorders>
              <w:right w:val="single" w:sz="4" w:space="0" w:color="auto"/>
            </w:tcBorders>
            <w:vAlign w:val="center"/>
            <w:hideMark/>
          </w:tcPr>
          <w:p w14:paraId="5AEED3E8" w14:textId="77777777" w:rsidR="00C31C24" w:rsidRPr="00226540" w:rsidRDefault="00C31C24" w:rsidP="00C31C24">
            <w:pPr>
              <w:spacing w:after="0" w:line="240" w:lineRule="auto"/>
              <w:jc w:val="left"/>
              <w:rPr>
                <w:noProof/>
                <w:sz w:val="18"/>
                <w:szCs w:val="18"/>
                <w:lang w:val="en-IE" w:eastAsia="en-IE"/>
              </w:rPr>
            </w:pPr>
          </w:p>
        </w:tc>
      </w:tr>
      <w:tr w:rsidR="00C31C24" w:rsidRPr="00226540" w14:paraId="7B004298"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31E89EC1"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Luxembourg</w:t>
            </w:r>
          </w:p>
        </w:tc>
        <w:tc>
          <w:tcPr>
            <w:tcW w:w="916" w:type="dxa"/>
            <w:tcBorders>
              <w:top w:val="nil"/>
              <w:left w:val="single" w:sz="4" w:space="0" w:color="auto"/>
              <w:bottom w:val="nil"/>
              <w:right w:val="nil"/>
            </w:tcBorders>
            <w:shd w:val="clear" w:color="000000" w:fill="FFFFFF"/>
            <w:vAlign w:val="bottom"/>
            <w:hideMark/>
          </w:tcPr>
          <w:p w14:paraId="441F137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FFFFFF"/>
            <w:vAlign w:val="bottom"/>
            <w:hideMark/>
          </w:tcPr>
          <w:p w14:paraId="773A0B9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FFFFFF"/>
            <w:vAlign w:val="bottom"/>
            <w:hideMark/>
          </w:tcPr>
          <w:p w14:paraId="08DBF13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417" w:type="dxa"/>
            <w:tcBorders>
              <w:top w:val="nil"/>
              <w:left w:val="nil"/>
              <w:bottom w:val="nil"/>
              <w:right w:val="single" w:sz="4" w:space="0" w:color="auto"/>
            </w:tcBorders>
            <w:shd w:val="clear" w:color="000000" w:fill="FFFFFF"/>
            <w:vAlign w:val="bottom"/>
            <w:hideMark/>
          </w:tcPr>
          <w:p w14:paraId="78C1453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709" w:type="dxa"/>
            <w:tcBorders>
              <w:top w:val="nil"/>
              <w:left w:val="nil"/>
              <w:bottom w:val="nil"/>
              <w:right w:val="nil"/>
            </w:tcBorders>
            <w:shd w:val="clear" w:color="000000" w:fill="FFFFFF"/>
            <w:vAlign w:val="bottom"/>
            <w:hideMark/>
          </w:tcPr>
          <w:p w14:paraId="298902F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0844336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3B7580B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25D7B51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5F4AE73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399" w:type="dxa"/>
            <w:tcBorders>
              <w:top w:val="nil"/>
              <w:left w:val="nil"/>
              <w:bottom w:val="nil"/>
              <w:right w:val="single" w:sz="4" w:space="0" w:color="auto"/>
            </w:tcBorders>
            <w:shd w:val="clear" w:color="000000" w:fill="FFFFFF"/>
            <w:vAlign w:val="bottom"/>
            <w:hideMark/>
          </w:tcPr>
          <w:p w14:paraId="5794AA6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56" w:type="dxa"/>
            <w:tcBorders>
              <w:top w:val="nil"/>
              <w:left w:val="nil"/>
              <w:bottom w:val="nil"/>
              <w:right w:val="nil"/>
            </w:tcBorders>
            <w:shd w:val="clear" w:color="000000" w:fill="FFFFFF"/>
            <w:vAlign w:val="bottom"/>
            <w:hideMark/>
          </w:tcPr>
          <w:p w14:paraId="7D5A1C90"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1279" w:type="dxa"/>
            <w:tcBorders>
              <w:top w:val="nil"/>
              <w:left w:val="nil"/>
              <w:bottom w:val="nil"/>
              <w:right w:val="single" w:sz="4" w:space="0" w:color="auto"/>
            </w:tcBorders>
            <w:shd w:val="clear" w:color="000000" w:fill="FFFFFF"/>
            <w:vAlign w:val="bottom"/>
            <w:hideMark/>
          </w:tcPr>
          <w:p w14:paraId="0506B6C7"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222" w:type="dxa"/>
            <w:tcBorders>
              <w:right w:val="single" w:sz="4" w:space="0" w:color="auto"/>
            </w:tcBorders>
            <w:vAlign w:val="center"/>
            <w:hideMark/>
          </w:tcPr>
          <w:p w14:paraId="6D9EAA83" w14:textId="77777777" w:rsidR="00C31C24" w:rsidRPr="00226540" w:rsidRDefault="00C31C24" w:rsidP="00C31C24">
            <w:pPr>
              <w:spacing w:after="0" w:line="240" w:lineRule="auto"/>
              <w:jc w:val="left"/>
              <w:rPr>
                <w:noProof/>
                <w:sz w:val="18"/>
                <w:szCs w:val="18"/>
                <w:lang w:val="en-IE" w:eastAsia="en-IE"/>
              </w:rPr>
            </w:pPr>
          </w:p>
        </w:tc>
      </w:tr>
      <w:tr w:rsidR="00C31C24" w:rsidRPr="00226540" w14:paraId="34F7F845"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5407CDB5"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Magyarország</w:t>
            </w:r>
          </w:p>
        </w:tc>
        <w:tc>
          <w:tcPr>
            <w:tcW w:w="916" w:type="dxa"/>
            <w:tcBorders>
              <w:top w:val="nil"/>
              <w:left w:val="single" w:sz="4" w:space="0" w:color="auto"/>
              <w:bottom w:val="nil"/>
              <w:right w:val="nil"/>
            </w:tcBorders>
            <w:shd w:val="clear" w:color="000000" w:fill="DCE6F1"/>
            <w:vAlign w:val="bottom"/>
            <w:hideMark/>
          </w:tcPr>
          <w:p w14:paraId="4A6B88C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9</w:t>
            </w:r>
          </w:p>
        </w:tc>
        <w:tc>
          <w:tcPr>
            <w:tcW w:w="1242" w:type="dxa"/>
            <w:tcBorders>
              <w:top w:val="nil"/>
              <w:left w:val="nil"/>
              <w:bottom w:val="nil"/>
              <w:right w:val="single" w:sz="4" w:space="0" w:color="auto"/>
            </w:tcBorders>
            <w:shd w:val="clear" w:color="000000" w:fill="DCE6F1"/>
            <w:vAlign w:val="bottom"/>
            <w:hideMark/>
          </w:tcPr>
          <w:p w14:paraId="1A6ADC9D" w14:textId="7D537322"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437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498</w:t>
            </w:r>
          </w:p>
        </w:tc>
        <w:tc>
          <w:tcPr>
            <w:tcW w:w="884" w:type="dxa"/>
            <w:tcBorders>
              <w:top w:val="nil"/>
              <w:left w:val="nil"/>
              <w:bottom w:val="nil"/>
              <w:right w:val="nil"/>
            </w:tcBorders>
            <w:shd w:val="clear" w:color="000000" w:fill="DCE6F1"/>
            <w:vAlign w:val="bottom"/>
            <w:hideMark/>
          </w:tcPr>
          <w:p w14:paraId="109E2DD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18</w:t>
            </w:r>
          </w:p>
        </w:tc>
        <w:tc>
          <w:tcPr>
            <w:tcW w:w="1417" w:type="dxa"/>
            <w:tcBorders>
              <w:top w:val="nil"/>
              <w:left w:val="nil"/>
              <w:bottom w:val="nil"/>
              <w:right w:val="single" w:sz="4" w:space="0" w:color="auto"/>
            </w:tcBorders>
            <w:shd w:val="clear" w:color="000000" w:fill="DCE6F1"/>
            <w:vAlign w:val="bottom"/>
            <w:hideMark/>
          </w:tcPr>
          <w:p w14:paraId="1F51F497" w14:textId="5BA3A722"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451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147</w:t>
            </w:r>
          </w:p>
        </w:tc>
        <w:tc>
          <w:tcPr>
            <w:tcW w:w="709" w:type="dxa"/>
            <w:tcBorders>
              <w:top w:val="nil"/>
              <w:left w:val="nil"/>
              <w:bottom w:val="nil"/>
              <w:right w:val="nil"/>
            </w:tcBorders>
            <w:shd w:val="clear" w:color="000000" w:fill="DCE6F1"/>
            <w:vAlign w:val="bottom"/>
            <w:hideMark/>
          </w:tcPr>
          <w:p w14:paraId="26210A0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5C8A080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3662E6C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0B3D6D1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4E8FCA2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27</w:t>
            </w:r>
          </w:p>
        </w:tc>
        <w:tc>
          <w:tcPr>
            <w:tcW w:w="1399" w:type="dxa"/>
            <w:tcBorders>
              <w:top w:val="nil"/>
              <w:left w:val="nil"/>
              <w:bottom w:val="nil"/>
              <w:right w:val="single" w:sz="4" w:space="0" w:color="auto"/>
            </w:tcBorders>
            <w:shd w:val="clear" w:color="000000" w:fill="DCE6F1"/>
            <w:vAlign w:val="bottom"/>
            <w:hideMark/>
          </w:tcPr>
          <w:p w14:paraId="7D4BF59D" w14:textId="199848AD"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888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645</w:t>
            </w:r>
          </w:p>
        </w:tc>
        <w:tc>
          <w:tcPr>
            <w:tcW w:w="1256" w:type="dxa"/>
            <w:tcBorders>
              <w:top w:val="nil"/>
              <w:left w:val="nil"/>
              <w:bottom w:val="nil"/>
              <w:right w:val="nil"/>
            </w:tcBorders>
            <w:shd w:val="clear" w:color="000000" w:fill="DCE6F1"/>
            <w:vAlign w:val="bottom"/>
            <w:hideMark/>
          </w:tcPr>
          <w:p w14:paraId="661A7CFF"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3</w:t>
            </w:r>
          </w:p>
        </w:tc>
        <w:tc>
          <w:tcPr>
            <w:tcW w:w="1279" w:type="dxa"/>
            <w:tcBorders>
              <w:top w:val="nil"/>
              <w:left w:val="nil"/>
              <w:bottom w:val="nil"/>
              <w:right w:val="single" w:sz="4" w:space="0" w:color="auto"/>
            </w:tcBorders>
            <w:shd w:val="clear" w:color="000000" w:fill="DCE6F1"/>
            <w:vAlign w:val="bottom"/>
            <w:hideMark/>
          </w:tcPr>
          <w:p w14:paraId="213A314F" w14:textId="7306F966"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394</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768</w:t>
            </w:r>
          </w:p>
        </w:tc>
        <w:tc>
          <w:tcPr>
            <w:tcW w:w="222" w:type="dxa"/>
            <w:tcBorders>
              <w:right w:val="single" w:sz="4" w:space="0" w:color="auto"/>
            </w:tcBorders>
            <w:vAlign w:val="center"/>
            <w:hideMark/>
          </w:tcPr>
          <w:p w14:paraId="5082620A"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8165E77"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27FC325B"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Malta</w:t>
            </w:r>
          </w:p>
        </w:tc>
        <w:tc>
          <w:tcPr>
            <w:tcW w:w="916" w:type="dxa"/>
            <w:tcBorders>
              <w:top w:val="nil"/>
              <w:left w:val="single" w:sz="4" w:space="0" w:color="auto"/>
              <w:bottom w:val="nil"/>
              <w:right w:val="nil"/>
            </w:tcBorders>
            <w:shd w:val="clear" w:color="000000" w:fill="FFFFFF"/>
            <w:vAlign w:val="bottom"/>
            <w:hideMark/>
          </w:tcPr>
          <w:p w14:paraId="112484E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FFFFFF"/>
            <w:vAlign w:val="bottom"/>
            <w:hideMark/>
          </w:tcPr>
          <w:p w14:paraId="410A91F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FFFFFF"/>
            <w:vAlign w:val="bottom"/>
            <w:hideMark/>
          </w:tcPr>
          <w:p w14:paraId="4D8D9B1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417" w:type="dxa"/>
            <w:tcBorders>
              <w:top w:val="nil"/>
              <w:left w:val="nil"/>
              <w:bottom w:val="nil"/>
              <w:right w:val="single" w:sz="4" w:space="0" w:color="auto"/>
            </w:tcBorders>
            <w:shd w:val="clear" w:color="000000" w:fill="FFFFFF"/>
            <w:vAlign w:val="bottom"/>
            <w:hideMark/>
          </w:tcPr>
          <w:p w14:paraId="4C83F20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709" w:type="dxa"/>
            <w:tcBorders>
              <w:top w:val="nil"/>
              <w:left w:val="nil"/>
              <w:bottom w:val="nil"/>
              <w:right w:val="nil"/>
            </w:tcBorders>
            <w:shd w:val="clear" w:color="000000" w:fill="FFFFFF"/>
            <w:vAlign w:val="bottom"/>
            <w:hideMark/>
          </w:tcPr>
          <w:p w14:paraId="7CE928F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17D4B86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56B36E9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3CA62D2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4E2042D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399" w:type="dxa"/>
            <w:tcBorders>
              <w:top w:val="nil"/>
              <w:left w:val="nil"/>
              <w:bottom w:val="nil"/>
              <w:right w:val="single" w:sz="4" w:space="0" w:color="auto"/>
            </w:tcBorders>
            <w:shd w:val="clear" w:color="000000" w:fill="FFFFFF"/>
            <w:vAlign w:val="bottom"/>
            <w:hideMark/>
          </w:tcPr>
          <w:p w14:paraId="46B1C32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56" w:type="dxa"/>
            <w:tcBorders>
              <w:top w:val="nil"/>
              <w:left w:val="nil"/>
              <w:bottom w:val="nil"/>
              <w:right w:val="nil"/>
            </w:tcBorders>
            <w:shd w:val="clear" w:color="000000" w:fill="FFFFFF"/>
            <w:vAlign w:val="bottom"/>
            <w:hideMark/>
          </w:tcPr>
          <w:p w14:paraId="2C983863"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1279" w:type="dxa"/>
            <w:tcBorders>
              <w:top w:val="nil"/>
              <w:left w:val="nil"/>
              <w:bottom w:val="nil"/>
              <w:right w:val="single" w:sz="4" w:space="0" w:color="auto"/>
            </w:tcBorders>
            <w:shd w:val="clear" w:color="000000" w:fill="FFFFFF"/>
            <w:vAlign w:val="bottom"/>
            <w:hideMark/>
          </w:tcPr>
          <w:p w14:paraId="66B7EE8D"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222" w:type="dxa"/>
            <w:tcBorders>
              <w:right w:val="single" w:sz="4" w:space="0" w:color="auto"/>
            </w:tcBorders>
            <w:vAlign w:val="center"/>
            <w:hideMark/>
          </w:tcPr>
          <w:p w14:paraId="39478717" w14:textId="77777777" w:rsidR="00C31C24" w:rsidRPr="00226540" w:rsidRDefault="00C31C24" w:rsidP="00C31C24">
            <w:pPr>
              <w:spacing w:after="0" w:line="240" w:lineRule="auto"/>
              <w:jc w:val="left"/>
              <w:rPr>
                <w:noProof/>
                <w:sz w:val="18"/>
                <w:szCs w:val="18"/>
                <w:lang w:val="en-IE" w:eastAsia="en-IE"/>
              </w:rPr>
            </w:pPr>
          </w:p>
        </w:tc>
      </w:tr>
      <w:tr w:rsidR="00C31C24" w:rsidRPr="00226540" w14:paraId="57E02E83"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5D32BE4A"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Nederland</w:t>
            </w:r>
          </w:p>
        </w:tc>
        <w:tc>
          <w:tcPr>
            <w:tcW w:w="916" w:type="dxa"/>
            <w:tcBorders>
              <w:top w:val="nil"/>
              <w:left w:val="single" w:sz="4" w:space="0" w:color="auto"/>
              <w:bottom w:val="nil"/>
              <w:right w:val="nil"/>
            </w:tcBorders>
            <w:shd w:val="clear" w:color="000000" w:fill="DCE6F1"/>
            <w:vAlign w:val="bottom"/>
            <w:hideMark/>
          </w:tcPr>
          <w:p w14:paraId="7EBB0C8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83</w:t>
            </w:r>
          </w:p>
        </w:tc>
        <w:tc>
          <w:tcPr>
            <w:tcW w:w="1242" w:type="dxa"/>
            <w:tcBorders>
              <w:top w:val="nil"/>
              <w:left w:val="nil"/>
              <w:bottom w:val="nil"/>
              <w:right w:val="single" w:sz="4" w:space="0" w:color="auto"/>
            </w:tcBorders>
            <w:shd w:val="clear" w:color="000000" w:fill="DCE6F1"/>
            <w:vAlign w:val="bottom"/>
            <w:hideMark/>
          </w:tcPr>
          <w:p w14:paraId="68DC633E" w14:textId="60BEDE0C"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940</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979</w:t>
            </w:r>
          </w:p>
        </w:tc>
        <w:tc>
          <w:tcPr>
            <w:tcW w:w="884" w:type="dxa"/>
            <w:tcBorders>
              <w:top w:val="nil"/>
              <w:left w:val="nil"/>
              <w:bottom w:val="nil"/>
              <w:right w:val="nil"/>
            </w:tcBorders>
            <w:shd w:val="clear" w:color="000000" w:fill="DCE6F1"/>
            <w:vAlign w:val="bottom"/>
            <w:hideMark/>
          </w:tcPr>
          <w:p w14:paraId="69D8376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417" w:type="dxa"/>
            <w:tcBorders>
              <w:top w:val="nil"/>
              <w:left w:val="nil"/>
              <w:bottom w:val="nil"/>
              <w:right w:val="single" w:sz="4" w:space="0" w:color="auto"/>
            </w:tcBorders>
            <w:shd w:val="clear" w:color="000000" w:fill="DCE6F1"/>
            <w:vAlign w:val="bottom"/>
            <w:hideMark/>
          </w:tcPr>
          <w:p w14:paraId="26D1A01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709" w:type="dxa"/>
            <w:tcBorders>
              <w:top w:val="nil"/>
              <w:left w:val="nil"/>
              <w:bottom w:val="nil"/>
              <w:right w:val="nil"/>
            </w:tcBorders>
            <w:shd w:val="clear" w:color="000000" w:fill="DCE6F1"/>
            <w:vAlign w:val="bottom"/>
            <w:hideMark/>
          </w:tcPr>
          <w:p w14:paraId="52F7650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77EA984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7DDFB4A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0A21553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3BCDDE0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83</w:t>
            </w:r>
          </w:p>
        </w:tc>
        <w:tc>
          <w:tcPr>
            <w:tcW w:w="1399" w:type="dxa"/>
            <w:tcBorders>
              <w:top w:val="nil"/>
              <w:left w:val="nil"/>
              <w:bottom w:val="nil"/>
              <w:right w:val="single" w:sz="4" w:space="0" w:color="auto"/>
            </w:tcBorders>
            <w:shd w:val="clear" w:color="000000" w:fill="DCE6F1"/>
            <w:vAlign w:val="bottom"/>
            <w:hideMark/>
          </w:tcPr>
          <w:p w14:paraId="63CC0A09" w14:textId="2319D529"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940</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979</w:t>
            </w:r>
          </w:p>
        </w:tc>
        <w:tc>
          <w:tcPr>
            <w:tcW w:w="1256" w:type="dxa"/>
            <w:tcBorders>
              <w:top w:val="nil"/>
              <w:left w:val="nil"/>
              <w:bottom w:val="nil"/>
              <w:right w:val="nil"/>
            </w:tcBorders>
            <w:shd w:val="clear" w:color="000000" w:fill="DCE6F1"/>
            <w:vAlign w:val="bottom"/>
            <w:hideMark/>
          </w:tcPr>
          <w:p w14:paraId="25A9E465"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1279" w:type="dxa"/>
            <w:tcBorders>
              <w:top w:val="nil"/>
              <w:left w:val="nil"/>
              <w:bottom w:val="nil"/>
              <w:right w:val="single" w:sz="4" w:space="0" w:color="auto"/>
            </w:tcBorders>
            <w:shd w:val="clear" w:color="000000" w:fill="DCE6F1"/>
            <w:vAlign w:val="bottom"/>
            <w:hideMark/>
          </w:tcPr>
          <w:p w14:paraId="01ABCA77"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222" w:type="dxa"/>
            <w:tcBorders>
              <w:right w:val="single" w:sz="4" w:space="0" w:color="auto"/>
            </w:tcBorders>
            <w:vAlign w:val="center"/>
            <w:hideMark/>
          </w:tcPr>
          <w:p w14:paraId="3682ED8E" w14:textId="77777777" w:rsidR="00C31C24" w:rsidRPr="00226540" w:rsidRDefault="00C31C24" w:rsidP="00C31C24">
            <w:pPr>
              <w:spacing w:after="0" w:line="240" w:lineRule="auto"/>
              <w:jc w:val="left"/>
              <w:rPr>
                <w:noProof/>
                <w:sz w:val="18"/>
                <w:szCs w:val="18"/>
                <w:lang w:val="en-IE" w:eastAsia="en-IE"/>
              </w:rPr>
            </w:pPr>
          </w:p>
        </w:tc>
      </w:tr>
      <w:tr w:rsidR="00C31C24" w:rsidRPr="00226540" w14:paraId="33006CD6"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4E6544D6"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Österreich</w:t>
            </w:r>
          </w:p>
        </w:tc>
        <w:tc>
          <w:tcPr>
            <w:tcW w:w="916" w:type="dxa"/>
            <w:tcBorders>
              <w:top w:val="nil"/>
              <w:left w:val="single" w:sz="4" w:space="0" w:color="auto"/>
              <w:bottom w:val="nil"/>
              <w:right w:val="nil"/>
            </w:tcBorders>
            <w:shd w:val="clear" w:color="000000" w:fill="FFFFFF"/>
            <w:vAlign w:val="bottom"/>
            <w:hideMark/>
          </w:tcPr>
          <w:p w14:paraId="1E0E992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FFFFFF"/>
            <w:vAlign w:val="bottom"/>
            <w:hideMark/>
          </w:tcPr>
          <w:p w14:paraId="3115B3E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FFFFFF"/>
            <w:vAlign w:val="bottom"/>
            <w:hideMark/>
          </w:tcPr>
          <w:p w14:paraId="28A4474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w:t>
            </w:r>
          </w:p>
        </w:tc>
        <w:tc>
          <w:tcPr>
            <w:tcW w:w="1417" w:type="dxa"/>
            <w:tcBorders>
              <w:top w:val="nil"/>
              <w:left w:val="nil"/>
              <w:bottom w:val="nil"/>
              <w:right w:val="single" w:sz="4" w:space="0" w:color="auto"/>
            </w:tcBorders>
            <w:shd w:val="clear" w:color="000000" w:fill="FFFFFF"/>
            <w:vAlign w:val="bottom"/>
            <w:hideMark/>
          </w:tcPr>
          <w:p w14:paraId="414ED013" w14:textId="6F32500F"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049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835</w:t>
            </w:r>
          </w:p>
        </w:tc>
        <w:tc>
          <w:tcPr>
            <w:tcW w:w="709" w:type="dxa"/>
            <w:tcBorders>
              <w:top w:val="nil"/>
              <w:left w:val="nil"/>
              <w:bottom w:val="nil"/>
              <w:right w:val="nil"/>
            </w:tcBorders>
            <w:shd w:val="clear" w:color="000000" w:fill="FFFFFF"/>
            <w:vAlign w:val="bottom"/>
            <w:hideMark/>
          </w:tcPr>
          <w:p w14:paraId="0791309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6802A3F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485A208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449E283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027AA68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w:t>
            </w:r>
          </w:p>
        </w:tc>
        <w:tc>
          <w:tcPr>
            <w:tcW w:w="1399" w:type="dxa"/>
            <w:tcBorders>
              <w:top w:val="nil"/>
              <w:left w:val="nil"/>
              <w:bottom w:val="nil"/>
              <w:right w:val="single" w:sz="4" w:space="0" w:color="auto"/>
            </w:tcBorders>
            <w:shd w:val="clear" w:color="000000" w:fill="FFFFFF"/>
            <w:vAlign w:val="bottom"/>
            <w:hideMark/>
          </w:tcPr>
          <w:p w14:paraId="3653078C" w14:textId="72F21BBB"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049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835</w:t>
            </w:r>
          </w:p>
        </w:tc>
        <w:tc>
          <w:tcPr>
            <w:tcW w:w="1256" w:type="dxa"/>
            <w:tcBorders>
              <w:top w:val="nil"/>
              <w:left w:val="nil"/>
              <w:bottom w:val="nil"/>
              <w:right w:val="nil"/>
            </w:tcBorders>
            <w:shd w:val="clear" w:color="000000" w:fill="FFFFFF"/>
            <w:vAlign w:val="bottom"/>
            <w:hideMark/>
          </w:tcPr>
          <w:p w14:paraId="2A55476D"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8</w:t>
            </w:r>
          </w:p>
        </w:tc>
        <w:tc>
          <w:tcPr>
            <w:tcW w:w="1279" w:type="dxa"/>
            <w:tcBorders>
              <w:top w:val="nil"/>
              <w:left w:val="nil"/>
              <w:bottom w:val="nil"/>
              <w:right w:val="single" w:sz="4" w:space="0" w:color="auto"/>
            </w:tcBorders>
            <w:shd w:val="clear" w:color="000000" w:fill="FFFFFF"/>
            <w:vAlign w:val="bottom"/>
            <w:hideMark/>
          </w:tcPr>
          <w:p w14:paraId="24A1E89B" w14:textId="371A885B"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479</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396</w:t>
            </w:r>
          </w:p>
        </w:tc>
        <w:tc>
          <w:tcPr>
            <w:tcW w:w="222" w:type="dxa"/>
            <w:tcBorders>
              <w:right w:val="single" w:sz="4" w:space="0" w:color="auto"/>
            </w:tcBorders>
            <w:vAlign w:val="center"/>
            <w:hideMark/>
          </w:tcPr>
          <w:p w14:paraId="72654B23" w14:textId="77777777" w:rsidR="00C31C24" w:rsidRPr="00226540" w:rsidRDefault="00C31C24" w:rsidP="00C31C24">
            <w:pPr>
              <w:spacing w:after="0" w:line="240" w:lineRule="auto"/>
              <w:jc w:val="left"/>
              <w:rPr>
                <w:noProof/>
                <w:sz w:val="18"/>
                <w:szCs w:val="18"/>
                <w:lang w:val="en-IE" w:eastAsia="en-IE"/>
              </w:rPr>
            </w:pPr>
          </w:p>
        </w:tc>
      </w:tr>
      <w:tr w:rsidR="00C31C24" w:rsidRPr="00226540" w14:paraId="30AB152F"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325C0F9B"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Polska</w:t>
            </w:r>
          </w:p>
        </w:tc>
        <w:tc>
          <w:tcPr>
            <w:tcW w:w="916" w:type="dxa"/>
            <w:tcBorders>
              <w:top w:val="nil"/>
              <w:left w:val="single" w:sz="4" w:space="0" w:color="auto"/>
              <w:bottom w:val="nil"/>
              <w:right w:val="nil"/>
            </w:tcBorders>
            <w:shd w:val="clear" w:color="000000" w:fill="DCE6F1"/>
            <w:vAlign w:val="bottom"/>
            <w:hideMark/>
          </w:tcPr>
          <w:p w14:paraId="10CF7A3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21</w:t>
            </w:r>
          </w:p>
        </w:tc>
        <w:tc>
          <w:tcPr>
            <w:tcW w:w="1242" w:type="dxa"/>
            <w:tcBorders>
              <w:top w:val="nil"/>
              <w:left w:val="nil"/>
              <w:bottom w:val="nil"/>
              <w:right w:val="single" w:sz="4" w:space="0" w:color="auto"/>
            </w:tcBorders>
            <w:shd w:val="clear" w:color="000000" w:fill="DCE6F1"/>
            <w:vAlign w:val="bottom"/>
            <w:hideMark/>
          </w:tcPr>
          <w:p w14:paraId="028F44DB" w14:textId="47838A1F"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247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526</w:t>
            </w:r>
          </w:p>
        </w:tc>
        <w:tc>
          <w:tcPr>
            <w:tcW w:w="884" w:type="dxa"/>
            <w:tcBorders>
              <w:top w:val="nil"/>
              <w:left w:val="nil"/>
              <w:bottom w:val="nil"/>
              <w:right w:val="nil"/>
            </w:tcBorders>
            <w:shd w:val="clear" w:color="000000" w:fill="DCE6F1"/>
            <w:vAlign w:val="bottom"/>
            <w:hideMark/>
          </w:tcPr>
          <w:p w14:paraId="4D5128A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12</w:t>
            </w:r>
          </w:p>
        </w:tc>
        <w:tc>
          <w:tcPr>
            <w:tcW w:w="1417" w:type="dxa"/>
            <w:tcBorders>
              <w:top w:val="nil"/>
              <w:left w:val="nil"/>
              <w:bottom w:val="nil"/>
              <w:right w:val="single" w:sz="4" w:space="0" w:color="auto"/>
            </w:tcBorders>
            <w:shd w:val="clear" w:color="000000" w:fill="DCE6F1"/>
            <w:vAlign w:val="bottom"/>
            <w:hideMark/>
          </w:tcPr>
          <w:p w14:paraId="3D905C44" w14:textId="296A1B31"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111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570</w:t>
            </w:r>
          </w:p>
        </w:tc>
        <w:tc>
          <w:tcPr>
            <w:tcW w:w="709" w:type="dxa"/>
            <w:tcBorders>
              <w:top w:val="nil"/>
              <w:left w:val="nil"/>
              <w:bottom w:val="nil"/>
              <w:right w:val="nil"/>
            </w:tcBorders>
            <w:shd w:val="clear" w:color="000000" w:fill="DCE6F1"/>
            <w:vAlign w:val="bottom"/>
            <w:hideMark/>
          </w:tcPr>
          <w:p w14:paraId="66307AE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6CE73CA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7E0F3CA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2997502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2CEAAE8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33</w:t>
            </w:r>
          </w:p>
        </w:tc>
        <w:tc>
          <w:tcPr>
            <w:tcW w:w="1399" w:type="dxa"/>
            <w:tcBorders>
              <w:top w:val="nil"/>
              <w:left w:val="nil"/>
              <w:bottom w:val="nil"/>
              <w:right w:val="single" w:sz="4" w:space="0" w:color="auto"/>
            </w:tcBorders>
            <w:shd w:val="clear" w:color="000000" w:fill="DCE6F1"/>
            <w:vAlign w:val="bottom"/>
            <w:hideMark/>
          </w:tcPr>
          <w:p w14:paraId="42363A06" w14:textId="4B4F1A11"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6</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359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096</w:t>
            </w:r>
          </w:p>
        </w:tc>
        <w:tc>
          <w:tcPr>
            <w:tcW w:w="1256" w:type="dxa"/>
            <w:tcBorders>
              <w:top w:val="nil"/>
              <w:left w:val="nil"/>
              <w:bottom w:val="nil"/>
              <w:right w:val="nil"/>
            </w:tcBorders>
            <w:shd w:val="clear" w:color="000000" w:fill="DCE6F1"/>
            <w:vAlign w:val="bottom"/>
            <w:hideMark/>
          </w:tcPr>
          <w:p w14:paraId="355CCEDF"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16</w:t>
            </w:r>
          </w:p>
        </w:tc>
        <w:tc>
          <w:tcPr>
            <w:tcW w:w="1279" w:type="dxa"/>
            <w:tcBorders>
              <w:top w:val="nil"/>
              <w:left w:val="nil"/>
              <w:bottom w:val="nil"/>
              <w:right w:val="single" w:sz="4" w:space="0" w:color="auto"/>
            </w:tcBorders>
            <w:shd w:val="clear" w:color="000000" w:fill="DCE6F1"/>
            <w:vAlign w:val="bottom"/>
            <w:hideMark/>
          </w:tcPr>
          <w:p w14:paraId="447920EC" w14:textId="335FF285"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11</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657</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102</w:t>
            </w:r>
          </w:p>
        </w:tc>
        <w:tc>
          <w:tcPr>
            <w:tcW w:w="222" w:type="dxa"/>
            <w:tcBorders>
              <w:right w:val="single" w:sz="4" w:space="0" w:color="auto"/>
            </w:tcBorders>
            <w:vAlign w:val="center"/>
            <w:hideMark/>
          </w:tcPr>
          <w:p w14:paraId="75F0C464" w14:textId="77777777" w:rsidR="00C31C24" w:rsidRPr="00226540" w:rsidRDefault="00C31C24" w:rsidP="00C31C24">
            <w:pPr>
              <w:spacing w:after="0" w:line="240" w:lineRule="auto"/>
              <w:jc w:val="left"/>
              <w:rPr>
                <w:noProof/>
                <w:sz w:val="18"/>
                <w:szCs w:val="18"/>
                <w:lang w:val="en-IE" w:eastAsia="en-IE"/>
              </w:rPr>
            </w:pPr>
          </w:p>
        </w:tc>
      </w:tr>
      <w:tr w:rsidR="00C31C24" w:rsidRPr="00226540" w14:paraId="79614796"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2E58726F"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Portugal</w:t>
            </w:r>
          </w:p>
        </w:tc>
        <w:tc>
          <w:tcPr>
            <w:tcW w:w="916" w:type="dxa"/>
            <w:tcBorders>
              <w:top w:val="nil"/>
              <w:left w:val="single" w:sz="4" w:space="0" w:color="auto"/>
              <w:bottom w:val="nil"/>
              <w:right w:val="nil"/>
            </w:tcBorders>
            <w:shd w:val="clear" w:color="000000" w:fill="FFFFFF"/>
            <w:vAlign w:val="bottom"/>
            <w:hideMark/>
          </w:tcPr>
          <w:p w14:paraId="122AD54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w:t>
            </w:r>
          </w:p>
        </w:tc>
        <w:tc>
          <w:tcPr>
            <w:tcW w:w="1242" w:type="dxa"/>
            <w:tcBorders>
              <w:top w:val="nil"/>
              <w:left w:val="nil"/>
              <w:bottom w:val="nil"/>
              <w:right w:val="single" w:sz="4" w:space="0" w:color="auto"/>
            </w:tcBorders>
            <w:shd w:val="clear" w:color="000000" w:fill="FFFFFF"/>
            <w:vAlign w:val="bottom"/>
            <w:hideMark/>
          </w:tcPr>
          <w:p w14:paraId="1045E808" w14:textId="588341F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163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334</w:t>
            </w:r>
          </w:p>
        </w:tc>
        <w:tc>
          <w:tcPr>
            <w:tcW w:w="884" w:type="dxa"/>
            <w:tcBorders>
              <w:top w:val="nil"/>
              <w:left w:val="nil"/>
              <w:bottom w:val="nil"/>
              <w:right w:val="nil"/>
            </w:tcBorders>
            <w:shd w:val="clear" w:color="000000" w:fill="FFFFFF"/>
            <w:vAlign w:val="bottom"/>
            <w:hideMark/>
          </w:tcPr>
          <w:p w14:paraId="64E3347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27</w:t>
            </w:r>
          </w:p>
        </w:tc>
        <w:tc>
          <w:tcPr>
            <w:tcW w:w="1417" w:type="dxa"/>
            <w:tcBorders>
              <w:top w:val="nil"/>
              <w:left w:val="nil"/>
              <w:bottom w:val="nil"/>
              <w:right w:val="single" w:sz="4" w:space="0" w:color="auto"/>
            </w:tcBorders>
            <w:shd w:val="clear" w:color="000000" w:fill="FFFFFF"/>
            <w:vAlign w:val="bottom"/>
            <w:hideMark/>
          </w:tcPr>
          <w:p w14:paraId="7B600CCB" w14:textId="554FB8A8"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064</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944</w:t>
            </w:r>
          </w:p>
        </w:tc>
        <w:tc>
          <w:tcPr>
            <w:tcW w:w="709" w:type="dxa"/>
            <w:tcBorders>
              <w:top w:val="nil"/>
              <w:left w:val="nil"/>
              <w:bottom w:val="nil"/>
              <w:right w:val="nil"/>
            </w:tcBorders>
            <w:shd w:val="clear" w:color="000000" w:fill="FFFFFF"/>
            <w:vAlign w:val="bottom"/>
            <w:hideMark/>
          </w:tcPr>
          <w:p w14:paraId="2ED7D2F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28C5141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2BA07F5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4741DCE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44C59CB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32</w:t>
            </w:r>
          </w:p>
        </w:tc>
        <w:tc>
          <w:tcPr>
            <w:tcW w:w="1399" w:type="dxa"/>
            <w:tcBorders>
              <w:top w:val="nil"/>
              <w:left w:val="nil"/>
              <w:bottom w:val="nil"/>
              <w:right w:val="single" w:sz="4" w:space="0" w:color="auto"/>
            </w:tcBorders>
            <w:shd w:val="clear" w:color="000000" w:fill="FFFFFF"/>
            <w:vAlign w:val="bottom"/>
            <w:hideMark/>
          </w:tcPr>
          <w:p w14:paraId="6C1A9EF4" w14:textId="788005A8"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228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278</w:t>
            </w:r>
          </w:p>
        </w:tc>
        <w:tc>
          <w:tcPr>
            <w:tcW w:w="1256" w:type="dxa"/>
            <w:tcBorders>
              <w:top w:val="nil"/>
              <w:left w:val="nil"/>
              <w:bottom w:val="nil"/>
              <w:right w:val="nil"/>
            </w:tcBorders>
            <w:shd w:val="clear" w:color="000000" w:fill="FFFFFF"/>
            <w:vAlign w:val="bottom"/>
            <w:hideMark/>
          </w:tcPr>
          <w:p w14:paraId="5450DB7E"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w:t>
            </w:r>
          </w:p>
        </w:tc>
        <w:tc>
          <w:tcPr>
            <w:tcW w:w="1279" w:type="dxa"/>
            <w:tcBorders>
              <w:top w:val="nil"/>
              <w:left w:val="nil"/>
              <w:bottom w:val="nil"/>
              <w:right w:val="single" w:sz="4" w:space="0" w:color="auto"/>
            </w:tcBorders>
            <w:shd w:val="clear" w:color="000000" w:fill="FFFFFF"/>
            <w:vAlign w:val="bottom"/>
            <w:hideMark/>
          </w:tcPr>
          <w:p w14:paraId="3D015D7F" w14:textId="7E4FD01C"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273</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562</w:t>
            </w:r>
          </w:p>
        </w:tc>
        <w:tc>
          <w:tcPr>
            <w:tcW w:w="222" w:type="dxa"/>
            <w:tcBorders>
              <w:right w:val="single" w:sz="4" w:space="0" w:color="auto"/>
            </w:tcBorders>
            <w:vAlign w:val="center"/>
            <w:hideMark/>
          </w:tcPr>
          <w:p w14:paraId="786C9A1D" w14:textId="77777777" w:rsidR="00C31C24" w:rsidRPr="00226540" w:rsidRDefault="00C31C24" w:rsidP="00C31C24">
            <w:pPr>
              <w:spacing w:after="0" w:line="240" w:lineRule="auto"/>
              <w:jc w:val="left"/>
              <w:rPr>
                <w:noProof/>
                <w:sz w:val="18"/>
                <w:szCs w:val="18"/>
                <w:lang w:val="en-IE" w:eastAsia="en-IE"/>
              </w:rPr>
            </w:pPr>
          </w:p>
        </w:tc>
      </w:tr>
      <w:tr w:rsidR="00C31C24" w:rsidRPr="00226540" w14:paraId="607C2FBF"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24044BD7"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Romania</w:t>
            </w:r>
          </w:p>
        </w:tc>
        <w:tc>
          <w:tcPr>
            <w:tcW w:w="916" w:type="dxa"/>
            <w:tcBorders>
              <w:top w:val="nil"/>
              <w:left w:val="single" w:sz="4" w:space="0" w:color="auto"/>
              <w:bottom w:val="nil"/>
              <w:right w:val="nil"/>
            </w:tcBorders>
            <w:shd w:val="clear" w:color="000000" w:fill="DCE6F1"/>
            <w:vAlign w:val="bottom"/>
            <w:hideMark/>
          </w:tcPr>
          <w:p w14:paraId="53DE44C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74</w:t>
            </w:r>
          </w:p>
        </w:tc>
        <w:tc>
          <w:tcPr>
            <w:tcW w:w="1242" w:type="dxa"/>
            <w:tcBorders>
              <w:top w:val="nil"/>
              <w:left w:val="nil"/>
              <w:bottom w:val="nil"/>
              <w:right w:val="single" w:sz="4" w:space="0" w:color="auto"/>
            </w:tcBorders>
            <w:shd w:val="clear" w:color="000000" w:fill="DCE6F1"/>
            <w:vAlign w:val="bottom"/>
            <w:hideMark/>
          </w:tcPr>
          <w:p w14:paraId="11027A8A" w14:textId="4CAC33FE"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393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150</w:t>
            </w:r>
          </w:p>
        </w:tc>
        <w:tc>
          <w:tcPr>
            <w:tcW w:w="884" w:type="dxa"/>
            <w:tcBorders>
              <w:top w:val="nil"/>
              <w:left w:val="nil"/>
              <w:bottom w:val="nil"/>
              <w:right w:val="nil"/>
            </w:tcBorders>
            <w:shd w:val="clear" w:color="000000" w:fill="DCE6F1"/>
            <w:vAlign w:val="bottom"/>
            <w:hideMark/>
          </w:tcPr>
          <w:p w14:paraId="2723C299"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100</w:t>
            </w:r>
          </w:p>
        </w:tc>
        <w:tc>
          <w:tcPr>
            <w:tcW w:w="1417" w:type="dxa"/>
            <w:tcBorders>
              <w:top w:val="nil"/>
              <w:left w:val="nil"/>
              <w:bottom w:val="nil"/>
              <w:right w:val="single" w:sz="4" w:space="0" w:color="auto"/>
            </w:tcBorders>
            <w:shd w:val="clear" w:color="000000" w:fill="DCE6F1"/>
            <w:vAlign w:val="bottom"/>
            <w:hideMark/>
          </w:tcPr>
          <w:p w14:paraId="21ED1F7B" w14:textId="38DF89E3"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54</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230</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295</w:t>
            </w:r>
          </w:p>
        </w:tc>
        <w:tc>
          <w:tcPr>
            <w:tcW w:w="709" w:type="dxa"/>
            <w:tcBorders>
              <w:top w:val="nil"/>
              <w:left w:val="nil"/>
              <w:bottom w:val="nil"/>
              <w:right w:val="nil"/>
            </w:tcBorders>
            <w:shd w:val="clear" w:color="000000" w:fill="DCE6F1"/>
            <w:vAlign w:val="bottom"/>
            <w:hideMark/>
          </w:tcPr>
          <w:p w14:paraId="20DD787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4</w:t>
            </w:r>
          </w:p>
        </w:tc>
        <w:tc>
          <w:tcPr>
            <w:tcW w:w="1276" w:type="dxa"/>
            <w:tcBorders>
              <w:top w:val="nil"/>
              <w:left w:val="nil"/>
              <w:bottom w:val="nil"/>
              <w:right w:val="single" w:sz="4" w:space="0" w:color="auto"/>
            </w:tcBorders>
            <w:shd w:val="clear" w:color="000000" w:fill="DCE6F1"/>
            <w:vAlign w:val="bottom"/>
            <w:hideMark/>
          </w:tcPr>
          <w:p w14:paraId="6B64463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00E5F6D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p>
        </w:tc>
        <w:tc>
          <w:tcPr>
            <w:tcW w:w="1040" w:type="dxa"/>
            <w:tcBorders>
              <w:top w:val="nil"/>
              <w:left w:val="nil"/>
              <w:bottom w:val="nil"/>
              <w:right w:val="single" w:sz="4" w:space="0" w:color="auto"/>
            </w:tcBorders>
            <w:shd w:val="clear" w:color="000000" w:fill="DCE6F1"/>
            <w:vAlign w:val="bottom"/>
            <w:hideMark/>
          </w:tcPr>
          <w:p w14:paraId="113C11CB" w14:textId="58054A22"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23</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771</w:t>
            </w:r>
          </w:p>
        </w:tc>
        <w:tc>
          <w:tcPr>
            <w:tcW w:w="1295" w:type="dxa"/>
            <w:tcBorders>
              <w:top w:val="nil"/>
              <w:left w:val="nil"/>
              <w:bottom w:val="nil"/>
              <w:right w:val="nil"/>
            </w:tcBorders>
            <w:shd w:val="clear" w:color="000000" w:fill="DCE6F1"/>
            <w:vAlign w:val="bottom"/>
            <w:hideMark/>
          </w:tcPr>
          <w:p w14:paraId="4883513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179</w:t>
            </w:r>
          </w:p>
        </w:tc>
        <w:tc>
          <w:tcPr>
            <w:tcW w:w="1399" w:type="dxa"/>
            <w:tcBorders>
              <w:top w:val="nil"/>
              <w:left w:val="nil"/>
              <w:bottom w:val="nil"/>
              <w:right w:val="single" w:sz="4" w:space="0" w:color="auto"/>
            </w:tcBorders>
            <w:shd w:val="clear" w:color="000000" w:fill="DCE6F1"/>
            <w:vAlign w:val="bottom"/>
            <w:hideMark/>
          </w:tcPr>
          <w:p w14:paraId="70D09B36" w14:textId="3D65CAA9"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647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216</w:t>
            </w:r>
          </w:p>
        </w:tc>
        <w:tc>
          <w:tcPr>
            <w:tcW w:w="1256" w:type="dxa"/>
            <w:tcBorders>
              <w:top w:val="nil"/>
              <w:left w:val="nil"/>
              <w:bottom w:val="nil"/>
              <w:right w:val="nil"/>
            </w:tcBorders>
            <w:shd w:val="clear" w:color="000000" w:fill="DCE6F1"/>
            <w:vAlign w:val="bottom"/>
            <w:hideMark/>
          </w:tcPr>
          <w:p w14:paraId="0DDF6D7E"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11</w:t>
            </w:r>
          </w:p>
        </w:tc>
        <w:tc>
          <w:tcPr>
            <w:tcW w:w="1279" w:type="dxa"/>
            <w:tcBorders>
              <w:top w:val="nil"/>
              <w:left w:val="nil"/>
              <w:bottom w:val="nil"/>
              <w:right w:val="single" w:sz="4" w:space="0" w:color="auto"/>
            </w:tcBorders>
            <w:shd w:val="clear" w:color="000000" w:fill="DCE6F1"/>
            <w:vAlign w:val="bottom"/>
            <w:hideMark/>
          </w:tcPr>
          <w:p w14:paraId="4F782C73" w14:textId="320095DE"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360</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667</w:t>
            </w:r>
          </w:p>
        </w:tc>
        <w:tc>
          <w:tcPr>
            <w:tcW w:w="222" w:type="dxa"/>
            <w:tcBorders>
              <w:right w:val="single" w:sz="4" w:space="0" w:color="auto"/>
            </w:tcBorders>
            <w:vAlign w:val="center"/>
            <w:hideMark/>
          </w:tcPr>
          <w:p w14:paraId="504E2206" w14:textId="77777777" w:rsidR="00C31C24" w:rsidRPr="00226540" w:rsidRDefault="00C31C24" w:rsidP="00C31C24">
            <w:pPr>
              <w:spacing w:after="0" w:line="240" w:lineRule="auto"/>
              <w:jc w:val="left"/>
              <w:rPr>
                <w:noProof/>
                <w:sz w:val="18"/>
                <w:szCs w:val="18"/>
                <w:lang w:val="en-IE" w:eastAsia="en-IE"/>
              </w:rPr>
            </w:pPr>
          </w:p>
        </w:tc>
      </w:tr>
      <w:tr w:rsidR="00C31C24" w:rsidRPr="00226540" w14:paraId="7D2BF4E6"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17409DFD"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Slovenija</w:t>
            </w:r>
          </w:p>
        </w:tc>
        <w:tc>
          <w:tcPr>
            <w:tcW w:w="916" w:type="dxa"/>
            <w:tcBorders>
              <w:top w:val="nil"/>
              <w:left w:val="single" w:sz="4" w:space="0" w:color="auto"/>
              <w:bottom w:val="nil"/>
              <w:right w:val="nil"/>
            </w:tcBorders>
            <w:shd w:val="clear" w:color="000000" w:fill="FFFFFF"/>
            <w:vAlign w:val="bottom"/>
            <w:hideMark/>
          </w:tcPr>
          <w:p w14:paraId="24F9A01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w:t>
            </w:r>
          </w:p>
        </w:tc>
        <w:tc>
          <w:tcPr>
            <w:tcW w:w="1242" w:type="dxa"/>
            <w:tcBorders>
              <w:top w:val="nil"/>
              <w:left w:val="nil"/>
              <w:bottom w:val="nil"/>
              <w:right w:val="single" w:sz="4" w:space="0" w:color="auto"/>
            </w:tcBorders>
            <w:shd w:val="clear" w:color="000000" w:fill="FFFFFF"/>
            <w:vAlign w:val="bottom"/>
            <w:hideMark/>
          </w:tcPr>
          <w:p w14:paraId="177F8081" w14:textId="2F5FE95C"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82</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599</w:t>
            </w:r>
          </w:p>
        </w:tc>
        <w:tc>
          <w:tcPr>
            <w:tcW w:w="884" w:type="dxa"/>
            <w:tcBorders>
              <w:top w:val="nil"/>
              <w:left w:val="nil"/>
              <w:bottom w:val="nil"/>
              <w:right w:val="nil"/>
            </w:tcBorders>
            <w:shd w:val="clear" w:color="000000" w:fill="FFFFFF"/>
            <w:vAlign w:val="bottom"/>
            <w:hideMark/>
          </w:tcPr>
          <w:p w14:paraId="117188C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p>
        </w:tc>
        <w:tc>
          <w:tcPr>
            <w:tcW w:w="1417" w:type="dxa"/>
            <w:tcBorders>
              <w:top w:val="nil"/>
              <w:left w:val="nil"/>
              <w:bottom w:val="nil"/>
              <w:right w:val="single" w:sz="4" w:space="0" w:color="auto"/>
            </w:tcBorders>
            <w:shd w:val="clear" w:color="000000" w:fill="FFFFFF"/>
            <w:vAlign w:val="bottom"/>
            <w:hideMark/>
          </w:tcPr>
          <w:p w14:paraId="4B998280" w14:textId="3CD96B96"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28</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671</w:t>
            </w:r>
          </w:p>
        </w:tc>
        <w:tc>
          <w:tcPr>
            <w:tcW w:w="709" w:type="dxa"/>
            <w:tcBorders>
              <w:top w:val="nil"/>
              <w:left w:val="nil"/>
              <w:bottom w:val="nil"/>
              <w:right w:val="nil"/>
            </w:tcBorders>
            <w:shd w:val="clear" w:color="000000" w:fill="FFFFFF"/>
            <w:vAlign w:val="bottom"/>
            <w:hideMark/>
          </w:tcPr>
          <w:p w14:paraId="5B304F8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6767BE84"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1204AAF1"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581EA2F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2A5F89A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399" w:type="dxa"/>
            <w:tcBorders>
              <w:top w:val="nil"/>
              <w:left w:val="nil"/>
              <w:bottom w:val="nil"/>
              <w:right w:val="single" w:sz="4" w:space="0" w:color="auto"/>
            </w:tcBorders>
            <w:shd w:val="clear" w:color="000000" w:fill="FFFFFF"/>
            <w:vAlign w:val="bottom"/>
            <w:hideMark/>
          </w:tcPr>
          <w:p w14:paraId="2E314315" w14:textId="544C1EDC"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111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270</w:t>
            </w:r>
          </w:p>
        </w:tc>
        <w:tc>
          <w:tcPr>
            <w:tcW w:w="1256" w:type="dxa"/>
            <w:tcBorders>
              <w:top w:val="nil"/>
              <w:left w:val="nil"/>
              <w:bottom w:val="nil"/>
              <w:right w:val="nil"/>
            </w:tcBorders>
            <w:shd w:val="clear" w:color="000000" w:fill="FFFFFF"/>
            <w:vAlign w:val="bottom"/>
            <w:hideMark/>
          </w:tcPr>
          <w:p w14:paraId="32E74DED"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w:t>
            </w:r>
          </w:p>
        </w:tc>
        <w:tc>
          <w:tcPr>
            <w:tcW w:w="1279" w:type="dxa"/>
            <w:tcBorders>
              <w:top w:val="nil"/>
              <w:left w:val="nil"/>
              <w:bottom w:val="nil"/>
              <w:right w:val="single" w:sz="4" w:space="0" w:color="auto"/>
            </w:tcBorders>
            <w:shd w:val="clear" w:color="000000" w:fill="FFFFFF"/>
            <w:vAlign w:val="bottom"/>
            <w:hideMark/>
          </w:tcPr>
          <w:p w14:paraId="6EA55A02" w14:textId="0FEBD568"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20</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779</w:t>
            </w:r>
          </w:p>
        </w:tc>
        <w:tc>
          <w:tcPr>
            <w:tcW w:w="222" w:type="dxa"/>
            <w:tcBorders>
              <w:right w:val="single" w:sz="4" w:space="0" w:color="auto"/>
            </w:tcBorders>
            <w:vAlign w:val="center"/>
            <w:hideMark/>
          </w:tcPr>
          <w:p w14:paraId="587AE18E" w14:textId="77777777" w:rsidR="00C31C24" w:rsidRPr="00226540" w:rsidRDefault="00C31C24" w:rsidP="00C31C24">
            <w:pPr>
              <w:spacing w:after="0" w:line="240" w:lineRule="auto"/>
              <w:jc w:val="left"/>
              <w:rPr>
                <w:noProof/>
                <w:sz w:val="18"/>
                <w:szCs w:val="18"/>
                <w:lang w:val="en-IE" w:eastAsia="en-IE"/>
              </w:rPr>
            </w:pPr>
          </w:p>
        </w:tc>
      </w:tr>
      <w:tr w:rsidR="00C31C24" w:rsidRPr="00226540" w14:paraId="24791727"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1A5F2679"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Slovensko</w:t>
            </w:r>
          </w:p>
        </w:tc>
        <w:tc>
          <w:tcPr>
            <w:tcW w:w="916" w:type="dxa"/>
            <w:tcBorders>
              <w:top w:val="nil"/>
              <w:left w:val="single" w:sz="4" w:space="0" w:color="auto"/>
              <w:bottom w:val="nil"/>
              <w:right w:val="nil"/>
            </w:tcBorders>
            <w:shd w:val="clear" w:color="000000" w:fill="DCE6F1"/>
            <w:vAlign w:val="bottom"/>
            <w:hideMark/>
          </w:tcPr>
          <w:p w14:paraId="4F53C0C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242" w:type="dxa"/>
            <w:tcBorders>
              <w:top w:val="nil"/>
              <w:left w:val="nil"/>
              <w:bottom w:val="nil"/>
              <w:right w:val="single" w:sz="4" w:space="0" w:color="auto"/>
            </w:tcBorders>
            <w:shd w:val="clear" w:color="000000" w:fill="DCE6F1"/>
            <w:vAlign w:val="bottom"/>
            <w:hideMark/>
          </w:tcPr>
          <w:p w14:paraId="5B18784D" w14:textId="2EC6B5D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414</w:t>
            </w:r>
          </w:p>
        </w:tc>
        <w:tc>
          <w:tcPr>
            <w:tcW w:w="884" w:type="dxa"/>
            <w:tcBorders>
              <w:top w:val="nil"/>
              <w:left w:val="nil"/>
              <w:bottom w:val="nil"/>
              <w:right w:val="nil"/>
            </w:tcBorders>
            <w:shd w:val="clear" w:color="000000" w:fill="DCE6F1"/>
            <w:vAlign w:val="bottom"/>
            <w:hideMark/>
          </w:tcPr>
          <w:p w14:paraId="54CBF72A"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21</w:t>
            </w:r>
          </w:p>
        </w:tc>
        <w:tc>
          <w:tcPr>
            <w:tcW w:w="1417" w:type="dxa"/>
            <w:tcBorders>
              <w:top w:val="nil"/>
              <w:left w:val="nil"/>
              <w:bottom w:val="nil"/>
              <w:right w:val="single" w:sz="4" w:space="0" w:color="auto"/>
            </w:tcBorders>
            <w:shd w:val="clear" w:color="000000" w:fill="DCE6F1"/>
            <w:vAlign w:val="bottom"/>
            <w:hideMark/>
          </w:tcPr>
          <w:p w14:paraId="2FD5F441" w14:textId="12E3B4CD"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617</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764</w:t>
            </w:r>
          </w:p>
        </w:tc>
        <w:tc>
          <w:tcPr>
            <w:tcW w:w="709" w:type="dxa"/>
            <w:tcBorders>
              <w:top w:val="nil"/>
              <w:left w:val="nil"/>
              <w:bottom w:val="nil"/>
              <w:right w:val="nil"/>
            </w:tcBorders>
            <w:shd w:val="clear" w:color="000000" w:fill="DCE6F1"/>
            <w:vAlign w:val="bottom"/>
            <w:hideMark/>
          </w:tcPr>
          <w:p w14:paraId="3E082DF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5AD83A17"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34396AA2"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19BCA05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746115F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24</w:t>
            </w:r>
          </w:p>
        </w:tc>
        <w:tc>
          <w:tcPr>
            <w:tcW w:w="1399" w:type="dxa"/>
            <w:tcBorders>
              <w:top w:val="nil"/>
              <w:left w:val="nil"/>
              <w:bottom w:val="nil"/>
              <w:right w:val="single" w:sz="4" w:space="0" w:color="auto"/>
            </w:tcBorders>
            <w:shd w:val="clear" w:color="000000" w:fill="DCE6F1"/>
            <w:vAlign w:val="bottom"/>
            <w:hideMark/>
          </w:tcPr>
          <w:p w14:paraId="4B95243C" w14:textId="50B1D58F"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31</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629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177</w:t>
            </w:r>
          </w:p>
        </w:tc>
        <w:tc>
          <w:tcPr>
            <w:tcW w:w="1256" w:type="dxa"/>
            <w:tcBorders>
              <w:top w:val="nil"/>
              <w:left w:val="nil"/>
              <w:bottom w:val="nil"/>
              <w:right w:val="nil"/>
            </w:tcBorders>
            <w:shd w:val="clear" w:color="000000" w:fill="DCE6F1"/>
            <w:vAlign w:val="bottom"/>
            <w:hideMark/>
          </w:tcPr>
          <w:p w14:paraId="339BFAEC"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1279" w:type="dxa"/>
            <w:tcBorders>
              <w:top w:val="nil"/>
              <w:left w:val="nil"/>
              <w:bottom w:val="nil"/>
              <w:right w:val="single" w:sz="4" w:space="0" w:color="auto"/>
            </w:tcBorders>
            <w:shd w:val="clear" w:color="000000" w:fill="DCE6F1"/>
            <w:vAlign w:val="bottom"/>
            <w:hideMark/>
          </w:tcPr>
          <w:p w14:paraId="01F60382"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0</w:t>
            </w:r>
          </w:p>
        </w:tc>
        <w:tc>
          <w:tcPr>
            <w:tcW w:w="222" w:type="dxa"/>
            <w:tcBorders>
              <w:right w:val="single" w:sz="4" w:space="0" w:color="auto"/>
            </w:tcBorders>
            <w:vAlign w:val="center"/>
            <w:hideMark/>
          </w:tcPr>
          <w:p w14:paraId="55F1488C"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928F1E6" w14:textId="77777777" w:rsidTr="007E2B13">
        <w:trPr>
          <w:trHeight w:val="255"/>
        </w:trPr>
        <w:tc>
          <w:tcPr>
            <w:tcW w:w="1778" w:type="dxa"/>
            <w:tcBorders>
              <w:top w:val="nil"/>
              <w:left w:val="single" w:sz="4" w:space="0" w:color="auto"/>
              <w:bottom w:val="nil"/>
              <w:right w:val="nil"/>
            </w:tcBorders>
            <w:shd w:val="clear" w:color="000000" w:fill="FFFFFF"/>
            <w:noWrap/>
            <w:vAlign w:val="center"/>
            <w:hideMark/>
          </w:tcPr>
          <w:p w14:paraId="5479FA0D"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Suomi/Finland</w:t>
            </w:r>
          </w:p>
        </w:tc>
        <w:tc>
          <w:tcPr>
            <w:tcW w:w="916" w:type="dxa"/>
            <w:tcBorders>
              <w:top w:val="nil"/>
              <w:left w:val="single" w:sz="4" w:space="0" w:color="auto"/>
              <w:bottom w:val="nil"/>
              <w:right w:val="nil"/>
            </w:tcBorders>
            <w:shd w:val="clear" w:color="000000" w:fill="FFFFFF"/>
            <w:vAlign w:val="bottom"/>
            <w:hideMark/>
          </w:tcPr>
          <w:p w14:paraId="667A981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FFFFFF"/>
            <w:vAlign w:val="bottom"/>
            <w:hideMark/>
          </w:tcPr>
          <w:p w14:paraId="082A971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FFFFFF"/>
            <w:vAlign w:val="bottom"/>
            <w:hideMark/>
          </w:tcPr>
          <w:p w14:paraId="64F3C95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417" w:type="dxa"/>
            <w:tcBorders>
              <w:top w:val="nil"/>
              <w:left w:val="nil"/>
              <w:bottom w:val="nil"/>
              <w:right w:val="single" w:sz="4" w:space="0" w:color="auto"/>
            </w:tcBorders>
            <w:shd w:val="clear" w:color="000000" w:fill="FFFFFF"/>
            <w:vAlign w:val="bottom"/>
            <w:hideMark/>
          </w:tcPr>
          <w:p w14:paraId="777FE2F9" w14:textId="1D522755"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179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000</w:t>
            </w:r>
          </w:p>
        </w:tc>
        <w:tc>
          <w:tcPr>
            <w:tcW w:w="709" w:type="dxa"/>
            <w:tcBorders>
              <w:top w:val="nil"/>
              <w:left w:val="nil"/>
              <w:bottom w:val="nil"/>
              <w:right w:val="nil"/>
            </w:tcBorders>
            <w:shd w:val="clear" w:color="000000" w:fill="FFFFFF"/>
            <w:vAlign w:val="bottom"/>
            <w:hideMark/>
          </w:tcPr>
          <w:p w14:paraId="00335888"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FFFFFF"/>
            <w:vAlign w:val="bottom"/>
            <w:hideMark/>
          </w:tcPr>
          <w:p w14:paraId="4CD8067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FFFFFF"/>
            <w:vAlign w:val="bottom"/>
            <w:hideMark/>
          </w:tcPr>
          <w:p w14:paraId="167BD6E6"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FFFFFF"/>
            <w:vAlign w:val="bottom"/>
            <w:hideMark/>
          </w:tcPr>
          <w:p w14:paraId="27F0001C"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FFFFFF"/>
            <w:vAlign w:val="bottom"/>
            <w:hideMark/>
          </w:tcPr>
          <w:p w14:paraId="3D4101BF"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3</w:t>
            </w:r>
          </w:p>
        </w:tc>
        <w:tc>
          <w:tcPr>
            <w:tcW w:w="1399" w:type="dxa"/>
            <w:tcBorders>
              <w:top w:val="nil"/>
              <w:left w:val="nil"/>
              <w:bottom w:val="nil"/>
              <w:right w:val="single" w:sz="4" w:space="0" w:color="auto"/>
            </w:tcBorders>
            <w:shd w:val="clear" w:color="000000" w:fill="FFFFFF"/>
            <w:vAlign w:val="bottom"/>
            <w:hideMark/>
          </w:tcPr>
          <w:p w14:paraId="01ECD27C" w14:textId="043A4A93"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179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000</w:t>
            </w:r>
          </w:p>
        </w:tc>
        <w:tc>
          <w:tcPr>
            <w:tcW w:w="1256" w:type="dxa"/>
            <w:tcBorders>
              <w:top w:val="nil"/>
              <w:left w:val="nil"/>
              <w:bottom w:val="nil"/>
              <w:right w:val="nil"/>
            </w:tcBorders>
            <w:shd w:val="clear" w:color="000000" w:fill="FFFFFF"/>
            <w:vAlign w:val="bottom"/>
            <w:hideMark/>
          </w:tcPr>
          <w:p w14:paraId="75538735"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w:t>
            </w:r>
          </w:p>
        </w:tc>
        <w:tc>
          <w:tcPr>
            <w:tcW w:w="1279" w:type="dxa"/>
            <w:tcBorders>
              <w:top w:val="nil"/>
              <w:left w:val="nil"/>
              <w:bottom w:val="nil"/>
              <w:right w:val="single" w:sz="4" w:space="0" w:color="auto"/>
            </w:tcBorders>
            <w:shd w:val="clear" w:color="000000" w:fill="FFFFFF"/>
            <w:vAlign w:val="bottom"/>
            <w:hideMark/>
          </w:tcPr>
          <w:p w14:paraId="2076E3E2" w14:textId="2BF9D600"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163</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234</w:t>
            </w:r>
          </w:p>
        </w:tc>
        <w:tc>
          <w:tcPr>
            <w:tcW w:w="222" w:type="dxa"/>
            <w:tcBorders>
              <w:right w:val="single" w:sz="4" w:space="0" w:color="auto"/>
            </w:tcBorders>
            <w:vAlign w:val="center"/>
            <w:hideMark/>
          </w:tcPr>
          <w:p w14:paraId="0C11279A" w14:textId="77777777" w:rsidR="00C31C24" w:rsidRPr="00226540" w:rsidRDefault="00C31C24" w:rsidP="00C31C24">
            <w:pPr>
              <w:spacing w:after="0" w:line="240" w:lineRule="auto"/>
              <w:jc w:val="left"/>
              <w:rPr>
                <w:noProof/>
                <w:sz w:val="18"/>
                <w:szCs w:val="18"/>
                <w:lang w:val="en-IE" w:eastAsia="en-IE"/>
              </w:rPr>
            </w:pPr>
          </w:p>
        </w:tc>
      </w:tr>
      <w:tr w:rsidR="00C31C24" w:rsidRPr="00226540" w14:paraId="62CBDD39" w14:textId="77777777" w:rsidTr="007E2B13">
        <w:trPr>
          <w:trHeight w:val="255"/>
        </w:trPr>
        <w:tc>
          <w:tcPr>
            <w:tcW w:w="1778" w:type="dxa"/>
            <w:tcBorders>
              <w:top w:val="nil"/>
              <w:left w:val="single" w:sz="4" w:space="0" w:color="auto"/>
              <w:bottom w:val="nil"/>
              <w:right w:val="nil"/>
            </w:tcBorders>
            <w:shd w:val="clear" w:color="000000" w:fill="DCE6F1"/>
            <w:noWrap/>
            <w:vAlign w:val="center"/>
            <w:hideMark/>
          </w:tcPr>
          <w:p w14:paraId="02D4CBD1" w14:textId="77777777" w:rsidR="00C31C24" w:rsidRPr="00226540" w:rsidRDefault="00C31C24" w:rsidP="00C31C24">
            <w:pPr>
              <w:spacing w:after="0" w:line="240" w:lineRule="auto"/>
              <w:jc w:val="left"/>
              <w:rPr>
                <w:rFonts w:ascii="Arial" w:hAnsi="Arial" w:cs="Arial"/>
                <w:b/>
                <w:bCs/>
                <w:noProof/>
                <w:sz w:val="18"/>
                <w:szCs w:val="18"/>
                <w:lang w:val="en-IE" w:eastAsia="en-IE"/>
              </w:rPr>
            </w:pPr>
            <w:r w:rsidRPr="00226540">
              <w:rPr>
                <w:rFonts w:ascii="Arial" w:hAnsi="Arial" w:cs="Arial"/>
                <w:b/>
                <w:bCs/>
                <w:noProof/>
                <w:sz w:val="18"/>
                <w:szCs w:val="18"/>
                <w:lang w:val="en-IE" w:eastAsia="en-IE"/>
              </w:rPr>
              <w:t>Sverige</w:t>
            </w:r>
          </w:p>
        </w:tc>
        <w:tc>
          <w:tcPr>
            <w:tcW w:w="916" w:type="dxa"/>
            <w:tcBorders>
              <w:top w:val="nil"/>
              <w:left w:val="single" w:sz="4" w:space="0" w:color="auto"/>
              <w:bottom w:val="nil"/>
              <w:right w:val="nil"/>
            </w:tcBorders>
            <w:shd w:val="clear" w:color="000000" w:fill="DCE6F1"/>
            <w:vAlign w:val="bottom"/>
            <w:hideMark/>
          </w:tcPr>
          <w:p w14:paraId="389BBA70"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42" w:type="dxa"/>
            <w:tcBorders>
              <w:top w:val="nil"/>
              <w:left w:val="nil"/>
              <w:bottom w:val="nil"/>
              <w:right w:val="single" w:sz="4" w:space="0" w:color="auto"/>
            </w:tcBorders>
            <w:shd w:val="clear" w:color="000000" w:fill="DCE6F1"/>
            <w:vAlign w:val="bottom"/>
            <w:hideMark/>
          </w:tcPr>
          <w:p w14:paraId="494C264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884" w:type="dxa"/>
            <w:tcBorders>
              <w:top w:val="nil"/>
              <w:left w:val="nil"/>
              <w:bottom w:val="nil"/>
              <w:right w:val="nil"/>
            </w:tcBorders>
            <w:shd w:val="clear" w:color="000000" w:fill="DCE6F1"/>
            <w:vAlign w:val="bottom"/>
            <w:hideMark/>
          </w:tcPr>
          <w:p w14:paraId="0965E04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p>
        </w:tc>
        <w:tc>
          <w:tcPr>
            <w:tcW w:w="1417" w:type="dxa"/>
            <w:tcBorders>
              <w:top w:val="nil"/>
              <w:left w:val="nil"/>
              <w:bottom w:val="nil"/>
              <w:right w:val="single" w:sz="4" w:space="0" w:color="auto"/>
            </w:tcBorders>
            <w:shd w:val="clear" w:color="000000" w:fill="DCE6F1"/>
            <w:vAlign w:val="bottom"/>
            <w:hideMark/>
          </w:tcPr>
          <w:p w14:paraId="245A56F1" w14:textId="7B8B20E5"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399</w:t>
            </w:r>
          </w:p>
        </w:tc>
        <w:tc>
          <w:tcPr>
            <w:tcW w:w="709" w:type="dxa"/>
            <w:tcBorders>
              <w:top w:val="nil"/>
              <w:left w:val="nil"/>
              <w:bottom w:val="nil"/>
              <w:right w:val="nil"/>
            </w:tcBorders>
            <w:shd w:val="clear" w:color="000000" w:fill="DCE6F1"/>
            <w:vAlign w:val="bottom"/>
            <w:hideMark/>
          </w:tcPr>
          <w:p w14:paraId="38C63025"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76" w:type="dxa"/>
            <w:tcBorders>
              <w:top w:val="nil"/>
              <w:left w:val="nil"/>
              <w:bottom w:val="nil"/>
              <w:right w:val="single" w:sz="4" w:space="0" w:color="auto"/>
            </w:tcBorders>
            <w:shd w:val="clear" w:color="000000" w:fill="DCE6F1"/>
            <w:vAlign w:val="bottom"/>
            <w:hideMark/>
          </w:tcPr>
          <w:p w14:paraId="2631D80E"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17" w:type="dxa"/>
            <w:tcBorders>
              <w:top w:val="nil"/>
              <w:left w:val="nil"/>
              <w:bottom w:val="nil"/>
              <w:right w:val="nil"/>
            </w:tcBorders>
            <w:shd w:val="clear" w:color="000000" w:fill="DCE6F1"/>
            <w:vAlign w:val="bottom"/>
            <w:hideMark/>
          </w:tcPr>
          <w:p w14:paraId="613A580B"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040" w:type="dxa"/>
            <w:tcBorders>
              <w:top w:val="nil"/>
              <w:left w:val="nil"/>
              <w:bottom w:val="nil"/>
              <w:right w:val="single" w:sz="4" w:space="0" w:color="auto"/>
            </w:tcBorders>
            <w:shd w:val="clear" w:color="000000" w:fill="DCE6F1"/>
            <w:vAlign w:val="bottom"/>
            <w:hideMark/>
          </w:tcPr>
          <w:p w14:paraId="1650785D"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0</w:t>
            </w:r>
          </w:p>
        </w:tc>
        <w:tc>
          <w:tcPr>
            <w:tcW w:w="1295" w:type="dxa"/>
            <w:tcBorders>
              <w:top w:val="nil"/>
              <w:left w:val="nil"/>
              <w:bottom w:val="nil"/>
              <w:right w:val="nil"/>
            </w:tcBorders>
            <w:shd w:val="clear" w:color="000000" w:fill="DCE6F1"/>
            <w:vAlign w:val="bottom"/>
            <w:hideMark/>
          </w:tcPr>
          <w:p w14:paraId="28263D83" w14:textId="77777777"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1</w:t>
            </w:r>
          </w:p>
        </w:tc>
        <w:tc>
          <w:tcPr>
            <w:tcW w:w="1399" w:type="dxa"/>
            <w:tcBorders>
              <w:top w:val="nil"/>
              <w:left w:val="nil"/>
              <w:bottom w:val="nil"/>
              <w:right w:val="single" w:sz="4" w:space="0" w:color="auto"/>
            </w:tcBorders>
            <w:shd w:val="clear" w:color="000000" w:fill="DCE6F1"/>
            <w:vAlign w:val="bottom"/>
            <w:hideMark/>
          </w:tcPr>
          <w:p w14:paraId="5E128721" w14:textId="16D590F6" w:rsidR="00C31C24" w:rsidRPr="00226540" w:rsidRDefault="00C31C24" w:rsidP="00C31C24">
            <w:pPr>
              <w:spacing w:after="0" w:line="240" w:lineRule="auto"/>
              <w:jc w:val="right"/>
              <w:rPr>
                <w:rFonts w:ascii="Arial" w:hAnsi="Arial" w:cs="Arial"/>
                <w:noProof/>
                <w:color w:val="000000"/>
                <w:sz w:val="18"/>
                <w:szCs w:val="18"/>
                <w:lang w:val="en-IE" w:eastAsia="en-IE"/>
              </w:rPr>
            </w:pPr>
            <w:r w:rsidRPr="00226540">
              <w:rPr>
                <w:rFonts w:ascii="Arial" w:hAnsi="Arial" w:cs="Arial"/>
                <w:noProof/>
                <w:color w:val="000000"/>
                <w:sz w:val="18"/>
                <w:szCs w:val="18"/>
                <w:lang w:val="en-IE" w:eastAsia="en-IE"/>
              </w:rPr>
              <w:t>59</w:t>
            </w:r>
            <w:r w:rsidR="00B859C6">
              <w:rPr>
                <w:rFonts w:ascii="Arial" w:hAnsi="Arial" w:cs="Arial"/>
                <w:noProof/>
                <w:color w:val="000000"/>
                <w:sz w:val="18"/>
                <w:szCs w:val="18"/>
                <w:lang w:val="en-IE" w:eastAsia="en-IE"/>
              </w:rPr>
              <w:t> </w:t>
            </w:r>
            <w:r w:rsidRPr="00226540">
              <w:rPr>
                <w:rFonts w:ascii="Arial" w:hAnsi="Arial" w:cs="Arial"/>
                <w:noProof/>
                <w:color w:val="000000"/>
                <w:sz w:val="18"/>
                <w:szCs w:val="18"/>
                <w:lang w:val="en-IE" w:eastAsia="en-IE"/>
              </w:rPr>
              <w:t>399</w:t>
            </w:r>
          </w:p>
        </w:tc>
        <w:tc>
          <w:tcPr>
            <w:tcW w:w="1256" w:type="dxa"/>
            <w:tcBorders>
              <w:top w:val="nil"/>
              <w:left w:val="nil"/>
              <w:bottom w:val="nil"/>
              <w:right w:val="nil"/>
            </w:tcBorders>
            <w:shd w:val="clear" w:color="000000" w:fill="DCE6F1"/>
            <w:vAlign w:val="bottom"/>
            <w:hideMark/>
          </w:tcPr>
          <w:p w14:paraId="07D6F434" w14:textId="77777777"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7</w:t>
            </w:r>
          </w:p>
        </w:tc>
        <w:tc>
          <w:tcPr>
            <w:tcW w:w="1279" w:type="dxa"/>
            <w:tcBorders>
              <w:top w:val="nil"/>
              <w:left w:val="nil"/>
              <w:bottom w:val="nil"/>
              <w:right w:val="single" w:sz="4" w:space="0" w:color="auto"/>
            </w:tcBorders>
            <w:shd w:val="clear" w:color="000000" w:fill="DCE6F1"/>
            <w:vAlign w:val="bottom"/>
            <w:hideMark/>
          </w:tcPr>
          <w:p w14:paraId="5C6321FE" w14:textId="60E5AC21" w:rsidR="00C31C24" w:rsidRPr="00226540" w:rsidRDefault="00C31C24" w:rsidP="00C31C24">
            <w:pPr>
              <w:spacing w:after="0" w:line="240" w:lineRule="auto"/>
              <w:jc w:val="right"/>
              <w:rPr>
                <w:rFonts w:ascii="Arial" w:hAnsi="Arial" w:cs="Arial"/>
                <w:noProof/>
                <w:sz w:val="18"/>
                <w:szCs w:val="18"/>
                <w:lang w:val="en-IE" w:eastAsia="en-IE"/>
              </w:rPr>
            </w:pPr>
            <w:r w:rsidRPr="00226540">
              <w:rPr>
                <w:rFonts w:ascii="Arial" w:hAnsi="Arial" w:cs="Arial"/>
                <w:noProof/>
                <w:sz w:val="18"/>
                <w:szCs w:val="18"/>
                <w:lang w:val="en-IE" w:eastAsia="en-IE"/>
              </w:rPr>
              <w:t>221</w:t>
            </w:r>
            <w:r w:rsidR="00B859C6">
              <w:rPr>
                <w:rFonts w:ascii="Arial" w:hAnsi="Arial" w:cs="Arial"/>
                <w:noProof/>
                <w:sz w:val="18"/>
                <w:szCs w:val="18"/>
                <w:lang w:val="en-IE" w:eastAsia="en-IE"/>
              </w:rPr>
              <w:t> </w:t>
            </w:r>
            <w:r w:rsidRPr="00226540">
              <w:rPr>
                <w:rFonts w:ascii="Arial" w:hAnsi="Arial" w:cs="Arial"/>
                <w:noProof/>
                <w:sz w:val="18"/>
                <w:szCs w:val="18"/>
                <w:lang w:val="en-IE" w:eastAsia="en-IE"/>
              </w:rPr>
              <w:t>238</w:t>
            </w:r>
          </w:p>
        </w:tc>
        <w:tc>
          <w:tcPr>
            <w:tcW w:w="222" w:type="dxa"/>
            <w:tcBorders>
              <w:right w:val="single" w:sz="4" w:space="0" w:color="auto"/>
            </w:tcBorders>
            <w:vAlign w:val="center"/>
            <w:hideMark/>
          </w:tcPr>
          <w:p w14:paraId="621BE277" w14:textId="77777777" w:rsidR="00C31C24" w:rsidRPr="00226540" w:rsidRDefault="00C31C24" w:rsidP="00C31C24">
            <w:pPr>
              <w:spacing w:after="0" w:line="240" w:lineRule="auto"/>
              <w:jc w:val="left"/>
              <w:rPr>
                <w:noProof/>
                <w:sz w:val="18"/>
                <w:szCs w:val="18"/>
                <w:lang w:val="en-IE" w:eastAsia="en-IE"/>
              </w:rPr>
            </w:pPr>
          </w:p>
        </w:tc>
      </w:tr>
      <w:tr w:rsidR="00C31C24" w:rsidRPr="00226540" w14:paraId="08548B70" w14:textId="77777777" w:rsidTr="007E2B13">
        <w:trPr>
          <w:trHeight w:val="255"/>
        </w:trPr>
        <w:tc>
          <w:tcPr>
            <w:tcW w:w="1778" w:type="dxa"/>
            <w:tcBorders>
              <w:top w:val="nil"/>
              <w:left w:val="single" w:sz="4" w:space="0" w:color="auto"/>
              <w:bottom w:val="single" w:sz="4" w:space="0" w:color="auto"/>
              <w:right w:val="nil"/>
            </w:tcBorders>
            <w:shd w:val="clear" w:color="000000" w:fill="538DD5"/>
            <w:noWrap/>
            <w:vAlign w:val="bottom"/>
            <w:hideMark/>
          </w:tcPr>
          <w:p w14:paraId="41F2C66C" w14:textId="77777777" w:rsidR="00C31C24" w:rsidRPr="005037C8" w:rsidRDefault="00C31C24" w:rsidP="00C31C24">
            <w:pPr>
              <w:spacing w:after="0" w:line="240" w:lineRule="auto"/>
              <w:jc w:val="lef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TOTAL EU27</w:t>
            </w:r>
          </w:p>
        </w:tc>
        <w:tc>
          <w:tcPr>
            <w:tcW w:w="916" w:type="dxa"/>
            <w:tcBorders>
              <w:top w:val="nil"/>
              <w:left w:val="single" w:sz="4" w:space="0" w:color="auto"/>
              <w:bottom w:val="single" w:sz="4" w:space="0" w:color="auto"/>
              <w:right w:val="nil"/>
            </w:tcBorders>
            <w:shd w:val="clear" w:color="000000" w:fill="538DD5"/>
            <w:noWrap/>
            <w:vAlign w:val="bottom"/>
            <w:hideMark/>
          </w:tcPr>
          <w:p w14:paraId="19B2FA99" w14:textId="77777777"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295</w:t>
            </w:r>
          </w:p>
        </w:tc>
        <w:tc>
          <w:tcPr>
            <w:tcW w:w="1242" w:type="dxa"/>
            <w:tcBorders>
              <w:top w:val="nil"/>
              <w:left w:val="nil"/>
              <w:bottom w:val="single" w:sz="4" w:space="0" w:color="auto"/>
              <w:right w:val="single" w:sz="4" w:space="0" w:color="auto"/>
            </w:tcBorders>
            <w:shd w:val="clear" w:color="000000" w:fill="538DD5"/>
            <w:noWrap/>
            <w:vAlign w:val="bottom"/>
            <w:hideMark/>
          </w:tcPr>
          <w:p w14:paraId="02447F80" w14:textId="0FAAD714"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21</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840</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250</w:t>
            </w:r>
          </w:p>
        </w:tc>
        <w:tc>
          <w:tcPr>
            <w:tcW w:w="884" w:type="dxa"/>
            <w:tcBorders>
              <w:top w:val="nil"/>
              <w:left w:val="nil"/>
              <w:bottom w:val="single" w:sz="4" w:space="0" w:color="auto"/>
              <w:right w:val="nil"/>
            </w:tcBorders>
            <w:shd w:val="clear" w:color="000000" w:fill="538DD5"/>
            <w:noWrap/>
            <w:vAlign w:val="bottom"/>
            <w:hideMark/>
          </w:tcPr>
          <w:p w14:paraId="18DC02A8" w14:textId="77777777"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334</w:t>
            </w:r>
          </w:p>
        </w:tc>
        <w:tc>
          <w:tcPr>
            <w:tcW w:w="1417" w:type="dxa"/>
            <w:tcBorders>
              <w:top w:val="nil"/>
              <w:left w:val="nil"/>
              <w:bottom w:val="single" w:sz="4" w:space="0" w:color="auto"/>
              <w:right w:val="single" w:sz="4" w:space="0" w:color="auto"/>
            </w:tcBorders>
            <w:shd w:val="clear" w:color="000000" w:fill="538DD5"/>
            <w:noWrap/>
            <w:vAlign w:val="bottom"/>
            <w:hideMark/>
          </w:tcPr>
          <w:p w14:paraId="4B5EA081" w14:textId="438020E2"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160</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325</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772</w:t>
            </w:r>
          </w:p>
        </w:tc>
        <w:tc>
          <w:tcPr>
            <w:tcW w:w="709" w:type="dxa"/>
            <w:tcBorders>
              <w:top w:val="nil"/>
              <w:left w:val="nil"/>
              <w:bottom w:val="single" w:sz="4" w:space="0" w:color="auto"/>
              <w:right w:val="nil"/>
            </w:tcBorders>
            <w:shd w:val="clear" w:color="000000" w:fill="538DD5"/>
            <w:noWrap/>
            <w:vAlign w:val="bottom"/>
            <w:hideMark/>
          </w:tcPr>
          <w:p w14:paraId="08404B8F" w14:textId="77777777"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8</w:t>
            </w:r>
          </w:p>
        </w:tc>
        <w:tc>
          <w:tcPr>
            <w:tcW w:w="1276" w:type="dxa"/>
            <w:tcBorders>
              <w:top w:val="nil"/>
              <w:left w:val="nil"/>
              <w:bottom w:val="single" w:sz="4" w:space="0" w:color="auto"/>
              <w:right w:val="single" w:sz="4" w:space="0" w:color="auto"/>
            </w:tcBorders>
            <w:shd w:val="clear" w:color="000000" w:fill="538DD5"/>
            <w:noWrap/>
            <w:vAlign w:val="bottom"/>
            <w:hideMark/>
          </w:tcPr>
          <w:p w14:paraId="259F667F" w14:textId="60C35346"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326</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004</w:t>
            </w:r>
          </w:p>
        </w:tc>
        <w:tc>
          <w:tcPr>
            <w:tcW w:w="1217" w:type="dxa"/>
            <w:tcBorders>
              <w:top w:val="nil"/>
              <w:left w:val="nil"/>
              <w:bottom w:val="single" w:sz="4" w:space="0" w:color="auto"/>
              <w:right w:val="nil"/>
            </w:tcBorders>
            <w:shd w:val="clear" w:color="000000" w:fill="538DD5"/>
            <w:noWrap/>
            <w:vAlign w:val="bottom"/>
            <w:hideMark/>
          </w:tcPr>
          <w:p w14:paraId="6F2BDCCB" w14:textId="77777777"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1</w:t>
            </w:r>
          </w:p>
        </w:tc>
        <w:tc>
          <w:tcPr>
            <w:tcW w:w="1040" w:type="dxa"/>
            <w:tcBorders>
              <w:top w:val="nil"/>
              <w:left w:val="nil"/>
              <w:bottom w:val="single" w:sz="4" w:space="0" w:color="auto"/>
              <w:right w:val="single" w:sz="4" w:space="0" w:color="auto"/>
            </w:tcBorders>
            <w:shd w:val="clear" w:color="000000" w:fill="538DD5"/>
            <w:noWrap/>
            <w:vAlign w:val="bottom"/>
            <w:hideMark/>
          </w:tcPr>
          <w:p w14:paraId="00C23C9B" w14:textId="070A4D1E"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23</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771</w:t>
            </w:r>
          </w:p>
        </w:tc>
        <w:tc>
          <w:tcPr>
            <w:tcW w:w="1295" w:type="dxa"/>
            <w:tcBorders>
              <w:top w:val="nil"/>
              <w:left w:val="nil"/>
              <w:bottom w:val="single" w:sz="4" w:space="0" w:color="auto"/>
              <w:right w:val="nil"/>
            </w:tcBorders>
            <w:shd w:val="clear" w:color="000000" w:fill="538DD5"/>
            <w:noWrap/>
            <w:vAlign w:val="bottom"/>
            <w:hideMark/>
          </w:tcPr>
          <w:p w14:paraId="369BA64E" w14:textId="77777777"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638</w:t>
            </w:r>
          </w:p>
        </w:tc>
        <w:tc>
          <w:tcPr>
            <w:tcW w:w="1399" w:type="dxa"/>
            <w:tcBorders>
              <w:top w:val="nil"/>
              <w:left w:val="nil"/>
              <w:bottom w:val="single" w:sz="4" w:space="0" w:color="auto"/>
              <w:right w:val="single" w:sz="4" w:space="0" w:color="auto"/>
            </w:tcBorders>
            <w:shd w:val="clear" w:color="000000" w:fill="538DD5"/>
            <w:noWrap/>
            <w:vAlign w:val="bottom"/>
            <w:hideMark/>
          </w:tcPr>
          <w:p w14:paraId="0C47C752" w14:textId="39537A8F"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182</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515</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796</w:t>
            </w:r>
          </w:p>
        </w:tc>
        <w:tc>
          <w:tcPr>
            <w:tcW w:w="1256" w:type="dxa"/>
            <w:tcBorders>
              <w:top w:val="nil"/>
              <w:left w:val="nil"/>
              <w:bottom w:val="single" w:sz="4" w:space="0" w:color="auto"/>
              <w:right w:val="nil"/>
            </w:tcBorders>
            <w:shd w:val="clear" w:color="000000" w:fill="538DD5"/>
            <w:noWrap/>
            <w:vAlign w:val="bottom"/>
            <w:hideMark/>
          </w:tcPr>
          <w:p w14:paraId="38B65095" w14:textId="77777777"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285</w:t>
            </w:r>
          </w:p>
        </w:tc>
        <w:tc>
          <w:tcPr>
            <w:tcW w:w="1279" w:type="dxa"/>
            <w:tcBorders>
              <w:top w:val="nil"/>
              <w:left w:val="nil"/>
              <w:bottom w:val="single" w:sz="4" w:space="0" w:color="auto"/>
              <w:right w:val="single" w:sz="4" w:space="0" w:color="auto"/>
            </w:tcBorders>
            <w:shd w:val="clear" w:color="000000" w:fill="538DD5"/>
            <w:noWrap/>
            <w:vAlign w:val="bottom"/>
            <w:hideMark/>
          </w:tcPr>
          <w:p w14:paraId="453E3C05" w14:textId="202D9FFA" w:rsidR="00C31C24" w:rsidRPr="005037C8" w:rsidRDefault="00C31C24" w:rsidP="00C31C24">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85</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367</w:t>
            </w:r>
            <w:r w:rsidR="00B859C6"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735</w:t>
            </w:r>
          </w:p>
        </w:tc>
        <w:tc>
          <w:tcPr>
            <w:tcW w:w="222" w:type="dxa"/>
            <w:tcBorders>
              <w:bottom w:val="single" w:sz="4" w:space="0" w:color="auto"/>
              <w:right w:val="single" w:sz="4" w:space="0" w:color="auto"/>
            </w:tcBorders>
            <w:vAlign w:val="center"/>
            <w:hideMark/>
          </w:tcPr>
          <w:p w14:paraId="7F916820" w14:textId="77777777" w:rsidR="00C31C24" w:rsidRPr="00226540" w:rsidRDefault="00C31C24" w:rsidP="00C31C24">
            <w:pPr>
              <w:spacing w:after="0" w:line="240" w:lineRule="auto"/>
              <w:jc w:val="left"/>
              <w:rPr>
                <w:noProof/>
                <w:sz w:val="18"/>
                <w:szCs w:val="18"/>
                <w:lang w:val="en-IE" w:eastAsia="en-IE"/>
              </w:rPr>
            </w:pPr>
          </w:p>
        </w:tc>
      </w:tr>
    </w:tbl>
    <w:p w14:paraId="5699B6D4" w14:textId="78B49B02" w:rsidR="0048467D" w:rsidRDefault="002E338F">
      <w:pPr>
        <w:spacing w:after="0" w:line="240" w:lineRule="auto"/>
        <w:jc w:val="left"/>
        <w:rPr>
          <w:b/>
          <w:bCs/>
          <w:noProof/>
        </w:rPr>
      </w:pPr>
      <w:r w:rsidRPr="00DE3A6F">
        <w:rPr>
          <w:b/>
          <w:bCs/>
          <w:noProof/>
        </w:rPr>
        <w:lastRenderedPageBreak/>
        <w:t>ANNEX 2</w:t>
      </w:r>
      <w:r w:rsidR="00964164">
        <w:rPr>
          <w:b/>
          <w:bCs/>
          <w:noProof/>
        </w:rPr>
        <w:t xml:space="preserve"> - </w:t>
      </w:r>
      <w:r w:rsidR="00964164" w:rsidRPr="00964164">
        <w:rPr>
          <w:b/>
          <w:bCs/>
          <w:noProof/>
        </w:rPr>
        <w:t>Irregularities not reported as fraudulent in 2025 (</w:t>
      </w:r>
      <w:r w:rsidR="00964164">
        <w:rPr>
          <w:rStyle w:val="FootnoteReference"/>
          <w:b/>
          <w:bCs/>
          <w:noProof/>
        </w:rPr>
        <w:footnoteReference w:id="80"/>
      </w:r>
      <w:r w:rsidR="00964164">
        <w:rPr>
          <w:b/>
          <w:bCs/>
          <w:noProof/>
        </w:rPr>
        <w:t>)</w:t>
      </w:r>
    </w:p>
    <w:p w14:paraId="7B4C3C61" w14:textId="025C98E0" w:rsidR="00964164" w:rsidRDefault="00F80506">
      <w:pPr>
        <w:spacing w:after="0" w:line="240" w:lineRule="auto"/>
        <w:jc w:val="left"/>
        <w:rPr>
          <w:noProof/>
        </w:rPr>
      </w:pPr>
      <w:r>
        <w:rPr>
          <w:noProof/>
        </w:rPr>
        <w:t xml:space="preserve">It </w:t>
      </w:r>
      <w:r w:rsidRPr="00F80506">
        <w:rPr>
          <w:noProof/>
        </w:rPr>
        <w:t>does not include third countries (pre-accession), the UK and direct expenditure</w:t>
      </w:r>
    </w:p>
    <w:tbl>
      <w:tblPr>
        <w:tblW w:w="15940" w:type="dxa"/>
        <w:tblLook w:val="04A0" w:firstRow="1" w:lastRow="0" w:firstColumn="1" w:lastColumn="0" w:noHBand="0" w:noVBand="1"/>
      </w:tblPr>
      <w:tblGrid>
        <w:gridCol w:w="1778"/>
        <w:gridCol w:w="916"/>
        <w:gridCol w:w="1417"/>
        <w:gridCol w:w="851"/>
        <w:gridCol w:w="1417"/>
        <w:gridCol w:w="851"/>
        <w:gridCol w:w="1275"/>
        <w:gridCol w:w="993"/>
        <w:gridCol w:w="1041"/>
        <w:gridCol w:w="1085"/>
        <w:gridCol w:w="1559"/>
        <w:gridCol w:w="1256"/>
        <w:gridCol w:w="1279"/>
        <w:gridCol w:w="222"/>
      </w:tblGrid>
      <w:tr w:rsidR="00FB59BB" w:rsidRPr="00F5772A" w14:paraId="280772CA" w14:textId="77777777" w:rsidTr="00F5772A">
        <w:trPr>
          <w:gridAfter w:val="1"/>
          <w:wAfter w:w="222" w:type="dxa"/>
          <w:trHeight w:val="255"/>
        </w:trPr>
        <w:tc>
          <w:tcPr>
            <w:tcW w:w="1778" w:type="dxa"/>
            <w:vMerge w:val="restart"/>
            <w:tcBorders>
              <w:top w:val="nil"/>
              <w:left w:val="nil"/>
              <w:bottom w:val="nil"/>
              <w:right w:val="nil"/>
            </w:tcBorders>
            <w:shd w:val="clear" w:color="000000" w:fill="538DD5"/>
            <w:vAlign w:val="center"/>
            <w:hideMark/>
          </w:tcPr>
          <w:p w14:paraId="5797AEBE" w14:textId="77777777" w:rsidR="00FB59BB" w:rsidRPr="005037C8" w:rsidRDefault="00FB59BB" w:rsidP="00FB59BB">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Member States</w:t>
            </w:r>
          </w:p>
        </w:tc>
        <w:tc>
          <w:tcPr>
            <w:tcW w:w="2333" w:type="dxa"/>
            <w:gridSpan w:val="2"/>
            <w:vMerge w:val="restart"/>
            <w:tcBorders>
              <w:top w:val="nil"/>
              <w:left w:val="nil"/>
              <w:bottom w:val="nil"/>
              <w:right w:val="nil"/>
            </w:tcBorders>
            <w:shd w:val="clear" w:color="000000" w:fill="538DD5"/>
            <w:vAlign w:val="center"/>
            <w:hideMark/>
          </w:tcPr>
          <w:p w14:paraId="7117862A" w14:textId="77777777" w:rsidR="00FB59BB" w:rsidRPr="005037C8" w:rsidRDefault="00FB59BB" w:rsidP="00FB59BB">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Agriculture</w:t>
            </w:r>
          </w:p>
        </w:tc>
        <w:tc>
          <w:tcPr>
            <w:tcW w:w="2268" w:type="dxa"/>
            <w:gridSpan w:val="2"/>
            <w:vMerge w:val="restart"/>
            <w:tcBorders>
              <w:top w:val="nil"/>
              <w:left w:val="nil"/>
              <w:bottom w:val="nil"/>
              <w:right w:val="nil"/>
            </w:tcBorders>
            <w:shd w:val="clear" w:color="000000" w:fill="538DD5"/>
            <w:vAlign w:val="center"/>
            <w:hideMark/>
          </w:tcPr>
          <w:p w14:paraId="2E82DC9D" w14:textId="68D66AC5" w:rsidR="00FB59BB" w:rsidRPr="005037C8" w:rsidRDefault="00FB59BB" w:rsidP="00FB59BB">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 xml:space="preserve">Cohesion </w:t>
            </w:r>
            <w:r w:rsidR="00064E87" w:rsidRPr="005037C8">
              <w:rPr>
                <w:rFonts w:ascii="Arial" w:hAnsi="Arial" w:cs="Arial"/>
                <w:b/>
                <w:bCs/>
                <w:noProof/>
                <w:color w:val="161616"/>
                <w:sz w:val="18"/>
                <w:szCs w:val="18"/>
                <w:lang w:val="en-IE" w:eastAsia="en-IE"/>
              </w:rPr>
              <w:t>policy</w:t>
            </w:r>
            <w:r w:rsidRPr="005037C8">
              <w:rPr>
                <w:rFonts w:ascii="Arial" w:hAnsi="Arial" w:cs="Arial"/>
                <w:b/>
                <w:bCs/>
                <w:noProof/>
                <w:color w:val="161616"/>
                <w:sz w:val="18"/>
                <w:szCs w:val="18"/>
                <w:lang w:val="en-IE" w:eastAsia="en-IE"/>
              </w:rPr>
              <w:t xml:space="preserve"> and Fisheries</w:t>
            </w:r>
          </w:p>
        </w:tc>
        <w:tc>
          <w:tcPr>
            <w:tcW w:w="2126" w:type="dxa"/>
            <w:gridSpan w:val="2"/>
            <w:vMerge w:val="restart"/>
            <w:tcBorders>
              <w:top w:val="nil"/>
              <w:left w:val="nil"/>
              <w:bottom w:val="nil"/>
              <w:right w:val="nil"/>
            </w:tcBorders>
            <w:shd w:val="clear" w:color="000000" w:fill="538DD5"/>
            <w:vAlign w:val="center"/>
            <w:hideMark/>
          </w:tcPr>
          <w:p w14:paraId="6D56477A" w14:textId="77777777" w:rsidR="00FB59BB" w:rsidRPr="005037C8" w:rsidRDefault="00FB59BB" w:rsidP="00FB59BB">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Other internal policies</w:t>
            </w:r>
          </w:p>
        </w:tc>
        <w:tc>
          <w:tcPr>
            <w:tcW w:w="2034" w:type="dxa"/>
            <w:gridSpan w:val="2"/>
            <w:vMerge w:val="restart"/>
            <w:tcBorders>
              <w:top w:val="nil"/>
              <w:left w:val="nil"/>
              <w:bottom w:val="nil"/>
              <w:right w:val="nil"/>
            </w:tcBorders>
            <w:shd w:val="clear" w:color="000000" w:fill="538DD5"/>
            <w:vAlign w:val="center"/>
            <w:hideMark/>
          </w:tcPr>
          <w:p w14:paraId="2201085C" w14:textId="7A5B47F5" w:rsidR="00FB59BB" w:rsidRPr="005037C8" w:rsidRDefault="00FB59BB" w:rsidP="00FB59BB">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Pre accession &amp; Neighbourhood</w:t>
            </w:r>
            <w:r w:rsidR="00F5772A" w:rsidRPr="005037C8">
              <w:rPr>
                <w:rFonts w:ascii="Arial" w:hAnsi="Arial" w:cs="Arial"/>
                <w:b/>
                <w:bCs/>
                <w:noProof/>
                <w:color w:val="161616"/>
                <w:sz w:val="18"/>
                <w:szCs w:val="18"/>
                <w:lang w:val="en-IE" w:eastAsia="en-IE"/>
              </w:rPr>
              <w:t> (</w:t>
            </w:r>
            <w:r w:rsidR="00F5772A" w:rsidRPr="005037C8">
              <w:rPr>
                <w:rStyle w:val="FootnoteReference"/>
                <w:rFonts w:ascii="Arial" w:hAnsi="Arial" w:cs="Arial"/>
                <w:b/>
                <w:bCs/>
                <w:noProof/>
                <w:color w:val="161616"/>
                <w:sz w:val="18"/>
                <w:szCs w:val="18"/>
                <w:lang w:val="en-IE" w:eastAsia="en-IE"/>
              </w:rPr>
              <w:footnoteReference w:id="81"/>
            </w:r>
            <w:r w:rsidR="00F5772A" w:rsidRPr="005037C8">
              <w:rPr>
                <w:rFonts w:ascii="Arial" w:hAnsi="Arial" w:cs="Arial"/>
                <w:b/>
                <w:bCs/>
                <w:noProof/>
                <w:color w:val="161616"/>
                <w:sz w:val="18"/>
                <w:szCs w:val="18"/>
                <w:lang w:val="en-IE" w:eastAsia="en-IE"/>
              </w:rPr>
              <w:t>)</w:t>
            </w:r>
          </w:p>
        </w:tc>
        <w:tc>
          <w:tcPr>
            <w:tcW w:w="2644" w:type="dxa"/>
            <w:gridSpan w:val="2"/>
            <w:vMerge w:val="restart"/>
            <w:tcBorders>
              <w:top w:val="nil"/>
              <w:left w:val="nil"/>
              <w:bottom w:val="nil"/>
              <w:right w:val="nil"/>
            </w:tcBorders>
            <w:shd w:val="clear" w:color="000000" w:fill="538DD5"/>
            <w:vAlign w:val="center"/>
            <w:hideMark/>
          </w:tcPr>
          <w:p w14:paraId="1CAA80C6" w14:textId="77777777" w:rsidR="00FB59BB" w:rsidRPr="005037C8" w:rsidRDefault="00FB59BB" w:rsidP="00FB59BB">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TOTAL EXPENDITURE</w:t>
            </w:r>
          </w:p>
        </w:tc>
        <w:tc>
          <w:tcPr>
            <w:tcW w:w="2535" w:type="dxa"/>
            <w:gridSpan w:val="2"/>
            <w:vMerge w:val="restart"/>
            <w:tcBorders>
              <w:top w:val="nil"/>
              <w:left w:val="nil"/>
              <w:bottom w:val="nil"/>
              <w:right w:val="nil"/>
            </w:tcBorders>
            <w:shd w:val="clear" w:color="000000" w:fill="538DD5"/>
            <w:vAlign w:val="center"/>
            <w:hideMark/>
          </w:tcPr>
          <w:p w14:paraId="541AED1E" w14:textId="77777777" w:rsidR="00FB59BB" w:rsidRPr="005037C8" w:rsidRDefault="00FB59BB" w:rsidP="00FB59BB">
            <w:pPr>
              <w:spacing w:after="0" w:line="240" w:lineRule="auto"/>
              <w:jc w:val="center"/>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REVENUE</w:t>
            </w:r>
          </w:p>
        </w:tc>
      </w:tr>
      <w:tr w:rsidR="00F5772A" w:rsidRPr="00FB59BB" w14:paraId="612D449D" w14:textId="77777777" w:rsidTr="00F5772A">
        <w:trPr>
          <w:trHeight w:val="255"/>
        </w:trPr>
        <w:tc>
          <w:tcPr>
            <w:tcW w:w="1778" w:type="dxa"/>
            <w:vMerge/>
            <w:tcBorders>
              <w:top w:val="nil"/>
              <w:left w:val="nil"/>
              <w:bottom w:val="nil"/>
              <w:right w:val="nil"/>
            </w:tcBorders>
            <w:vAlign w:val="center"/>
            <w:hideMark/>
          </w:tcPr>
          <w:p w14:paraId="40CB6F86" w14:textId="77777777" w:rsidR="00FB59BB" w:rsidRPr="00FB59BB" w:rsidRDefault="00FB59BB" w:rsidP="00FB59BB">
            <w:pPr>
              <w:spacing w:after="0" w:line="240" w:lineRule="auto"/>
              <w:jc w:val="left"/>
              <w:rPr>
                <w:rFonts w:ascii="Arial" w:hAnsi="Arial" w:cs="Arial"/>
                <w:b/>
                <w:bCs/>
                <w:noProof/>
                <w:color w:val="FFFFFF"/>
                <w:sz w:val="18"/>
                <w:szCs w:val="18"/>
                <w:lang w:val="en-IE" w:eastAsia="en-IE"/>
              </w:rPr>
            </w:pPr>
          </w:p>
        </w:tc>
        <w:tc>
          <w:tcPr>
            <w:tcW w:w="2333" w:type="dxa"/>
            <w:gridSpan w:val="2"/>
            <w:vMerge/>
            <w:tcBorders>
              <w:top w:val="nil"/>
              <w:left w:val="nil"/>
              <w:bottom w:val="nil"/>
              <w:right w:val="nil"/>
            </w:tcBorders>
            <w:vAlign w:val="center"/>
            <w:hideMark/>
          </w:tcPr>
          <w:p w14:paraId="57822DBD" w14:textId="77777777" w:rsidR="00FB59BB" w:rsidRPr="00FB59BB" w:rsidRDefault="00FB59BB" w:rsidP="00FB59BB">
            <w:pPr>
              <w:spacing w:after="0" w:line="240" w:lineRule="auto"/>
              <w:jc w:val="left"/>
              <w:rPr>
                <w:rFonts w:ascii="Arial" w:hAnsi="Arial" w:cs="Arial"/>
                <w:b/>
                <w:bCs/>
                <w:noProof/>
                <w:color w:val="FFFFFF"/>
                <w:sz w:val="18"/>
                <w:szCs w:val="18"/>
                <w:lang w:val="en-IE" w:eastAsia="en-IE"/>
              </w:rPr>
            </w:pPr>
          </w:p>
        </w:tc>
        <w:tc>
          <w:tcPr>
            <w:tcW w:w="2268" w:type="dxa"/>
            <w:gridSpan w:val="2"/>
            <w:vMerge/>
            <w:tcBorders>
              <w:top w:val="nil"/>
              <w:left w:val="nil"/>
              <w:bottom w:val="nil"/>
              <w:right w:val="nil"/>
            </w:tcBorders>
            <w:vAlign w:val="center"/>
            <w:hideMark/>
          </w:tcPr>
          <w:p w14:paraId="38217F22" w14:textId="77777777" w:rsidR="00FB59BB" w:rsidRPr="00FB59BB" w:rsidRDefault="00FB59BB" w:rsidP="00FB59BB">
            <w:pPr>
              <w:spacing w:after="0" w:line="240" w:lineRule="auto"/>
              <w:jc w:val="left"/>
              <w:rPr>
                <w:rFonts w:ascii="Arial" w:hAnsi="Arial" w:cs="Arial"/>
                <w:b/>
                <w:bCs/>
                <w:noProof/>
                <w:color w:val="FFFFFF"/>
                <w:sz w:val="18"/>
                <w:szCs w:val="18"/>
                <w:lang w:val="en-IE" w:eastAsia="en-IE"/>
              </w:rPr>
            </w:pPr>
          </w:p>
        </w:tc>
        <w:tc>
          <w:tcPr>
            <w:tcW w:w="2126" w:type="dxa"/>
            <w:gridSpan w:val="2"/>
            <w:vMerge/>
            <w:tcBorders>
              <w:top w:val="nil"/>
              <w:left w:val="nil"/>
              <w:bottom w:val="nil"/>
              <w:right w:val="nil"/>
            </w:tcBorders>
            <w:vAlign w:val="center"/>
            <w:hideMark/>
          </w:tcPr>
          <w:p w14:paraId="7816FC29" w14:textId="77777777" w:rsidR="00FB59BB" w:rsidRPr="00FB59BB" w:rsidRDefault="00FB59BB" w:rsidP="00FB59BB">
            <w:pPr>
              <w:spacing w:after="0" w:line="240" w:lineRule="auto"/>
              <w:jc w:val="left"/>
              <w:rPr>
                <w:rFonts w:ascii="Arial" w:hAnsi="Arial" w:cs="Arial"/>
                <w:b/>
                <w:bCs/>
                <w:noProof/>
                <w:color w:val="FFFFFF"/>
                <w:sz w:val="18"/>
                <w:szCs w:val="18"/>
                <w:lang w:val="en-IE" w:eastAsia="en-IE"/>
              </w:rPr>
            </w:pPr>
          </w:p>
        </w:tc>
        <w:tc>
          <w:tcPr>
            <w:tcW w:w="2034" w:type="dxa"/>
            <w:gridSpan w:val="2"/>
            <w:vMerge/>
            <w:tcBorders>
              <w:top w:val="nil"/>
              <w:left w:val="nil"/>
              <w:bottom w:val="nil"/>
              <w:right w:val="nil"/>
            </w:tcBorders>
            <w:vAlign w:val="center"/>
            <w:hideMark/>
          </w:tcPr>
          <w:p w14:paraId="24D4B5AB" w14:textId="77777777" w:rsidR="00FB59BB" w:rsidRPr="00FB59BB" w:rsidRDefault="00FB59BB" w:rsidP="00FB59BB">
            <w:pPr>
              <w:spacing w:after="0" w:line="240" w:lineRule="auto"/>
              <w:jc w:val="left"/>
              <w:rPr>
                <w:rFonts w:ascii="Arial" w:hAnsi="Arial" w:cs="Arial"/>
                <w:b/>
                <w:bCs/>
                <w:noProof/>
                <w:color w:val="FFFFFF"/>
                <w:sz w:val="18"/>
                <w:szCs w:val="18"/>
                <w:lang w:val="en-IE" w:eastAsia="en-IE"/>
              </w:rPr>
            </w:pPr>
          </w:p>
        </w:tc>
        <w:tc>
          <w:tcPr>
            <w:tcW w:w="2644" w:type="dxa"/>
            <w:gridSpan w:val="2"/>
            <w:vMerge/>
            <w:tcBorders>
              <w:top w:val="nil"/>
              <w:left w:val="nil"/>
              <w:bottom w:val="nil"/>
              <w:right w:val="nil"/>
            </w:tcBorders>
            <w:vAlign w:val="center"/>
            <w:hideMark/>
          </w:tcPr>
          <w:p w14:paraId="0F4A35DE" w14:textId="77777777" w:rsidR="00FB59BB" w:rsidRPr="00FB59BB" w:rsidRDefault="00FB59BB" w:rsidP="00FB59BB">
            <w:pPr>
              <w:spacing w:after="0" w:line="240" w:lineRule="auto"/>
              <w:jc w:val="left"/>
              <w:rPr>
                <w:rFonts w:ascii="Arial" w:hAnsi="Arial" w:cs="Arial"/>
                <w:b/>
                <w:bCs/>
                <w:noProof/>
                <w:color w:val="FFFFFF"/>
                <w:sz w:val="18"/>
                <w:szCs w:val="18"/>
                <w:lang w:val="en-IE" w:eastAsia="en-IE"/>
              </w:rPr>
            </w:pPr>
          </w:p>
        </w:tc>
        <w:tc>
          <w:tcPr>
            <w:tcW w:w="2535" w:type="dxa"/>
            <w:gridSpan w:val="2"/>
            <w:vMerge/>
            <w:tcBorders>
              <w:top w:val="nil"/>
              <w:left w:val="nil"/>
              <w:bottom w:val="nil"/>
              <w:right w:val="nil"/>
            </w:tcBorders>
            <w:vAlign w:val="center"/>
            <w:hideMark/>
          </w:tcPr>
          <w:p w14:paraId="2D0149D6" w14:textId="77777777" w:rsidR="00FB59BB" w:rsidRPr="00FB59BB" w:rsidRDefault="00FB59BB" w:rsidP="00FB59BB">
            <w:pPr>
              <w:spacing w:after="0" w:line="240" w:lineRule="auto"/>
              <w:jc w:val="left"/>
              <w:rPr>
                <w:rFonts w:ascii="Arial" w:hAnsi="Arial" w:cs="Arial"/>
                <w:b/>
                <w:bCs/>
                <w:noProof/>
                <w:color w:val="FFFFFF"/>
                <w:sz w:val="18"/>
                <w:szCs w:val="18"/>
                <w:lang w:val="en-IE" w:eastAsia="en-IE"/>
              </w:rPr>
            </w:pPr>
          </w:p>
        </w:tc>
        <w:tc>
          <w:tcPr>
            <w:tcW w:w="222" w:type="dxa"/>
            <w:tcBorders>
              <w:top w:val="nil"/>
              <w:left w:val="nil"/>
              <w:bottom w:val="nil"/>
              <w:right w:val="nil"/>
            </w:tcBorders>
            <w:noWrap/>
            <w:vAlign w:val="bottom"/>
            <w:hideMark/>
          </w:tcPr>
          <w:p w14:paraId="257A5576" w14:textId="77777777" w:rsidR="00FB59BB" w:rsidRPr="00FB59BB" w:rsidRDefault="00FB59BB" w:rsidP="00FB59BB">
            <w:pPr>
              <w:spacing w:after="0" w:line="240" w:lineRule="auto"/>
              <w:jc w:val="center"/>
              <w:rPr>
                <w:rFonts w:ascii="Arial" w:hAnsi="Arial" w:cs="Arial"/>
                <w:b/>
                <w:bCs/>
                <w:noProof/>
                <w:color w:val="FFFFFF"/>
                <w:sz w:val="18"/>
                <w:szCs w:val="18"/>
                <w:lang w:val="en-IE" w:eastAsia="en-IE"/>
              </w:rPr>
            </w:pPr>
          </w:p>
        </w:tc>
      </w:tr>
      <w:tr w:rsidR="00FB59BB" w:rsidRPr="00F5772A" w14:paraId="190AE8BD" w14:textId="77777777" w:rsidTr="00F5772A">
        <w:trPr>
          <w:trHeight w:val="255"/>
        </w:trPr>
        <w:tc>
          <w:tcPr>
            <w:tcW w:w="1778" w:type="dxa"/>
            <w:tcBorders>
              <w:top w:val="nil"/>
              <w:left w:val="nil"/>
              <w:bottom w:val="nil"/>
              <w:right w:val="nil"/>
            </w:tcBorders>
            <w:shd w:val="clear" w:color="000000" w:fill="538DD5"/>
            <w:vAlign w:val="center"/>
            <w:hideMark/>
          </w:tcPr>
          <w:p w14:paraId="20AE3672" w14:textId="77777777" w:rsidR="00FB59BB" w:rsidRPr="00FB59BB" w:rsidRDefault="00FB59BB" w:rsidP="00FB59BB">
            <w:pPr>
              <w:spacing w:after="0" w:line="240" w:lineRule="auto"/>
              <w:jc w:val="center"/>
              <w:rPr>
                <w:rFonts w:ascii="Arial" w:hAnsi="Arial" w:cs="Arial"/>
                <w:b/>
                <w:bCs/>
                <w:noProof/>
                <w:color w:val="FFFFFF"/>
                <w:sz w:val="18"/>
                <w:szCs w:val="18"/>
                <w:lang w:val="en-IE" w:eastAsia="en-IE"/>
              </w:rPr>
            </w:pPr>
            <w:r w:rsidRPr="00FB59BB">
              <w:rPr>
                <w:rFonts w:ascii="Arial" w:hAnsi="Arial" w:cs="Arial"/>
                <w:b/>
                <w:bCs/>
                <w:noProof/>
                <w:color w:val="FFFFFF"/>
                <w:sz w:val="18"/>
                <w:szCs w:val="18"/>
                <w:lang w:val="en-IE" w:eastAsia="en-IE"/>
              </w:rPr>
              <w:t> </w:t>
            </w:r>
          </w:p>
        </w:tc>
        <w:tc>
          <w:tcPr>
            <w:tcW w:w="916" w:type="dxa"/>
            <w:tcBorders>
              <w:top w:val="nil"/>
              <w:left w:val="nil"/>
              <w:bottom w:val="nil"/>
              <w:right w:val="nil"/>
            </w:tcBorders>
            <w:shd w:val="clear" w:color="000000" w:fill="8DB4E2"/>
            <w:noWrap/>
            <w:vAlign w:val="bottom"/>
            <w:hideMark/>
          </w:tcPr>
          <w:p w14:paraId="566B6D1C"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417" w:type="dxa"/>
            <w:tcBorders>
              <w:top w:val="nil"/>
              <w:left w:val="nil"/>
              <w:bottom w:val="nil"/>
              <w:right w:val="nil"/>
            </w:tcBorders>
            <w:shd w:val="clear" w:color="000000" w:fill="8DB4E2"/>
            <w:noWrap/>
            <w:vAlign w:val="bottom"/>
            <w:hideMark/>
          </w:tcPr>
          <w:p w14:paraId="72459FC3"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851" w:type="dxa"/>
            <w:tcBorders>
              <w:top w:val="nil"/>
              <w:left w:val="nil"/>
              <w:bottom w:val="nil"/>
              <w:right w:val="nil"/>
            </w:tcBorders>
            <w:shd w:val="clear" w:color="000000" w:fill="8DB4E2"/>
            <w:noWrap/>
            <w:vAlign w:val="bottom"/>
            <w:hideMark/>
          </w:tcPr>
          <w:p w14:paraId="740EFED0"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417" w:type="dxa"/>
            <w:tcBorders>
              <w:top w:val="nil"/>
              <w:left w:val="nil"/>
              <w:bottom w:val="nil"/>
              <w:right w:val="nil"/>
            </w:tcBorders>
            <w:shd w:val="clear" w:color="000000" w:fill="8DB4E2"/>
            <w:noWrap/>
            <w:vAlign w:val="bottom"/>
            <w:hideMark/>
          </w:tcPr>
          <w:p w14:paraId="7E525EE1"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851" w:type="dxa"/>
            <w:tcBorders>
              <w:top w:val="nil"/>
              <w:left w:val="nil"/>
              <w:bottom w:val="nil"/>
              <w:right w:val="nil"/>
            </w:tcBorders>
            <w:shd w:val="clear" w:color="000000" w:fill="8DB4E2"/>
            <w:noWrap/>
            <w:vAlign w:val="bottom"/>
            <w:hideMark/>
          </w:tcPr>
          <w:p w14:paraId="390EDE8A"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275" w:type="dxa"/>
            <w:tcBorders>
              <w:top w:val="nil"/>
              <w:left w:val="nil"/>
              <w:bottom w:val="nil"/>
              <w:right w:val="nil"/>
            </w:tcBorders>
            <w:shd w:val="clear" w:color="000000" w:fill="8DB4E2"/>
            <w:noWrap/>
            <w:vAlign w:val="bottom"/>
            <w:hideMark/>
          </w:tcPr>
          <w:p w14:paraId="0A7C3744"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993" w:type="dxa"/>
            <w:tcBorders>
              <w:top w:val="nil"/>
              <w:left w:val="nil"/>
              <w:bottom w:val="nil"/>
              <w:right w:val="nil"/>
            </w:tcBorders>
            <w:shd w:val="clear" w:color="000000" w:fill="8DB4E2"/>
            <w:noWrap/>
            <w:vAlign w:val="bottom"/>
            <w:hideMark/>
          </w:tcPr>
          <w:p w14:paraId="5A60EB17"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041" w:type="dxa"/>
            <w:tcBorders>
              <w:top w:val="nil"/>
              <w:left w:val="nil"/>
              <w:bottom w:val="nil"/>
              <w:right w:val="nil"/>
            </w:tcBorders>
            <w:shd w:val="clear" w:color="000000" w:fill="8DB4E2"/>
            <w:noWrap/>
            <w:vAlign w:val="bottom"/>
            <w:hideMark/>
          </w:tcPr>
          <w:p w14:paraId="5327C4D2"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1085" w:type="dxa"/>
            <w:tcBorders>
              <w:top w:val="nil"/>
              <w:left w:val="nil"/>
              <w:bottom w:val="nil"/>
              <w:right w:val="nil"/>
            </w:tcBorders>
            <w:shd w:val="clear" w:color="000000" w:fill="8DB4E2"/>
            <w:noWrap/>
            <w:vAlign w:val="bottom"/>
            <w:hideMark/>
          </w:tcPr>
          <w:p w14:paraId="37B6829B"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559" w:type="dxa"/>
            <w:tcBorders>
              <w:top w:val="nil"/>
              <w:left w:val="nil"/>
              <w:bottom w:val="nil"/>
              <w:right w:val="nil"/>
            </w:tcBorders>
            <w:shd w:val="clear" w:color="000000" w:fill="8DB4E2"/>
            <w:noWrap/>
            <w:vAlign w:val="bottom"/>
            <w:hideMark/>
          </w:tcPr>
          <w:p w14:paraId="6FBD57BC"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1256" w:type="dxa"/>
            <w:tcBorders>
              <w:top w:val="nil"/>
              <w:left w:val="nil"/>
              <w:bottom w:val="nil"/>
              <w:right w:val="nil"/>
            </w:tcBorders>
            <w:shd w:val="clear" w:color="000000" w:fill="8DB4E2"/>
            <w:noWrap/>
            <w:vAlign w:val="bottom"/>
            <w:hideMark/>
          </w:tcPr>
          <w:p w14:paraId="4DDBC8EC"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N</w:t>
            </w:r>
          </w:p>
        </w:tc>
        <w:tc>
          <w:tcPr>
            <w:tcW w:w="1279" w:type="dxa"/>
            <w:tcBorders>
              <w:top w:val="nil"/>
              <w:left w:val="nil"/>
              <w:bottom w:val="nil"/>
              <w:right w:val="nil"/>
            </w:tcBorders>
            <w:shd w:val="clear" w:color="000000" w:fill="8DB4E2"/>
            <w:noWrap/>
            <w:vAlign w:val="bottom"/>
            <w:hideMark/>
          </w:tcPr>
          <w:p w14:paraId="03B7E8DE" w14:textId="77777777" w:rsidR="00FB59BB" w:rsidRPr="005037C8" w:rsidRDefault="00FB59BB" w:rsidP="00FB59BB">
            <w:pPr>
              <w:spacing w:after="0" w:line="240" w:lineRule="auto"/>
              <w:jc w:val="center"/>
              <w:rPr>
                <w:rFonts w:ascii="Arial" w:hAnsi="Arial" w:cs="Arial"/>
                <w:b/>
                <w:bCs/>
                <w:noProof/>
                <w:color w:val="3E3E3E"/>
                <w:sz w:val="18"/>
                <w:szCs w:val="18"/>
                <w:lang w:val="en-IE" w:eastAsia="en-IE"/>
              </w:rPr>
            </w:pPr>
            <w:r w:rsidRPr="005037C8">
              <w:rPr>
                <w:rFonts w:ascii="Arial" w:hAnsi="Arial" w:cs="Arial"/>
                <w:b/>
                <w:bCs/>
                <w:noProof/>
                <w:color w:val="3E3E3E"/>
                <w:sz w:val="18"/>
                <w:szCs w:val="18"/>
                <w:lang w:val="en-IE" w:eastAsia="en-IE"/>
              </w:rPr>
              <w:t>EUR</w:t>
            </w:r>
          </w:p>
        </w:tc>
        <w:tc>
          <w:tcPr>
            <w:tcW w:w="222" w:type="dxa"/>
            <w:vAlign w:val="center"/>
            <w:hideMark/>
          </w:tcPr>
          <w:p w14:paraId="416D4C0A" w14:textId="77777777" w:rsidR="00FB59BB" w:rsidRPr="00FB59BB" w:rsidRDefault="00FB59BB" w:rsidP="00FB59BB">
            <w:pPr>
              <w:spacing w:after="0" w:line="240" w:lineRule="auto"/>
              <w:jc w:val="left"/>
              <w:rPr>
                <w:noProof/>
                <w:sz w:val="18"/>
                <w:szCs w:val="18"/>
                <w:lang w:val="en-IE" w:eastAsia="en-IE"/>
              </w:rPr>
            </w:pPr>
          </w:p>
        </w:tc>
      </w:tr>
      <w:tr w:rsidR="00FB59BB" w:rsidRPr="00F5772A" w14:paraId="6D3CFEA3" w14:textId="77777777" w:rsidTr="00F5772A">
        <w:trPr>
          <w:trHeight w:val="255"/>
        </w:trPr>
        <w:tc>
          <w:tcPr>
            <w:tcW w:w="1778" w:type="dxa"/>
            <w:tcBorders>
              <w:top w:val="nil"/>
              <w:left w:val="nil"/>
              <w:bottom w:val="nil"/>
              <w:right w:val="nil"/>
            </w:tcBorders>
            <w:shd w:val="clear" w:color="000000" w:fill="DCE6F1"/>
            <w:noWrap/>
            <w:vAlign w:val="center"/>
            <w:hideMark/>
          </w:tcPr>
          <w:p w14:paraId="528F4A9D"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Belgique/België</w:t>
            </w:r>
          </w:p>
        </w:tc>
        <w:tc>
          <w:tcPr>
            <w:tcW w:w="916" w:type="dxa"/>
            <w:tcBorders>
              <w:top w:val="nil"/>
              <w:left w:val="nil"/>
              <w:bottom w:val="nil"/>
              <w:right w:val="nil"/>
            </w:tcBorders>
            <w:shd w:val="clear" w:color="000000" w:fill="DCE6F1"/>
            <w:vAlign w:val="bottom"/>
            <w:hideMark/>
          </w:tcPr>
          <w:p w14:paraId="5E2E4C7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27</w:t>
            </w:r>
          </w:p>
        </w:tc>
        <w:tc>
          <w:tcPr>
            <w:tcW w:w="1417" w:type="dxa"/>
            <w:tcBorders>
              <w:top w:val="nil"/>
              <w:left w:val="nil"/>
              <w:bottom w:val="nil"/>
              <w:right w:val="nil"/>
            </w:tcBorders>
            <w:shd w:val="clear" w:color="000000" w:fill="DCE6F1"/>
            <w:vAlign w:val="bottom"/>
            <w:hideMark/>
          </w:tcPr>
          <w:p w14:paraId="31384C7F" w14:textId="35997612"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786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940</w:t>
            </w:r>
          </w:p>
        </w:tc>
        <w:tc>
          <w:tcPr>
            <w:tcW w:w="851" w:type="dxa"/>
            <w:tcBorders>
              <w:top w:val="nil"/>
              <w:left w:val="nil"/>
              <w:bottom w:val="nil"/>
              <w:right w:val="nil"/>
            </w:tcBorders>
            <w:shd w:val="clear" w:color="000000" w:fill="DCE6F1"/>
            <w:vAlign w:val="bottom"/>
            <w:hideMark/>
          </w:tcPr>
          <w:p w14:paraId="57DB60C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w:t>
            </w:r>
          </w:p>
        </w:tc>
        <w:tc>
          <w:tcPr>
            <w:tcW w:w="1417" w:type="dxa"/>
            <w:tcBorders>
              <w:top w:val="nil"/>
              <w:left w:val="nil"/>
              <w:bottom w:val="nil"/>
              <w:right w:val="nil"/>
            </w:tcBorders>
            <w:shd w:val="clear" w:color="000000" w:fill="DCE6F1"/>
            <w:vAlign w:val="bottom"/>
            <w:hideMark/>
          </w:tcPr>
          <w:p w14:paraId="161BA3EF" w14:textId="4C97349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228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350</w:t>
            </w:r>
          </w:p>
        </w:tc>
        <w:tc>
          <w:tcPr>
            <w:tcW w:w="851" w:type="dxa"/>
            <w:tcBorders>
              <w:top w:val="nil"/>
              <w:left w:val="nil"/>
              <w:bottom w:val="nil"/>
              <w:right w:val="nil"/>
            </w:tcBorders>
            <w:shd w:val="clear" w:color="000000" w:fill="DCE6F1"/>
            <w:vAlign w:val="bottom"/>
            <w:hideMark/>
          </w:tcPr>
          <w:p w14:paraId="3D6CB6CE"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0EADD26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3D6DA3E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32353FF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3FE2B96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34</w:t>
            </w:r>
          </w:p>
        </w:tc>
        <w:tc>
          <w:tcPr>
            <w:tcW w:w="1559" w:type="dxa"/>
            <w:tcBorders>
              <w:top w:val="nil"/>
              <w:left w:val="nil"/>
              <w:bottom w:val="nil"/>
              <w:right w:val="nil"/>
            </w:tcBorders>
            <w:shd w:val="clear" w:color="000000" w:fill="DCE6F1"/>
            <w:vAlign w:val="bottom"/>
            <w:hideMark/>
          </w:tcPr>
          <w:p w14:paraId="77F038E6" w14:textId="6093A7A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015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290</w:t>
            </w:r>
          </w:p>
        </w:tc>
        <w:tc>
          <w:tcPr>
            <w:tcW w:w="1256" w:type="dxa"/>
            <w:tcBorders>
              <w:top w:val="nil"/>
              <w:left w:val="nil"/>
              <w:bottom w:val="nil"/>
              <w:right w:val="nil"/>
            </w:tcBorders>
            <w:shd w:val="clear" w:color="000000" w:fill="DCE6F1"/>
            <w:vAlign w:val="bottom"/>
            <w:hideMark/>
          </w:tcPr>
          <w:p w14:paraId="55C3D97F"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367</w:t>
            </w:r>
          </w:p>
        </w:tc>
        <w:tc>
          <w:tcPr>
            <w:tcW w:w="1279" w:type="dxa"/>
            <w:tcBorders>
              <w:top w:val="nil"/>
              <w:left w:val="nil"/>
              <w:bottom w:val="nil"/>
              <w:right w:val="nil"/>
            </w:tcBorders>
            <w:shd w:val="clear" w:color="000000" w:fill="DCE6F1"/>
            <w:vAlign w:val="bottom"/>
            <w:hideMark/>
          </w:tcPr>
          <w:p w14:paraId="557BC669" w14:textId="6BFD8B2B"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294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779</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485</w:t>
            </w:r>
          </w:p>
        </w:tc>
        <w:tc>
          <w:tcPr>
            <w:tcW w:w="222" w:type="dxa"/>
            <w:vAlign w:val="center"/>
            <w:hideMark/>
          </w:tcPr>
          <w:p w14:paraId="08778BDB" w14:textId="77777777" w:rsidR="00FB59BB" w:rsidRPr="00FB59BB" w:rsidRDefault="00FB59BB" w:rsidP="00FB59BB">
            <w:pPr>
              <w:spacing w:after="0" w:line="240" w:lineRule="auto"/>
              <w:jc w:val="left"/>
              <w:rPr>
                <w:noProof/>
                <w:sz w:val="18"/>
                <w:szCs w:val="18"/>
                <w:lang w:val="en-IE" w:eastAsia="en-IE"/>
              </w:rPr>
            </w:pPr>
          </w:p>
        </w:tc>
      </w:tr>
      <w:tr w:rsidR="00FB59BB" w:rsidRPr="00F5772A" w14:paraId="594474A6" w14:textId="77777777" w:rsidTr="00F5772A">
        <w:trPr>
          <w:trHeight w:val="255"/>
        </w:trPr>
        <w:tc>
          <w:tcPr>
            <w:tcW w:w="1778" w:type="dxa"/>
            <w:tcBorders>
              <w:top w:val="nil"/>
              <w:left w:val="nil"/>
              <w:bottom w:val="nil"/>
              <w:right w:val="nil"/>
            </w:tcBorders>
            <w:shd w:val="clear" w:color="000000" w:fill="FFFFFF"/>
            <w:noWrap/>
            <w:vAlign w:val="center"/>
            <w:hideMark/>
          </w:tcPr>
          <w:p w14:paraId="5801A840"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Bulgaria</w:t>
            </w:r>
          </w:p>
        </w:tc>
        <w:tc>
          <w:tcPr>
            <w:tcW w:w="916" w:type="dxa"/>
            <w:tcBorders>
              <w:top w:val="nil"/>
              <w:left w:val="nil"/>
              <w:bottom w:val="nil"/>
              <w:right w:val="nil"/>
            </w:tcBorders>
            <w:shd w:val="clear" w:color="000000" w:fill="FFFFFF"/>
            <w:vAlign w:val="bottom"/>
            <w:hideMark/>
          </w:tcPr>
          <w:p w14:paraId="52A094F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48</w:t>
            </w:r>
          </w:p>
        </w:tc>
        <w:tc>
          <w:tcPr>
            <w:tcW w:w="1417" w:type="dxa"/>
            <w:tcBorders>
              <w:top w:val="nil"/>
              <w:left w:val="nil"/>
              <w:bottom w:val="nil"/>
              <w:right w:val="nil"/>
            </w:tcBorders>
            <w:shd w:val="clear" w:color="000000" w:fill="FFFFFF"/>
            <w:vAlign w:val="bottom"/>
            <w:hideMark/>
          </w:tcPr>
          <w:p w14:paraId="757F88EA" w14:textId="08BA6C72"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701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441</w:t>
            </w:r>
          </w:p>
        </w:tc>
        <w:tc>
          <w:tcPr>
            <w:tcW w:w="851" w:type="dxa"/>
            <w:tcBorders>
              <w:top w:val="nil"/>
              <w:left w:val="nil"/>
              <w:bottom w:val="nil"/>
              <w:right w:val="nil"/>
            </w:tcBorders>
            <w:shd w:val="clear" w:color="000000" w:fill="FFFFFF"/>
            <w:vAlign w:val="bottom"/>
            <w:hideMark/>
          </w:tcPr>
          <w:p w14:paraId="38B47A4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75</w:t>
            </w:r>
          </w:p>
        </w:tc>
        <w:tc>
          <w:tcPr>
            <w:tcW w:w="1417" w:type="dxa"/>
            <w:tcBorders>
              <w:top w:val="nil"/>
              <w:left w:val="nil"/>
              <w:bottom w:val="nil"/>
              <w:right w:val="nil"/>
            </w:tcBorders>
            <w:shd w:val="clear" w:color="000000" w:fill="FFFFFF"/>
            <w:vAlign w:val="bottom"/>
            <w:hideMark/>
          </w:tcPr>
          <w:p w14:paraId="7EC31C8D" w14:textId="7C869B89"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525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940</w:t>
            </w:r>
          </w:p>
        </w:tc>
        <w:tc>
          <w:tcPr>
            <w:tcW w:w="851" w:type="dxa"/>
            <w:tcBorders>
              <w:top w:val="nil"/>
              <w:left w:val="nil"/>
              <w:bottom w:val="nil"/>
              <w:right w:val="nil"/>
            </w:tcBorders>
            <w:shd w:val="clear" w:color="000000" w:fill="FFFFFF"/>
            <w:vAlign w:val="bottom"/>
            <w:hideMark/>
          </w:tcPr>
          <w:p w14:paraId="1E2B409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FFFFFF"/>
            <w:vAlign w:val="bottom"/>
            <w:hideMark/>
          </w:tcPr>
          <w:p w14:paraId="7C5A966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FFFFFF"/>
            <w:vAlign w:val="bottom"/>
            <w:hideMark/>
          </w:tcPr>
          <w:p w14:paraId="3A48152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7A60543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5C8B435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123</w:t>
            </w:r>
          </w:p>
        </w:tc>
        <w:tc>
          <w:tcPr>
            <w:tcW w:w="1559" w:type="dxa"/>
            <w:tcBorders>
              <w:top w:val="nil"/>
              <w:left w:val="nil"/>
              <w:bottom w:val="nil"/>
              <w:right w:val="nil"/>
            </w:tcBorders>
            <w:shd w:val="clear" w:color="000000" w:fill="FFFFFF"/>
            <w:vAlign w:val="bottom"/>
            <w:hideMark/>
          </w:tcPr>
          <w:p w14:paraId="65A2D1D8" w14:textId="535F124D"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227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381</w:t>
            </w:r>
          </w:p>
        </w:tc>
        <w:tc>
          <w:tcPr>
            <w:tcW w:w="1256" w:type="dxa"/>
            <w:tcBorders>
              <w:top w:val="nil"/>
              <w:left w:val="nil"/>
              <w:bottom w:val="nil"/>
              <w:right w:val="nil"/>
            </w:tcBorders>
            <w:shd w:val="clear" w:color="000000" w:fill="FFFFFF"/>
            <w:vAlign w:val="bottom"/>
            <w:hideMark/>
          </w:tcPr>
          <w:p w14:paraId="32592DA0"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w:t>
            </w:r>
          </w:p>
        </w:tc>
        <w:tc>
          <w:tcPr>
            <w:tcW w:w="1279" w:type="dxa"/>
            <w:tcBorders>
              <w:top w:val="nil"/>
              <w:left w:val="nil"/>
              <w:bottom w:val="nil"/>
              <w:right w:val="nil"/>
            </w:tcBorders>
            <w:shd w:val="clear" w:color="000000" w:fill="FFFFFF"/>
            <w:vAlign w:val="bottom"/>
            <w:hideMark/>
          </w:tcPr>
          <w:p w14:paraId="22382B05" w14:textId="242507B2"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26</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081</w:t>
            </w:r>
          </w:p>
        </w:tc>
        <w:tc>
          <w:tcPr>
            <w:tcW w:w="222" w:type="dxa"/>
            <w:vAlign w:val="center"/>
            <w:hideMark/>
          </w:tcPr>
          <w:p w14:paraId="5FD714C3" w14:textId="77777777" w:rsidR="00FB59BB" w:rsidRPr="00FB59BB" w:rsidRDefault="00FB59BB" w:rsidP="00FB59BB">
            <w:pPr>
              <w:spacing w:after="0" w:line="240" w:lineRule="auto"/>
              <w:jc w:val="left"/>
              <w:rPr>
                <w:noProof/>
                <w:sz w:val="18"/>
                <w:szCs w:val="18"/>
                <w:lang w:val="en-IE" w:eastAsia="en-IE"/>
              </w:rPr>
            </w:pPr>
          </w:p>
        </w:tc>
      </w:tr>
      <w:tr w:rsidR="00FB59BB" w:rsidRPr="00F5772A" w14:paraId="4953520B" w14:textId="77777777" w:rsidTr="00F5772A">
        <w:trPr>
          <w:trHeight w:val="255"/>
        </w:trPr>
        <w:tc>
          <w:tcPr>
            <w:tcW w:w="1778" w:type="dxa"/>
            <w:tcBorders>
              <w:top w:val="nil"/>
              <w:left w:val="nil"/>
              <w:bottom w:val="nil"/>
              <w:right w:val="nil"/>
            </w:tcBorders>
            <w:shd w:val="clear" w:color="000000" w:fill="DCE6F1"/>
            <w:noWrap/>
            <w:vAlign w:val="center"/>
            <w:hideMark/>
          </w:tcPr>
          <w:p w14:paraId="323BEF27"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Ceská republika</w:t>
            </w:r>
          </w:p>
        </w:tc>
        <w:tc>
          <w:tcPr>
            <w:tcW w:w="916" w:type="dxa"/>
            <w:tcBorders>
              <w:top w:val="nil"/>
              <w:left w:val="nil"/>
              <w:bottom w:val="nil"/>
              <w:right w:val="nil"/>
            </w:tcBorders>
            <w:shd w:val="clear" w:color="000000" w:fill="DCE6F1"/>
            <w:vAlign w:val="bottom"/>
            <w:hideMark/>
          </w:tcPr>
          <w:p w14:paraId="405285C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60</w:t>
            </w:r>
          </w:p>
        </w:tc>
        <w:tc>
          <w:tcPr>
            <w:tcW w:w="1417" w:type="dxa"/>
            <w:tcBorders>
              <w:top w:val="nil"/>
              <w:left w:val="nil"/>
              <w:bottom w:val="nil"/>
              <w:right w:val="nil"/>
            </w:tcBorders>
            <w:shd w:val="clear" w:color="000000" w:fill="DCE6F1"/>
            <w:vAlign w:val="bottom"/>
            <w:hideMark/>
          </w:tcPr>
          <w:p w14:paraId="38E22E1B" w14:textId="31D2845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067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477</w:t>
            </w:r>
          </w:p>
        </w:tc>
        <w:tc>
          <w:tcPr>
            <w:tcW w:w="851" w:type="dxa"/>
            <w:tcBorders>
              <w:top w:val="nil"/>
              <w:left w:val="nil"/>
              <w:bottom w:val="nil"/>
              <w:right w:val="nil"/>
            </w:tcBorders>
            <w:shd w:val="clear" w:color="000000" w:fill="DCE6F1"/>
            <w:vAlign w:val="bottom"/>
            <w:hideMark/>
          </w:tcPr>
          <w:p w14:paraId="580F985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270</w:t>
            </w:r>
          </w:p>
        </w:tc>
        <w:tc>
          <w:tcPr>
            <w:tcW w:w="1417" w:type="dxa"/>
            <w:tcBorders>
              <w:top w:val="nil"/>
              <w:left w:val="nil"/>
              <w:bottom w:val="nil"/>
              <w:right w:val="nil"/>
            </w:tcBorders>
            <w:shd w:val="clear" w:color="000000" w:fill="DCE6F1"/>
            <w:vAlign w:val="bottom"/>
            <w:hideMark/>
          </w:tcPr>
          <w:p w14:paraId="695486AA" w14:textId="028D581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368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828</w:t>
            </w:r>
          </w:p>
        </w:tc>
        <w:tc>
          <w:tcPr>
            <w:tcW w:w="851" w:type="dxa"/>
            <w:tcBorders>
              <w:top w:val="nil"/>
              <w:left w:val="nil"/>
              <w:bottom w:val="nil"/>
              <w:right w:val="nil"/>
            </w:tcBorders>
            <w:shd w:val="clear" w:color="000000" w:fill="DCE6F1"/>
            <w:vAlign w:val="bottom"/>
            <w:hideMark/>
          </w:tcPr>
          <w:p w14:paraId="6ABF1D0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w:t>
            </w:r>
          </w:p>
        </w:tc>
        <w:tc>
          <w:tcPr>
            <w:tcW w:w="1275" w:type="dxa"/>
            <w:tcBorders>
              <w:top w:val="nil"/>
              <w:left w:val="nil"/>
              <w:bottom w:val="nil"/>
              <w:right w:val="nil"/>
            </w:tcBorders>
            <w:shd w:val="clear" w:color="000000" w:fill="DCE6F1"/>
            <w:vAlign w:val="bottom"/>
            <w:hideMark/>
          </w:tcPr>
          <w:p w14:paraId="40C92CEC" w14:textId="5FD7F13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114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034</w:t>
            </w:r>
          </w:p>
        </w:tc>
        <w:tc>
          <w:tcPr>
            <w:tcW w:w="993" w:type="dxa"/>
            <w:tcBorders>
              <w:top w:val="nil"/>
              <w:left w:val="nil"/>
              <w:bottom w:val="nil"/>
              <w:right w:val="nil"/>
            </w:tcBorders>
            <w:shd w:val="clear" w:color="000000" w:fill="DCE6F1"/>
            <w:vAlign w:val="bottom"/>
            <w:hideMark/>
          </w:tcPr>
          <w:p w14:paraId="00CD26F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595D75C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717D14A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334</w:t>
            </w:r>
          </w:p>
        </w:tc>
        <w:tc>
          <w:tcPr>
            <w:tcW w:w="1559" w:type="dxa"/>
            <w:tcBorders>
              <w:top w:val="nil"/>
              <w:left w:val="nil"/>
              <w:bottom w:val="nil"/>
              <w:right w:val="nil"/>
            </w:tcBorders>
            <w:shd w:val="clear" w:color="000000" w:fill="DCE6F1"/>
            <w:vAlign w:val="bottom"/>
            <w:hideMark/>
          </w:tcPr>
          <w:p w14:paraId="668E7EDE" w14:textId="62F98E3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550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339</w:t>
            </w:r>
          </w:p>
        </w:tc>
        <w:tc>
          <w:tcPr>
            <w:tcW w:w="1256" w:type="dxa"/>
            <w:tcBorders>
              <w:top w:val="nil"/>
              <w:left w:val="nil"/>
              <w:bottom w:val="nil"/>
              <w:right w:val="nil"/>
            </w:tcBorders>
            <w:shd w:val="clear" w:color="000000" w:fill="DCE6F1"/>
            <w:vAlign w:val="bottom"/>
            <w:hideMark/>
          </w:tcPr>
          <w:p w14:paraId="03A60503"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59</w:t>
            </w:r>
          </w:p>
        </w:tc>
        <w:tc>
          <w:tcPr>
            <w:tcW w:w="1279" w:type="dxa"/>
            <w:tcBorders>
              <w:top w:val="nil"/>
              <w:left w:val="nil"/>
              <w:bottom w:val="nil"/>
              <w:right w:val="nil"/>
            </w:tcBorders>
            <w:shd w:val="clear" w:color="000000" w:fill="DCE6F1"/>
            <w:vAlign w:val="bottom"/>
            <w:hideMark/>
          </w:tcPr>
          <w:p w14:paraId="131AE8F5" w14:textId="2D5CDAA8"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994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884</w:t>
            </w:r>
          </w:p>
        </w:tc>
        <w:tc>
          <w:tcPr>
            <w:tcW w:w="222" w:type="dxa"/>
            <w:vAlign w:val="center"/>
            <w:hideMark/>
          </w:tcPr>
          <w:p w14:paraId="0A67C092" w14:textId="77777777" w:rsidR="00FB59BB" w:rsidRPr="00FB59BB" w:rsidRDefault="00FB59BB" w:rsidP="00FB59BB">
            <w:pPr>
              <w:spacing w:after="0" w:line="240" w:lineRule="auto"/>
              <w:jc w:val="left"/>
              <w:rPr>
                <w:noProof/>
                <w:sz w:val="18"/>
                <w:szCs w:val="18"/>
                <w:lang w:val="en-IE" w:eastAsia="en-IE"/>
              </w:rPr>
            </w:pPr>
          </w:p>
        </w:tc>
      </w:tr>
      <w:tr w:rsidR="00FB59BB" w:rsidRPr="00F5772A" w14:paraId="24C8407F" w14:textId="77777777" w:rsidTr="00F5772A">
        <w:trPr>
          <w:trHeight w:val="255"/>
        </w:trPr>
        <w:tc>
          <w:tcPr>
            <w:tcW w:w="1778" w:type="dxa"/>
            <w:tcBorders>
              <w:top w:val="nil"/>
              <w:left w:val="nil"/>
              <w:bottom w:val="nil"/>
              <w:right w:val="nil"/>
            </w:tcBorders>
            <w:shd w:val="clear" w:color="000000" w:fill="FFFFFF"/>
            <w:noWrap/>
            <w:vAlign w:val="center"/>
            <w:hideMark/>
          </w:tcPr>
          <w:p w14:paraId="1C7F41E5"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Danmark</w:t>
            </w:r>
          </w:p>
        </w:tc>
        <w:tc>
          <w:tcPr>
            <w:tcW w:w="916" w:type="dxa"/>
            <w:tcBorders>
              <w:top w:val="nil"/>
              <w:left w:val="nil"/>
              <w:bottom w:val="nil"/>
              <w:right w:val="nil"/>
            </w:tcBorders>
            <w:shd w:val="clear" w:color="000000" w:fill="FFFFFF"/>
            <w:vAlign w:val="bottom"/>
            <w:hideMark/>
          </w:tcPr>
          <w:p w14:paraId="590FB61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41</w:t>
            </w:r>
          </w:p>
        </w:tc>
        <w:tc>
          <w:tcPr>
            <w:tcW w:w="1417" w:type="dxa"/>
            <w:tcBorders>
              <w:top w:val="nil"/>
              <w:left w:val="nil"/>
              <w:bottom w:val="nil"/>
              <w:right w:val="nil"/>
            </w:tcBorders>
            <w:shd w:val="clear" w:color="000000" w:fill="FFFFFF"/>
            <w:vAlign w:val="bottom"/>
            <w:hideMark/>
          </w:tcPr>
          <w:p w14:paraId="4ACAAB7D" w14:textId="32BEC65B"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498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377</w:t>
            </w:r>
          </w:p>
        </w:tc>
        <w:tc>
          <w:tcPr>
            <w:tcW w:w="851" w:type="dxa"/>
            <w:tcBorders>
              <w:top w:val="nil"/>
              <w:left w:val="nil"/>
              <w:bottom w:val="nil"/>
              <w:right w:val="nil"/>
            </w:tcBorders>
            <w:shd w:val="clear" w:color="000000" w:fill="FFFFFF"/>
            <w:vAlign w:val="bottom"/>
            <w:hideMark/>
          </w:tcPr>
          <w:p w14:paraId="5C21A74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11</w:t>
            </w:r>
          </w:p>
        </w:tc>
        <w:tc>
          <w:tcPr>
            <w:tcW w:w="1417" w:type="dxa"/>
            <w:tcBorders>
              <w:top w:val="nil"/>
              <w:left w:val="nil"/>
              <w:bottom w:val="nil"/>
              <w:right w:val="nil"/>
            </w:tcBorders>
            <w:shd w:val="clear" w:color="000000" w:fill="FFFFFF"/>
            <w:vAlign w:val="bottom"/>
            <w:hideMark/>
          </w:tcPr>
          <w:p w14:paraId="121B834C" w14:textId="4A31021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593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772</w:t>
            </w:r>
          </w:p>
        </w:tc>
        <w:tc>
          <w:tcPr>
            <w:tcW w:w="851" w:type="dxa"/>
            <w:tcBorders>
              <w:top w:val="nil"/>
              <w:left w:val="nil"/>
              <w:bottom w:val="nil"/>
              <w:right w:val="nil"/>
            </w:tcBorders>
            <w:shd w:val="clear" w:color="000000" w:fill="FFFFFF"/>
            <w:vAlign w:val="bottom"/>
            <w:hideMark/>
          </w:tcPr>
          <w:p w14:paraId="4488C40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FFFFFF"/>
            <w:vAlign w:val="bottom"/>
            <w:hideMark/>
          </w:tcPr>
          <w:p w14:paraId="4DD58DC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FFFFFF"/>
            <w:vAlign w:val="bottom"/>
            <w:hideMark/>
          </w:tcPr>
          <w:p w14:paraId="14ACAC1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3F539D7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05CBC7C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52</w:t>
            </w:r>
          </w:p>
        </w:tc>
        <w:tc>
          <w:tcPr>
            <w:tcW w:w="1559" w:type="dxa"/>
            <w:tcBorders>
              <w:top w:val="nil"/>
              <w:left w:val="nil"/>
              <w:bottom w:val="nil"/>
              <w:right w:val="nil"/>
            </w:tcBorders>
            <w:shd w:val="clear" w:color="000000" w:fill="FFFFFF"/>
            <w:vAlign w:val="bottom"/>
            <w:hideMark/>
          </w:tcPr>
          <w:p w14:paraId="75BBDAF5" w14:textId="77BB91A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092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150</w:t>
            </w:r>
          </w:p>
        </w:tc>
        <w:tc>
          <w:tcPr>
            <w:tcW w:w="1256" w:type="dxa"/>
            <w:tcBorders>
              <w:top w:val="nil"/>
              <w:left w:val="nil"/>
              <w:bottom w:val="nil"/>
              <w:right w:val="nil"/>
            </w:tcBorders>
            <w:shd w:val="clear" w:color="000000" w:fill="FFFFFF"/>
            <w:vAlign w:val="bottom"/>
            <w:hideMark/>
          </w:tcPr>
          <w:p w14:paraId="42CBD5A6"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109</w:t>
            </w:r>
          </w:p>
        </w:tc>
        <w:tc>
          <w:tcPr>
            <w:tcW w:w="1279" w:type="dxa"/>
            <w:tcBorders>
              <w:top w:val="nil"/>
              <w:left w:val="nil"/>
              <w:bottom w:val="nil"/>
              <w:right w:val="nil"/>
            </w:tcBorders>
            <w:shd w:val="clear" w:color="000000" w:fill="FFFFFF"/>
            <w:vAlign w:val="bottom"/>
            <w:hideMark/>
          </w:tcPr>
          <w:p w14:paraId="20D029D5" w14:textId="79A21938"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15</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412</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614</w:t>
            </w:r>
          </w:p>
        </w:tc>
        <w:tc>
          <w:tcPr>
            <w:tcW w:w="222" w:type="dxa"/>
            <w:vAlign w:val="center"/>
            <w:hideMark/>
          </w:tcPr>
          <w:p w14:paraId="6CE192C3" w14:textId="77777777" w:rsidR="00FB59BB" w:rsidRPr="00FB59BB" w:rsidRDefault="00FB59BB" w:rsidP="00FB59BB">
            <w:pPr>
              <w:spacing w:after="0" w:line="240" w:lineRule="auto"/>
              <w:jc w:val="left"/>
              <w:rPr>
                <w:noProof/>
                <w:sz w:val="18"/>
                <w:szCs w:val="18"/>
                <w:lang w:val="en-IE" w:eastAsia="en-IE"/>
              </w:rPr>
            </w:pPr>
          </w:p>
        </w:tc>
      </w:tr>
      <w:tr w:rsidR="00FB59BB" w:rsidRPr="00F5772A" w14:paraId="4F8D656C" w14:textId="77777777" w:rsidTr="00F5772A">
        <w:trPr>
          <w:trHeight w:val="255"/>
        </w:trPr>
        <w:tc>
          <w:tcPr>
            <w:tcW w:w="1778" w:type="dxa"/>
            <w:tcBorders>
              <w:top w:val="nil"/>
              <w:left w:val="nil"/>
              <w:bottom w:val="nil"/>
              <w:right w:val="nil"/>
            </w:tcBorders>
            <w:shd w:val="clear" w:color="000000" w:fill="DCE6F1"/>
            <w:noWrap/>
            <w:vAlign w:val="center"/>
            <w:hideMark/>
          </w:tcPr>
          <w:p w14:paraId="315F1324"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Deutschland</w:t>
            </w:r>
          </w:p>
        </w:tc>
        <w:tc>
          <w:tcPr>
            <w:tcW w:w="916" w:type="dxa"/>
            <w:tcBorders>
              <w:top w:val="nil"/>
              <w:left w:val="nil"/>
              <w:bottom w:val="nil"/>
              <w:right w:val="nil"/>
            </w:tcBorders>
            <w:shd w:val="clear" w:color="000000" w:fill="DCE6F1"/>
            <w:vAlign w:val="bottom"/>
            <w:hideMark/>
          </w:tcPr>
          <w:p w14:paraId="276E1F1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171</w:t>
            </w:r>
          </w:p>
        </w:tc>
        <w:tc>
          <w:tcPr>
            <w:tcW w:w="1417" w:type="dxa"/>
            <w:tcBorders>
              <w:top w:val="nil"/>
              <w:left w:val="nil"/>
              <w:bottom w:val="nil"/>
              <w:right w:val="nil"/>
            </w:tcBorders>
            <w:shd w:val="clear" w:color="000000" w:fill="DCE6F1"/>
            <w:vAlign w:val="bottom"/>
            <w:hideMark/>
          </w:tcPr>
          <w:p w14:paraId="46ABE5D0" w14:textId="5FC449A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057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601</w:t>
            </w:r>
          </w:p>
        </w:tc>
        <w:tc>
          <w:tcPr>
            <w:tcW w:w="851" w:type="dxa"/>
            <w:tcBorders>
              <w:top w:val="nil"/>
              <w:left w:val="nil"/>
              <w:bottom w:val="nil"/>
              <w:right w:val="nil"/>
            </w:tcBorders>
            <w:shd w:val="clear" w:color="000000" w:fill="DCE6F1"/>
            <w:vAlign w:val="bottom"/>
            <w:hideMark/>
          </w:tcPr>
          <w:p w14:paraId="4B9C2D5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102</w:t>
            </w:r>
          </w:p>
        </w:tc>
        <w:tc>
          <w:tcPr>
            <w:tcW w:w="1417" w:type="dxa"/>
            <w:tcBorders>
              <w:top w:val="nil"/>
              <w:left w:val="nil"/>
              <w:bottom w:val="nil"/>
              <w:right w:val="nil"/>
            </w:tcBorders>
            <w:shd w:val="clear" w:color="000000" w:fill="DCE6F1"/>
            <w:vAlign w:val="bottom"/>
            <w:hideMark/>
          </w:tcPr>
          <w:p w14:paraId="41840EBD" w14:textId="422FF65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885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306</w:t>
            </w:r>
          </w:p>
        </w:tc>
        <w:tc>
          <w:tcPr>
            <w:tcW w:w="851" w:type="dxa"/>
            <w:tcBorders>
              <w:top w:val="nil"/>
              <w:left w:val="nil"/>
              <w:bottom w:val="nil"/>
              <w:right w:val="nil"/>
            </w:tcBorders>
            <w:shd w:val="clear" w:color="000000" w:fill="DCE6F1"/>
            <w:vAlign w:val="bottom"/>
            <w:hideMark/>
          </w:tcPr>
          <w:p w14:paraId="023641F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p>
        </w:tc>
        <w:tc>
          <w:tcPr>
            <w:tcW w:w="1275" w:type="dxa"/>
            <w:tcBorders>
              <w:top w:val="nil"/>
              <w:left w:val="nil"/>
              <w:bottom w:val="nil"/>
              <w:right w:val="nil"/>
            </w:tcBorders>
            <w:shd w:val="clear" w:color="000000" w:fill="DCE6F1"/>
            <w:vAlign w:val="bottom"/>
            <w:hideMark/>
          </w:tcPr>
          <w:p w14:paraId="768DDB13" w14:textId="48BF464B"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486</w:t>
            </w:r>
          </w:p>
        </w:tc>
        <w:tc>
          <w:tcPr>
            <w:tcW w:w="993" w:type="dxa"/>
            <w:tcBorders>
              <w:top w:val="nil"/>
              <w:left w:val="nil"/>
              <w:bottom w:val="nil"/>
              <w:right w:val="nil"/>
            </w:tcBorders>
            <w:shd w:val="clear" w:color="000000" w:fill="DCE6F1"/>
            <w:vAlign w:val="bottom"/>
            <w:hideMark/>
          </w:tcPr>
          <w:p w14:paraId="3B1A5E2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7D9A6DC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28718DC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276</w:t>
            </w:r>
          </w:p>
        </w:tc>
        <w:tc>
          <w:tcPr>
            <w:tcW w:w="1559" w:type="dxa"/>
            <w:tcBorders>
              <w:top w:val="nil"/>
              <w:left w:val="nil"/>
              <w:bottom w:val="nil"/>
              <w:right w:val="nil"/>
            </w:tcBorders>
            <w:shd w:val="clear" w:color="000000" w:fill="DCE6F1"/>
            <w:vAlign w:val="bottom"/>
            <w:hideMark/>
          </w:tcPr>
          <w:p w14:paraId="2759177C" w14:textId="427B5BF6"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003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393</w:t>
            </w:r>
          </w:p>
        </w:tc>
        <w:tc>
          <w:tcPr>
            <w:tcW w:w="1256" w:type="dxa"/>
            <w:tcBorders>
              <w:top w:val="nil"/>
              <w:left w:val="nil"/>
              <w:bottom w:val="nil"/>
              <w:right w:val="nil"/>
            </w:tcBorders>
            <w:shd w:val="clear" w:color="000000" w:fill="DCE6F1"/>
            <w:vAlign w:val="bottom"/>
            <w:hideMark/>
          </w:tcPr>
          <w:p w14:paraId="1FE6C41E" w14:textId="06497D16"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612</w:t>
            </w:r>
          </w:p>
        </w:tc>
        <w:tc>
          <w:tcPr>
            <w:tcW w:w="1279" w:type="dxa"/>
            <w:tcBorders>
              <w:top w:val="nil"/>
              <w:left w:val="nil"/>
              <w:bottom w:val="nil"/>
              <w:right w:val="nil"/>
            </w:tcBorders>
            <w:shd w:val="clear" w:color="000000" w:fill="DCE6F1"/>
            <w:vAlign w:val="bottom"/>
            <w:hideMark/>
          </w:tcPr>
          <w:p w14:paraId="72FE8518" w14:textId="7162CEDD"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167</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011</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186</w:t>
            </w:r>
          </w:p>
        </w:tc>
        <w:tc>
          <w:tcPr>
            <w:tcW w:w="222" w:type="dxa"/>
            <w:vAlign w:val="center"/>
            <w:hideMark/>
          </w:tcPr>
          <w:p w14:paraId="2944CD86" w14:textId="77777777" w:rsidR="00FB59BB" w:rsidRPr="00FB59BB" w:rsidRDefault="00FB59BB" w:rsidP="00FB59BB">
            <w:pPr>
              <w:spacing w:after="0" w:line="240" w:lineRule="auto"/>
              <w:jc w:val="left"/>
              <w:rPr>
                <w:noProof/>
                <w:sz w:val="18"/>
                <w:szCs w:val="18"/>
                <w:lang w:val="en-IE" w:eastAsia="en-IE"/>
              </w:rPr>
            </w:pPr>
          </w:p>
        </w:tc>
      </w:tr>
      <w:tr w:rsidR="00FB59BB" w:rsidRPr="00F5772A" w14:paraId="2BB862CA" w14:textId="77777777" w:rsidTr="00F5772A">
        <w:trPr>
          <w:trHeight w:val="255"/>
        </w:trPr>
        <w:tc>
          <w:tcPr>
            <w:tcW w:w="1778" w:type="dxa"/>
            <w:tcBorders>
              <w:top w:val="nil"/>
              <w:left w:val="nil"/>
              <w:bottom w:val="nil"/>
              <w:right w:val="nil"/>
            </w:tcBorders>
            <w:shd w:val="clear" w:color="000000" w:fill="FFFFFF"/>
            <w:noWrap/>
            <w:vAlign w:val="center"/>
            <w:hideMark/>
          </w:tcPr>
          <w:p w14:paraId="7E78AE9B"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Eesti</w:t>
            </w:r>
          </w:p>
        </w:tc>
        <w:tc>
          <w:tcPr>
            <w:tcW w:w="916" w:type="dxa"/>
            <w:tcBorders>
              <w:top w:val="nil"/>
              <w:left w:val="nil"/>
              <w:bottom w:val="nil"/>
              <w:right w:val="nil"/>
            </w:tcBorders>
            <w:shd w:val="clear" w:color="000000" w:fill="FFFFFF"/>
            <w:vAlign w:val="bottom"/>
            <w:hideMark/>
          </w:tcPr>
          <w:p w14:paraId="76CF705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31</w:t>
            </w:r>
          </w:p>
        </w:tc>
        <w:tc>
          <w:tcPr>
            <w:tcW w:w="1417" w:type="dxa"/>
            <w:tcBorders>
              <w:top w:val="nil"/>
              <w:left w:val="nil"/>
              <w:bottom w:val="nil"/>
              <w:right w:val="nil"/>
            </w:tcBorders>
            <w:shd w:val="clear" w:color="000000" w:fill="FFFFFF"/>
            <w:vAlign w:val="bottom"/>
            <w:hideMark/>
          </w:tcPr>
          <w:p w14:paraId="0F166399" w14:textId="35C0C9B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610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274</w:t>
            </w:r>
          </w:p>
        </w:tc>
        <w:tc>
          <w:tcPr>
            <w:tcW w:w="851" w:type="dxa"/>
            <w:tcBorders>
              <w:top w:val="nil"/>
              <w:left w:val="nil"/>
              <w:bottom w:val="nil"/>
              <w:right w:val="nil"/>
            </w:tcBorders>
            <w:shd w:val="clear" w:color="000000" w:fill="FFFFFF"/>
            <w:vAlign w:val="bottom"/>
            <w:hideMark/>
          </w:tcPr>
          <w:p w14:paraId="68F7A6E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45</w:t>
            </w:r>
          </w:p>
        </w:tc>
        <w:tc>
          <w:tcPr>
            <w:tcW w:w="1417" w:type="dxa"/>
            <w:tcBorders>
              <w:top w:val="nil"/>
              <w:left w:val="nil"/>
              <w:bottom w:val="nil"/>
              <w:right w:val="nil"/>
            </w:tcBorders>
            <w:shd w:val="clear" w:color="000000" w:fill="FFFFFF"/>
            <w:vAlign w:val="bottom"/>
            <w:hideMark/>
          </w:tcPr>
          <w:p w14:paraId="7FCA6F83" w14:textId="6A65258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285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527</w:t>
            </w:r>
          </w:p>
        </w:tc>
        <w:tc>
          <w:tcPr>
            <w:tcW w:w="851" w:type="dxa"/>
            <w:tcBorders>
              <w:top w:val="nil"/>
              <w:left w:val="nil"/>
              <w:bottom w:val="nil"/>
              <w:right w:val="nil"/>
            </w:tcBorders>
            <w:shd w:val="clear" w:color="000000" w:fill="FFFFFF"/>
            <w:vAlign w:val="bottom"/>
            <w:hideMark/>
          </w:tcPr>
          <w:p w14:paraId="1424EA0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9</w:t>
            </w:r>
          </w:p>
        </w:tc>
        <w:tc>
          <w:tcPr>
            <w:tcW w:w="1275" w:type="dxa"/>
            <w:tcBorders>
              <w:top w:val="nil"/>
              <w:left w:val="nil"/>
              <w:bottom w:val="nil"/>
              <w:right w:val="nil"/>
            </w:tcBorders>
            <w:shd w:val="clear" w:color="000000" w:fill="FFFFFF"/>
            <w:vAlign w:val="bottom"/>
            <w:hideMark/>
          </w:tcPr>
          <w:p w14:paraId="6731F41D" w14:textId="21BA63FC"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218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145</w:t>
            </w:r>
          </w:p>
        </w:tc>
        <w:tc>
          <w:tcPr>
            <w:tcW w:w="993" w:type="dxa"/>
            <w:tcBorders>
              <w:top w:val="nil"/>
              <w:left w:val="nil"/>
              <w:bottom w:val="nil"/>
              <w:right w:val="nil"/>
            </w:tcBorders>
            <w:shd w:val="clear" w:color="000000" w:fill="FFFFFF"/>
            <w:vAlign w:val="bottom"/>
            <w:hideMark/>
          </w:tcPr>
          <w:p w14:paraId="026EEEE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74CEE84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40B1008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85</w:t>
            </w:r>
          </w:p>
        </w:tc>
        <w:tc>
          <w:tcPr>
            <w:tcW w:w="1559" w:type="dxa"/>
            <w:tcBorders>
              <w:top w:val="nil"/>
              <w:left w:val="nil"/>
              <w:bottom w:val="nil"/>
              <w:right w:val="nil"/>
            </w:tcBorders>
            <w:shd w:val="clear" w:color="000000" w:fill="FFFFFF"/>
            <w:vAlign w:val="bottom"/>
            <w:hideMark/>
          </w:tcPr>
          <w:p w14:paraId="616CF4DB" w14:textId="3CC10B61"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113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945</w:t>
            </w:r>
          </w:p>
        </w:tc>
        <w:tc>
          <w:tcPr>
            <w:tcW w:w="1256" w:type="dxa"/>
            <w:tcBorders>
              <w:top w:val="nil"/>
              <w:left w:val="nil"/>
              <w:bottom w:val="nil"/>
              <w:right w:val="nil"/>
            </w:tcBorders>
            <w:shd w:val="clear" w:color="000000" w:fill="FFFFFF"/>
            <w:vAlign w:val="bottom"/>
            <w:hideMark/>
          </w:tcPr>
          <w:p w14:paraId="2BFA64E7"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w:t>
            </w:r>
          </w:p>
        </w:tc>
        <w:tc>
          <w:tcPr>
            <w:tcW w:w="1279" w:type="dxa"/>
            <w:tcBorders>
              <w:top w:val="nil"/>
              <w:left w:val="nil"/>
              <w:bottom w:val="nil"/>
              <w:right w:val="nil"/>
            </w:tcBorders>
            <w:shd w:val="clear" w:color="000000" w:fill="FFFFFF"/>
            <w:vAlign w:val="bottom"/>
            <w:hideMark/>
          </w:tcPr>
          <w:p w14:paraId="3FFDC89C" w14:textId="70ECDBE0"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384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048</w:t>
            </w:r>
          </w:p>
        </w:tc>
        <w:tc>
          <w:tcPr>
            <w:tcW w:w="222" w:type="dxa"/>
            <w:vAlign w:val="center"/>
            <w:hideMark/>
          </w:tcPr>
          <w:p w14:paraId="0605E895" w14:textId="77777777" w:rsidR="00FB59BB" w:rsidRPr="00FB59BB" w:rsidRDefault="00FB59BB" w:rsidP="00FB59BB">
            <w:pPr>
              <w:spacing w:after="0" w:line="240" w:lineRule="auto"/>
              <w:jc w:val="left"/>
              <w:rPr>
                <w:noProof/>
                <w:sz w:val="18"/>
                <w:szCs w:val="18"/>
                <w:lang w:val="en-IE" w:eastAsia="en-IE"/>
              </w:rPr>
            </w:pPr>
          </w:p>
        </w:tc>
      </w:tr>
      <w:tr w:rsidR="00FB59BB" w:rsidRPr="00F5772A" w14:paraId="2928B339" w14:textId="77777777" w:rsidTr="00F5772A">
        <w:trPr>
          <w:trHeight w:val="255"/>
        </w:trPr>
        <w:tc>
          <w:tcPr>
            <w:tcW w:w="1778" w:type="dxa"/>
            <w:tcBorders>
              <w:top w:val="nil"/>
              <w:left w:val="nil"/>
              <w:bottom w:val="nil"/>
              <w:right w:val="nil"/>
            </w:tcBorders>
            <w:shd w:val="clear" w:color="000000" w:fill="DCE6F1"/>
            <w:noWrap/>
            <w:vAlign w:val="center"/>
            <w:hideMark/>
          </w:tcPr>
          <w:p w14:paraId="5BB29DDF"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Éire/Ireland</w:t>
            </w:r>
          </w:p>
        </w:tc>
        <w:tc>
          <w:tcPr>
            <w:tcW w:w="916" w:type="dxa"/>
            <w:tcBorders>
              <w:top w:val="nil"/>
              <w:left w:val="nil"/>
              <w:bottom w:val="nil"/>
              <w:right w:val="nil"/>
            </w:tcBorders>
            <w:shd w:val="clear" w:color="000000" w:fill="DCE6F1"/>
            <w:vAlign w:val="bottom"/>
            <w:hideMark/>
          </w:tcPr>
          <w:p w14:paraId="6E5F609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417" w:type="dxa"/>
            <w:tcBorders>
              <w:top w:val="nil"/>
              <w:left w:val="nil"/>
              <w:bottom w:val="nil"/>
              <w:right w:val="nil"/>
            </w:tcBorders>
            <w:shd w:val="clear" w:color="000000" w:fill="DCE6F1"/>
            <w:vAlign w:val="bottom"/>
            <w:hideMark/>
          </w:tcPr>
          <w:p w14:paraId="5C09158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851" w:type="dxa"/>
            <w:tcBorders>
              <w:top w:val="nil"/>
              <w:left w:val="nil"/>
              <w:bottom w:val="nil"/>
              <w:right w:val="nil"/>
            </w:tcBorders>
            <w:shd w:val="clear" w:color="000000" w:fill="DCE6F1"/>
            <w:vAlign w:val="bottom"/>
            <w:hideMark/>
          </w:tcPr>
          <w:p w14:paraId="638C07B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w:t>
            </w:r>
          </w:p>
        </w:tc>
        <w:tc>
          <w:tcPr>
            <w:tcW w:w="1417" w:type="dxa"/>
            <w:tcBorders>
              <w:top w:val="nil"/>
              <w:left w:val="nil"/>
              <w:bottom w:val="nil"/>
              <w:right w:val="nil"/>
            </w:tcBorders>
            <w:shd w:val="clear" w:color="000000" w:fill="DCE6F1"/>
            <w:vAlign w:val="bottom"/>
            <w:hideMark/>
          </w:tcPr>
          <w:p w14:paraId="0E10638E" w14:textId="4D14088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737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811</w:t>
            </w:r>
          </w:p>
        </w:tc>
        <w:tc>
          <w:tcPr>
            <w:tcW w:w="851" w:type="dxa"/>
            <w:tcBorders>
              <w:top w:val="nil"/>
              <w:left w:val="nil"/>
              <w:bottom w:val="nil"/>
              <w:right w:val="nil"/>
            </w:tcBorders>
            <w:shd w:val="clear" w:color="000000" w:fill="DCE6F1"/>
            <w:vAlign w:val="bottom"/>
            <w:hideMark/>
          </w:tcPr>
          <w:p w14:paraId="25C7E5E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p>
        </w:tc>
        <w:tc>
          <w:tcPr>
            <w:tcW w:w="1275" w:type="dxa"/>
            <w:tcBorders>
              <w:top w:val="nil"/>
              <w:left w:val="nil"/>
              <w:bottom w:val="nil"/>
              <w:right w:val="nil"/>
            </w:tcBorders>
            <w:shd w:val="clear" w:color="000000" w:fill="DCE6F1"/>
            <w:vAlign w:val="bottom"/>
            <w:hideMark/>
          </w:tcPr>
          <w:p w14:paraId="00CC7670" w14:textId="7F7BF67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543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161</w:t>
            </w:r>
          </w:p>
        </w:tc>
        <w:tc>
          <w:tcPr>
            <w:tcW w:w="993" w:type="dxa"/>
            <w:tcBorders>
              <w:top w:val="nil"/>
              <w:left w:val="nil"/>
              <w:bottom w:val="nil"/>
              <w:right w:val="nil"/>
            </w:tcBorders>
            <w:shd w:val="clear" w:color="000000" w:fill="DCE6F1"/>
            <w:vAlign w:val="bottom"/>
            <w:hideMark/>
          </w:tcPr>
          <w:p w14:paraId="3EE8692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7516B51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032D1F7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w:t>
            </w:r>
          </w:p>
        </w:tc>
        <w:tc>
          <w:tcPr>
            <w:tcW w:w="1559" w:type="dxa"/>
            <w:tcBorders>
              <w:top w:val="nil"/>
              <w:left w:val="nil"/>
              <w:bottom w:val="nil"/>
              <w:right w:val="nil"/>
            </w:tcBorders>
            <w:shd w:val="clear" w:color="000000" w:fill="DCE6F1"/>
            <w:vAlign w:val="bottom"/>
            <w:hideMark/>
          </w:tcPr>
          <w:p w14:paraId="751C4355" w14:textId="08308F9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280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972</w:t>
            </w:r>
          </w:p>
        </w:tc>
        <w:tc>
          <w:tcPr>
            <w:tcW w:w="1256" w:type="dxa"/>
            <w:tcBorders>
              <w:top w:val="nil"/>
              <w:left w:val="nil"/>
              <w:bottom w:val="nil"/>
              <w:right w:val="nil"/>
            </w:tcBorders>
            <w:shd w:val="clear" w:color="000000" w:fill="DCE6F1"/>
            <w:vAlign w:val="bottom"/>
            <w:hideMark/>
          </w:tcPr>
          <w:p w14:paraId="58501BCD"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45</w:t>
            </w:r>
          </w:p>
        </w:tc>
        <w:tc>
          <w:tcPr>
            <w:tcW w:w="1279" w:type="dxa"/>
            <w:tcBorders>
              <w:top w:val="nil"/>
              <w:left w:val="nil"/>
              <w:bottom w:val="nil"/>
              <w:right w:val="nil"/>
            </w:tcBorders>
            <w:shd w:val="clear" w:color="000000" w:fill="DCE6F1"/>
            <w:vAlign w:val="bottom"/>
            <w:hideMark/>
          </w:tcPr>
          <w:p w14:paraId="14476510" w14:textId="11F2E724"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139</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053</w:t>
            </w:r>
          </w:p>
        </w:tc>
        <w:tc>
          <w:tcPr>
            <w:tcW w:w="222" w:type="dxa"/>
            <w:vAlign w:val="center"/>
            <w:hideMark/>
          </w:tcPr>
          <w:p w14:paraId="11FCC545" w14:textId="77777777" w:rsidR="00FB59BB" w:rsidRPr="00FB59BB" w:rsidRDefault="00FB59BB" w:rsidP="00FB59BB">
            <w:pPr>
              <w:spacing w:after="0" w:line="240" w:lineRule="auto"/>
              <w:jc w:val="left"/>
              <w:rPr>
                <w:noProof/>
                <w:sz w:val="18"/>
                <w:szCs w:val="18"/>
                <w:lang w:val="en-IE" w:eastAsia="en-IE"/>
              </w:rPr>
            </w:pPr>
          </w:p>
        </w:tc>
      </w:tr>
      <w:tr w:rsidR="00FB59BB" w:rsidRPr="00F5772A" w14:paraId="72579C3B" w14:textId="77777777" w:rsidTr="00F5772A">
        <w:trPr>
          <w:trHeight w:val="300"/>
        </w:trPr>
        <w:tc>
          <w:tcPr>
            <w:tcW w:w="1778" w:type="dxa"/>
            <w:tcBorders>
              <w:top w:val="nil"/>
              <w:left w:val="nil"/>
              <w:bottom w:val="nil"/>
              <w:right w:val="nil"/>
            </w:tcBorders>
            <w:shd w:val="clear" w:color="000000" w:fill="FFFFFF"/>
            <w:noWrap/>
            <w:vAlign w:val="center"/>
            <w:hideMark/>
          </w:tcPr>
          <w:p w14:paraId="19704C4E"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Ellada</w:t>
            </w:r>
          </w:p>
        </w:tc>
        <w:tc>
          <w:tcPr>
            <w:tcW w:w="916" w:type="dxa"/>
            <w:tcBorders>
              <w:top w:val="nil"/>
              <w:left w:val="nil"/>
              <w:bottom w:val="nil"/>
              <w:right w:val="nil"/>
            </w:tcBorders>
            <w:shd w:val="clear" w:color="000000" w:fill="FFFFFF"/>
            <w:vAlign w:val="bottom"/>
            <w:hideMark/>
          </w:tcPr>
          <w:p w14:paraId="042C017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182</w:t>
            </w:r>
          </w:p>
        </w:tc>
        <w:tc>
          <w:tcPr>
            <w:tcW w:w="1417" w:type="dxa"/>
            <w:tcBorders>
              <w:top w:val="nil"/>
              <w:left w:val="nil"/>
              <w:bottom w:val="nil"/>
              <w:right w:val="nil"/>
            </w:tcBorders>
            <w:shd w:val="clear" w:color="000000" w:fill="FFFFFF"/>
            <w:vAlign w:val="bottom"/>
            <w:hideMark/>
          </w:tcPr>
          <w:p w14:paraId="2740DD64" w14:textId="2760057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464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111</w:t>
            </w:r>
          </w:p>
        </w:tc>
        <w:tc>
          <w:tcPr>
            <w:tcW w:w="851" w:type="dxa"/>
            <w:tcBorders>
              <w:top w:val="nil"/>
              <w:left w:val="nil"/>
              <w:bottom w:val="nil"/>
              <w:right w:val="nil"/>
            </w:tcBorders>
            <w:shd w:val="clear" w:color="000000" w:fill="FFFFFF"/>
            <w:vAlign w:val="bottom"/>
            <w:hideMark/>
          </w:tcPr>
          <w:p w14:paraId="7E7A10C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212</w:t>
            </w:r>
          </w:p>
        </w:tc>
        <w:tc>
          <w:tcPr>
            <w:tcW w:w="1417" w:type="dxa"/>
            <w:tcBorders>
              <w:top w:val="nil"/>
              <w:left w:val="nil"/>
              <w:bottom w:val="nil"/>
              <w:right w:val="nil"/>
            </w:tcBorders>
            <w:shd w:val="clear" w:color="000000" w:fill="FFFFFF"/>
            <w:vAlign w:val="bottom"/>
            <w:hideMark/>
          </w:tcPr>
          <w:p w14:paraId="2BE29F20" w14:textId="4947F20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006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201</w:t>
            </w:r>
          </w:p>
        </w:tc>
        <w:tc>
          <w:tcPr>
            <w:tcW w:w="851" w:type="dxa"/>
            <w:tcBorders>
              <w:top w:val="nil"/>
              <w:left w:val="nil"/>
              <w:bottom w:val="nil"/>
              <w:right w:val="nil"/>
            </w:tcBorders>
            <w:shd w:val="clear" w:color="000000" w:fill="FFFFFF"/>
            <w:vAlign w:val="bottom"/>
            <w:hideMark/>
          </w:tcPr>
          <w:p w14:paraId="2FFF59C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12</w:t>
            </w:r>
          </w:p>
        </w:tc>
        <w:tc>
          <w:tcPr>
            <w:tcW w:w="1275" w:type="dxa"/>
            <w:tcBorders>
              <w:top w:val="nil"/>
              <w:left w:val="nil"/>
              <w:bottom w:val="nil"/>
              <w:right w:val="nil"/>
            </w:tcBorders>
            <w:shd w:val="clear" w:color="000000" w:fill="FFFFFF"/>
            <w:vAlign w:val="bottom"/>
            <w:hideMark/>
          </w:tcPr>
          <w:p w14:paraId="7224083F" w14:textId="70C2DD7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934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108</w:t>
            </w:r>
          </w:p>
        </w:tc>
        <w:tc>
          <w:tcPr>
            <w:tcW w:w="993" w:type="dxa"/>
            <w:tcBorders>
              <w:top w:val="nil"/>
              <w:left w:val="nil"/>
              <w:bottom w:val="nil"/>
              <w:right w:val="nil"/>
            </w:tcBorders>
            <w:shd w:val="clear" w:color="000000" w:fill="FFFFFF"/>
            <w:vAlign w:val="bottom"/>
            <w:hideMark/>
          </w:tcPr>
          <w:p w14:paraId="6B5D5AB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w:t>
            </w:r>
          </w:p>
        </w:tc>
        <w:tc>
          <w:tcPr>
            <w:tcW w:w="1041" w:type="dxa"/>
            <w:tcBorders>
              <w:top w:val="nil"/>
              <w:left w:val="nil"/>
              <w:bottom w:val="nil"/>
              <w:right w:val="nil"/>
            </w:tcBorders>
            <w:shd w:val="clear" w:color="000000" w:fill="FFFFFF"/>
            <w:vAlign w:val="bottom"/>
            <w:hideMark/>
          </w:tcPr>
          <w:p w14:paraId="776ED641" w14:textId="01099D4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189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308</w:t>
            </w:r>
          </w:p>
        </w:tc>
        <w:tc>
          <w:tcPr>
            <w:tcW w:w="1085" w:type="dxa"/>
            <w:tcBorders>
              <w:top w:val="nil"/>
              <w:left w:val="nil"/>
              <w:bottom w:val="nil"/>
              <w:right w:val="nil"/>
            </w:tcBorders>
            <w:shd w:val="clear" w:color="000000" w:fill="FFFFFF"/>
            <w:vAlign w:val="bottom"/>
            <w:hideMark/>
          </w:tcPr>
          <w:p w14:paraId="721E747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410</w:t>
            </w:r>
          </w:p>
        </w:tc>
        <w:tc>
          <w:tcPr>
            <w:tcW w:w="1559" w:type="dxa"/>
            <w:tcBorders>
              <w:top w:val="nil"/>
              <w:left w:val="nil"/>
              <w:bottom w:val="nil"/>
              <w:right w:val="nil"/>
            </w:tcBorders>
            <w:shd w:val="clear" w:color="000000" w:fill="FFFFFF"/>
            <w:vAlign w:val="bottom"/>
            <w:hideMark/>
          </w:tcPr>
          <w:p w14:paraId="15671F59" w14:textId="78D57A02"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92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593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728</w:t>
            </w:r>
          </w:p>
        </w:tc>
        <w:tc>
          <w:tcPr>
            <w:tcW w:w="1256" w:type="dxa"/>
            <w:tcBorders>
              <w:top w:val="nil"/>
              <w:left w:val="nil"/>
              <w:bottom w:val="nil"/>
              <w:right w:val="nil"/>
            </w:tcBorders>
            <w:shd w:val="clear" w:color="000000" w:fill="FFFFFF"/>
            <w:vAlign w:val="bottom"/>
            <w:hideMark/>
          </w:tcPr>
          <w:p w14:paraId="302A67A2"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7</w:t>
            </w:r>
          </w:p>
        </w:tc>
        <w:tc>
          <w:tcPr>
            <w:tcW w:w="1279" w:type="dxa"/>
            <w:tcBorders>
              <w:top w:val="nil"/>
              <w:left w:val="nil"/>
              <w:bottom w:val="nil"/>
              <w:right w:val="nil"/>
            </w:tcBorders>
            <w:shd w:val="clear" w:color="000000" w:fill="FFFFFF"/>
            <w:vAlign w:val="bottom"/>
            <w:hideMark/>
          </w:tcPr>
          <w:p w14:paraId="65D68492" w14:textId="67DF4EEF"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543</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980</w:t>
            </w:r>
          </w:p>
        </w:tc>
        <w:tc>
          <w:tcPr>
            <w:tcW w:w="222" w:type="dxa"/>
            <w:vAlign w:val="center"/>
            <w:hideMark/>
          </w:tcPr>
          <w:p w14:paraId="71A8C342" w14:textId="77777777" w:rsidR="00FB59BB" w:rsidRPr="00FB59BB" w:rsidRDefault="00FB59BB" w:rsidP="00FB59BB">
            <w:pPr>
              <w:spacing w:after="0" w:line="240" w:lineRule="auto"/>
              <w:jc w:val="left"/>
              <w:rPr>
                <w:noProof/>
                <w:sz w:val="18"/>
                <w:szCs w:val="18"/>
                <w:lang w:val="en-IE" w:eastAsia="en-IE"/>
              </w:rPr>
            </w:pPr>
          </w:p>
        </w:tc>
      </w:tr>
      <w:tr w:rsidR="00FB59BB" w:rsidRPr="00F5772A" w14:paraId="48EC19A6" w14:textId="77777777" w:rsidTr="00F5772A">
        <w:trPr>
          <w:trHeight w:val="255"/>
        </w:trPr>
        <w:tc>
          <w:tcPr>
            <w:tcW w:w="1778" w:type="dxa"/>
            <w:tcBorders>
              <w:top w:val="nil"/>
              <w:left w:val="nil"/>
              <w:bottom w:val="nil"/>
              <w:right w:val="nil"/>
            </w:tcBorders>
            <w:shd w:val="clear" w:color="000000" w:fill="DCE6F1"/>
            <w:noWrap/>
            <w:vAlign w:val="center"/>
            <w:hideMark/>
          </w:tcPr>
          <w:p w14:paraId="26117AF2"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España</w:t>
            </w:r>
          </w:p>
        </w:tc>
        <w:tc>
          <w:tcPr>
            <w:tcW w:w="916" w:type="dxa"/>
            <w:tcBorders>
              <w:top w:val="nil"/>
              <w:left w:val="nil"/>
              <w:bottom w:val="nil"/>
              <w:right w:val="nil"/>
            </w:tcBorders>
            <w:shd w:val="clear" w:color="000000" w:fill="DCE6F1"/>
            <w:vAlign w:val="bottom"/>
            <w:hideMark/>
          </w:tcPr>
          <w:p w14:paraId="07A664F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442</w:t>
            </w:r>
          </w:p>
        </w:tc>
        <w:tc>
          <w:tcPr>
            <w:tcW w:w="1417" w:type="dxa"/>
            <w:tcBorders>
              <w:top w:val="nil"/>
              <w:left w:val="nil"/>
              <w:bottom w:val="nil"/>
              <w:right w:val="nil"/>
            </w:tcBorders>
            <w:shd w:val="clear" w:color="000000" w:fill="DCE6F1"/>
            <w:vAlign w:val="bottom"/>
            <w:hideMark/>
          </w:tcPr>
          <w:p w14:paraId="157C2369" w14:textId="075EDF7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418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916</w:t>
            </w:r>
          </w:p>
        </w:tc>
        <w:tc>
          <w:tcPr>
            <w:tcW w:w="851" w:type="dxa"/>
            <w:tcBorders>
              <w:top w:val="nil"/>
              <w:left w:val="nil"/>
              <w:bottom w:val="nil"/>
              <w:right w:val="nil"/>
            </w:tcBorders>
            <w:shd w:val="clear" w:color="000000" w:fill="DCE6F1"/>
            <w:vAlign w:val="bottom"/>
            <w:hideMark/>
          </w:tcPr>
          <w:p w14:paraId="5667382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777</w:t>
            </w:r>
          </w:p>
        </w:tc>
        <w:tc>
          <w:tcPr>
            <w:tcW w:w="1417" w:type="dxa"/>
            <w:tcBorders>
              <w:top w:val="nil"/>
              <w:left w:val="nil"/>
              <w:bottom w:val="nil"/>
              <w:right w:val="nil"/>
            </w:tcBorders>
            <w:shd w:val="clear" w:color="000000" w:fill="DCE6F1"/>
            <w:vAlign w:val="bottom"/>
            <w:hideMark/>
          </w:tcPr>
          <w:p w14:paraId="50E2152C" w14:textId="54C76EB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179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652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472</w:t>
            </w:r>
          </w:p>
        </w:tc>
        <w:tc>
          <w:tcPr>
            <w:tcW w:w="851" w:type="dxa"/>
            <w:tcBorders>
              <w:top w:val="nil"/>
              <w:left w:val="nil"/>
              <w:bottom w:val="nil"/>
              <w:right w:val="nil"/>
            </w:tcBorders>
            <w:shd w:val="clear" w:color="000000" w:fill="DCE6F1"/>
            <w:vAlign w:val="bottom"/>
            <w:hideMark/>
          </w:tcPr>
          <w:p w14:paraId="0C530D2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692B842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4579ABD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67C2A24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30D9A1EB" w14:textId="64991043"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219</w:t>
            </w:r>
          </w:p>
        </w:tc>
        <w:tc>
          <w:tcPr>
            <w:tcW w:w="1559" w:type="dxa"/>
            <w:tcBorders>
              <w:top w:val="nil"/>
              <w:left w:val="nil"/>
              <w:bottom w:val="nil"/>
              <w:right w:val="nil"/>
            </w:tcBorders>
            <w:shd w:val="clear" w:color="000000" w:fill="DCE6F1"/>
            <w:vAlign w:val="bottom"/>
            <w:hideMark/>
          </w:tcPr>
          <w:p w14:paraId="28257975" w14:textId="0102E5AD"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255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071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388</w:t>
            </w:r>
          </w:p>
        </w:tc>
        <w:tc>
          <w:tcPr>
            <w:tcW w:w="1256" w:type="dxa"/>
            <w:tcBorders>
              <w:top w:val="nil"/>
              <w:left w:val="nil"/>
              <w:bottom w:val="nil"/>
              <w:right w:val="nil"/>
            </w:tcBorders>
            <w:shd w:val="clear" w:color="000000" w:fill="DCE6F1"/>
            <w:vAlign w:val="bottom"/>
            <w:hideMark/>
          </w:tcPr>
          <w:p w14:paraId="40B1431D"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480</w:t>
            </w:r>
          </w:p>
        </w:tc>
        <w:tc>
          <w:tcPr>
            <w:tcW w:w="1279" w:type="dxa"/>
            <w:tcBorders>
              <w:top w:val="nil"/>
              <w:left w:val="nil"/>
              <w:bottom w:val="nil"/>
              <w:right w:val="nil"/>
            </w:tcBorders>
            <w:shd w:val="clear" w:color="000000" w:fill="DCE6F1"/>
            <w:vAlign w:val="bottom"/>
            <w:hideMark/>
          </w:tcPr>
          <w:p w14:paraId="6B687F8E" w14:textId="765D1BA1"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72</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983</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869</w:t>
            </w:r>
          </w:p>
        </w:tc>
        <w:tc>
          <w:tcPr>
            <w:tcW w:w="222" w:type="dxa"/>
            <w:vAlign w:val="center"/>
            <w:hideMark/>
          </w:tcPr>
          <w:p w14:paraId="22F26A7E" w14:textId="77777777" w:rsidR="00FB59BB" w:rsidRPr="00FB59BB" w:rsidRDefault="00FB59BB" w:rsidP="00FB59BB">
            <w:pPr>
              <w:spacing w:after="0" w:line="240" w:lineRule="auto"/>
              <w:jc w:val="left"/>
              <w:rPr>
                <w:noProof/>
                <w:sz w:val="18"/>
                <w:szCs w:val="18"/>
                <w:lang w:val="en-IE" w:eastAsia="en-IE"/>
              </w:rPr>
            </w:pPr>
          </w:p>
        </w:tc>
      </w:tr>
      <w:tr w:rsidR="00FB59BB" w:rsidRPr="00F5772A" w14:paraId="7C1FC571" w14:textId="77777777" w:rsidTr="00F5772A">
        <w:trPr>
          <w:trHeight w:val="255"/>
        </w:trPr>
        <w:tc>
          <w:tcPr>
            <w:tcW w:w="1778" w:type="dxa"/>
            <w:tcBorders>
              <w:top w:val="nil"/>
              <w:left w:val="nil"/>
              <w:bottom w:val="nil"/>
              <w:right w:val="nil"/>
            </w:tcBorders>
            <w:shd w:val="clear" w:color="000000" w:fill="FFFFFF"/>
            <w:noWrap/>
            <w:vAlign w:val="center"/>
            <w:hideMark/>
          </w:tcPr>
          <w:p w14:paraId="24A0BFC9"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France</w:t>
            </w:r>
          </w:p>
        </w:tc>
        <w:tc>
          <w:tcPr>
            <w:tcW w:w="916" w:type="dxa"/>
            <w:tcBorders>
              <w:top w:val="nil"/>
              <w:left w:val="nil"/>
              <w:bottom w:val="nil"/>
              <w:right w:val="nil"/>
            </w:tcBorders>
            <w:shd w:val="clear" w:color="000000" w:fill="FFFFFF"/>
            <w:vAlign w:val="bottom"/>
            <w:hideMark/>
          </w:tcPr>
          <w:p w14:paraId="45EA4AA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301</w:t>
            </w:r>
          </w:p>
        </w:tc>
        <w:tc>
          <w:tcPr>
            <w:tcW w:w="1417" w:type="dxa"/>
            <w:tcBorders>
              <w:top w:val="nil"/>
              <w:left w:val="nil"/>
              <w:bottom w:val="nil"/>
              <w:right w:val="nil"/>
            </w:tcBorders>
            <w:shd w:val="clear" w:color="000000" w:fill="FFFFFF"/>
            <w:vAlign w:val="bottom"/>
            <w:hideMark/>
          </w:tcPr>
          <w:p w14:paraId="483DB657" w14:textId="3F0AC2D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630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586</w:t>
            </w:r>
          </w:p>
        </w:tc>
        <w:tc>
          <w:tcPr>
            <w:tcW w:w="851" w:type="dxa"/>
            <w:tcBorders>
              <w:top w:val="nil"/>
              <w:left w:val="nil"/>
              <w:bottom w:val="nil"/>
              <w:right w:val="nil"/>
            </w:tcBorders>
            <w:shd w:val="clear" w:color="000000" w:fill="FFFFFF"/>
            <w:vAlign w:val="bottom"/>
            <w:hideMark/>
          </w:tcPr>
          <w:p w14:paraId="0288F5C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50</w:t>
            </w:r>
          </w:p>
        </w:tc>
        <w:tc>
          <w:tcPr>
            <w:tcW w:w="1417" w:type="dxa"/>
            <w:tcBorders>
              <w:top w:val="nil"/>
              <w:left w:val="nil"/>
              <w:bottom w:val="nil"/>
              <w:right w:val="nil"/>
            </w:tcBorders>
            <w:shd w:val="clear" w:color="000000" w:fill="FFFFFF"/>
            <w:vAlign w:val="bottom"/>
            <w:hideMark/>
          </w:tcPr>
          <w:p w14:paraId="5B48D842" w14:textId="16C6675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925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617</w:t>
            </w:r>
          </w:p>
        </w:tc>
        <w:tc>
          <w:tcPr>
            <w:tcW w:w="851" w:type="dxa"/>
            <w:tcBorders>
              <w:top w:val="nil"/>
              <w:left w:val="nil"/>
              <w:bottom w:val="nil"/>
              <w:right w:val="nil"/>
            </w:tcBorders>
            <w:shd w:val="clear" w:color="000000" w:fill="FFFFFF"/>
            <w:vAlign w:val="bottom"/>
            <w:hideMark/>
          </w:tcPr>
          <w:p w14:paraId="149D527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w:t>
            </w:r>
          </w:p>
        </w:tc>
        <w:tc>
          <w:tcPr>
            <w:tcW w:w="1275" w:type="dxa"/>
            <w:tcBorders>
              <w:top w:val="nil"/>
              <w:left w:val="nil"/>
              <w:bottom w:val="nil"/>
              <w:right w:val="nil"/>
            </w:tcBorders>
            <w:shd w:val="clear" w:color="000000" w:fill="FFFFFF"/>
            <w:vAlign w:val="bottom"/>
            <w:hideMark/>
          </w:tcPr>
          <w:p w14:paraId="72708A32" w14:textId="280B104D"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899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613</w:t>
            </w:r>
          </w:p>
        </w:tc>
        <w:tc>
          <w:tcPr>
            <w:tcW w:w="993" w:type="dxa"/>
            <w:tcBorders>
              <w:top w:val="nil"/>
              <w:left w:val="nil"/>
              <w:bottom w:val="nil"/>
              <w:right w:val="nil"/>
            </w:tcBorders>
            <w:shd w:val="clear" w:color="000000" w:fill="FFFFFF"/>
            <w:vAlign w:val="bottom"/>
            <w:hideMark/>
          </w:tcPr>
          <w:p w14:paraId="6272958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60DE3AB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487FA24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355</w:t>
            </w:r>
          </w:p>
        </w:tc>
        <w:tc>
          <w:tcPr>
            <w:tcW w:w="1559" w:type="dxa"/>
            <w:tcBorders>
              <w:top w:val="nil"/>
              <w:left w:val="nil"/>
              <w:bottom w:val="nil"/>
              <w:right w:val="nil"/>
            </w:tcBorders>
            <w:shd w:val="clear" w:color="000000" w:fill="FFFFFF"/>
            <w:vAlign w:val="bottom"/>
            <w:hideMark/>
          </w:tcPr>
          <w:p w14:paraId="638133D0" w14:textId="182C8032"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455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816</w:t>
            </w:r>
          </w:p>
        </w:tc>
        <w:tc>
          <w:tcPr>
            <w:tcW w:w="1256" w:type="dxa"/>
            <w:tcBorders>
              <w:top w:val="nil"/>
              <w:left w:val="nil"/>
              <w:bottom w:val="nil"/>
              <w:right w:val="nil"/>
            </w:tcBorders>
            <w:shd w:val="clear" w:color="000000" w:fill="FFFFFF"/>
            <w:vAlign w:val="bottom"/>
            <w:hideMark/>
          </w:tcPr>
          <w:p w14:paraId="6EADB157"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344</w:t>
            </w:r>
          </w:p>
        </w:tc>
        <w:tc>
          <w:tcPr>
            <w:tcW w:w="1279" w:type="dxa"/>
            <w:tcBorders>
              <w:top w:val="nil"/>
              <w:left w:val="nil"/>
              <w:bottom w:val="nil"/>
              <w:right w:val="nil"/>
            </w:tcBorders>
            <w:shd w:val="clear" w:color="000000" w:fill="FFFFFF"/>
            <w:vAlign w:val="bottom"/>
            <w:hideMark/>
          </w:tcPr>
          <w:p w14:paraId="18793D56" w14:textId="6D831418"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60</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224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996</w:t>
            </w:r>
          </w:p>
        </w:tc>
        <w:tc>
          <w:tcPr>
            <w:tcW w:w="222" w:type="dxa"/>
            <w:vAlign w:val="center"/>
            <w:hideMark/>
          </w:tcPr>
          <w:p w14:paraId="7E32C0EA" w14:textId="77777777" w:rsidR="00FB59BB" w:rsidRPr="00FB59BB" w:rsidRDefault="00FB59BB" w:rsidP="00FB59BB">
            <w:pPr>
              <w:spacing w:after="0" w:line="240" w:lineRule="auto"/>
              <w:jc w:val="left"/>
              <w:rPr>
                <w:noProof/>
                <w:sz w:val="18"/>
                <w:szCs w:val="18"/>
                <w:lang w:val="en-IE" w:eastAsia="en-IE"/>
              </w:rPr>
            </w:pPr>
          </w:p>
        </w:tc>
      </w:tr>
      <w:tr w:rsidR="00FB59BB" w:rsidRPr="00F5772A" w14:paraId="6CC47956" w14:textId="77777777" w:rsidTr="00F5772A">
        <w:trPr>
          <w:trHeight w:val="255"/>
        </w:trPr>
        <w:tc>
          <w:tcPr>
            <w:tcW w:w="1778" w:type="dxa"/>
            <w:tcBorders>
              <w:top w:val="nil"/>
              <w:left w:val="nil"/>
              <w:bottom w:val="nil"/>
              <w:right w:val="nil"/>
            </w:tcBorders>
            <w:shd w:val="clear" w:color="000000" w:fill="DCE6F1"/>
            <w:noWrap/>
            <w:vAlign w:val="center"/>
            <w:hideMark/>
          </w:tcPr>
          <w:p w14:paraId="69E68ABE"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Hrvatska</w:t>
            </w:r>
          </w:p>
        </w:tc>
        <w:tc>
          <w:tcPr>
            <w:tcW w:w="916" w:type="dxa"/>
            <w:tcBorders>
              <w:top w:val="nil"/>
              <w:left w:val="nil"/>
              <w:bottom w:val="nil"/>
              <w:right w:val="nil"/>
            </w:tcBorders>
            <w:shd w:val="clear" w:color="000000" w:fill="DCE6F1"/>
            <w:vAlign w:val="bottom"/>
            <w:hideMark/>
          </w:tcPr>
          <w:p w14:paraId="4C657D4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200</w:t>
            </w:r>
          </w:p>
        </w:tc>
        <w:tc>
          <w:tcPr>
            <w:tcW w:w="1417" w:type="dxa"/>
            <w:tcBorders>
              <w:top w:val="nil"/>
              <w:left w:val="nil"/>
              <w:bottom w:val="nil"/>
              <w:right w:val="nil"/>
            </w:tcBorders>
            <w:shd w:val="clear" w:color="000000" w:fill="DCE6F1"/>
            <w:vAlign w:val="bottom"/>
            <w:hideMark/>
          </w:tcPr>
          <w:p w14:paraId="6C830578" w14:textId="1A88BF6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006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249</w:t>
            </w:r>
          </w:p>
        </w:tc>
        <w:tc>
          <w:tcPr>
            <w:tcW w:w="851" w:type="dxa"/>
            <w:tcBorders>
              <w:top w:val="nil"/>
              <w:left w:val="nil"/>
              <w:bottom w:val="nil"/>
              <w:right w:val="nil"/>
            </w:tcBorders>
            <w:shd w:val="clear" w:color="000000" w:fill="DCE6F1"/>
            <w:vAlign w:val="bottom"/>
            <w:hideMark/>
          </w:tcPr>
          <w:p w14:paraId="7975CB2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45</w:t>
            </w:r>
          </w:p>
        </w:tc>
        <w:tc>
          <w:tcPr>
            <w:tcW w:w="1417" w:type="dxa"/>
            <w:tcBorders>
              <w:top w:val="nil"/>
              <w:left w:val="nil"/>
              <w:bottom w:val="nil"/>
              <w:right w:val="nil"/>
            </w:tcBorders>
            <w:shd w:val="clear" w:color="000000" w:fill="DCE6F1"/>
            <w:vAlign w:val="bottom"/>
            <w:hideMark/>
          </w:tcPr>
          <w:p w14:paraId="36FF42B4" w14:textId="57B2F362"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634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327</w:t>
            </w:r>
          </w:p>
        </w:tc>
        <w:tc>
          <w:tcPr>
            <w:tcW w:w="851" w:type="dxa"/>
            <w:tcBorders>
              <w:top w:val="nil"/>
              <w:left w:val="nil"/>
              <w:bottom w:val="nil"/>
              <w:right w:val="nil"/>
            </w:tcBorders>
            <w:shd w:val="clear" w:color="000000" w:fill="DCE6F1"/>
            <w:vAlign w:val="bottom"/>
            <w:hideMark/>
          </w:tcPr>
          <w:p w14:paraId="79AEBB6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3F5800E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2E26CD3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219BC57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6FF45F0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245</w:t>
            </w:r>
          </w:p>
        </w:tc>
        <w:tc>
          <w:tcPr>
            <w:tcW w:w="1559" w:type="dxa"/>
            <w:tcBorders>
              <w:top w:val="nil"/>
              <w:left w:val="nil"/>
              <w:bottom w:val="nil"/>
              <w:right w:val="nil"/>
            </w:tcBorders>
            <w:shd w:val="clear" w:color="000000" w:fill="DCE6F1"/>
            <w:vAlign w:val="bottom"/>
            <w:hideMark/>
          </w:tcPr>
          <w:p w14:paraId="0CEF14E5" w14:textId="3F4AFB10"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640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576</w:t>
            </w:r>
          </w:p>
        </w:tc>
        <w:tc>
          <w:tcPr>
            <w:tcW w:w="1256" w:type="dxa"/>
            <w:tcBorders>
              <w:top w:val="nil"/>
              <w:left w:val="nil"/>
              <w:bottom w:val="nil"/>
              <w:right w:val="nil"/>
            </w:tcBorders>
            <w:shd w:val="clear" w:color="000000" w:fill="DCE6F1"/>
            <w:vAlign w:val="bottom"/>
            <w:hideMark/>
          </w:tcPr>
          <w:p w14:paraId="4B015E3F"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9</w:t>
            </w:r>
          </w:p>
        </w:tc>
        <w:tc>
          <w:tcPr>
            <w:tcW w:w="1279" w:type="dxa"/>
            <w:tcBorders>
              <w:top w:val="nil"/>
              <w:left w:val="nil"/>
              <w:bottom w:val="nil"/>
              <w:right w:val="nil"/>
            </w:tcBorders>
            <w:shd w:val="clear" w:color="000000" w:fill="DCE6F1"/>
            <w:vAlign w:val="bottom"/>
            <w:hideMark/>
          </w:tcPr>
          <w:p w14:paraId="0E89748D" w14:textId="02550F95"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192</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275</w:t>
            </w:r>
          </w:p>
        </w:tc>
        <w:tc>
          <w:tcPr>
            <w:tcW w:w="222" w:type="dxa"/>
            <w:vAlign w:val="center"/>
            <w:hideMark/>
          </w:tcPr>
          <w:p w14:paraId="4A48FAA5" w14:textId="77777777" w:rsidR="00FB59BB" w:rsidRPr="00FB59BB" w:rsidRDefault="00FB59BB" w:rsidP="00FB59BB">
            <w:pPr>
              <w:spacing w:after="0" w:line="240" w:lineRule="auto"/>
              <w:jc w:val="left"/>
              <w:rPr>
                <w:noProof/>
                <w:sz w:val="18"/>
                <w:szCs w:val="18"/>
                <w:lang w:val="en-IE" w:eastAsia="en-IE"/>
              </w:rPr>
            </w:pPr>
          </w:p>
        </w:tc>
      </w:tr>
      <w:tr w:rsidR="00FB59BB" w:rsidRPr="00F5772A" w14:paraId="5C175792" w14:textId="77777777" w:rsidTr="00F5772A">
        <w:trPr>
          <w:trHeight w:val="255"/>
        </w:trPr>
        <w:tc>
          <w:tcPr>
            <w:tcW w:w="1778" w:type="dxa"/>
            <w:tcBorders>
              <w:top w:val="nil"/>
              <w:left w:val="nil"/>
              <w:bottom w:val="nil"/>
              <w:right w:val="nil"/>
            </w:tcBorders>
            <w:shd w:val="clear" w:color="000000" w:fill="FFFFFF"/>
            <w:noWrap/>
            <w:vAlign w:val="center"/>
            <w:hideMark/>
          </w:tcPr>
          <w:p w14:paraId="486FB993"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Italia</w:t>
            </w:r>
          </w:p>
        </w:tc>
        <w:tc>
          <w:tcPr>
            <w:tcW w:w="916" w:type="dxa"/>
            <w:tcBorders>
              <w:top w:val="nil"/>
              <w:left w:val="nil"/>
              <w:bottom w:val="nil"/>
              <w:right w:val="nil"/>
            </w:tcBorders>
            <w:shd w:val="clear" w:color="000000" w:fill="FFFFFF"/>
            <w:vAlign w:val="bottom"/>
            <w:hideMark/>
          </w:tcPr>
          <w:p w14:paraId="012F147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288</w:t>
            </w:r>
          </w:p>
        </w:tc>
        <w:tc>
          <w:tcPr>
            <w:tcW w:w="1417" w:type="dxa"/>
            <w:tcBorders>
              <w:top w:val="nil"/>
              <w:left w:val="nil"/>
              <w:bottom w:val="nil"/>
              <w:right w:val="nil"/>
            </w:tcBorders>
            <w:shd w:val="clear" w:color="000000" w:fill="FFFFFF"/>
            <w:vAlign w:val="bottom"/>
            <w:hideMark/>
          </w:tcPr>
          <w:p w14:paraId="06301D4E" w14:textId="1DC6570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628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133</w:t>
            </w:r>
          </w:p>
        </w:tc>
        <w:tc>
          <w:tcPr>
            <w:tcW w:w="851" w:type="dxa"/>
            <w:tcBorders>
              <w:top w:val="nil"/>
              <w:left w:val="nil"/>
              <w:bottom w:val="nil"/>
              <w:right w:val="nil"/>
            </w:tcBorders>
            <w:shd w:val="clear" w:color="000000" w:fill="FFFFFF"/>
            <w:vAlign w:val="bottom"/>
            <w:hideMark/>
          </w:tcPr>
          <w:p w14:paraId="7EE0DC2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196</w:t>
            </w:r>
          </w:p>
        </w:tc>
        <w:tc>
          <w:tcPr>
            <w:tcW w:w="1417" w:type="dxa"/>
            <w:tcBorders>
              <w:top w:val="nil"/>
              <w:left w:val="nil"/>
              <w:bottom w:val="nil"/>
              <w:right w:val="nil"/>
            </w:tcBorders>
            <w:shd w:val="clear" w:color="000000" w:fill="FFFFFF"/>
            <w:vAlign w:val="bottom"/>
            <w:hideMark/>
          </w:tcPr>
          <w:p w14:paraId="136BA172" w14:textId="1E6551B0"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300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999</w:t>
            </w:r>
          </w:p>
        </w:tc>
        <w:tc>
          <w:tcPr>
            <w:tcW w:w="851" w:type="dxa"/>
            <w:tcBorders>
              <w:top w:val="nil"/>
              <w:left w:val="nil"/>
              <w:bottom w:val="nil"/>
              <w:right w:val="nil"/>
            </w:tcBorders>
            <w:shd w:val="clear" w:color="000000" w:fill="FFFFFF"/>
            <w:vAlign w:val="bottom"/>
            <w:hideMark/>
          </w:tcPr>
          <w:p w14:paraId="231D46A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FFFFFF"/>
            <w:vAlign w:val="bottom"/>
            <w:hideMark/>
          </w:tcPr>
          <w:p w14:paraId="352BCC3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FFFFFF"/>
            <w:vAlign w:val="bottom"/>
            <w:hideMark/>
          </w:tcPr>
          <w:p w14:paraId="6C45E3C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5040DB1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632183A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484</w:t>
            </w:r>
          </w:p>
        </w:tc>
        <w:tc>
          <w:tcPr>
            <w:tcW w:w="1559" w:type="dxa"/>
            <w:tcBorders>
              <w:top w:val="nil"/>
              <w:left w:val="nil"/>
              <w:bottom w:val="nil"/>
              <w:right w:val="nil"/>
            </w:tcBorders>
            <w:shd w:val="clear" w:color="000000" w:fill="FFFFFF"/>
            <w:vAlign w:val="bottom"/>
            <w:hideMark/>
          </w:tcPr>
          <w:p w14:paraId="17C575E4" w14:textId="3B3BF7D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929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132</w:t>
            </w:r>
          </w:p>
        </w:tc>
        <w:tc>
          <w:tcPr>
            <w:tcW w:w="1256" w:type="dxa"/>
            <w:tcBorders>
              <w:top w:val="nil"/>
              <w:left w:val="nil"/>
              <w:bottom w:val="nil"/>
              <w:right w:val="nil"/>
            </w:tcBorders>
            <w:shd w:val="clear" w:color="000000" w:fill="FFFFFF"/>
            <w:vAlign w:val="bottom"/>
            <w:hideMark/>
          </w:tcPr>
          <w:p w14:paraId="0D4870D7"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68</w:t>
            </w:r>
          </w:p>
        </w:tc>
        <w:tc>
          <w:tcPr>
            <w:tcW w:w="1279" w:type="dxa"/>
            <w:tcBorders>
              <w:top w:val="nil"/>
              <w:left w:val="nil"/>
              <w:bottom w:val="nil"/>
              <w:right w:val="nil"/>
            </w:tcBorders>
            <w:shd w:val="clear" w:color="000000" w:fill="FFFFFF"/>
            <w:vAlign w:val="bottom"/>
            <w:hideMark/>
          </w:tcPr>
          <w:p w14:paraId="2F1DA6BF" w14:textId="68188F2E"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854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689</w:t>
            </w:r>
          </w:p>
        </w:tc>
        <w:tc>
          <w:tcPr>
            <w:tcW w:w="222" w:type="dxa"/>
            <w:vAlign w:val="center"/>
            <w:hideMark/>
          </w:tcPr>
          <w:p w14:paraId="1F92C189" w14:textId="77777777" w:rsidR="00FB59BB" w:rsidRPr="00FB59BB" w:rsidRDefault="00FB59BB" w:rsidP="00FB59BB">
            <w:pPr>
              <w:spacing w:after="0" w:line="240" w:lineRule="auto"/>
              <w:jc w:val="left"/>
              <w:rPr>
                <w:noProof/>
                <w:sz w:val="18"/>
                <w:szCs w:val="18"/>
                <w:lang w:val="en-IE" w:eastAsia="en-IE"/>
              </w:rPr>
            </w:pPr>
          </w:p>
        </w:tc>
      </w:tr>
      <w:tr w:rsidR="00FB59BB" w:rsidRPr="00F5772A" w14:paraId="484EB970" w14:textId="77777777" w:rsidTr="00F5772A">
        <w:trPr>
          <w:trHeight w:val="255"/>
        </w:trPr>
        <w:tc>
          <w:tcPr>
            <w:tcW w:w="1778" w:type="dxa"/>
            <w:tcBorders>
              <w:top w:val="nil"/>
              <w:left w:val="nil"/>
              <w:bottom w:val="nil"/>
              <w:right w:val="nil"/>
            </w:tcBorders>
            <w:shd w:val="clear" w:color="000000" w:fill="DCE6F1"/>
            <w:noWrap/>
            <w:vAlign w:val="center"/>
            <w:hideMark/>
          </w:tcPr>
          <w:p w14:paraId="06875BBA"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Kypros</w:t>
            </w:r>
          </w:p>
        </w:tc>
        <w:tc>
          <w:tcPr>
            <w:tcW w:w="916" w:type="dxa"/>
            <w:tcBorders>
              <w:top w:val="nil"/>
              <w:left w:val="nil"/>
              <w:bottom w:val="nil"/>
              <w:right w:val="nil"/>
            </w:tcBorders>
            <w:shd w:val="clear" w:color="000000" w:fill="DCE6F1"/>
            <w:vAlign w:val="bottom"/>
            <w:hideMark/>
          </w:tcPr>
          <w:p w14:paraId="11D6A05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p>
        </w:tc>
        <w:tc>
          <w:tcPr>
            <w:tcW w:w="1417" w:type="dxa"/>
            <w:tcBorders>
              <w:top w:val="nil"/>
              <w:left w:val="nil"/>
              <w:bottom w:val="nil"/>
              <w:right w:val="nil"/>
            </w:tcBorders>
            <w:shd w:val="clear" w:color="000000" w:fill="DCE6F1"/>
            <w:vAlign w:val="bottom"/>
            <w:hideMark/>
          </w:tcPr>
          <w:p w14:paraId="71D15B01" w14:textId="6FFB01C2"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298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480</w:t>
            </w:r>
          </w:p>
        </w:tc>
        <w:tc>
          <w:tcPr>
            <w:tcW w:w="851" w:type="dxa"/>
            <w:tcBorders>
              <w:top w:val="nil"/>
              <w:left w:val="nil"/>
              <w:bottom w:val="nil"/>
              <w:right w:val="nil"/>
            </w:tcBorders>
            <w:shd w:val="clear" w:color="000000" w:fill="DCE6F1"/>
            <w:vAlign w:val="bottom"/>
            <w:hideMark/>
          </w:tcPr>
          <w:p w14:paraId="079D20D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p>
        </w:tc>
        <w:tc>
          <w:tcPr>
            <w:tcW w:w="1417" w:type="dxa"/>
            <w:tcBorders>
              <w:top w:val="nil"/>
              <w:left w:val="nil"/>
              <w:bottom w:val="nil"/>
              <w:right w:val="nil"/>
            </w:tcBorders>
            <w:shd w:val="clear" w:color="000000" w:fill="DCE6F1"/>
            <w:vAlign w:val="bottom"/>
            <w:hideMark/>
          </w:tcPr>
          <w:p w14:paraId="32009152" w14:textId="6A9E9985"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495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072</w:t>
            </w:r>
          </w:p>
        </w:tc>
        <w:tc>
          <w:tcPr>
            <w:tcW w:w="851" w:type="dxa"/>
            <w:tcBorders>
              <w:top w:val="nil"/>
              <w:left w:val="nil"/>
              <w:bottom w:val="nil"/>
              <w:right w:val="nil"/>
            </w:tcBorders>
            <w:shd w:val="clear" w:color="000000" w:fill="DCE6F1"/>
            <w:vAlign w:val="bottom"/>
            <w:hideMark/>
          </w:tcPr>
          <w:p w14:paraId="5AD3D4B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0B959B0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0569F84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4D6651E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6960AE6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p>
        </w:tc>
        <w:tc>
          <w:tcPr>
            <w:tcW w:w="1559" w:type="dxa"/>
            <w:tcBorders>
              <w:top w:val="nil"/>
              <w:left w:val="nil"/>
              <w:bottom w:val="nil"/>
              <w:right w:val="nil"/>
            </w:tcBorders>
            <w:shd w:val="clear" w:color="000000" w:fill="DCE6F1"/>
            <w:vAlign w:val="bottom"/>
            <w:hideMark/>
          </w:tcPr>
          <w:p w14:paraId="3D10B5E9" w14:textId="21BB599B"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793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552</w:t>
            </w:r>
          </w:p>
        </w:tc>
        <w:tc>
          <w:tcPr>
            <w:tcW w:w="1256" w:type="dxa"/>
            <w:tcBorders>
              <w:top w:val="nil"/>
              <w:left w:val="nil"/>
              <w:bottom w:val="nil"/>
              <w:right w:val="nil"/>
            </w:tcBorders>
            <w:shd w:val="clear" w:color="000000" w:fill="DCE6F1"/>
            <w:vAlign w:val="bottom"/>
            <w:hideMark/>
          </w:tcPr>
          <w:p w14:paraId="451F8077"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4</w:t>
            </w:r>
          </w:p>
        </w:tc>
        <w:tc>
          <w:tcPr>
            <w:tcW w:w="1279" w:type="dxa"/>
            <w:tcBorders>
              <w:top w:val="nil"/>
              <w:left w:val="nil"/>
              <w:bottom w:val="nil"/>
              <w:right w:val="nil"/>
            </w:tcBorders>
            <w:shd w:val="clear" w:color="000000" w:fill="DCE6F1"/>
            <w:vAlign w:val="bottom"/>
            <w:hideMark/>
          </w:tcPr>
          <w:p w14:paraId="64902062" w14:textId="02561220"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483</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523</w:t>
            </w:r>
          </w:p>
        </w:tc>
        <w:tc>
          <w:tcPr>
            <w:tcW w:w="222" w:type="dxa"/>
            <w:vAlign w:val="center"/>
            <w:hideMark/>
          </w:tcPr>
          <w:p w14:paraId="08373090" w14:textId="77777777" w:rsidR="00FB59BB" w:rsidRPr="00FB59BB" w:rsidRDefault="00FB59BB" w:rsidP="00FB59BB">
            <w:pPr>
              <w:spacing w:after="0" w:line="240" w:lineRule="auto"/>
              <w:jc w:val="left"/>
              <w:rPr>
                <w:noProof/>
                <w:sz w:val="18"/>
                <w:szCs w:val="18"/>
                <w:lang w:val="en-IE" w:eastAsia="en-IE"/>
              </w:rPr>
            </w:pPr>
          </w:p>
        </w:tc>
      </w:tr>
      <w:tr w:rsidR="00FB59BB" w:rsidRPr="00F5772A" w14:paraId="026EA480" w14:textId="77777777" w:rsidTr="00F5772A">
        <w:trPr>
          <w:trHeight w:val="255"/>
        </w:trPr>
        <w:tc>
          <w:tcPr>
            <w:tcW w:w="1778" w:type="dxa"/>
            <w:tcBorders>
              <w:top w:val="nil"/>
              <w:left w:val="nil"/>
              <w:bottom w:val="nil"/>
              <w:right w:val="nil"/>
            </w:tcBorders>
            <w:shd w:val="clear" w:color="000000" w:fill="FFFFFF"/>
            <w:noWrap/>
            <w:vAlign w:val="center"/>
            <w:hideMark/>
          </w:tcPr>
          <w:p w14:paraId="0F2CCF36"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Latvija</w:t>
            </w:r>
          </w:p>
        </w:tc>
        <w:tc>
          <w:tcPr>
            <w:tcW w:w="916" w:type="dxa"/>
            <w:tcBorders>
              <w:top w:val="nil"/>
              <w:left w:val="nil"/>
              <w:bottom w:val="nil"/>
              <w:right w:val="nil"/>
            </w:tcBorders>
            <w:shd w:val="clear" w:color="000000" w:fill="FFFFFF"/>
            <w:vAlign w:val="bottom"/>
            <w:hideMark/>
          </w:tcPr>
          <w:p w14:paraId="4516161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23</w:t>
            </w:r>
          </w:p>
        </w:tc>
        <w:tc>
          <w:tcPr>
            <w:tcW w:w="1417" w:type="dxa"/>
            <w:tcBorders>
              <w:top w:val="nil"/>
              <w:left w:val="nil"/>
              <w:bottom w:val="nil"/>
              <w:right w:val="nil"/>
            </w:tcBorders>
            <w:shd w:val="clear" w:color="000000" w:fill="FFFFFF"/>
            <w:vAlign w:val="bottom"/>
            <w:hideMark/>
          </w:tcPr>
          <w:p w14:paraId="7B598701" w14:textId="55B7180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414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171</w:t>
            </w:r>
          </w:p>
        </w:tc>
        <w:tc>
          <w:tcPr>
            <w:tcW w:w="851" w:type="dxa"/>
            <w:tcBorders>
              <w:top w:val="nil"/>
              <w:left w:val="nil"/>
              <w:bottom w:val="nil"/>
              <w:right w:val="nil"/>
            </w:tcBorders>
            <w:shd w:val="clear" w:color="000000" w:fill="FFFFFF"/>
            <w:vAlign w:val="bottom"/>
            <w:hideMark/>
          </w:tcPr>
          <w:p w14:paraId="349D22B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w:t>
            </w:r>
          </w:p>
        </w:tc>
        <w:tc>
          <w:tcPr>
            <w:tcW w:w="1417" w:type="dxa"/>
            <w:tcBorders>
              <w:top w:val="nil"/>
              <w:left w:val="nil"/>
              <w:bottom w:val="nil"/>
              <w:right w:val="nil"/>
            </w:tcBorders>
            <w:shd w:val="clear" w:color="000000" w:fill="FFFFFF"/>
            <w:vAlign w:val="bottom"/>
            <w:hideMark/>
          </w:tcPr>
          <w:p w14:paraId="0B4A3308" w14:textId="07D0859C"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283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763</w:t>
            </w:r>
          </w:p>
        </w:tc>
        <w:tc>
          <w:tcPr>
            <w:tcW w:w="851" w:type="dxa"/>
            <w:tcBorders>
              <w:top w:val="nil"/>
              <w:left w:val="nil"/>
              <w:bottom w:val="nil"/>
              <w:right w:val="nil"/>
            </w:tcBorders>
            <w:shd w:val="clear" w:color="000000" w:fill="FFFFFF"/>
            <w:vAlign w:val="bottom"/>
            <w:hideMark/>
          </w:tcPr>
          <w:p w14:paraId="38947E3E"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p>
        </w:tc>
        <w:tc>
          <w:tcPr>
            <w:tcW w:w="1275" w:type="dxa"/>
            <w:tcBorders>
              <w:top w:val="nil"/>
              <w:left w:val="nil"/>
              <w:bottom w:val="nil"/>
              <w:right w:val="nil"/>
            </w:tcBorders>
            <w:shd w:val="clear" w:color="000000" w:fill="FFFFFF"/>
            <w:vAlign w:val="bottom"/>
            <w:hideMark/>
          </w:tcPr>
          <w:p w14:paraId="33BBDD2D" w14:textId="24D8146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815</w:t>
            </w:r>
          </w:p>
        </w:tc>
        <w:tc>
          <w:tcPr>
            <w:tcW w:w="993" w:type="dxa"/>
            <w:tcBorders>
              <w:top w:val="nil"/>
              <w:left w:val="nil"/>
              <w:bottom w:val="nil"/>
              <w:right w:val="nil"/>
            </w:tcBorders>
            <w:shd w:val="clear" w:color="000000" w:fill="FFFFFF"/>
            <w:vAlign w:val="bottom"/>
            <w:hideMark/>
          </w:tcPr>
          <w:p w14:paraId="4920DA3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0C606C2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6A2153B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29</w:t>
            </w:r>
          </w:p>
        </w:tc>
        <w:tc>
          <w:tcPr>
            <w:tcW w:w="1559" w:type="dxa"/>
            <w:tcBorders>
              <w:top w:val="nil"/>
              <w:left w:val="nil"/>
              <w:bottom w:val="nil"/>
              <w:right w:val="nil"/>
            </w:tcBorders>
            <w:shd w:val="clear" w:color="000000" w:fill="FFFFFF"/>
            <w:vAlign w:val="bottom"/>
            <w:hideMark/>
          </w:tcPr>
          <w:p w14:paraId="1B95FEAF" w14:textId="099E97A2"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728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748</w:t>
            </w:r>
          </w:p>
        </w:tc>
        <w:tc>
          <w:tcPr>
            <w:tcW w:w="1256" w:type="dxa"/>
            <w:tcBorders>
              <w:top w:val="nil"/>
              <w:left w:val="nil"/>
              <w:bottom w:val="nil"/>
              <w:right w:val="nil"/>
            </w:tcBorders>
            <w:shd w:val="clear" w:color="000000" w:fill="FFFFFF"/>
            <w:vAlign w:val="bottom"/>
            <w:hideMark/>
          </w:tcPr>
          <w:p w14:paraId="64583991"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31</w:t>
            </w:r>
          </w:p>
        </w:tc>
        <w:tc>
          <w:tcPr>
            <w:tcW w:w="1279" w:type="dxa"/>
            <w:tcBorders>
              <w:top w:val="nil"/>
              <w:left w:val="nil"/>
              <w:bottom w:val="nil"/>
              <w:right w:val="nil"/>
            </w:tcBorders>
            <w:shd w:val="clear" w:color="000000" w:fill="FFFFFF"/>
            <w:vAlign w:val="bottom"/>
            <w:hideMark/>
          </w:tcPr>
          <w:p w14:paraId="27A56025" w14:textId="2DA8B874"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675</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724</w:t>
            </w:r>
          </w:p>
        </w:tc>
        <w:tc>
          <w:tcPr>
            <w:tcW w:w="222" w:type="dxa"/>
            <w:vAlign w:val="center"/>
            <w:hideMark/>
          </w:tcPr>
          <w:p w14:paraId="0E663792" w14:textId="77777777" w:rsidR="00FB59BB" w:rsidRPr="00FB59BB" w:rsidRDefault="00FB59BB" w:rsidP="00FB59BB">
            <w:pPr>
              <w:spacing w:after="0" w:line="240" w:lineRule="auto"/>
              <w:jc w:val="left"/>
              <w:rPr>
                <w:noProof/>
                <w:sz w:val="18"/>
                <w:szCs w:val="18"/>
                <w:lang w:val="en-IE" w:eastAsia="en-IE"/>
              </w:rPr>
            </w:pPr>
          </w:p>
        </w:tc>
      </w:tr>
      <w:tr w:rsidR="00FB59BB" w:rsidRPr="00F5772A" w14:paraId="2E16704F" w14:textId="77777777" w:rsidTr="00F5772A">
        <w:trPr>
          <w:trHeight w:val="255"/>
        </w:trPr>
        <w:tc>
          <w:tcPr>
            <w:tcW w:w="1778" w:type="dxa"/>
            <w:tcBorders>
              <w:top w:val="nil"/>
              <w:left w:val="nil"/>
              <w:bottom w:val="nil"/>
              <w:right w:val="nil"/>
            </w:tcBorders>
            <w:shd w:val="clear" w:color="000000" w:fill="DCE6F1"/>
            <w:noWrap/>
            <w:vAlign w:val="center"/>
            <w:hideMark/>
          </w:tcPr>
          <w:p w14:paraId="69A96869"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Lietuva</w:t>
            </w:r>
          </w:p>
        </w:tc>
        <w:tc>
          <w:tcPr>
            <w:tcW w:w="916" w:type="dxa"/>
            <w:tcBorders>
              <w:top w:val="nil"/>
              <w:left w:val="nil"/>
              <w:bottom w:val="nil"/>
              <w:right w:val="nil"/>
            </w:tcBorders>
            <w:shd w:val="clear" w:color="000000" w:fill="DCE6F1"/>
            <w:vAlign w:val="bottom"/>
            <w:hideMark/>
          </w:tcPr>
          <w:p w14:paraId="231780E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74</w:t>
            </w:r>
          </w:p>
        </w:tc>
        <w:tc>
          <w:tcPr>
            <w:tcW w:w="1417" w:type="dxa"/>
            <w:tcBorders>
              <w:top w:val="nil"/>
              <w:left w:val="nil"/>
              <w:bottom w:val="nil"/>
              <w:right w:val="nil"/>
            </w:tcBorders>
            <w:shd w:val="clear" w:color="000000" w:fill="DCE6F1"/>
            <w:vAlign w:val="bottom"/>
            <w:hideMark/>
          </w:tcPr>
          <w:p w14:paraId="57B8F8F4" w14:textId="0633AA8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771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386</w:t>
            </w:r>
          </w:p>
        </w:tc>
        <w:tc>
          <w:tcPr>
            <w:tcW w:w="851" w:type="dxa"/>
            <w:tcBorders>
              <w:top w:val="nil"/>
              <w:left w:val="nil"/>
              <w:bottom w:val="nil"/>
              <w:right w:val="nil"/>
            </w:tcBorders>
            <w:shd w:val="clear" w:color="000000" w:fill="DCE6F1"/>
            <w:vAlign w:val="bottom"/>
            <w:hideMark/>
          </w:tcPr>
          <w:p w14:paraId="6E339D1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21</w:t>
            </w:r>
          </w:p>
        </w:tc>
        <w:tc>
          <w:tcPr>
            <w:tcW w:w="1417" w:type="dxa"/>
            <w:tcBorders>
              <w:top w:val="nil"/>
              <w:left w:val="nil"/>
              <w:bottom w:val="nil"/>
              <w:right w:val="nil"/>
            </w:tcBorders>
            <w:shd w:val="clear" w:color="000000" w:fill="DCE6F1"/>
            <w:vAlign w:val="bottom"/>
            <w:hideMark/>
          </w:tcPr>
          <w:p w14:paraId="4D1DEC72" w14:textId="5EDE0AE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050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387</w:t>
            </w:r>
          </w:p>
        </w:tc>
        <w:tc>
          <w:tcPr>
            <w:tcW w:w="851" w:type="dxa"/>
            <w:tcBorders>
              <w:top w:val="nil"/>
              <w:left w:val="nil"/>
              <w:bottom w:val="nil"/>
              <w:right w:val="nil"/>
            </w:tcBorders>
            <w:shd w:val="clear" w:color="000000" w:fill="DCE6F1"/>
            <w:vAlign w:val="bottom"/>
            <w:hideMark/>
          </w:tcPr>
          <w:p w14:paraId="1004A5B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1D55F7D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0612640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0A932CDE"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4B2D047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95</w:t>
            </w:r>
          </w:p>
        </w:tc>
        <w:tc>
          <w:tcPr>
            <w:tcW w:w="1559" w:type="dxa"/>
            <w:tcBorders>
              <w:top w:val="nil"/>
              <w:left w:val="nil"/>
              <w:bottom w:val="nil"/>
              <w:right w:val="nil"/>
            </w:tcBorders>
            <w:shd w:val="clear" w:color="000000" w:fill="DCE6F1"/>
            <w:vAlign w:val="bottom"/>
            <w:hideMark/>
          </w:tcPr>
          <w:p w14:paraId="1910E51B" w14:textId="20985366"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821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772</w:t>
            </w:r>
          </w:p>
        </w:tc>
        <w:tc>
          <w:tcPr>
            <w:tcW w:w="1256" w:type="dxa"/>
            <w:tcBorders>
              <w:top w:val="nil"/>
              <w:left w:val="nil"/>
              <w:bottom w:val="nil"/>
              <w:right w:val="nil"/>
            </w:tcBorders>
            <w:shd w:val="clear" w:color="000000" w:fill="DCE6F1"/>
            <w:vAlign w:val="bottom"/>
            <w:hideMark/>
          </w:tcPr>
          <w:p w14:paraId="3832062A"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11</w:t>
            </w:r>
          </w:p>
        </w:tc>
        <w:tc>
          <w:tcPr>
            <w:tcW w:w="1279" w:type="dxa"/>
            <w:tcBorders>
              <w:top w:val="nil"/>
              <w:left w:val="nil"/>
              <w:bottom w:val="nil"/>
              <w:right w:val="nil"/>
            </w:tcBorders>
            <w:shd w:val="clear" w:color="000000" w:fill="DCE6F1"/>
            <w:vAlign w:val="bottom"/>
            <w:hideMark/>
          </w:tcPr>
          <w:p w14:paraId="72234C6D" w14:textId="1A5C72FD"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516</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283</w:t>
            </w:r>
          </w:p>
        </w:tc>
        <w:tc>
          <w:tcPr>
            <w:tcW w:w="222" w:type="dxa"/>
            <w:vAlign w:val="center"/>
            <w:hideMark/>
          </w:tcPr>
          <w:p w14:paraId="4F37E343" w14:textId="77777777" w:rsidR="00FB59BB" w:rsidRPr="00FB59BB" w:rsidRDefault="00FB59BB" w:rsidP="00FB59BB">
            <w:pPr>
              <w:spacing w:after="0" w:line="240" w:lineRule="auto"/>
              <w:jc w:val="left"/>
              <w:rPr>
                <w:noProof/>
                <w:sz w:val="18"/>
                <w:szCs w:val="18"/>
                <w:lang w:val="en-IE" w:eastAsia="en-IE"/>
              </w:rPr>
            </w:pPr>
          </w:p>
        </w:tc>
      </w:tr>
      <w:tr w:rsidR="00FB59BB" w:rsidRPr="00F5772A" w14:paraId="134CA66F" w14:textId="77777777" w:rsidTr="00F5772A">
        <w:trPr>
          <w:trHeight w:val="255"/>
        </w:trPr>
        <w:tc>
          <w:tcPr>
            <w:tcW w:w="1778" w:type="dxa"/>
            <w:tcBorders>
              <w:top w:val="nil"/>
              <w:left w:val="nil"/>
              <w:bottom w:val="nil"/>
              <w:right w:val="nil"/>
            </w:tcBorders>
            <w:shd w:val="clear" w:color="000000" w:fill="FFFFFF"/>
            <w:noWrap/>
            <w:vAlign w:val="center"/>
            <w:hideMark/>
          </w:tcPr>
          <w:p w14:paraId="2DDF60EA"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Luxembourg</w:t>
            </w:r>
          </w:p>
        </w:tc>
        <w:tc>
          <w:tcPr>
            <w:tcW w:w="916" w:type="dxa"/>
            <w:tcBorders>
              <w:top w:val="nil"/>
              <w:left w:val="nil"/>
              <w:bottom w:val="nil"/>
              <w:right w:val="nil"/>
            </w:tcBorders>
            <w:shd w:val="clear" w:color="000000" w:fill="FFFFFF"/>
            <w:vAlign w:val="bottom"/>
            <w:hideMark/>
          </w:tcPr>
          <w:p w14:paraId="6D95BF2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p>
        </w:tc>
        <w:tc>
          <w:tcPr>
            <w:tcW w:w="1417" w:type="dxa"/>
            <w:tcBorders>
              <w:top w:val="nil"/>
              <w:left w:val="nil"/>
              <w:bottom w:val="nil"/>
              <w:right w:val="nil"/>
            </w:tcBorders>
            <w:shd w:val="clear" w:color="000000" w:fill="FFFFFF"/>
            <w:vAlign w:val="bottom"/>
            <w:hideMark/>
          </w:tcPr>
          <w:p w14:paraId="24D34CAE" w14:textId="01D9A3A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026</w:t>
            </w:r>
          </w:p>
        </w:tc>
        <w:tc>
          <w:tcPr>
            <w:tcW w:w="851" w:type="dxa"/>
            <w:tcBorders>
              <w:top w:val="nil"/>
              <w:left w:val="nil"/>
              <w:bottom w:val="nil"/>
              <w:right w:val="nil"/>
            </w:tcBorders>
            <w:shd w:val="clear" w:color="000000" w:fill="FFFFFF"/>
            <w:vAlign w:val="bottom"/>
            <w:hideMark/>
          </w:tcPr>
          <w:p w14:paraId="59317F7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417" w:type="dxa"/>
            <w:tcBorders>
              <w:top w:val="nil"/>
              <w:left w:val="nil"/>
              <w:bottom w:val="nil"/>
              <w:right w:val="nil"/>
            </w:tcBorders>
            <w:shd w:val="clear" w:color="000000" w:fill="FFFFFF"/>
            <w:vAlign w:val="bottom"/>
            <w:hideMark/>
          </w:tcPr>
          <w:p w14:paraId="5AF399F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851" w:type="dxa"/>
            <w:tcBorders>
              <w:top w:val="nil"/>
              <w:left w:val="nil"/>
              <w:bottom w:val="nil"/>
              <w:right w:val="nil"/>
            </w:tcBorders>
            <w:shd w:val="clear" w:color="000000" w:fill="FFFFFF"/>
            <w:vAlign w:val="bottom"/>
            <w:hideMark/>
          </w:tcPr>
          <w:p w14:paraId="4E65CF1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FFFFFF"/>
            <w:vAlign w:val="bottom"/>
            <w:hideMark/>
          </w:tcPr>
          <w:p w14:paraId="32C5F6E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FFFFFF"/>
            <w:vAlign w:val="bottom"/>
            <w:hideMark/>
          </w:tcPr>
          <w:p w14:paraId="6F9DBE1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1191EE0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2664E6E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p>
        </w:tc>
        <w:tc>
          <w:tcPr>
            <w:tcW w:w="1559" w:type="dxa"/>
            <w:tcBorders>
              <w:top w:val="nil"/>
              <w:left w:val="nil"/>
              <w:bottom w:val="nil"/>
              <w:right w:val="nil"/>
            </w:tcBorders>
            <w:shd w:val="clear" w:color="000000" w:fill="FFFFFF"/>
            <w:vAlign w:val="bottom"/>
            <w:hideMark/>
          </w:tcPr>
          <w:p w14:paraId="07FAB80F" w14:textId="3BA4100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026</w:t>
            </w:r>
          </w:p>
        </w:tc>
        <w:tc>
          <w:tcPr>
            <w:tcW w:w="1256" w:type="dxa"/>
            <w:tcBorders>
              <w:top w:val="nil"/>
              <w:left w:val="nil"/>
              <w:bottom w:val="nil"/>
              <w:right w:val="nil"/>
            </w:tcBorders>
            <w:shd w:val="clear" w:color="000000" w:fill="FFFFFF"/>
            <w:vAlign w:val="bottom"/>
            <w:hideMark/>
          </w:tcPr>
          <w:p w14:paraId="3873DB43"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w:t>
            </w:r>
          </w:p>
        </w:tc>
        <w:tc>
          <w:tcPr>
            <w:tcW w:w="1279" w:type="dxa"/>
            <w:tcBorders>
              <w:top w:val="nil"/>
              <w:left w:val="nil"/>
              <w:bottom w:val="nil"/>
              <w:right w:val="nil"/>
            </w:tcBorders>
            <w:shd w:val="clear" w:color="000000" w:fill="FFFFFF"/>
            <w:vAlign w:val="bottom"/>
            <w:hideMark/>
          </w:tcPr>
          <w:p w14:paraId="4FAF5B93" w14:textId="0E86491B"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86</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297</w:t>
            </w:r>
          </w:p>
        </w:tc>
        <w:tc>
          <w:tcPr>
            <w:tcW w:w="222" w:type="dxa"/>
            <w:vAlign w:val="center"/>
            <w:hideMark/>
          </w:tcPr>
          <w:p w14:paraId="15590620" w14:textId="77777777" w:rsidR="00FB59BB" w:rsidRPr="00FB59BB" w:rsidRDefault="00FB59BB" w:rsidP="00FB59BB">
            <w:pPr>
              <w:spacing w:after="0" w:line="240" w:lineRule="auto"/>
              <w:jc w:val="left"/>
              <w:rPr>
                <w:noProof/>
                <w:sz w:val="18"/>
                <w:szCs w:val="18"/>
                <w:lang w:val="en-IE" w:eastAsia="en-IE"/>
              </w:rPr>
            </w:pPr>
          </w:p>
        </w:tc>
      </w:tr>
      <w:tr w:rsidR="00FB59BB" w:rsidRPr="00F5772A" w14:paraId="317B8172" w14:textId="77777777" w:rsidTr="00F5772A">
        <w:trPr>
          <w:trHeight w:val="255"/>
        </w:trPr>
        <w:tc>
          <w:tcPr>
            <w:tcW w:w="1778" w:type="dxa"/>
            <w:tcBorders>
              <w:top w:val="nil"/>
              <w:left w:val="nil"/>
              <w:bottom w:val="nil"/>
              <w:right w:val="nil"/>
            </w:tcBorders>
            <w:shd w:val="clear" w:color="000000" w:fill="DCE6F1"/>
            <w:noWrap/>
            <w:vAlign w:val="center"/>
            <w:hideMark/>
          </w:tcPr>
          <w:p w14:paraId="7E99BBA0"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Magyarország</w:t>
            </w:r>
          </w:p>
        </w:tc>
        <w:tc>
          <w:tcPr>
            <w:tcW w:w="916" w:type="dxa"/>
            <w:tcBorders>
              <w:top w:val="nil"/>
              <w:left w:val="nil"/>
              <w:bottom w:val="nil"/>
              <w:right w:val="nil"/>
            </w:tcBorders>
            <w:shd w:val="clear" w:color="000000" w:fill="DCE6F1"/>
            <w:vAlign w:val="bottom"/>
            <w:hideMark/>
          </w:tcPr>
          <w:p w14:paraId="6ABFD80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307</w:t>
            </w:r>
          </w:p>
        </w:tc>
        <w:tc>
          <w:tcPr>
            <w:tcW w:w="1417" w:type="dxa"/>
            <w:tcBorders>
              <w:top w:val="nil"/>
              <w:left w:val="nil"/>
              <w:bottom w:val="nil"/>
              <w:right w:val="nil"/>
            </w:tcBorders>
            <w:shd w:val="clear" w:color="000000" w:fill="DCE6F1"/>
            <w:vAlign w:val="bottom"/>
            <w:hideMark/>
          </w:tcPr>
          <w:p w14:paraId="5CCF0B0F" w14:textId="2E249B9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507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822</w:t>
            </w:r>
          </w:p>
        </w:tc>
        <w:tc>
          <w:tcPr>
            <w:tcW w:w="851" w:type="dxa"/>
            <w:tcBorders>
              <w:top w:val="nil"/>
              <w:left w:val="nil"/>
              <w:bottom w:val="nil"/>
              <w:right w:val="nil"/>
            </w:tcBorders>
            <w:shd w:val="clear" w:color="000000" w:fill="DCE6F1"/>
            <w:vAlign w:val="bottom"/>
            <w:hideMark/>
          </w:tcPr>
          <w:p w14:paraId="0DE8371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272</w:t>
            </w:r>
          </w:p>
        </w:tc>
        <w:tc>
          <w:tcPr>
            <w:tcW w:w="1417" w:type="dxa"/>
            <w:tcBorders>
              <w:top w:val="nil"/>
              <w:left w:val="nil"/>
              <w:bottom w:val="nil"/>
              <w:right w:val="nil"/>
            </w:tcBorders>
            <w:shd w:val="clear" w:color="000000" w:fill="DCE6F1"/>
            <w:vAlign w:val="bottom"/>
            <w:hideMark/>
          </w:tcPr>
          <w:p w14:paraId="20960B67" w14:textId="4C0ABB49"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144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615</w:t>
            </w:r>
          </w:p>
        </w:tc>
        <w:tc>
          <w:tcPr>
            <w:tcW w:w="851" w:type="dxa"/>
            <w:tcBorders>
              <w:top w:val="nil"/>
              <w:left w:val="nil"/>
              <w:bottom w:val="nil"/>
              <w:right w:val="nil"/>
            </w:tcBorders>
            <w:shd w:val="clear" w:color="000000" w:fill="DCE6F1"/>
            <w:vAlign w:val="bottom"/>
            <w:hideMark/>
          </w:tcPr>
          <w:p w14:paraId="3740420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p>
        </w:tc>
        <w:tc>
          <w:tcPr>
            <w:tcW w:w="1275" w:type="dxa"/>
            <w:tcBorders>
              <w:top w:val="nil"/>
              <w:left w:val="nil"/>
              <w:bottom w:val="nil"/>
              <w:right w:val="nil"/>
            </w:tcBorders>
            <w:shd w:val="clear" w:color="000000" w:fill="DCE6F1"/>
            <w:vAlign w:val="bottom"/>
            <w:hideMark/>
          </w:tcPr>
          <w:p w14:paraId="37324862" w14:textId="1EC400C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392</w:t>
            </w:r>
          </w:p>
        </w:tc>
        <w:tc>
          <w:tcPr>
            <w:tcW w:w="993" w:type="dxa"/>
            <w:tcBorders>
              <w:top w:val="nil"/>
              <w:left w:val="nil"/>
              <w:bottom w:val="nil"/>
              <w:right w:val="nil"/>
            </w:tcBorders>
            <w:shd w:val="clear" w:color="000000" w:fill="DCE6F1"/>
            <w:vAlign w:val="bottom"/>
            <w:hideMark/>
          </w:tcPr>
          <w:p w14:paraId="1F0FADC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378A340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4BFC06F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580</w:t>
            </w:r>
          </w:p>
        </w:tc>
        <w:tc>
          <w:tcPr>
            <w:tcW w:w="1559" w:type="dxa"/>
            <w:tcBorders>
              <w:top w:val="nil"/>
              <w:left w:val="nil"/>
              <w:bottom w:val="nil"/>
              <w:right w:val="nil"/>
            </w:tcBorders>
            <w:shd w:val="clear" w:color="000000" w:fill="DCE6F1"/>
            <w:vAlign w:val="bottom"/>
            <w:hideMark/>
          </w:tcPr>
          <w:p w14:paraId="1EA3A0E0" w14:textId="21FA683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663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828</w:t>
            </w:r>
          </w:p>
        </w:tc>
        <w:tc>
          <w:tcPr>
            <w:tcW w:w="1256" w:type="dxa"/>
            <w:tcBorders>
              <w:top w:val="nil"/>
              <w:left w:val="nil"/>
              <w:bottom w:val="nil"/>
              <w:right w:val="nil"/>
            </w:tcBorders>
            <w:shd w:val="clear" w:color="000000" w:fill="DCE6F1"/>
            <w:vAlign w:val="bottom"/>
            <w:hideMark/>
          </w:tcPr>
          <w:p w14:paraId="065F69E0"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30</w:t>
            </w:r>
          </w:p>
        </w:tc>
        <w:tc>
          <w:tcPr>
            <w:tcW w:w="1279" w:type="dxa"/>
            <w:tcBorders>
              <w:top w:val="nil"/>
              <w:left w:val="nil"/>
              <w:bottom w:val="nil"/>
              <w:right w:val="nil"/>
            </w:tcBorders>
            <w:shd w:val="clear" w:color="000000" w:fill="DCE6F1"/>
            <w:vAlign w:val="bottom"/>
            <w:hideMark/>
          </w:tcPr>
          <w:p w14:paraId="156D6835" w14:textId="5548BD79"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2</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984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576</w:t>
            </w:r>
          </w:p>
        </w:tc>
        <w:tc>
          <w:tcPr>
            <w:tcW w:w="222" w:type="dxa"/>
            <w:vAlign w:val="center"/>
            <w:hideMark/>
          </w:tcPr>
          <w:p w14:paraId="214364B7" w14:textId="77777777" w:rsidR="00FB59BB" w:rsidRPr="00FB59BB" w:rsidRDefault="00FB59BB" w:rsidP="00FB59BB">
            <w:pPr>
              <w:spacing w:after="0" w:line="240" w:lineRule="auto"/>
              <w:jc w:val="left"/>
              <w:rPr>
                <w:noProof/>
                <w:sz w:val="18"/>
                <w:szCs w:val="18"/>
                <w:lang w:val="en-IE" w:eastAsia="en-IE"/>
              </w:rPr>
            </w:pPr>
          </w:p>
        </w:tc>
      </w:tr>
      <w:tr w:rsidR="00FB59BB" w:rsidRPr="00F5772A" w14:paraId="48AB4EFC" w14:textId="77777777" w:rsidTr="00F5772A">
        <w:trPr>
          <w:trHeight w:val="255"/>
        </w:trPr>
        <w:tc>
          <w:tcPr>
            <w:tcW w:w="1778" w:type="dxa"/>
            <w:tcBorders>
              <w:top w:val="nil"/>
              <w:left w:val="nil"/>
              <w:bottom w:val="nil"/>
              <w:right w:val="nil"/>
            </w:tcBorders>
            <w:shd w:val="clear" w:color="000000" w:fill="FFFFFF"/>
            <w:noWrap/>
            <w:vAlign w:val="center"/>
            <w:hideMark/>
          </w:tcPr>
          <w:p w14:paraId="6A21B865"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Malta</w:t>
            </w:r>
          </w:p>
        </w:tc>
        <w:tc>
          <w:tcPr>
            <w:tcW w:w="916" w:type="dxa"/>
            <w:tcBorders>
              <w:top w:val="nil"/>
              <w:left w:val="nil"/>
              <w:bottom w:val="nil"/>
              <w:right w:val="nil"/>
            </w:tcBorders>
            <w:shd w:val="clear" w:color="000000" w:fill="FFFFFF"/>
            <w:vAlign w:val="bottom"/>
            <w:hideMark/>
          </w:tcPr>
          <w:p w14:paraId="2AABED8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p>
        </w:tc>
        <w:tc>
          <w:tcPr>
            <w:tcW w:w="1417" w:type="dxa"/>
            <w:tcBorders>
              <w:top w:val="nil"/>
              <w:left w:val="nil"/>
              <w:bottom w:val="nil"/>
              <w:right w:val="nil"/>
            </w:tcBorders>
            <w:shd w:val="clear" w:color="000000" w:fill="FFFFFF"/>
            <w:vAlign w:val="bottom"/>
            <w:hideMark/>
          </w:tcPr>
          <w:p w14:paraId="20C54BE3" w14:textId="3B1A7A5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735</w:t>
            </w:r>
          </w:p>
        </w:tc>
        <w:tc>
          <w:tcPr>
            <w:tcW w:w="851" w:type="dxa"/>
            <w:tcBorders>
              <w:top w:val="nil"/>
              <w:left w:val="nil"/>
              <w:bottom w:val="nil"/>
              <w:right w:val="nil"/>
            </w:tcBorders>
            <w:shd w:val="clear" w:color="000000" w:fill="FFFFFF"/>
            <w:vAlign w:val="bottom"/>
            <w:hideMark/>
          </w:tcPr>
          <w:p w14:paraId="4BFCFB2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w:t>
            </w:r>
          </w:p>
        </w:tc>
        <w:tc>
          <w:tcPr>
            <w:tcW w:w="1417" w:type="dxa"/>
            <w:tcBorders>
              <w:top w:val="nil"/>
              <w:left w:val="nil"/>
              <w:bottom w:val="nil"/>
              <w:right w:val="nil"/>
            </w:tcBorders>
            <w:shd w:val="clear" w:color="000000" w:fill="FFFFFF"/>
            <w:vAlign w:val="bottom"/>
            <w:hideMark/>
          </w:tcPr>
          <w:p w14:paraId="433B45FB" w14:textId="6E1A8F8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95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515</w:t>
            </w:r>
          </w:p>
        </w:tc>
        <w:tc>
          <w:tcPr>
            <w:tcW w:w="851" w:type="dxa"/>
            <w:tcBorders>
              <w:top w:val="nil"/>
              <w:left w:val="nil"/>
              <w:bottom w:val="nil"/>
              <w:right w:val="nil"/>
            </w:tcBorders>
            <w:shd w:val="clear" w:color="000000" w:fill="FFFFFF"/>
            <w:vAlign w:val="bottom"/>
            <w:hideMark/>
          </w:tcPr>
          <w:p w14:paraId="53F886F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FFFFFF"/>
            <w:vAlign w:val="bottom"/>
            <w:hideMark/>
          </w:tcPr>
          <w:p w14:paraId="005EE1A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FFFFFF"/>
            <w:vAlign w:val="bottom"/>
            <w:hideMark/>
          </w:tcPr>
          <w:p w14:paraId="5303FD1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5B1230E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63EA0CD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w:t>
            </w:r>
          </w:p>
        </w:tc>
        <w:tc>
          <w:tcPr>
            <w:tcW w:w="1559" w:type="dxa"/>
            <w:tcBorders>
              <w:top w:val="nil"/>
              <w:left w:val="nil"/>
              <w:bottom w:val="nil"/>
              <w:right w:val="nil"/>
            </w:tcBorders>
            <w:shd w:val="clear" w:color="000000" w:fill="FFFFFF"/>
            <w:vAlign w:val="bottom"/>
            <w:hideMark/>
          </w:tcPr>
          <w:p w14:paraId="24FA890A" w14:textId="214A32B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152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250</w:t>
            </w:r>
          </w:p>
        </w:tc>
        <w:tc>
          <w:tcPr>
            <w:tcW w:w="1256" w:type="dxa"/>
            <w:tcBorders>
              <w:top w:val="nil"/>
              <w:left w:val="nil"/>
              <w:bottom w:val="nil"/>
              <w:right w:val="nil"/>
            </w:tcBorders>
            <w:shd w:val="clear" w:color="000000" w:fill="FFFFFF"/>
            <w:vAlign w:val="bottom"/>
            <w:hideMark/>
          </w:tcPr>
          <w:p w14:paraId="3A6819AD"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0</w:t>
            </w:r>
          </w:p>
        </w:tc>
        <w:tc>
          <w:tcPr>
            <w:tcW w:w="1279" w:type="dxa"/>
            <w:tcBorders>
              <w:top w:val="nil"/>
              <w:left w:val="nil"/>
              <w:bottom w:val="nil"/>
              <w:right w:val="nil"/>
            </w:tcBorders>
            <w:shd w:val="clear" w:color="000000" w:fill="FFFFFF"/>
            <w:vAlign w:val="bottom"/>
            <w:hideMark/>
          </w:tcPr>
          <w:p w14:paraId="46ADE1E8"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0</w:t>
            </w:r>
          </w:p>
        </w:tc>
        <w:tc>
          <w:tcPr>
            <w:tcW w:w="222" w:type="dxa"/>
            <w:vAlign w:val="center"/>
            <w:hideMark/>
          </w:tcPr>
          <w:p w14:paraId="17C055E1" w14:textId="77777777" w:rsidR="00FB59BB" w:rsidRPr="00FB59BB" w:rsidRDefault="00FB59BB" w:rsidP="00FB59BB">
            <w:pPr>
              <w:spacing w:after="0" w:line="240" w:lineRule="auto"/>
              <w:jc w:val="left"/>
              <w:rPr>
                <w:noProof/>
                <w:sz w:val="18"/>
                <w:szCs w:val="18"/>
                <w:lang w:val="en-IE" w:eastAsia="en-IE"/>
              </w:rPr>
            </w:pPr>
          </w:p>
        </w:tc>
      </w:tr>
      <w:tr w:rsidR="00FB59BB" w:rsidRPr="00F5772A" w14:paraId="5B31EA45" w14:textId="77777777" w:rsidTr="00F5772A">
        <w:trPr>
          <w:trHeight w:val="255"/>
        </w:trPr>
        <w:tc>
          <w:tcPr>
            <w:tcW w:w="1778" w:type="dxa"/>
            <w:tcBorders>
              <w:top w:val="nil"/>
              <w:left w:val="nil"/>
              <w:bottom w:val="nil"/>
              <w:right w:val="nil"/>
            </w:tcBorders>
            <w:shd w:val="clear" w:color="000000" w:fill="DCE6F1"/>
            <w:noWrap/>
            <w:vAlign w:val="center"/>
            <w:hideMark/>
          </w:tcPr>
          <w:p w14:paraId="6F0206DD"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Nederland</w:t>
            </w:r>
          </w:p>
        </w:tc>
        <w:tc>
          <w:tcPr>
            <w:tcW w:w="916" w:type="dxa"/>
            <w:tcBorders>
              <w:top w:val="nil"/>
              <w:left w:val="nil"/>
              <w:bottom w:val="nil"/>
              <w:right w:val="nil"/>
            </w:tcBorders>
            <w:shd w:val="clear" w:color="000000" w:fill="DCE6F1"/>
            <w:vAlign w:val="bottom"/>
            <w:hideMark/>
          </w:tcPr>
          <w:p w14:paraId="3BCE4D0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10</w:t>
            </w:r>
          </w:p>
        </w:tc>
        <w:tc>
          <w:tcPr>
            <w:tcW w:w="1417" w:type="dxa"/>
            <w:tcBorders>
              <w:top w:val="nil"/>
              <w:left w:val="nil"/>
              <w:bottom w:val="nil"/>
              <w:right w:val="nil"/>
            </w:tcBorders>
            <w:shd w:val="clear" w:color="000000" w:fill="DCE6F1"/>
            <w:vAlign w:val="bottom"/>
            <w:hideMark/>
          </w:tcPr>
          <w:p w14:paraId="746D4853" w14:textId="4D9D201C"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388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933</w:t>
            </w:r>
          </w:p>
        </w:tc>
        <w:tc>
          <w:tcPr>
            <w:tcW w:w="851" w:type="dxa"/>
            <w:tcBorders>
              <w:top w:val="nil"/>
              <w:left w:val="nil"/>
              <w:bottom w:val="nil"/>
              <w:right w:val="nil"/>
            </w:tcBorders>
            <w:shd w:val="clear" w:color="000000" w:fill="DCE6F1"/>
            <w:vAlign w:val="bottom"/>
            <w:hideMark/>
          </w:tcPr>
          <w:p w14:paraId="1F7C88F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w:t>
            </w:r>
          </w:p>
        </w:tc>
        <w:tc>
          <w:tcPr>
            <w:tcW w:w="1417" w:type="dxa"/>
            <w:tcBorders>
              <w:top w:val="nil"/>
              <w:left w:val="nil"/>
              <w:bottom w:val="nil"/>
              <w:right w:val="nil"/>
            </w:tcBorders>
            <w:shd w:val="clear" w:color="000000" w:fill="DCE6F1"/>
            <w:vAlign w:val="bottom"/>
            <w:hideMark/>
          </w:tcPr>
          <w:p w14:paraId="07A06765" w14:textId="4C77390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407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359</w:t>
            </w:r>
          </w:p>
        </w:tc>
        <w:tc>
          <w:tcPr>
            <w:tcW w:w="851" w:type="dxa"/>
            <w:tcBorders>
              <w:top w:val="nil"/>
              <w:left w:val="nil"/>
              <w:bottom w:val="nil"/>
              <w:right w:val="nil"/>
            </w:tcBorders>
            <w:shd w:val="clear" w:color="000000" w:fill="DCE6F1"/>
            <w:vAlign w:val="bottom"/>
            <w:hideMark/>
          </w:tcPr>
          <w:p w14:paraId="2FAB4F7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5A14E79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6F0577C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3FCFF02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273D7F5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15</w:t>
            </w:r>
          </w:p>
        </w:tc>
        <w:tc>
          <w:tcPr>
            <w:tcW w:w="1559" w:type="dxa"/>
            <w:tcBorders>
              <w:top w:val="nil"/>
              <w:left w:val="nil"/>
              <w:bottom w:val="nil"/>
              <w:right w:val="nil"/>
            </w:tcBorders>
            <w:shd w:val="clear" w:color="000000" w:fill="DCE6F1"/>
            <w:vAlign w:val="bottom"/>
            <w:hideMark/>
          </w:tcPr>
          <w:p w14:paraId="7D4BA8D0" w14:textId="43091DE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796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291</w:t>
            </w:r>
          </w:p>
        </w:tc>
        <w:tc>
          <w:tcPr>
            <w:tcW w:w="1256" w:type="dxa"/>
            <w:tcBorders>
              <w:top w:val="nil"/>
              <w:left w:val="nil"/>
              <w:bottom w:val="nil"/>
              <w:right w:val="nil"/>
            </w:tcBorders>
            <w:shd w:val="clear" w:color="000000" w:fill="DCE6F1"/>
            <w:vAlign w:val="bottom"/>
            <w:hideMark/>
          </w:tcPr>
          <w:p w14:paraId="5A981CD6"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351</w:t>
            </w:r>
          </w:p>
        </w:tc>
        <w:tc>
          <w:tcPr>
            <w:tcW w:w="1279" w:type="dxa"/>
            <w:tcBorders>
              <w:top w:val="nil"/>
              <w:left w:val="nil"/>
              <w:bottom w:val="nil"/>
              <w:right w:val="nil"/>
            </w:tcBorders>
            <w:shd w:val="clear" w:color="000000" w:fill="DCE6F1"/>
            <w:vAlign w:val="bottom"/>
            <w:hideMark/>
          </w:tcPr>
          <w:p w14:paraId="18971F87" w14:textId="5828960B"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41</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674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315</w:t>
            </w:r>
          </w:p>
        </w:tc>
        <w:tc>
          <w:tcPr>
            <w:tcW w:w="222" w:type="dxa"/>
            <w:vAlign w:val="center"/>
            <w:hideMark/>
          </w:tcPr>
          <w:p w14:paraId="78A13317" w14:textId="77777777" w:rsidR="00FB59BB" w:rsidRPr="00FB59BB" w:rsidRDefault="00FB59BB" w:rsidP="00FB59BB">
            <w:pPr>
              <w:spacing w:after="0" w:line="240" w:lineRule="auto"/>
              <w:jc w:val="left"/>
              <w:rPr>
                <w:noProof/>
                <w:sz w:val="18"/>
                <w:szCs w:val="18"/>
                <w:lang w:val="en-IE" w:eastAsia="en-IE"/>
              </w:rPr>
            </w:pPr>
          </w:p>
        </w:tc>
      </w:tr>
      <w:tr w:rsidR="00FB59BB" w:rsidRPr="00F5772A" w14:paraId="48874F18" w14:textId="77777777" w:rsidTr="00F5772A">
        <w:trPr>
          <w:trHeight w:val="255"/>
        </w:trPr>
        <w:tc>
          <w:tcPr>
            <w:tcW w:w="1778" w:type="dxa"/>
            <w:tcBorders>
              <w:top w:val="nil"/>
              <w:left w:val="nil"/>
              <w:bottom w:val="nil"/>
              <w:right w:val="nil"/>
            </w:tcBorders>
            <w:shd w:val="clear" w:color="000000" w:fill="FFFFFF"/>
            <w:noWrap/>
            <w:vAlign w:val="center"/>
            <w:hideMark/>
          </w:tcPr>
          <w:p w14:paraId="24F54F15"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Österreich</w:t>
            </w:r>
          </w:p>
        </w:tc>
        <w:tc>
          <w:tcPr>
            <w:tcW w:w="916" w:type="dxa"/>
            <w:tcBorders>
              <w:top w:val="nil"/>
              <w:left w:val="nil"/>
              <w:bottom w:val="nil"/>
              <w:right w:val="nil"/>
            </w:tcBorders>
            <w:shd w:val="clear" w:color="000000" w:fill="FFFFFF"/>
            <w:vAlign w:val="bottom"/>
            <w:hideMark/>
          </w:tcPr>
          <w:p w14:paraId="71E78F5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10</w:t>
            </w:r>
          </w:p>
        </w:tc>
        <w:tc>
          <w:tcPr>
            <w:tcW w:w="1417" w:type="dxa"/>
            <w:tcBorders>
              <w:top w:val="nil"/>
              <w:left w:val="nil"/>
              <w:bottom w:val="nil"/>
              <w:right w:val="nil"/>
            </w:tcBorders>
            <w:shd w:val="clear" w:color="000000" w:fill="FFFFFF"/>
            <w:vAlign w:val="bottom"/>
            <w:hideMark/>
          </w:tcPr>
          <w:p w14:paraId="5B7253EB" w14:textId="315C501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631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093</w:t>
            </w:r>
          </w:p>
        </w:tc>
        <w:tc>
          <w:tcPr>
            <w:tcW w:w="851" w:type="dxa"/>
            <w:tcBorders>
              <w:top w:val="nil"/>
              <w:left w:val="nil"/>
              <w:bottom w:val="nil"/>
              <w:right w:val="nil"/>
            </w:tcBorders>
            <w:shd w:val="clear" w:color="000000" w:fill="FFFFFF"/>
            <w:vAlign w:val="bottom"/>
            <w:hideMark/>
          </w:tcPr>
          <w:p w14:paraId="4C0A467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15</w:t>
            </w:r>
          </w:p>
        </w:tc>
        <w:tc>
          <w:tcPr>
            <w:tcW w:w="1417" w:type="dxa"/>
            <w:tcBorders>
              <w:top w:val="nil"/>
              <w:left w:val="nil"/>
              <w:bottom w:val="nil"/>
              <w:right w:val="nil"/>
            </w:tcBorders>
            <w:shd w:val="clear" w:color="000000" w:fill="FFFFFF"/>
            <w:vAlign w:val="bottom"/>
            <w:hideMark/>
          </w:tcPr>
          <w:p w14:paraId="413D68B8" w14:textId="3C6F58C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454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681</w:t>
            </w:r>
          </w:p>
        </w:tc>
        <w:tc>
          <w:tcPr>
            <w:tcW w:w="851" w:type="dxa"/>
            <w:tcBorders>
              <w:top w:val="nil"/>
              <w:left w:val="nil"/>
              <w:bottom w:val="nil"/>
              <w:right w:val="nil"/>
            </w:tcBorders>
            <w:shd w:val="clear" w:color="000000" w:fill="FFFFFF"/>
            <w:vAlign w:val="bottom"/>
            <w:hideMark/>
          </w:tcPr>
          <w:p w14:paraId="6BE7247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p>
        </w:tc>
        <w:tc>
          <w:tcPr>
            <w:tcW w:w="1275" w:type="dxa"/>
            <w:tcBorders>
              <w:top w:val="nil"/>
              <w:left w:val="nil"/>
              <w:bottom w:val="nil"/>
              <w:right w:val="nil"/>
            </w:tcBorders>
            <w:shd w:val="clear" w:color="000000" w:fill="FFFFFF"/>
            <w:vAlign w:val="bottom"/>
            <w:hideMark/>
          </w:tcPr>
          <w:p w14:paraId="1D700B2F" w14:textId="259FCBE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116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160</w:t>
            </w:r>
          </w:p>
        </w:tc>
        <w:tc>
          <w:tcPr>
            <w:tcW w:w="993" w:type="dxa"/>
            <w:tcBorders>
              <w:top w:val="nil"/>
              <w:left w:val="nil"/>
              <w:bottom w:val="nil"/>
              <w:right w:val="nil"/>
            </w:tcBorders>
            <w:shd w:val="clear" w:color="000000" w:fill="FFFFFF"/>
            <w:vAlign w:val="bottom"/>
            <w:hideMark/>
          </w:tcPr>
          <w:p w14:paraId="6E69C50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6AB90EF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587FD6C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27</w:t>
            </w:r>
          </w:p>
        </w:tc>
        <w:tc>
          <w:tcPr>
            <w:tcW w:w="1559" w:type="dxa"/>
            <w:tcBorders>
              <w:top w:val="nil"/>
              <w:left w:val="nil"/>
              <w:bottom w:val="nil"/>
              <w:right w:val="nil"/>
            </w:tcBorders>
            <w:shd w:val="clear" w:color="000000" w:fill="FFFFFF"/>
            <w:vAlign w:val="bottom"/>
            <w:hideMark/>
          </w:tcPr>
          <w:p w14:paraId="3B602B5F" w14:textId="276CB605"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201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934</w:t>
            </w:r>
          </w:p>
        </w:tc>
        <w:tc>
          <w:tcPr>
            <w:tcW w:w="1256" w:type="dxa"/>
            <w:tcBorders>
              <w:top w:val="nil"/>
              <w:left w:val="nil"/>
              <w:bottom w:val="nil"/>
              <w:right w:val="nil"/>
            </w:tcBorders>
            <w:shd w:val="clear" w:color="000000" w:fill="FFFFFF"/>
            <w:vAlign w:val="bottom"/>
            <w:hideMark/>
          </w:tcPr>
          <w:p w14:paraId="736CBE7D"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51</w:t>
            </w:r>
          </w:p>
        </w:tc>
        <w:tc>
          <w:tcPr>
            <w:tcW w:w="1279" w:type="dxa"/>
            <w:tcBorders>
              <w:top w:val="nil"/>
              <w:left w:val="nil"/>
              <w:bottom w:val="nil"/>
              <w:right w:val="nil"/>
            </w:tcBorders>
            <w:shd w:val="clear" w:color="000000" w:fill="FFFFFF"/>
            <w:vAlign w:val="bottom"/>
            <w:hideMark/>
          </w:tcPr>
          <w:p w14:paraId="2DD4BF97" w14:textId="548CF570"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9</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196</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840</w:t>
            </w:r>
          </w:p>
        </w:tc>
        <w:tc>
          <w:tcPr>
            <w:tcW w:w="222" w:type="dxa"/>
            <w:vAlign w:val="center"/>
            <w:hideMark/>
          </w:tcPr>
          <w:p w14:paraId="55C6D933" w14:textId="77777777" w:rsidR="00FB59BB" w:rsidRPr="00FB59BB" w:rsidRDefault="00FB59BB" w:rsidP="00FB59BB">
            <w:pPr>
              <w:spacing w:after="0" w:line="240" w:lineRule="auto"/>
              <w:jc w:val="left"/>
              <w:rPr>
                <w:noProof/>
                <w:sz w:val="18"/>
                <w:szCs w:val="18"/>
                <w:lang w:val="en-IE" w:eastAsia="en-IE"/>
              </w:rPr>
            </w:pPr>
          </w:p>
        </w:tc>
      </w:tr>
      <w:tr w:rsidR="00FB59BB" w:rsidRPr="00F5772A" w14:paraId="542ADED9" w14:textId="77777777" w:rsidTr="00F5772A">
        <w:trPr>
          <w:trHeight w:val="255"/>
        </w:trPr>
        <w:tc>
          <w:tcPr>
            <w:tcW w:w="1778" w:type="dxa"/>
            <w:tcBorders>
              <w:top w:val="nil"/>
              <w:left w:val="nil"/>
              <w:bottom w:val="nil"/>
              <w:right w:val="nil"/>
            </w:tcBorders>
            <w:shd w:val="clear" w:color="000000" w:fill="DCE6F1"/>
            <w:noWrap/>
            <w:vAlign w:val="center"/>
            <w:hideMark/>
          </w:tcPr>
          <w:p w14:paraId="09F23632"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Polska</w:t>
            </w:r>
          </w:p>
        </w:tc>
        <w:tc>
          <w:tcPr>
            <w:tcW w:w="916" w:type="dxa"/>
            <w:tcBorders>
              <w:top w:val="nil"/>
              <w:left w:val="nil"/>
              <w:bottom w:val="nil"/>
              <w:right w:val="nil"/>
            </w:tcBorders>
            <w:shd w:val="clear" w:color="000000" w:fill="DCE6F1"/>
            <w:vAlign w:val="bottom"/>
            <w:hideMark/>
          </w:tcPr>
          <w:p w14:paraId="2C15D3E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832</w:t>
            </w:r>
          </w:p>
        </w:tc>
        <w:tc>
          <w:tcPr>
            <w:tcW w:w="1417" w:type="dxa"/>
            <w:tcBorders>
              <w:top w:val="nil"/>
              <w:left w:val="nil"/>
              <w:bottom w:val="nil"/>
              <w:right w:val="nil"/>
            </w:tcBorders>
            <w:shd w:val="clear" w:color="000000" w:fill="DCE6F1"/>
            <w:vAlign w:val="bottom"/>
            <w:hideMark/>
          </w:tcPr>
          <w:p w14:paraId="5C6F70E1" w14:textId="41516E2D"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466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966</w:t>
            </w:r>
          </w:p>
        </w:tc>
        <w:tc>
          <w:tcPr>
            <w:tcW w:w="851" w:type="dxa"/>
            <w:tcBorders>
              <w:top w:val="nil"/>
              <w:left w:val="nil"/>
              <w:bottom w:val="nil"/>
              <w:right w:val="nil"/>
            </w:tcBorders>
            <w:shd w:val="clear" w:color="000000" w:fill="DCE6F1"/>
            <w:vAlign w:val="bottom"/>
            <w:hideMark/>
          </w:tcPr>
          <w:p w14:paraId="3A4A3C6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402</w:t>
            </w:r>
          </w:p>
        </w:tc>
        <w:tc>
          <w:tcPr>
            <w:tcW w:w="1417" w:type="dxa"/>
            <w:tcBorders>
              <w:top w:val="nil"/>
              <w:left w:val="nil"/>
              <w:bottom w:val="nil"/>
              <w:right w:val="nil"/>
            </w:tcBorders>
            <w:shd w:val="clear" w:color="000000" w:fill="DCE6F1"/>
            <w:vAlign w:val="bottom"/>
            <w:hideMark/>
          </w:tcPr>
          <w:p w14:paraId="4CFC455C" w14:textId="73EF35E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110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030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450</w:t>
            </w:r>
          </w:p>
        </w:tc>
        <w:tc>
          <w:tcPr>
            <w:tcW w:w="851" w:type="dxa"/>
            <w:tcBorders>
              <w:top w:val="nil"/>
              <w:left w:val="nil"/>
              <w:bottom w:val="nil"/>
              <w:right w:val="nil"/>
            </w:tcBorders>
            <w:shd w:val="clear" w:color="000000" w:fill="DCE6F1"/>
            <w:vAlign w:val="bottom"/>
            <w:hideMark/>
          </w:tcPr>
          <w:p w14:paraId="04FDC3A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w:t>
            </w:r>
          </w:p>
        </w:tc>
        <w:tc>
          <w:tcPr>
            <w:tcW w:w="1275" w:type="dxa"/>
            <w:tcBorders>
              <w:top w:val="nil"/>
              <w:left w:val="nil"/>
              <w:bottom w:val="nil"/>
              <w:right w:val="nil"/>
            </w:tcBorders>
            <w:shd w:val="clear" w:color="000000" w:fill="DCE6F1"/>
            <w:vAlign w:val="bottom"/>
            <w:hideMark/>
          </w:tcPr>
          <w:p w14:paraId="16468581" w14:textId="246AE459"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289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424</w:t>
            </w:r>
          </w:p>
        </w:tc>
        <w:tc>
          <w:tcPr>
            <w:tcW w:w="993" w:type="dxa"/>
            <w:tcBorders>
              <w:top w:val="nil"/>
              <w:left w:val="nil"/>
              <w:bottom w:val="nil"/>
              <w:right w:val="nil"/>
            </w:tcBorders>
            <w:shd w:val="clear" w:color="000000" w:fill="DCE6F1"/>
            <w:vAlign w:val="bottom"/>
            <w:hideMark/>
          </w:tcPr>
          <w:p w14:paraId="2A7C581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p>
        </w:tc>
        <w:tc>
          <w:tcPr>
            <w:tcW w:w="1041" w:type="dxa"/>
            <w:tcBorders>
              <w:top w:val="nil"/>
              <w:left w:val="nil"/>
              <w:bottom w:val="nil"/>
              <w:right w:val="nil"/>
            </w:tcBorders>
            <w:shd w:val="clear" w:color="000000" w:fill="DCE6F1"/>
            <w:vAlign w:val="bottom"/>
            <w:hideMark/>
          </w:tcPr>
          <w:p w14:paraId="7F4B5279" w14:textId="73EC89AE"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87</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193</w:t>
            </w:r>
          </w:p>
        </w:tc>
        <w:tc>
          <w:tcPr>
            <w:tcW w:w="1085" w:type="dxa"/>
            <w:tcBorders>
              <w:top w:val="nil"/>
              <w:left w:val="nil"/>
              <w:bottom w:val="nil"/>
              <w:right w:val="nil"/>
            </w:tcBorders>
            <w:shd w:val="clear" w:color="000000" w:fill="DCE6F1"/>
            <w:vAlign w:val="bottom"/>
            <w:hideMark/>
          </w:tcPr>
          <w:p w14:paraId="07A7E50B" w14:textId="21DD8D9B"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241</w:t>
            </w:r>
          </w:p>
        </w:tc>
        <w:tc>
          <w:tcPr>
            <w:tcW w:w="1559" w:type="dxa"/>
            <w:tcBorders>
              <w:top w:val="nil"/>
              <w:left w:val="nil"/>
              <w:bottom w:val="nil"/>
              <w:right w:val="nil"/>
            </w:tcBorders>
            <w:shd w:val="clear" w:color="000000" w:fill="DCE6F1"/>
            <w:vAlign w:val="bottom"/>
            <w:hideMark/>
          </w:tcPr>
          <w:p w14:paraId="4F0A9EDA" w14:textId="60DB472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131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874</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034</w:t>
            </w:r>
          </w:p>
        </w:tc>
        <w:tc>
          <w:tcPr>
            <w:tcW w:w="1256" w:type="dxa"/>
            <w:tcBorders>
              <w:top w:val="nil"/>
              <w:left w:val="nil"/>
              <w:bottom w:val="nil"/>
              <w:right w:val="nil"/>
            </w:tcBorders>
            <w:shd w:val="clear" w:color="000000" w:fill="DCE6F1"/>
            <w:vAlign w:val="bottom"/>
            <w:hideMark/>
          </w:tcPr>
          <w:p w14:paraId="657CF273"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113</w:t>
            </w:r>
          </w:p>
        </w:tc>
        <w:tc>
          <w:tcPr>
            <w:tcW w:w="1279" w:type="dxa"/>
            <w:tcBorders>
              <w:top w:val="nil"/>
              <w:left w:val="nil"/>
              <w:bottom w:val="nil"/>
              <w:right w:val="nil"/>
            </w:tcBorders>
            <w:shd w:val="clear" w:color="000000" w:fill="DCE6F1"/>
            <w:vAlign w:val="bottom"/>
            <w:hideMark/>
          </w:tcPr>
          <w:p w14:paraId="056E1D24" w14:textId="05B17769"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7</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134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818</w:t>
            </w:r>
          </w:p>
        </w:tc>
        <w:tc>
          <w:tcPr>
            <w:tcW w:w="222" w:type="dxa"/>
            <w:vAlign w:val="center"/>
            <w:hideMark/>
          </w:tcPr>
          <w:p w14:paraId="6C60AF1D" w14:textId="77777777" w:rsidR="00FB59BB" w:rsidRPr="00FB59BB" w:rsidRDefault="00FB59BB" w:rsidP="00FB59BB">
            <w:pPr>
              <w:spacing w:after="0" w:line="240" w:lineRule="auto"/>
              <w:jc w:val="left"/>
              <w:rPr>
                <w:noProof/>
                <w:sz w:val="18"/>
                <w:szCs w:val="18"/>
                <w:lang w:val="en-IE" w:eastAsia="en-IE"/>
              </w:rPr>
            </w:pPr>
          </w:p>
        </w:tc>
      </w:tr>
      <w:tr w:rsidR="00FB59BB" w:rsidRPr="00F5772A" w14:paraId="5C11484C" w14:textId="77777777" w:rsidTr="00F5772A">
        <w:trPr>
          <w:trHeight w:val="255"/>
        </w:trPr>
        <w:tc>
          <w:tcPr>
            <w:tcW w:w="1778" w:type="dxa"/>
            <w:tcBorders>
              <w:top w:val="nil"/>
              <w:left w:val="nil"/>
              <w:bottom w:val="nil"/>
              <w:right w:val="nil"/>
            </w:tcBorders>
            <w:shd w:val="clear" w:color="000000" w:fill="FFFFFF"/>
            <w:noWrap/>
            <w:vAlign w:val="center"/>
            <w:hideMark/>
          </w:tcPr>
          <w:p w14:paraId="0BB419A8"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Portugal</w:t>
            </w:r>
          </w:p>
        </w:tc>
        <w:tc>
          <w:tcPr>
            <w:tcW w:w="916" w:type="dxa"/>
            <w:tcBorders>
              <w:top w:val="nil"/>
              <w:left w:val="nil"/>
              <w:bottom w:val="nil"/>
              <w:right w:val="nil"/>
            </w:tcBorders>
            <w:shd w:val="clear" w:color="000000" w:fill="FFFFFF"/>
            <w:vAlign w:val="bottom"/>
            <w:hideMark/>
          </w:tcPr>
          <w:p w14:paraId="1748E7F3"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309</w:t>
            </w:r>
          </w:p>
        </w:tc>
        <w:tc>
          <w:tcPr>
            <w:tcW w:w="1417" w:type="dxa"/>
            <w:tcBorders>
              <w:top w:val="nil"/>
              <w:left w:val="nil"/>
              <w:bottom w:val="nil"/>
              <w:right w:val="nil"/>
            </w:tcBorders>
            <w:shd w:val="clear" w:color="000000" w:fill="FFFFFF"/>
            <w:vAlign w:val="bottom"/>
            <w:hideMark/>
          </w:tcPr>
          <w:p w14:paraId="62F7054E" w14:textId="7D98D900"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039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199</w:t>
            </w:r>
          </w:p>
        </w:tc>
        <w:tc>
          <w:tcPr>
            <w:tcW w:w="851" w:type="dxa"/>
            <w:tcBorders>
              <w:top w:val="nil"/>
              <w:left w:val="nil"/>
              <w:bottom w:val="nil"/>
              <w:right w:val="nil"/>
            </w:tcBorders>
            <w:shd w:val="clear" w:color="000000" w:fill="FFFFFF"/>
            <w:vAlign w:val="bottom"/>
            <w:hideMark/>
          </w:tcPr>
          <w:p w14:paraId="39936BB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105</w:t>
            </w:r>
          </w:p>
        </w:tc>
        <w:tc>
          <w:tcPr>
            <w:tcW w:w="1417" w:type="dxa"/>
            <w:tcBorders>
              <w:top w:val="nil"/>
              <w:left w:val="nil"/>
              <w:bottom w:val="nil"/>
              <w:right w:val="nil"/>
            </w:tcBorders>
            <w:shd w:val="clear" w:color="000000" w:fill="FFFFFF"/>
            <w:vAlign w:val="bottom"/>
            <w:hideMark/>
          </w:tcPr>
          <w:p w14:paraId="6798E270" w14:textId="4BC4FE89"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061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128</w:t>
            </w:r>
          </w:p>
        </w:tc>
        <w:tc>
          <w:tcPr>
            <w:tcW w:w="851" w:type="dxa"/>
            <w:tcBorders>
              <w:top w:val="nil"/>
              <w:left w:val="nil"/>
              <w:bottom w:val="nil"/>
              <w:right w:val="nil"/>
            </w:tcBorders>
            <w:shd w:val="clear" w:color="000000" w:fill="FFFFFF"/>
            <w:vAlign w:val="bottom"/>
            <w:hideMark/>
          </w:tcPr>
          <w:p w14:paraId="6F33C60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p>
        </w:tc>
        <w:tc>
          <w:tcPr>
            <w:tcW w:w="1275" w:type="dxa"/>
            <w:tcBorders>
              <w:top w:val="nil"/>
              <w:left w:val="nil"/>
              <w:bottom w:val="nil"/>
              <w:right w:val="nil"/>
            </w:tcBorders>
            <w:shd w:val="clear" w:color="000000" w:fill="FFFFFF"/>
            <w:vAlign w:val="bottom"/>
            <w:hideMark/>
          </w:tcPr>
          <w:p w14:paraId="3041684B" w14:textId="5C2C02B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719</w:t>
            </w:r>
          </w:p>
        </w:tc>
        <w:tc>
          <w:tcPr>
            <w:tcW w:w="993" w:type="dxa"/>
            <w:tcBorders>
              <w:top w:val="nil"/>
              <w:left w:val="nil"/>
              <w:bottom w:val="nil"/>
              <w:right w:val="nil"/>
            </w:tcBorders>
            <w:shd w:val="clear" w:color="000000" w:fill="FFFFFF"/>
            <w:vAlign w:val="bottom"/>
            <w:hideMark/>
          </w:tcPr>
          <w:p w14:paraId="584AC60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479D0BDC"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6EDCCBA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416</w:t>
            </w:r>
          </w:p>
        </w:tc>
        <w:tc>
          <w:tcPr>
            <w:tcW w:w="1559" w:type="dxa"/>
            <w:tcBorders>
              <w:top w:val="nil"/>
              <w:left w:val="nil"/>
              <w:bottom w:val="nil"/>
              <w:right w:val="nil"/>
            </w:tcBorders>
            <w:shd w:val="clear" w:color="000000" w:fill="FFFFFF"/>
            <w:vAlign w:val="bottom"/>
            <w:hideMark/>
          </w:tcPr>
          <w:p w14:paraId="277E234F" w14:textId="1FE0872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170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046</w:t>
            </w:r>
          </w:p>
        </w:tc>
        <w:tc>
          <w:tcPr>
            <w:tcW w:w="1256" w:type="dxa"/>
            <w:tcBorders>
              <w:top w:val="nil"/>
              <w:left w:val="nil"/>
              <w:bottom w:val="nil"/>
              <w:right w:val="nil"/>
            </w:tcBorders>
            <w:shd w:val="clear" w:color="000000" w:fill="FFFFFF"/>
            <w:vAlign w:val="bottom"/>
            <w:hideMark/>
          </w:tcPr>
          <w:p w14:paraId="2D1D4C91"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0</w:t>
            </w:r>
          </w:p>
        </w:tc>
        <w:tc>
          <w:tcPr>
            <w:tcW w:w="1279" w:type="dxa"/>
            <w:tcBorders>
              <w:top w:val="nil"/>
              <w:left w:val="nil"/>
              <w:bottom w:val="nil"/>
              <w:right w:val="nil"/>
            </w:tcBorders>
            <w:shd w:val="clear" w:color="000000" w:fill="FFFFFF"/>
            <w:vAlign w:val="bottom"/>
            <w:hideMark/>
          </w:tcPr>
          <w:p w14:paraId="580F195C"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0</w:t>
            </w:r>
          </w:p>
        </w:tc>
        <w:tc>
          <w:tcPr>
            <w:tcW w:w="222" w:type="dxa"/>
            <w:vAlign w:val="center"/>
            <w:hideMark/>
          </w:tcPr>
          <w:p w14:paraId="564CD196" w14:textId="77777777" w:rsidR="00FB59BB" w:rsidRPr="00FB59BB" w:rsidRDefault="00FB59BB" w:rsidP="00FB59BB">
            <w:pPr>
              <w:spacing w:after="0" w:line="240" w:lineRule="auto"/>
              <w:jc w:val="left"/>
              <w:rPr>
                <w:noProof/>
                <w:sz w:val="18"/>
                <w:szCs w:val="18"/>
                <w:lang w:val="en-IE" w:eastAsia="en-IE"/>
              </w:rPr>
            </w:pPr>
          </w:p>
        </w:tc>
      </w:tr>
      <w:tr w:rsidR="00FB59BB" w:rsidRPr="00F5772A" w14:paraId="31EB37B1" w14:textId="77777777" w:rsidTr="00F5772A">
        <w:trPr>
          <w:trHeight w:val="255"/>
        </w:trPr>
        <w:tc>
          <w:tcPr>
            <w:tcW w:w="1778" w:type="dxa"/>
            <w:tcBorders>
              <w:top w:val="nil"/>
              <w:left w:val="nil"/>
              <w:bottom w:val="nil"/>
              <w:right w:val="nil"/>
            </w:tcBorders>
            <w:shd w:val="clear" w:color="000000" w:fill="DCE6F1"/>
            <w:noWrap/>
            <w:vAlign w:val="center"/>
            <w:hideMark/>
          </w:tcPr>
          <w:p w14:paraId="1E0F7F87"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Romania</w:t>
            </w:r>
          </w:p>
        </w:tc>
        <w:tc>
          <w:tcPr>
            <w:tcW w:w="916" w:type="dxa"/>
            <w:tcBorders>
              <w:top w:val="nil"/>
              <w:left w:val="nil"/>
              <w:bottom w:val="nil"/>
              <w:right w:val="nil"/>
            </w:tcBorders>
            <w:shd w:val="clear" w:color="000000" w:fill="DCE6F1"/>
            <w:vAlign w:val="bottom"/>
            <w:hideMark/>
          </w:tcPr>
          <w:p w14:paraId="539C117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507</w:t>
            </w:r>
          </w:p>
        </w:tc>
        <w:tc>
          <w:tcPr>
            <w:tcW w:w="1417" w:type="dxa"/>
            <w:tcBorders>
              <w:top w:val="nil"/>
              <w:left w:val="nil"/>
              <w:bottom w:val="nil"/>
              <w:right w:val="nil"/>
            </w:tcBorders>
            <w:shd w:val="clear" w:color="000000" w:fill="DCE6F1"/>
            <w:vAlign w:val="bottom"/>
            <w:hideMark/>
          </w:tcPr>
          <w:p w14:paraId="25560D1F" w14:textId="1DD855C9"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246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198</w:t>
            </w:r>
          </w:p>
        </w:tc>
        <w:tc>
          <w:tcPr>
            <w:tcW w:w="851" w:type="dxa"/>
            <w:tcBorders>
              <w:top w:val="nil"/>
              <w:left w:val="nil"/>
              <w:bottom w:val="nil"/>
              <w:right w:val="nil"/>
            </w:tcBorders>
            <w:shd w:val="clear" w:color="000000" w:fill="DCE6F1"/>
            <w:vAlign w:val="bottom"/>
            <w:hideMark/>
          </w:tcPr>
          <w:p w14:paraId="7142156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317</w:t>
            </w:r>
          </w:p>
        </w:tc>
        <w:tc>
          <w:tcPr>
            <w:tcW w:w="1417" w:type="dxa"/>
            <w:tcBorders>
              <w:top w:val="nil"/>
              <w:left w:val="nil"/>
              <w:bottom w:val="nil"/>
              <w:right w:val="nil"/>
            </w:tcBorders>
            <w:shd w:val="clear" w:color="000000" w:fill="DCE6F1"/>
            <w:vAlign w:val="bottom"/>
            <w:hideMark/>
          </w:tcPr>
          <w:p w14:paraId="0F3C2B00" w14:textId="731C0F0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81</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438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423</w:t>
            </w:r>
          </w:p>
        </w:tc>
        <w:tc>
          <w:tcPr>
            <w:tcW w:w="851" w:type="dxa"/>
            <w:tcBorders>
              <w:top w:val="nil"/>
              <w:left w:val="nil"/>
              <w:bottom w:val="nil"/>
              <w:right w:val="nil"/>
            </w:tcBorders>
            <w:shd w:val="clear" w:color="000000" w:fill="DCE6F1"/>
            <w:vAlign w:val="bottom"/>
            <w:hideMark/>
          </w:tcPr>
          <w:p w14:paraId="124A47F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w:t>
            </w:r>
          </w:p>
        </w:tc>
        <w:tc>
          <w:tcPr>
            <w:tcW w:w="1275" w:type="dxa"/>
            <w:tcBorders>
              <w:top w:val="nil"/>
              <w:left w:val="nil"/>
              <w:bottom w:val="nil"/>
              <w:right w:val="nil"/>
            </w:tcBorders>
            <w:shd w:val="clear" w:color="000000" w:fill="DCE6F1"/>
            <w:vAlign w:val="bottom"/>
            <w:hideMark/>
          </w:tcPr>
          <w:p w14:paraId="46B87619" w14:textId="31CAF7D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463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174</w:t>
            </w:r>
          </w:p>
        </w:tc>
        <w:tc>
          <w:tcPr>
            <w:tcW w:w="993" w:type="dxa"/>
            <w:tcBorders>
              <w:top w:val="nil"/>
              <w:left w:val="nil"/>
              <w:bottom w:val="nil"/>
              <w:right w:val="nil"/>
            </w:tcBorders>
            <w:shd w:val="clear" w:color="000000" w:fill="DCE6F1"/>
            <w:vAlign w:val="bottom"/>
            <w:hideMark/>
          </w:tcPr>
          <w:p w14:paraId="2D9777F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p>
        </w:tc>
        <w:tc>
          <w:tcPr>
            <w:tcW w:w="1041" w:type="dxa"/>
            <w:tcBorders>
              <w:top w:val="nil"/>
              <w:left w:val="nil"/>
              <w:bottom w:val="nil"/>
              <w:right w:val="nil"/>
            </w:tcBorders>
            <w:shd w:val="clear" w:color="000000" w:fill="DCE6F1"/>
            <w:vAlign w:val="bottom"/>
            <w:hideMark/>
          </w:tcPr>
          <w:p w14:paraId="26E24B99" w14:textId="13AB55C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302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438</w:t>
            </w:r>
          </w:p>
        </w:tc>
        <w:tc>
          <w:tcPr>
            <w:tcW w:w="1085" w:type="dxa"/>
            <w:tcBorders>
              <w:top w:val="nil"/>
              <w:left w:val="nil"/>
              <w:bottom w:val="nil"/>
              <w:right w:val="nil"/>
            </w:tcBorders>
            <w:shd w:val="clear" w:color="000000" w:fill="DCE6F1"/>
            <w:vAlign w:val="bottom"/>
            <w:hideMark/>
          </w:tcPr>
          <w:p w14:paraId="527AF2A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833</w:t>
            </w:r>
          </w:p>
        </w:tc>
        <w:tc>
          <w:tcPr>
            <w:tcW w:w="1559" w:type="dxa"/>
            <w:tcBorders>
              <w:top w:val="nil"/>
              <w:left w:val="nil"/>
              <w:bottom w:val="nil"/>
              <w:right w:val="nil"/>
            </w:tcBorders>
            <w:shd w:val="clear" w:color="000000" w:fill="DCE6F1"/>
            <w:vAlign w:val="bottom"/>
            <w:hideMark/>
          </w:tcPr>
          <w:p w14:paraId="51BB510C" w14:textId="4F984C8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123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450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233</w:t>
            </w:r>
          </w:p>
        </w:tc>
        <w:tc>
          <w:tcPr>
            <w:tcW w:w="1256" w:type="dxa"/>
            <w:tcBorders>
              <w:top w:val="nil"/>
              <w:left w:val="nil"/>
              <w:bottom w:val="nil"/>
              <w:right w:val="nil"/>
            </w:tcBorders>
            <w:shd w:val="clear" w:color="000000" w:fill="DCE6F1"/>
            <w:vAlign w:val="bottom"/>
            <w:hideMark/>
          </w:tcPr>
          <w:p w14:paraId="1A21208A"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61</w:t>
            </w:r>
          </w:p>
        </w:tc>
        <w:tc>
          <w:tcPr>
            <w:tcW w:w="1279" w:type="dxa"/>
            <w:tcBorders>
              <w:top w:val="nil"/>
              <w:left w:val="nil"/>
              <w:bottom w:val="nil"/>
              <w:right w:val="nil"/>
            </w:tcBorders>
            <w:shd w:val="clear" w:color="000000" w:fill="DCE6F1"/>
            <w:vAlign w:val="bottom"/>
            <w:hideMark/>
          </w:tcPr>
          <w:p w14:paraId="03EA062F" w14:textId="3921FF35"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907</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103</w:t>
            </w:r>
          </w:p>
        </w:tc>
        <w:tc>
          <w:tcPr>
            <w:tcW w:w="222" w:type="dxa"/>
            <w:vAlign w:val="center"/>
            <w:hideMark/>
          </w:tcPr>
          <w:p w14:paraId="43FBE774" w14:textId="77777777" w:rsidR="00FB59BB" w:rsidRPr="00FB59BB" w:rsidRDefault="00FB59BB" w:rsidP="00FB59BB">
            <w:pPr>
              <w:spacing w:after="0" w:line="240" w:lineRule="auto"/>
              <w:jc w:val="left"/>
              <w:rPr>
                <w:noProof/>
                <w:sz w:val="18"/>
                <w:szCs w:val="18"/>
                <w:lang w:val="en-IE" w:eastAsia="en-IE"/>
              </w:rPr>
            </w:pPr>
          </w:p>
        </w:tc>
      </w:tr>
      <w:tr w:rsidR="00FB59BB" w:rsidRPr="00F5772A" w14:paraId="7AC0A9A0" w14:textId="77777777" w:rsidTr="00F5772A">
        <w:trPr>
          <w:trHeight w:val="255"/>
        </w:trPr>
        <w:tc>
          <w:tcPr>
            <w:tcW w:w="1778" w:type="dxa"/>
            <w:tcBorders>
              <w:top w:val="nil"/>
              <w:left w:val="nil"/>
              <w:bottom w:val="nil"/>
              <w:right w:val="nil"/>
            </w:tcBorders>
            <w:shd w:val="clear" w:color="000000" w:fill="FFFFFF"/>
            <w:noWrap/>
            <w:vAlign w:val="center"/>
            <w:hideMark/>
          </w:tcPr>
          <w:p w14:paraId="27C44004"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Slovenija</w:t>
            </w:r>
          </w:p>
        </w:tc>
        <w:tc>
          <w:tcPr>
            <w:tcW w:w="916" w:type="dxa"/>
            <w:tcBorders>
              <w:top w:val="nil"/>
              <w:left w:val="nil"/>
              <w:bottom w:val="nil"/>
              <w:right w:val="nil"/>
            </w:tcBorders>
            <w:shd w:val="clear" w:color="000000" w:fill="FFFFFF"/>
            <w:vAlign w:val="bottom"/>
            <w:hideMark/>
          </w:tcPr>
          <w:p w14:paraId="2ED8B49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11</w:t>
            </w:r>
          </w:p>
        </w:tc>
        <w:tc>
          <w:tcPr>
            <w:tcW w:w="1417" w:type="dxa"/>
            <w:tcBorders>
              <w:top w:val="nil"/>
              <w:left w:val="nil"/>
              <w:bottom w:val="nil"/>
              <w:right w:val="nil"/>
            </w:tcBorders>
            <w:shd w:val="clear" w:color="000000" w:fill="FFFFFF"/>
            <w:vAlign w:val="bottom"/>
            <w:hideMark/>
          </w:tcPr>
          <w:p w14:paraId="4A93F3B8" w14:textId="3B66ECE6"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265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754</w:t>
            </w:r>
          </w:p>
        </w:tc>
        <w:tc>
          <w:tcPr>
            <w:tcW w:w="851" w:type="dxa"/>
            <w:tcBorders>
              <w:top w:val="nil"/>
              <w:left w:val="nil"/>
              <w:bottom w:val="nil"/>
              <w:right w:val="nil"/>
            </w:tcBorders>
            <w:shd w:val="clear" w:color="000000" w:fill="FFFFFF"/>
            <w:vAlign w:val="bottom"/>
            <w:hideMark/>
          </w:tcPr>
          <w:p w14:paraId="28F9B9E7"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5</w:t>
            </w:r>
          </w:p>
        </w:tc>
        <w:tc>
          <w:tcPr>
            <w:tcW w:w="1417" w:type="dxa"/>
            <w:tcBorders>
              <w:top w:val="nil"/>
              <w:left w:val="nil"/>
              <w:bottom w:val="nil"/>
              <w:right w:val="nil"/>
            </w:tcBorders>
            <w:shd w:val="clear" w:color="000000" w:fill="FFFFFF"/>
            <w:vAlign w:val="bottom"/>
            <w:hideMark/>
          </w:tcPr>
          <w:p w14:paraId="0F5DA784" w14:textId="3263EFA3"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679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460</w:t>
            </w:r>
          </w:p>
        </w:tc>
        <w:tc>
          <w:tcPr>
            <w:tcW w:w="851" w:type="dxa"/>
            <w:tcBorders>
              <w:top w:val="nil"/>
              <w:left w:val="nil"/>
              <w:bottom w:val="nil"/>
              <w:right w:val="nil"/>
            </w:tcBorders>
            <w:shd w:val="clear" w:color="000000" w:fill="FFFFFF"/>
            <w:vAlign w:val="bottom"/>
            <w:hideMark/>
          </w:tcPr>
          <w:p w14:paraId="16F0293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FFFFFF"/>
            <w:vAlign w:val="bottom"/>
            <w:hideMark/>
          </w:tcPr>
          <w:p w14:paraId="166976DA"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FFFFFF"/>
            <w:vAlign w:val="bottom"/>
            <w:hideMark/>
          </w:tcPr>
          <w:p w14:paraId="67013D3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3595834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43D91128"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16</w:t>
            </w:r>
          </w:p>
        </w:tc>
        <w:tc>
          <w:tcPr>
            <w:tcW w:w="1559" w:type="dxa"/>
            <w:tcBorders>
              <w:top w:val="nil"/>
              <w:left w:val="nil"/>
              <w:bottom w:val="nil"/>
              <w:right w:val="nil"/>
            </w:tcBorders>
            <w:shd w:val="clear" w:color="000000" w:fill="FFFFFF"/>
            <w:vAlign w:val="bottom"/>
            <w:hideMark/>
          </w:tcPr>
          <w:p w14:paraId="7973FC60" w14:textId="25EE40B6"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945</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214</w:t>
            </w:r>
          </w:p>
        </w:tc>
        <w:tc>
          <w:tcPr>
            <w:tcW w:w="1256" w:type="dxa"/>
            <w:tcBorders>
              <w:top w:val="nil"/>
              <w:left w:val="nil"/>
              <w:bottom w:val="nil"/>
              <w:right w:val="nil"/>
            </w:tcBorders>
            <w:shd w:val="clear" w:color="000000" w:fill="FFFFFF"/>
            <w:vAlign w:val="bottom"/>
            <w:hideMark/>
          </w:tcPr>
          <w:p w14:paraId="71A5EEB3"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25</w:t>
            </w:r>
          </w:p>
        </w:tc>
        <w:tc>
          <w:tcPr>
            <w:tcW w:w="1279" w:type="dxa"/>
            <w:tcBorders>
              <w:top w:val="nil"/>
              <w:left w:val="nil"/>
              <w:bottom w:val="nil"/>
              <w:right w:val="nil"/>
            </w:tcBorders>
            <w:shd w:val="clear" w:color="000000" w:fill="FFFFFF"/>
            <w:vAlign w:val="bottom"/>
            <w:hideMark/>
          </w:tcPr>
          <w:p w14:paraId="05C344BD" w14:textId="6276B3F9"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242</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393</w:t>
            </w:r>
          </w:p>
        </w:tc>
        <w:tc>
          <w:tcPr>
            <w:tcW w:w="222" w:type="dxa"/>
            <w:vAlign w:val="center"/>
            <w:hideMark/>
          </w:tcPr>
          <w:p w14:paraId="2F30B5F1" w14:textId="77777777" w:rsidR="00FB59BB" w:rsidRPr="00FB59BB" w:rsidRDefault="00FB59BB" w:rsidP="00FB59BB">
            <w:pPr>
              <w:spacing w:after="0" w:line="240" w:lineRule="auto"/>
              <w:jc w:val="left"/>
              <w:rPr>
                <w:noProof/>
                <w:sz w:val="18"/>
                <w:szCs w:val="18"/>
                <w:lang w:val="en-IE" w:eastAsia="en-IE"/>
              </w:rPr>
            </w:pPr>
          </w:p>
        </w:tc>
      </w:tr>
      <w:tr w:rsidR="00FB59BB" w:rsidRPr="00F5772A" w14:paraId="03FA7F46" w14:textId="77777777" w:rsidTr="00F5772A">
        <w:trPr>
          <w:trHeight w:val="255"/>
        </w:trPr>
        <w:tc>
          <w:tcPr>
            <w:tcW w:w="1778" w:type="dxa"/>
            <w:tcBorders>
              <w:top w:val="nil"/>
              <w:left w:val="nil"/>
              <w:bottom w:val="nil"/>
              <w:right w:val="nil"/>
            </w:tcBorders>
            <w:shd w:val="clear" w:color="000000" w:fill="DCE6F1"/>
            <w:noWrap/>
            <w:vAlign w:val="center"/>
            <w:hideMark/>
          </w:tcPr>
          <w:p w14:paraId="4C385F7A"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Slovensko</w:t>
            </w:r>
          </w:p>
        </w:tc>
        <w:tc>
          <w:tcPr>
            <w:tcW w:w="916" w:type="dxa"/>
            <w:tcBorders>
              <w:top w:val="nil"/>
              <w:left w:val="nil"/>
              <w:bottom w:val="nil"/>
              <w:right w:val="nil"/>
            </w:tcBorders>
            <w:shd w:val="clear" w:color="000000" w:fill="DCE6F1"/>
            <w:vAlign w:val="bottom"/>
            <w:hideMark/>
          </w:tcPr>
          <w:p w14:paraId="29B3AB0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44</w:t>
            </w:r>
          </w:p>
        </w:tc>
        <w:tc>
          <w:tcPr>
            <w:tcW w:w="1417" w:type="dxa"/>
            <w:tcBorders>
              <w:top w:val="nil"/>
              <w:left w:val="nil"/>
              <w:bottom w:val="nil"/>
              <w:right w:val="nil"/>
            </w:tcBorders>
            <w:shd w:val="clear" w:color="000000" w:fill="DCE6F1"/>
            <w:vAlign w:val="bottom"/>
            <w:hideMark/>
          </w:tcPr>
          <w:p w14:paraId="6CB41D7A" w14:textId="05CC112B"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219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314</w:t>
            </w:r>
          </w:p>
        </w:tc>
        <w:tc>
          <w:tcPr>
            <w:tcW w:w="851" w:type="dxa"/>
            <w:tcBorders>
              <w:top w:val="nil"/>
              <w:left w:val="nil"/>
              <w:bottom w:val="nil"/>
              <w:right w:val="nil"/>
            </w:tcBorders>
            <w:shd w:val="clear" w:color="000000" w:fill="DCE6F1"/>
            <w:vAlign w:val="bottom"/>
            <w:hideMark/>
          </w:tcPr>
          <w:p w14:paraId="54DBC28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85</w:t>
            </w:r>
          </w:p>
        </w:tc>
        <w:tc>
          <w:tcPr>
            <w:tcW w:w="1417" w:type="dxa"/>
            <w:tcBorders>
              <w:top w:val="nil"/>
              <w:left w:val="nil"/>
              <w:bottom w:val="nil"/>
              <w:right w:val="nil"/>
            </w:tcBorders>
            <w:shd w:val="clear" w:color="000000" w:fill="DCE6F1"/>
            <w:vAlign w:val="bottom"/>
            <w:hideMark/>
          </w:tcPr>
          <w:p w14:paraId="0DC2ED4C" w14:textId="4351D555"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66</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969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648</w:t>
            </w:r>
          </w:p>
        </w:tc>
        <w:tc>
          <w:tcPr>
            <w:tcW w:w="851" w:type="dxa"/>
            <w:tcBorders>
              <w:top w:val="nil"/>
              <w:left w:val="nil"/>
              <w:bottom w:val="nil"/>
              <w:right w:val="nil"/>
            </w:tcBorders>
            <w:shd w:val="clear" w:color="000000" w:fill="DCE6F1"/>
            <w:vAlign w:val="bottom"/>
            <w:hideMark/>
          </w:tcPr>
          <w:p w14:paraId="0A1622D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0E42C48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327B558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408BE824"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5255825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129</w:t>
            </w:r>
          </w:p>
        </w:tc>
        <w:tc>
          <w:tcPr>
            <w:tcW w:w="1559" w:type="dxa"/>
            <w:tcBorders>
              <w:top w:val="nil"/>
              <w:left w:val="nil"/>
              <w:bottom w:val="nil"/>
              <w:right w:val="nil"/>
            </w:tcBorders>
            <w:shd w:val="clear" w:color="000000" w:fill="DCE6F1"/>
            <w:vAlign w:val="bottom"/>
            <w:hideMark/>
          </w:tcPr>
          <w:p w14:paraId="35765EEF" w14:textId="57F1BC50"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188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962</w:t>
            </w:r>
          </w:p>
        </w:tc>
        <w:tc>
          <w:tcPr>
            <w:tcW w:w="1256" w:type="dxa"/>
            <w:tcBorders>
              <w:top w:val="nil"/>
              <w:left w:val="nil"/>
              <w:bottom w:val="nil"/>
              <w:right w:val="nil"/>
            </w:tcBorders>
            <w:shd w:val="clear" w:color="000000" w:fill="DCE6F1"/>
            <w:vAlign w:val="bottom"/>
            <w:hideMark/>
          </w:tcPr>
          <w:p w14:paraId="1924BF0F"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19</w:t>
            </w:r>
          </w:p>
        </w:tc>
        <w:tc>
          <w:tcPr>
            <w:tcW w:w="1279" w:type="dxa"/>
            <w:tcBorders>
              <w:top w:val="nil"/>
              <w:left w:val="nil"/>
              <w:bottom w:val="nil"/>
              <w:right w:val="nil"/>
            </w:tcBorders>
            <w:shd w:val="clear" w:color="000000" w:fill="DCE6F1"/>
            <w:vAlign w:val="bottom"/>
            <w:hideMark/>
          </w:tcPr>
          <w:p w14:paraId="31C259D3" w14:textId="3AF790AD"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1</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204</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238</w:t>
            </w:r>
          </w:p>
        </w:tc>
        <w:tc>
          <w:tcPr>
            <w:tcW w:w="222" w:type="dxa"/>
            <w:vAlign w:val="center"/>
            <w:hideMark/>
          </w:tcPr>
          <w:p w14:paraId="07FCB00C" w14:textId="77777777" w:rsidR="00FB59BB" w:rsidRPr="00FB59BB" w:rsidRDefault="00FB59BB" w:rsidP="00FB59BB">
            <w:pPr>
              <w:spacing w:after="0" w:line="240" w:lineRule="auto"/>
              <w:jc w:val="left"/>
              <w:rPr>
                <w:noProof/>
                <w:sz w:val="18"/>
                <w:szCs w:val="18"/>
                <w:lang w:val="en-IE" w:eastAsia="en-IE"/>
              </w:rPr>
            </w:pPr>
          </w:p>
        </w:tc>
      </w:tr>
      <w:tr w:rsidR="00FB59BB" w:rsidRPr="00F5772A" w14:paraId="54283557" w14:textId="77777777" w:rsidTr="00F5772A">
        <w:trPr>
          <w:trHeight w:val="255"/>
        </w:trPr>
        <w:tc>
          <w:tcPr>
            <w:tcW w:w="1778" w:type="dxa"/>
            <w:tcBorders>
              <w:top w:val="nil"/>
              <w:left w:val="nil"/>
              <w:bottom w:val="nil"/>
              <w:right w:val="nil"/>
            </w:tcBorders>
            <w:shd w:val="clear" w:color="000000" w:fill="FFFFFF"/>
            <w:noWrap/>
            <w:vAlign w:val="center"/>
            <w:hideMark/>
          </w:tcPr>
          <w:p w14:paraId="3BF15BC6"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Suomi/Finland</w:t>
            </w:r>
          </w:p>
        </w:tc>
        <w:tc>
          <w:tcPr>
            <w:tcW w:w="916" w:type="dxa"/>
            <w:tcBorders>
              <w:top w:val="nil"/>
              <w:left w:val="nil"/>
              <w:bottom w:val="nil"/>
              <w:right w:val="nil"/>
            </w:tcBorders>
            <w:shd w:val="clear" w:color="000000" w:fill="FFFFFF"/>
            <w:vAlign w:val="bottom"/>
            <w:hideMark/>
          </w:tcPr>
          <w:p w14:paraId="355A8F6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24</w:t>
            </w:r>
          </w:p>
        </w:tc>
        <w:tc>
          <w:tcPr>
            <w:tcW w:w="1417" w:type="dxa"/>
            <w:tcBorders>
              <w:top w:val="nil"/>
              <w:left w:val="nil"/>
              <w:bottom w:val="nil"/>
              <w:right w:val="nil"/>
            </w:tcBorders>
            <w:shd w:val="clear" w:color="000000" w:fill="FFFFFF"/>
            <w:vAlign w:val="bottom"/>
            <w:hideMark/>
          </w:tcPr>
          <w:p w14:paraId="6E3B248C" w14:textId="3A6E19D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720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017</w:t>
            </w:r>
          </w:p>
        </w:tc>
        <w:tc>
          <w:tcPr>
            <w:tcW w:w="851" w:type="dxa"/>
            <w:tcBorders>
              <w:top w:val="nil"/>
              <w:left w:val="nil"/>
              <w:bottom w:val="nil"/>
              <w:right w:val="nil"/>
            </w:tcBorders>
            <w:shd w:val="clear" w:color="000000" w:fill="FFFFFF"/>
            <w:vAlign w:val="bottom"/>
            <w:hideMark/>
          </w:tcPr>
          <w:p w14:paraId="6DF6046B"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w:t>
            </w:r>
          </w:p>
        </w:tc>
        <w:tc>
          <w:tcPr>
            <w:tcW w:w="1417" w:type="dxa"/>
            <w:tcBorders>
              <w:top w:val="nil"/>
              <w:left w:val="nil"/>
              <w:bottom w:val="nil"/>
              <w:right w:val="nil"/>
            </w:tcBorders>
            <w:shd w:val="clear" w:color="000000" w:fill="FFFFFF"/>
            <w:vAlign w:val="bottom"/>
            <w:hideMark/>
          </w:tcPr>
          <w:p w14:paraId="12147CED" w14:textId="66B86D04"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202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855</w:t>
            </w:r>
          </w:p>
        </w:tc>
        <w:tc>
          <w:tcPr>
            <w:tcW w:w="851" w:type="dxa"/>
            <w:tcBorders>
              <w:top w:val="nil"/>
              <w:left w:val="nil"/>
              <w:bottom w:val="nil"/>
              <w:right w:val="nil"/>
            </w:tcBorders>
            <w:shd w:val="clear" w:color="000000" w:fill="FFFFFF"/>
            <w:vAlign w:val="bottom"/>
            <w:hideMark/>
          </w:tcPr>
          <w:p w14:paraId="370953E9"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w:t>
            </w:r>
          </w:p>
        </w:tc>
        <w:tc>
          <w:tcPr>
            <w:tcW w:w="1275" w:type="dxa"/>
            <w:tcBorders>
              <w:top w:val="nil"/>
              <w:left w:val="nil"/>
              <w:bottom w:val="nil"/>
              <w:right w:val="nil"/>
            </w:tcBorders>
            <w:shd w:val="clear" w:color="000000" w:fill="FFFFFF"/>
            <w:vAlign w:val="bottom"/>
            <w:hideMark/>
          </w:tcPr>
          <w:p w14:paraId="7BE4D3E1" w14:textId="15699056"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10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967</w:t>
            </w:r>
          </w:p>
        </w:tc>
        <w:tc>
          <w:tcPr>
            <w:tcW w:w="993" w:type="dxa"/>
            <w:tcBorders>
              <w:top w:val="nil"/>
              <w:left w:val="nil"/>
              <w:bottom w:val="nil"/>
              <w:right w:val="nil"/>
            </w:tcBorders>
            <w:shd w:val="clear" w:color="000000" w:fill="FFFFFF"/>
            <w:vAlign w:val="bottom"/>
            <w:hideMark/>
          </w:tcPr>
          <w:p w14:paraId="14A14E76"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FFFFFF"/>
            <w:vAlign w:val="bottom"/>
            <w:hideMark/>
          </w:tcPr>
          <w:p w14:paraId="0B4BB1C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FFFFFF"/>
            <w:vAlign w:val="bottom"/>
            <w:hideMark/>
          </w:tcPr>
          <w:p w14:paraId="71EEE505"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28</w:t>
            </w:r>
          </w:p>
        </w:tc>
        <w:tc>
          <w:tcPr>
            <w:tcW w:w="1559" w:type="dxa"/>
            <w:tcBorders>
              <w:top w:val="nil"/>
              <w:left w:val="nil"/>
              <w:bottom w:val="nil"/>
              <w:right w:val="nil"/>
            </w:tcBorders>
            <w:shd w:val="clear" w:color="000000" w:fill="FFFFFF"/>
            <w:vAlign w:val="bottom"/>
            <w:hideMark/>
          </w:tcPr>
          <w:p w14:paraId="74D4DB96" w14:textId="70C9FCEA"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933</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840</w:t>
            </w:r>
          </w:p>
        </w:tc>
        <w:tc>
          <w:tcPr>
            <w:tcW w:w="1256" w:type="dxa"/>
            <w:tcBorders>
              <w:top w:val="nil"/>
              <w:left w:val="nil"/>
              <w:bottom w:val="nil"/>
              <w:right w:val="nil"/>
            </w:tcBorders>
            <w:shd w:val="clear" w:color="000000" w:fill="FFFFFF"/>
            <w:vAlign w:val="bottom"/>
            <w:hideMark/>
          </w:tcPr>
          <w:p w14:paraId="24F9038D"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58</w:t>
            </w:r>
          </w:p>
        </w:tc>
        <w:tc>
          <w:tcPr>
            <w:tcW w:w="1279" w:type="dxa"/>
            <w:tcBorders>
              <w:top w:val="nil"/>
              <w:left w:val="nil"/>
              <w:bottom w:val="nil"/>
              <w:right w:val="nil"/>
            </w:tcBorders>
            <w:shd w:val="clear" w:color="000000" w:fill="FFFFFF"/>
            <w:vAlign w:val="bottom"/>
            <w:hideMark/>
          </w:tcPr>
          <w:p w14:paraId="000A0E05" w14:textId="4ED052B9"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5</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586</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025</w:t>
            </w:r>
          </w:p>
        </w:tc>
        <w:tc>
          <w:tcPr>
            <w:tcW w:w="222" w:type="dxa"/>
            <w:vAlign w:val="center"/>
            <w:hideMark/>
          </w:tcPr>
          <w:p w14:paraId="1CC88878" w14:textId="77777777" w:rsidR="00FB59BB" w:rsidRPr="00FB59BB" w:rsidRDefault="00FB59BB" w:rsidP="00FB59BB">
            <w:pPr>
              <w:spacing w:after="0" w:line="240" w:lineRule="auto"/>
              <w:jc w:val="left"/>
              <w:rPr>
                <w:noProof/>
                <w:sz w:val="18"/>
                <w:szCs w:val="18"/>
                <w:lang w:val="en-IE" w:eastAsia="en-IE"/>
              </w:rPr>
            </w:pPr>
          </w:p>
        </w:tc>
      </w:tr>
      <w:tr w:rsidR="00FB59BB" w:rsidRPr="00F5772A" w14:paraId="581E31B9" w14:textId="77777777" w:rsidTr="00F5772A">
        <w:trPr>
          <w:trHeight w:val="255"/>
        </w:trPr>
        <w:tc>
          <w:tcPr>
            <w:tcW w:w="1778" w:type="dxa"/>
            <w:tcBorders>
              <w:top w:val="nil"/>
              <w:left w:val="nil"/>
              <w:bottom w:val="nil"/>
              <w:right w:val="nil"/>
            </w:tcBorders>
            <w:shd w:val="clear" w:color="000000" w:fill="DCE6F1"/>
            <w:noWrap/>
            <w:vAlign w:val="center"/>
            <w:hideMark/>
          </w:tcPr>
          <w:p w14:paraId="2593389A" w14:textId="77777777" w:rsidR="00FB59BB" w:rsidRPr="00FB59BB" w:rsidRDefault="00FB59BB" w:rsidP="00FB59BB">
            <w:pPr>
              <w:spacing w:after="0" w:line="240" w:lineRule="auto"/>
              <w:jc w:val="left"/>
              <w:rPr>
                <w:rFonts w:ascii="Arial" w:hAnsi="Arial" w:cs="Arial"/>
                <w:b/>
                <w:bCs/>
                <w:noProof/>
                <w:sz w:val="18"/>
                <w:szCs w:val="18"/>
                <w:lang w:val="en-IE" w:eastAsia="en-IE"/>
              </w:rPr>
            </w:pPr>
            <w:r w:rsidRPr="00FB59BB">
              <w:rPr>
                <w:rFonts w:ascii="Arial" w:hAnsi="Arial" w:cs="Arial"/>
                <w:b/>
                <w:bCs/>
                <w:noProof/>
                <w:sz w:val="18"/>
                <w:szCs w:val="18"/>
                <w:lang w:val="en-IE" w:eastAsia="en-IE"/>
              </w:rPr>
              <w:t>Sverige</w:t>
            </w:r>
          </w:p>
        </w:tc>
        <w:tc>
          <w:tcPr>
            <w:tcW w:w="916" w:type="dxa"/>
            <w:tcBorders>
              <w:top w:val="nil"/>
              <w:left w:val="nil"/>
              <w:bottom w:val="nil"/>
              <w:right w:val="nil"/>
            </w:tcBorders>
            <w:shd w:val="clear" w:color="000000" w:fill="DCE6F1"/>
            <w:vAlign w:val="bottom"/>
            <w:hideMark/>
          </w:tcPr>
          <w:p w14:paraId="1BEF384D"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29</w:t>
            </w:r>
          </w:p>
        </w:tc>
        <w:tc>
          <w:tcPr>
            <w:tcW w:w="1417" w:type="dxa"/>
            <w:tcBorders>
              <w:top w:val="nil"/>
              <w:left w:val="nil"/>
              <w:bottom w:val="nil"/>
              <w:right w:val="nil"/>
            </w:tcBorders>
            <w:shd w:val="clear" w:color="000000" w:fill="DCE6F1"/>
            <w:vAlign w:val="bottom"/>
            <w:hideMark/>
          </w:tcPr>
          <w:p w14:paraId="434F98F8" w14:textId="5CA9B0A8"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770</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940</w:t>
            </w:r>
          </w:p>
        </w:tc>
        <w:tc>
          <w:tcPr>
            <w:tcW w:w="851" w:type="dxa"/>
            <w:tcBorders>
              <w:top w:val="nil"/>
              <w:left w:val="nil"/>
              <w:bottom w:val="nil"/>
              <w:right w:val="nil"/>
            </w:tcBorders>
            <w:shd w:val="clear" w:color="000000" w:fill="DCE6F1"/>
            <w:vAlign w:val="bottom"/>
            <w:hideMark/>
          </w:tcPr>
          <w:p w14:paraId="5FAC485F"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31</w:t>
            </w:r>
          </w:p>
        </w:tc>
        <w:tc>
          <w:tcPr>
            <w:tcW w:w="1417" w:type="dxa"/>
            <w:tcBorders>
              <w:top w:val="nil"/>
              <w:left w:val="nil"/>
              <w:bottom w:val="nil"/>
              <w:right w:val="nil"/>
            </w:tcBorders>
            <w:shd w:val="clear" w:color="000000" w:fill="DCE6F1"/>
            <w:vAlign w:val="bottom"/>
            <w:hideMark/>
          </w:tcPr>
          <w:p w14:paraId="6F613C07" w14:textId="4826FFE0"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198</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914</w:t>
            </w:r>
          </w:p>
        </w:tc>
        <w:tc>
          <w:tcPr>
            <w:tcW w:w="851" w:type="dxa"/>
            <w:tcBorders>
              <w:top w:val="nil"/>
              <w:left w:val="nil"/>
              <w:bottom w:val="nil"/>
              <w:right w:val="nil"/>
            </w:tcBorders>
            <w:shd w:val="clear" w:color="000000" w:fill="DCE6F1"/>
            <w:vAlign w:val="bottom"/>
            <w:hideMark/>
          </w:tcPr>
          <w:p w14:paraId="0048B861"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275" w:type="dxa"/>
            <w:tcBorders>
              <w:top w:val="nil"/>
              <w:left w:val="nil"/>
              <w:bottom w:val="nil"/>
              <w:right w:val="nil"/>
            </w:tcBorders>
            <w:shd w:val="clear" w:color="000000" w:fill="DCE6F1"/>
            <w:vAlign w:val="bottom"/>
            <w:hideMark/>
          </w:tcPr>
          <w:p w14:paraId="00D6210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993" w:type="dxa"/>
            <w:tcBorders>
              <w:top w:val="nil"/>
              <w:left w:val="nil"/>
              <w:bottom w:val="nil"/>
              <w:right w:val="nil"/>
            </w:tcBorders>
            <w:shd w:val="clear" w:color="000000" w:fill="DCE6F1"/>
            <w:vAlign w:val="bottom"/>
            <w:hideMark/>
          </w:tcPr>
          <w:p w14:paraId="31BCECF2"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41" w:type="dxa"/>
            <w:tcBorders>
              <w:top w:val="nil"/>
              <w:left w:val="nil"/>
              <w:bottom w:val="nil"/>
              <w:right w:val="nil"/>
            </w:tcBorders>
            <w:shd w:val="clear" w:color="000000" w:fill="DCE6F1"/>
            <w:vAlign w:val="bottom"/>
            <w:hideMark/>
          </w:tcPr>
          <w:p w14:paraId="37DAD000"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0</w:t>
            </w:r>
          </w:p>
        </w:tc>
        <w:tc>
          <w:tcPr>
            <w:tcW w:w="1085" w:type="dxa"/>
            <w:tcBorders>
              <w:top w:val="nil"/>
              <w:left w:val="nil"/>
              <w:bottom w:val="nil"/>
              <w:right w:val="nil"/>
            </w:tcBorders>
            <w:shd w:val="clear" w:color="000000" w:fill="DCE6F1"/>
            <w:vAlign w:val="bottom"/>
            <w:hideMark/>
          </w:tcPr>
          <w:p w14:paraId="606A651E" w14:textId="77777777"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60</w:t>
            </w:r>
          </w:p>
        </w:tc>
        <w:tc>
          <w:tcPr>
            <w:tcW w:w="1559" w:type="dxa"/>
            <w:tcBorders>
              <w:top w:val="nil"/>
              <w:left w:val="nil"/>
              <w:bottom w:val="nil"/>
              <w:right w:val="nil"/>
            </w:tcBorders>
            <w:shd w:val="clear" w:color="000000" w:fill="DCE6F1"/>
            <w:vAlign w:val="bottom"/>
            <w:hideMark/>
          </w:tcPr>
          <w:p w14:paraId="6CB616EC" w14:textId="1A992C0F" w:rsidR="00FB59BB" w:rsidRPr="00FB59BB" w:rsidRDefault="00FB59BB" w:rsidP="00FB59BB">
            <w:pPr>
              <w:spacing w:after="0" w:line="240" w:lineRule="auto"/>
              <w:jc w:val="right"/>
              <w:rPr>
                <w:rFonts w:ascii="Arial" w:hAnsi="Arial" w:cs="Arial"/>
                <w:noProof/>
                <w:color w:val="000000"/>
                <w:sz w:val="18"/>
                <w:szCs w:val="18"/>
                <w:lang w:val="en-IE" w:eastAsia="en-IE"/>
              </w:rPr>
            </w:pPr>
            <w:r w:rsidRPr="00FB59BB">
              <w:rPr>
                <w:rFonts w:ascii="Arial" w:hAnsi="Arial" w:cs="Arial"/>
                <w:noProof/>
                <w:color w:val="000000"/>
                <w:sz w:val="18"/>
                <w:szCs w:val="18"/>
                <w:lang w:val="en-IE" w:eastAsia="en-IE"/>
              </w:rPr>
              <w:t>2</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969</w:t>
            </w:r>
            <w:r w:rsidR="00F5772A">
              <w:rPr>
                <w:rFonts w:ascii="Arial" w:hAnsi="Arial" w:cs="Arial"/>
                <w:noProof/>
                <w:color w:val="000000"/>
                <w:sz w:val="18"/>
                <w:szCs w:val="18"/>
                <w:lang w:val="en-IE" w:eastAsia="en-IE"/>
              </w:rPr>
              <w:t> </w:t>
            </w:r>
            <w:r w:rsidRPr="00FB59BB">
              <w:rPr>
                <w:rFonts w:ascii="Arial" w:hAnsi="Arial" w:cs="Arial"/>
                <w:noProof/>
                <w:color w:val="000000"/>
                <w:sz w:val="18"/>
                <w:szCs w:val="18"/>
                <w:lang w:val="en-IE" w:eastAsia="en-IE"/>
              </w:rPr>
              <w:t>854</w:t>
            </w:r>
          </w:p>
        </w:tc>
        <w:tc>
          <w:tcPr>
            <w:tcW w:w="1256" w:type="dxa"/>
            <w:tcBorders>
              <w:top w:val="nil"/>
              <w:left w:val="nil"/>
              <w:bottom w:val="nil"/>
              <w:right w:val="nil"/>
            </w:tcBorders>
            <w:shd w:val="clear" w:color="000000" w:fill="DCE6F1"/>
            <w:vAlign w:val="bottom"/>
            <w:hideMark/>
          </w:tcPr>
          <w:p w14:paraId="209A5293" w14:textId="77777777"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240</w:t>
            </w:r>
          </w:p>
        </w:tc>
        <w:tc>
          <w:tcPr>
            <w:tcW w:w="1279" w:type="dxa"/>
            <w:tcBorders>
              <w:top w:val="nil"/>
              <w:left w:val="nil"/>
              <w:bottom w:val="nil"/>
              <w:right w:val="nil"/>
            </w:tcBorders>
            <w:shd w:val="clear" w:color="000000" w:fill="DCE6F1"/>
            <w:vAlign w:val="bottom"/>
            <w:hideMark/>
          </w:tcPr>
          <w:p w14:paraId="5B5E882C" w14:textId="7AC45D11" w:rsidR="00FB59BB" w:rsidRPr="00FB59BB" w:rsidRDefault="00FB59BB" w:rsidP="00FB59BB">
            <w:pPr>
              <w:spacing w:after="0" w:line="240" w:lineRule="auto"/>
              <w:jc w:val="right"/>
              <w:rPr>
                <w:rFonts w:ascii="Arial" w:hAnsi="Arial" w:cs="Arial"/>
                <w:noProof/>
                <w:sz w:val="18"/>
                <w:szCs w:val="18"/>
                <w:lang w:val="en-IE" w:eastAsia="en-IE"/>
              </w:rPr>
            </w:pPr>
            <w:r w:rsidRPr="00FB59BB">
              <w:rPr>
                <w:rFonts w:ascii="Arial" w:hAnsi="Arial" w:cs="Arial"/>
                <w:noProof/>
                <w:sz w:val="18"/>
                <w:szCs w:val="18"/>
                <w:lang w:val="en-IE" w:eastAsia="en-IE"/>
              </w:rPr>
              <w:t>38</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095</w:t>
            </w:r>
            <w:r w:rsidR="00F5772A">
              <w:rPr>
                <w:rFonts w:ascii="Arial" w:hAnsi="Arial" w:cs="Arial"/>
                <w:noProof/>
                <w:sz w:val="18"/>
                <w:szCs w:val="18"/>
                <w:lang w:val="en-IE" w:eastAsia="en-IE"/>
              </w:rPr>
              <w:t> </w:t>
            </w:r>
            <w:r w:rsidRPr="00FB59BB">
              <w:rPr>
                <w:rFonts w:ascii="Arial" w:hAnsi="Arial" w:cs="Arial"/>
                <w:noProof/>
                <w:sz w:val="18"/>
                <w:szCs w:val="18"/>
                <w:lang w:val="en-IE" w:eastAsia="en-IE"/>
              </w:rPr>
              <w:t>480</w:t>
            </w:r>
          </w:p>
        </w:tc>
        <w:tc>
          <w:tcPr>
            <w:tcW w:w="222" w:type="dxa"/>
            <w:vAlign w:val="center"/>
            <w:hideMark/>
          </w:tcPr>
          <w:p w14:paraId="549AF7B8" w14:textId="77777777" w:rsidR="00FB59BB" w:rsidRPr="00FB59BB" w:rsidRDefault="00FB59BB" w:rsidP="00FB59BB">
            <w:pPr>
              <w:spacing w:after="0" w:line="240" w:lineRule="auto"/>
              <w:jc w:val="left"/>
              <w:rPr>
                <w:noProof/>
                <w:sz w:val="18"/>
                <w:szCs w:val="18"/>
                <w:lang w:val="en-IE" w:eastAsia="en-IE"/>
              </w:rPr>
            </w:pPr>
          </w:p>
        </w:tc>
      </w:tr>
      <w:tr w:rsidR="00FB59BB" w:rsidRPr="00F5772A" w14:paraId="601FC58D" w14:textId="77777777" w:rsidTr="00F5772A">
        <w:trPr>
          <w:trHeight w:val="255"/>
        </w:trPr>
        <w:tc>
          <w:tcPr>
            <w:tcW w:w="1778" w:type="dxa"/>
            <w:tcBorders>
              <w:top w:val="nil"/>
              <w:left w:val="nil"/>
              <w:bottom w:val="nil"/>
              <w:right w:val="nil"/>
            </w:tcBorders>
            <w:shd w:val="clear" w:color="000000" w:fill="538DD5"/>
            <w:noWrap/>
            <w:vAlign w:val="bottom"/>
            <w:hideMark/>
          </w:tcPr>
          <w:p w14:paraId="196664EB" w14:textId="77777777" w:rsidR="00FB59BB" w:rsidRPr="005037C8" w:rsidRDefault="00FB59BB" w:rsidP="00FB59BB">
            <w:pPr>
              <w:spacing w:after="0" w:line="240" w:lineRule="auto"/>
              <w:jc w:val="lef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TOTAL EU27</w:t>
            </w:r>
          </w:p>
        </w:tc>
        <w:tc>
          <w:tcPr>
            <w:tcW w:w="916" w:type="dxa"/>
            <w:tcBorders>
              <w:top w:val="nil"/>
              <w:left w:val="nil"/>
              <w:bottom w:val="nil"/>
              <w:right w:val="nil"/>
            </w:tcBorders>
            <w:shd w:val="clear" w:color="000000" w:fill="538DD5"/>
            <w:noWrap/>
            <w:vAlign w:val="bottom"/>
            <w:hideMark/>
          </w:tcPr>
          <w:p w14:paraId="083A55A1" w14:textId="7AD2E4D9"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3</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977</w:t>
            </w:r>
          </w:p>
        </w:tc>
        <w:tc>
          <w:tcPr>
            <w:tcW w:w="1417" w:type="dxa"/>
            <w:tcBorders>
              <w:top w:val="nil"/>
              <w:left w:val="nil"/>
              <w:bottom w:val="nil"/>
              <w:right w:val="nil"/>
            </w:tcBorders>
            <w:shd w:val="clear" w:color="000000" w:fill="538DD5"/>
            <w:noWrap/>
            <w:vAlign w:val="bottom"/>
            <w:hideMark/>
          </w:tcPr>
          <w:p w14:paraId="40F3B530" w14:textId="3F7650AC"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242</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694</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139</w:t>
            </w:r>
          </w:p>
        </w:tc>
        <w:tc>
          <w:tcPr>
            <w:tcW w:w="851" w:type="dxa"/>
            <w:tcBorders>
              <w:top w:val="nil"/>
              <w:left w:val="nil"/>
              <w:bottom w:val="nil"/>
              <w:right w:val="nil"/>
            </w:tcBorders>
            <w:shd w:val="clear" w:color="000000" w:fill="538DD5"/>
            <w:noWrap/>
            <w:vAlign w:val="bottom"/>
            <w:hideMark/>
          </w:tcPr>
          <w:p w14:paraId="607AD903" w14:textId="0E88EC57"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3</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067</w:t>
            </w:r>
          </w:p>
        </w:tc>
        <w:tc>
          <w:tcPr>
            <w:tcW w:w="1417" w:type="dxa"/>
            <w:tcBorders>
              <w:top w:val="nil"/>
              <w:left w:val="nil"/>
              <w:bottom w:val="nil"/>
              <w:right w:val="nil"/>
            </w:tcBorders>
            <w:shd w:val="clear" w:color="000000" w:fill="538DD5"/>
            <w:noWrap/>
            <w:vAlign w:val="bottom"/>
            <w:hideMark/>
          </w:tcPr>
          <w:p w14:paraId="63E43B7A" w14:textId="52EF9206"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687</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657</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420</w:t>
            </w:r>
          </w:p>
        </w:tc>
        <w:tc>
          <w:tcPr>
            <w:tcW w:w="851" w:type="dxa"/>
            <w:tcBorders>
              <w:top w:val="nil"/>
              <w:left w:val="nil"/>
              <w:bottom w:val="nil"/>
              <w:right w:val="nil"/>
            </w:tcBorders>
            <w:shd w:val="clear" w:color="000000" w:fill="538DD5"/>
            <w:noWrap/>
            <w:vAlign w:val="bottom"/>
            <w:hideMark/>
          </w:tcPr>
          <w:p w14:paraId="45CAAD08" w14:textId="77777777"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52</w:t>
            </w:r>
          </w:p>
        </w:tc>
        <w:tc>
          <w:tcPr>
            <w:tcW w:w="1275" w:type="dxa"/>
            <w:tcBorders>
              <w:top w:val="nil"/>
              <w:left w:val="nil"/>
              <w:bottom w:val="nil"/>
              <w:right w:val="nil"/>
            </w:tcBorders>
            <w:shd w:val="clear" w:color="000000" w:fill="538DD5"/>
            <w:noWrap/>
            <w:vAlign w:val="bottom"/>
            <w:hideMark/>
          </w:tcPr>
          <w:p w14:paraId="0B5CF376" w14:textId="1A70F7BF"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9</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761</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198</w:t>
            </w:r>
          </w:p>
        </w:tc>
        <w:tc>
          <w:tcPr>
            <w:tcW w:w="993" w:type="dxa"/>
            <w:tcBorders>
              <w:top w:val="nil"/>
              <w:left w:val="nil"/>
              <w:bottom w:val="nil"/>
              <w:right w:val="nil"/>
            </w:tcBorders>
            <w:shd w:val="clear" w:color="000000" w:fill="538DD5"/>
            <w:noWrap/>
            <w:vAlign w:val="bottom"/>
            <w:hideMark/>
          </w:tcPr>
          <w:p w14:paraId="07F4AA65" w14:textId="77777777"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8</w:t>
            </w:r>
          </w:p>
        </w:tc>
        <w:tc>
          <w:tcPr>
            <w:tcW w:w="1041" w:type="dxa"/>
            <w:tcBorders>
              <w:top w:val="nil"/>
              <w:left w:val="nil"/>
              <w:bottom w:val="nil"/>
              <w:right w:val="nil"/>
            </w:tcBorders>
            <w:shd w:val="clear" w:color="000000" w:fill="538DD5"/>
            <w:noWrap/>
            <w:vAlign w:val="bottom"/>
            <w:hideMark/>
          </w:tcPr>
          <w:p w14:paraId="5039A4D4" w14:textId="1012EA4F"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578</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939</w:t>
            </w:r>
          </w:p>
        </w:tc>
        <w:tc>
          <w:tcPr>
            <w:tcW w:w="1085" w:type="dxa"/>
            <w:tcBorders>
              <w:top w:val="nil"/>
              <w:left w:val="nil"/>
              <w:bottom w:val="nil"/>
              <w:right w:val="nil"/>
            </w:tcBorders>
            <w:shd w:val="clear" w:color="000000" w:fill="538DD5"/>
            <w:noWrap/>
            <w:vAlign w:val="bottom"/>
            <w:hideMark/>
          </w:tcPr>
          <w:p w14:paraId="4E754570" w14:textId="462348D8"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7</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104</w:t>
            </w:r>
          </w:p>
        </w:tc>
        <w:tc>
          <w:tcPr>
            <w:tcW w:w="1559" w:type="dxa"/>
            <w:tcBorders>
              <w:top w:val="nil"/>
              <w:left w:val="nil"/>
              <w:bottom w:val="nil"/>
              <w:right w:val="nil"/>
            </w:tcBorders>
            <w:shd w:val="clear" w:color="000000" w:fill="538DD5"/>
            <w:noWrap/>
            <w:vAlign w:val="bottom"/>
            <w:hideMark/>
          </w:tcPr>
          <w:p w14:paraId="03F5AD29" w14:textId="3EC2DD38"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940</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691</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694</w:t>
            </w:r>
          </w:p>
        </w:tc>
        <w:tc>
          <w:tcPr>
            <w:tcW w:w="1256" w:type="dxa"/>
            <w:tcBorders>
              <w:top w:val="nil"/>
              <w:left w:val="nil"/>
              <w:bottom w:val="nil"/>
              <w:right w:val="nil"/>
            </w:tcBorders>
            <w:shd w:val="clear" w:color="000000" w:fill="538DD5"/>
            <w:noWrap/>
            <w:vAlign w:val="bottom"/>
            <w:hideMark/>
          </w:tcPr>
          <w:p w14:paraId="0300BEB6" w14:textId="1D144B2F"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4</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105</w:t>
            </w:r>
          </w:p>
        </w:tc>
        <w:tc>
          <w:tcPr>
            <w:tcW w:w="1279" w:type="dxa"/>
            <w:tcBorders>
              <w:top w:val="nil"/>
              <w:left w:val="nil"/>
              <w:bottom w:val="nil"/>
              <w:right w:val="nil"/>
            </w:tcBorders>
            <w:shd w:val="clear" w:color="000000" w:fill="538DD5"/>
            <w:noWrap/>
            <w:vAlign w:val="bottom"/>
            <w:hideMark/>
          </w:tcPr>
          <w:p w14:paraId="4EA1042A" w14:textId="04C70328" w:rsidR="00FB59BB" w:rsidRPr="005037C8" w:rsidRDefault="00FB59BB" w:rsidP="00FB59BB">
            <w:pPr>
              <w:spacing w:after="0" w:line="240" w:lineRule="auto"/>
              <w:jc w:val="right"/>
              <w:rPr>
                <w:rFonts w:ascii="Arial" w:hAnsi="Arial" w:cs="Arial"/>
                <w:b/>
                <w:bCs/>
                <w:noProof/>
                <w:color w:val="161616"/>
                <w:sz w:val="18"/>
                <w:szCs w:val="18"/>
                <w:lang w:val="en-IE" w:eastAsia="en-IE"/>
              </w:rPr>
            </w:pPr>
            <w:r w:rsidRPr="005037C8">
              <w:rPr>
                <w:rFonts w:ascii="Arial" w:hAnsi="Arial" w:cs="Arial"/>
                <w:b/>
                <w:bCs/>
                <w:noProof/>
                <w:color w:val="161616"/>
                <w:sz w:val="18"/>
                <w:szCs w:val="18"/>
                <w:lang w:val="en-IE" w:eastAsia="en-IE"/>
              </w:rPr>
              <w:t>739</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334</w:t>
            </w:r>
            <w:r w:rsidR="00F5772A" w:rsidRPr="005037C8">
              <w:rPr>
                <w:rFonts w:ascii="Arial" w:hAnsi="Arial" w:cs="Arial"/>
                <w:b/>
                <w:bCs/>
                <w:noProof/>
                <w:color w:val="161616"/>
                <w:sz w:val="18"/>
                <w:szCs w:val="18"/>
                <w:lang w:val="en-IE" w:eastAsia="en-IE"/>
              </w:rPr>
              <w:t> </w:t>
            </w:r>
            <w:r w:rsidRPr="005037C8">
              <w:rPr>
                <w:rFonts w:ascii="Arial" w:hAnsi="Arial" w:cs="Arial"/>
                <w:b/>
                <w:bCs/>
                <w:noProof/>
                <w:color w:val="161616"/>
                <w:sz w:val="18"/>
                <w:szCs w:val="18"/>
                <w:lang w:val="en-IE" w:eastAsia="en-IE"/>
              </w:rPr>
              <w:t>773</w:t>
            </w:r>
          </w:p>
        </w:tc>
        <w:tc>
          <w:tcPr>
            <w:tcW w:w="222" w:type="dxa"/>
            <w:vAlign w:val="center"/>
            <w:hideMark/>
          </w:tcPr>
          <w:p w14:paraId="12299402" w14:textId="77777777" w:rsidR="00FB59BB" w:rsidRPr="00FB59BB" w:rsidRDefault="00FB59BB" w:rsidP="00FB59BB">
            <w:pPr>
              <w:spacing w:after="0" w:line="240" w:lineRule="auto"/>
              <w:jc w:val="left"/>
              <w:rPr>
                <w:noProof/>
                <w:sz w:val="18"/>
                <w:szCs w:val="18"/>
                <w:lang w:val="en-IE" w:eastAsia="en-IE"/>
              </w:rPr>
            </w:pPr>
          </w:p>
        </w:tc>
      </w:tr>
    </w:tbl>
    <w:p w14:paraId="026101CB" w14:textId="18C6E582" w:rsidR="002E338F" w:rsidRPr="00DE3A6F" w:rsidRDefault="002E338F">
      <w:pPr>
        <w:spacing w:after="0" w:line="240" w:lineRule="auto"/>
        <w:jc w:val="left"/>
        <w:rPr>
          <w:b/>
          <w:bCs/>
          <w:noProof/>
        </w:rPr>
      </w:pPr>
    </w:p>
    <w:p w14:paraId="2336699C" w14:textId="77777777" w:rsidR="00154DCB" w:rsidRPr="00DE3A6F" w:rsidRDefault="00154DCB">
      <w:pPr>
        <w:spacing w:after="0" w:line="240" w:lineRule="auto"/>
        <w:jc w:val="left"/>
        <w:rPr>
          <w:noProof/>
        </w:rPr>
        <w:sectPr w:rsidR="00154DCB" w:rsidRPr="00DE3A6F" w:rsidSect="003973EA">
          <w:pgSz w:w="16838" w:h="11906" w:orient="landscape"/>
          <w:pgMar w:top="720" w:right="720" w:bottom="720" w:left="720" w:header="397" w:footer="737" w:gutter="0"/>
          <w:cols w:space="720"/>
          <w:docGrid w:linePitch="326"/>
        </w:sectPr>
      </w:pPr>
    </w:p>
    <w:p w14:paraId="17C95E61" w14:textId="77777777" w:rsidR="00154DCB" w:rsidRPr="00DE3A6F" w:rsidRDefault="00154DCB">
      <w:pPr>
        <w:spacing w:after="0" w:line="240" w:lineRule="auto"/>
        <w:jc w:val="left"/>
        <w:rPr>
          <w:noProof/>
        </w:rPr>
      </w:pPr>
    </w:p>
    <w:p w14:paraId="38ADFB3F" w14:textId="2E837A5B" w:rsidR="3D149168" w:rsidRPr="00DE3A6F" w:rsidRDefault="3D149168" w:rsidP="044E42F4">
      <w:pPr>
        <w:rPr>
          <w:b/>
          <w:bCs/>
          <w:noProof/>
        </w:rPr>
      </w:pPr>
      <w:r w:rsidRPr="00DE3A6F">
        <w:rPr>
          <w:b/>
          <w:bCs/>
          <w:noProof/>
        </w:rPr>
        <w:t xml:space="preserve">ANNEX 3: </w:t>
      </w:r>
      <w:r w:rsidR="69D922BD" w:rsidRPr="00DE3A6F">
        <w:rPr>
          <w:b/>
          <w:bCs/>
          <w:noProof/>
        </w:rPr>
        <w:t xml:space="preserve">Overview of measures </w:t>
      </w:r>
      <w:r w:rsidR="00C67660">
        <w:rPr>
          <w:b/>
          <w:bCs/>
          <w:noProof/>
        </w:rPr>
        <w:t>taken</w:t>
      </w:r>
      <w:r w:rsidR="00C67660" w:rsidRPr="00DE3A6F">
        <w:rPr>
          <w:b/>
          <w:bCs/>
          <w:noProof/>
        </w:rPr>
        <w:t xml:space="preserve"> </w:t>
      </w:r>
      <w:r w:rsidR="69D922BD" w:rsidRPr="00DE3A6F">
        <w:rPr>
          <w:b/>
          <w:bCs/>
          <w:noProof/>
        </w:rPr>
        <w:t>by the Member States to target specific topics</w:t>
      </w:r>
    </w:p>
    <w:p w14:paraId="6BFF686C" w14:textId="6AB0718E" w:rsidR="69D922BD" w:rsidRPr="00DE3A6F" w:rsidRDefault="69D922BD" w:rsidP="044E42F4">
      <w:pPr>
        <w:rPr>
          <w:b/>
          <w:bCs/>
          <w:noProof/>
        </w:rPr>
      </w:pPr>
      <w:r w:rsidRPr="00DE3A6F">
        <w:rPr>
          <w:b/>
          <w:bCs/>
          <w:noProof/>
        </w:rPr>
        <w:t>Table 1: Early-detection and exclusion</w:t>
      </w:r>
    </w:p>
    <w:tbl>
      <w:tblPr>
        <w:tblW w:w="0" w:type="auto"/>
        <w:tblLook w:val="04A0" w:firstRow="1" w:lastRow="0" w:firstColumn="1" w:lastColumn="0" w:noHBand="0" w:noVBand="1"/>
      </w:tblPr>
      <w:tblGrid>
        <w:gridCol w:w="1386"/>
        <w:gridCol w:w="1556"/>
        <w:gridCol w:w="1592"/>
        <w:gridCol w:w="4054"/>
      </w:tblGrid>
      <w:tr w:rsidR="044E42F4" w:rsidRPr="00CA1602" w14:paraId="367D46DB" w14:textId="77777777" w:rsidTr="28D37C99">
        <w:trPr>
          <w:trHeight w:val="165"/>
        </w:trPr>
        <w:tc>
          <w:tcPr>
            <w:tcW w:w="8781" w:type="dxa"/>
            <w:gridSpan w:val="4"/>
            <w:tcBorders>
              <w:top w:val="single" w:sz="12" w:space="0" w:color="156082"/>
              <w:left w:val="single" w:sz="12" w:space="0" w:color="156082"/>
              <w:bottom w:val="single" w:sz="12" w:space="0" w:color="156082"/>
              <w:right w:val="single" w:sz="12" w:space="0" w:color="156082"/>
            </w:tcBorders>
            <w:shd w:val="clear" w:color="auto" w:fill="156082"/>
            <w:tcMar>
              <w:left w:w="108" w:type="dxa"/>
              <w:right w:w="108" w:type="dxa"/>
            </w:tcMar>
          </w:tcPr>
          <w:p w14:paraId="2B37A3A9" w14:textId="5EAD505C" w:rsidR="044E42F4" w:rsidRPr="00DE3A6F" w:rsidRDefault="044E42F4" w:rsidP="044E42F4">
            <w:pPr>
              <w:spacing w:after="0" w:line="276" w:lineRule="auto"/>
              <w:jc w:val="center"/>
              <w:rPr>
                <w:noProof/>
              </w:rPr>
            </w:pPr>
            <w:r w:rsidRPr="00DE3A6F">
              <w:rPr>
                <w:rFonts w:ascii="Arial" w:eastAsia="Arial" w:hAnsi="Arial" w:cs="Arial"/>
                <w:b/>
                <w:bCs/>
                <w:noProof/>
                <w:color w:val="FFFFFF" w:themeColor="background1"/>
                <w:sz w:val="20"/>
              </w:rPr>
              <w:t>Early-stage risk identification and exclusion</w:t>
            </w:r>
          </w:p>
        </w:tc>
      </w:tr>
      <w:tr w:rsidR="044E42F4" w:rsidRPr="00CA1602" w14:paraId="12CC2E16" w14:textId="77777777" w:rsidTr="28D37C99">
        <w:trPr>
          <w:trHeight w:val="165"/>
        </w:trPr>
        <w:tc>
          <w:tcPr>
            <w:tcW w:w="1407" w:type="dxa"/>
            <w:tcBorders>
              <w:top w:val="single" w:sz="12" w:space="0" w:color="156082"/>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72160351" w14:textId="3FFBF822"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Member State</w:t>
            </w:r>
          </w:p>
        </w:tc>
        <w:tc>
          <w:tcPr>
            <w:tcW w:w="1576"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tcPr>
          <w:p w14:paraId="148B3D00" w14:textId="49E7EC87"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Target</w:t>
            </w:r>
          </w:p>
        </w:tc>
        <w:tc>
          <w:tcPr>
            <w:tcW w:w="1605"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170C5A5B" w14:textId="3335D650"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Type of measure</w:t>
            </w:r>
          </w:p>
        </w:tc>
        <w:tc>
          <w:tcPr>
            <w:tcW w:w="4193"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3A43576D" w14:textId="00913B01"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Description</w:t>
            </w:r>
          </w:p>
        </w:tc>
      </w:tr>
      <w:tr w:rsidR="044E42F4" w:rsidRPr="00CA1602" w14:paraId="595E9AFA" w14:textId="77777777" w:rsidTr="28D37C99">
        <w:trPr>
          <w:trHeight w:val="600"/>
        </w:trPr>
        <w:tc>
          <w:tcPr>
            <w:tcW w:w="1407"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628EEAD3" w14:textId="49270530" w:rsidR="044E42F4" w:rsidRPr="00DE3A6F" w:rsidRDefault="044E42F4" w:rsidP="044E42F4">
            <w:pPr>
              <w:spacing w:after="0" w:line="276" w:lineRule="auto"/>
              <w:jc w:val="center"/>
              <w:rPr>
                <w:noProof/>
              </w:rPr>
            </w:pPr>
            <w:r w:rsidRPr="00DE3A6F">
              <w:rPr>
                <w:rFonts w:ascii="Arial" w:eastAsia="Arial" w:hAnsi="Arial" w:cs="Arial"/>
                <w:b/>
                <w:bCs/>
                <w:noProof/>
                <w:color w:val="000000" w:themeColor="text1"/>
                <w:sz w:val="20"/>
              </w:rPr>
              <w:t xml:space="preserve">Belgium </w:t>
            </w:r>
          </w:p>
        </w:tc>
        <w:tc>
          <w:tcPr>
            <w:tcW w:w="1576" w:type="dxa"/>
            <w:tcBorders>
              <w:top w:val="single" w:sz="12" w:space="0" w:color="156082"/>
              <w:left w:val="dashed" w:sz="8" w:space="0" w:color="156082"/>
              <w:bottom w:val="single" w:sz="12" w:space="0" w:color="156082"/>
              <w:right w:val="dashed" w:sz="8" w:space="0" w:color="156082"/>
            </w:tcBorders>
            <w:tcMar>
              <w:left w:w="108" w:type="dxa"/>
              <w:right w:w="108" w:type="dxa"/>
            </w:tcMar>
            <w:vAlign w:val="center"/>
          </w:tcPr>
          <w:p w14:paraId="1642CA06" w14:textId="18005C1C" w:rsidR="044E42F4" w:rsidRPr="00DE3A6F" w:rsidRDefault="044E42F4" w:rsidP="044E42F4">
            <w:pPr>
              <w:spacing w:after="0" w:line="276" w:lineRule="auto"/>
              <w:jc w:val="center"/>
              <w:rPr>
                <w:noProof/>
              </w:rPr>
            </w:pPr>
            <w:r w:rsidRPr="00C67660">
              <w:rPr>
                <w:rFonts w:ascii="Arial" w:eastAsia="Arial" w:hAnsi="Arial" w:cs="Arial"/>
                <w:noProof/>
                <w:color w:val="000000" w:themeColor="text1"/>
                <w:sz w:val="20"/>
              </w:rPr>
              <w:t>Identifying potential conflict</w:t>
            </w:r>
            <w:r w:rsidR="00956438">
              <w:rPr>
                <w:rFonts w:ascii="Arial" w:eastAsia="Arial" w:hAnsi="Arial" w:cs="Arial"/>
                <w:noProof/>
                <w:color w:val="000000" w:themeColor="text1"/>
                <w:sz w:val="20"/>
              </w:rPr>
              <w:t>s</w:t>
            </w:r>
            <w:r w:rsidRPr="00C67660">
              <w:rPr>
                <w:rFonts w:ascii="Arial" w:eastAsia="Arial" w:hAnsi="Arial" w:cs="Arial"/>
                <w:noProof/>
                <w:color w:val="000000" w:themeColor="text1"/>
                <w:sz w:val="20"/>
              </w:rPr>
              <w:t xml:space="preserve"> of interest</w:t>
            </w:r>
          </w:p>
        </w:tc>
        <w:tc>
          <w:tcPr>
            <w:tcW w:w="160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71673559" w14:textId="303D6085" w:rsidR="044E42F4" w:rsidRPr="00DE3A6F" w:rsidRDefault="044E42F4" w:rsidP="044E42F4">
            <w:pPr>
              <w:spacing w:after="0" w:line="276" w:lineRule="auto"/>
              <w:jc w:val="center"/>
              <w:rPr>
                <w:noProof/>
              </w:rPr>
            </w:pPr>
            <w:r w:rsidRPr="00DE3A6F">
              <w:rPr>
                <w:rFonts w:ascii="Arial" w:eastAsia="Arial" w:hAnsi="Arial" w:cs="Arial"/>
                <w:noProof/>
                <w:color w:val="000000" w:themeColor="text1"/>
                <w:sz w:val="18"/>
                <w:szCs w:val="18"/>
              </w:rPr>
              <w:t>Administrative</w:t>
            </w:r>
          </w:p>
        </w:tc>
        <w:tc>
          <w:tcPr>
            <w:tcW w:w="4193"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6FFDCE7B" w14:textId="4107068F" w:rsidR="044E42F4" w:rsidRPr="00DE3A6F" w:rsidRDefault="00956438" w:rsidP="044E42F4">
            <w:pPr>
              <w:spacing w:before="120" w:line="276" w:lineRule="auto"/>
              <w:ind w:left="190"/>
              <w:rPr>
                <w:noProof/>
              </w:rPr>
            </w:pPr>
            <w:r>
              <w:rPr>
                <w:rFonts w:ascii="Arial" w:eastAsia="Arial" w:hAnsi="Arial" w:cs="Arial"/>
                <w:noProof/>
                <w:sz w:val="20"/>
              </w:rPr>
              <w:t>Before</w:t>
            </w:r>
            <w:r w:rsidR="044E42F4" w:rsidRPr="00C67660">
              <w:rPr>
                <w:rFonts w:ascii="Arial" w:eastAsia="Arial" w:hAnsi="Arial" w:cs="Arial"/>
                <w:noProof/>
                <w:sz w:val="20"/>
              </w:rPr>
              <w:t xml:space="preserve"> evaluati</w:t>
            </w:r>
            <w:r>
              <w:rPr>
                <w:rFonts w:ascii="Arial" w:eastAsia="Arial" w:hAnsi="Arial" w:cs="Arial"/>
                <w:noProof/>
                <w:sz w:val="20"/>
              </w:rPr>
              <w:t>ng</w:t>
            </w:r>
            <w:r w:rsidR="044E42F4" w:rsidRPr="00C67660">
              <w:rPr>
                <w:rFonts w:ascii="Arial" w:eastAsia="Arial" w:hAnsi="Arial" w:cs="Arial"/>
                <w:noProof/>
                <w:sz w:val="20"/>
              </w:rPr>
              <w:t xml:space="preserve"> project proposal evaluators tick </w:t>
            </w:r>
            <w:r>
              <w:rPr>
                <w:rFonts w:ascii="Arial" w:eastAsia="Arial" w:hAnsi="Arial" w:cs="Arial"/>
                <w:noProof/>
                <w:sz w:val="20"/>
              </w:rPr>
              <w:t xml:space="preserve">the </w:t>
            </w:r>
            <w:r w:rsidR="044E42F4" w:rsidRPr="00C67660">
              <w:rPr>
                <w:rFonts w:ascii="Arial" w:eastAsia="Arial" w:hAnsi="Arial" w:cs="Arial"/>
                <w:noProof/>
                <w:sz w:val="20"/>
              </w:rPr>
              <w:t xml:space="preserve">declaration of honour. A sample of statements is verified via </w:t>
            </w:r>
            <w:r w:rsidRPr="00C67660">
              <w:rPr>
                <w:rFonts w:ascii="Arial" w:eastAsia="Arial" w:hAnsi="Arial" w:cs="Arial"/>
                <w:noProof/>
                <w:sz w:val="20"/>
              </w:rPr>
              <w:t>Arachne</w:t>
            </w:r>
            <w:r w:rsidR="044E42F4" w:rsidRPr="00C67660">
              <w:rPr>
                <w:rFonts w:ascii="Arial" w:eastAsia="Arial" w:hAnsi="Arial" w:cs="Arial"/>
                <w:noProof/>
                <w:sz w:val="20"/>
              </w:rPr>
              <w:t xml:space="preserve">. </w:t>
            </w:r>
          </w:p>
        </w:tc>
      </w:tr>
      <w:tr w:rsidR="044E42F4" w:rsidRPr="00CA1602" w14:paraId="238CD736" w14:textId="77777777" w:rsidTr="28D37C99">
        <w:trPr>
          <w:trHeight w:val="600"/>
        </w:trPr>
        <w:tc>
          <w:tcPr>
            <w:tcW w:w="1407"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08027C7E" w14:textId="201ED858"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Bulgaria </w:t>
            </w:r>
          </w:p>
        </w:tc>
        <w:tc>
          <w:tcPr>
            <w:tcW w:w="1576" w:type="dxa"/>
            <w:tcBorders>
              <w:top w:val="single" w:sz="12" w:space="0" w:color="156082"/>
              <w:left w:val="dashed" w:sz="8" w:space="0" w:color="156082"/>
              <w:bottom w:val="single" w:sz="12" w:space="0" w:color="156082"/>
              <w:right w:val="dashed" w:sz="8" w:space="0" w:color="156082"/>
            </w:tcBorders>
            <w:tcMar>
              <w:left w:w="108" w:type="dxa"/>
              <w:right w:w="108" w:type="dxa"/>
            </w:tcMar>
            <w:vAlign w:val="center"/>
          </w:tcPr>
          <w:p w14:paraId="10FF1A16" w14:textId="1B618CE3"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20"/>
              </w:rPr>
              <w:t>Excluding unreliable economic operators</w:t>
            </w:r>
          </w:p>
        </w:tc>
        <w:tc>
          <w:tcPr>
            <w:tcW w:w="1605" w:type="dxa"/>
            <w:tcBorders>
              <w:top w:val="single" w:sz="12" w:space="0" w:color="156082"/>
              <w:left w:val="dashed" w:sz="8" w:space="0" w:color="156082"/>
              <w:bottom w:val="single" w:sz="12" w:space="0" w:color="156082"/>
              <w:right w:val="dashed" w:sz="8" w:space="0" w:color="156082"/>
            </w:tcBorders>
            <w:shd w:val="clear" w:color="auto" w:fill="F6C5AC"/>
            <w:tcMar>
              <w:left w:w="108" w:type="dxa"/>
              <w:right w:w="108" w:type="dxa"/>
            </w:tcMar>
            <w:vAlign w:val="center"/>
          </w:tcPr>
          <w:p w14:paraId="7AD75FB0" w14:textId="237E0249"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Legislative</w:t>
            </w:r>
          </w:p>
        </w:tc>
        <w:tc>
          <w:tcPr>
            <w:tcW w:w="4193"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23C66EAB" w14:textId="26FF7D05" w:rsidR="044E42F4" w:rsidRPr="00DE3A6F" w:rsidRDefault="044E42F4" w:rsidP="044E42F4">
            <w:pPr>
              <w:spacing w:before="120" w:line="276" w:lineRule="auto"/>
              <w:ind w:left="190"/>
              <w:rPr>
                <w:noProof/>
              </w:rPr>
            </w:pPr>
            <w:r w:rsidRPr="00DE3A6F">
              <w:rPr>
                <w:rFonts w:ascii="Arial" w:eastAsia="Arial" w:hAnsi="Arial" w:cs="Arial"/>
                <w:noProof/>
                <w:sz w:val="20"/>
              </w:rPr>
              <w:t xml:space="preserve">Mandatory exclusion from award procedures of persons convicted of certain offences. </w:t>
            </w:r>
          </w:p>
        </w:tc>
      </w:tr>
      <w:tr w:rsidR="044E42F4" w:rsidRPr="00CA1602" w14:paraId="7526233A" w14:textId="77777777" w:rsidTr="28D37C99">
        <w:trPr>
          <w:trHeight w:val="600"/>
        </w:trPr>
        <w:tc>
          <w:tcPr>
            <w:tcW w:w="1407"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1E813AD3" w14:textId="63B68614"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Cyprus</w:t>
            </w:r>
          </w:p>
        </w:tc>
        <w:tc>
          <w:tcPr>
            <w:tcW w:w="1576" w:type="dxa"/>
            <w:tcBorders>
              <w:top w:val="single" w:sz="12" w:space="0" w:color="156082"/>
              <w:left w:val="dashed" w:sz="8" w:space="0" w:color="156082"/>
              <w:bottom w:val="single" w:sz="12" w:space="0" w:color="156082"/>
              <w:right w:val="dashed" w:sz="8" w:space="0" w:color="156082"/>
            </w:tcBorders>
            <w:tcMar>
              <w:left w:w="108" w:type="dxa"/>
              <w:right w:w="108" w:type="dxa"/>
            </w:tcMar>
            <w:vAlign w:val="center"/>
          </w:tcPr>
          <w:p w14:paraId="0C41D622" w14:textId="598A1093" w:rsidR="044E42F4" w:rsidRPr="00DE3A6F" w:rsidRDefault="044E42F4" w:rsidP="044E42F4">
            <w:pPr>
              <w:spacing w:before="120" w:line="276" w:lineRule="auto"/>
              <w:jc w:val="center"/>
              <w:rPr>
                <w:noProof/>
              </w:rPr>
            </w:pPr>
            <w:r w:rsidRPr="001767E0">
              <w:rPr>
                <w:rFonts w:ascii="Arial" w:eastAsia="Arial" w:hAnsi="Arial" w:cs="Arial"/>
                <w:noProof/>
                <w:color w:val="000000" w:themeColor="text1"/>
                <w:sz w:val="20"/>
              </w:rPr>
              <w:t xml:space="preserve">Identifying red flags </w:t>
            </w:r>
          </w:p>
        </w:tc>
        <w:tc>
          <w:tcPr>
            <w:tcW w:w="160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655FB463" w14:textId="58A879D1"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193"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7538AF0B" w14:textId="0D595343" w:rsidR="044E42F4" w:rsidRPr="00DE3A6F" w:rsidRDefault="044E42F4" w:rsidP="044E42F4">
            <w:pPr>
              <w:spacing w:before="120" w:line="276" w:lineRule="auto"/>
              <w:ind w:left="190"/>
              <w:rPr>
                <w:noProof/>
              </w:rPr>
            </w:pPr>
            <w:r w:rsidRPr="001767E0">
              <w:rPr>
                <w:rFonts w:ascii="Arial" w:eastAsia="Arial" w:hAnsi="Arial" w:cs="Arial"/>
                <w:noProof/>
                <w:sz w:val="20"/>
              </w:rPr>
              <w:t>Changes to the e-procurement system include automated workflows, role-based access and time-stamped records which reduce discretion and conflicts of interest. Contract-management functions (milestones, variations, payments, alerts) help detect overpricing, irregular amendments and non-performance early.</w:t>
            </w:r>
          </w:p>
        </w:tc>
      </w:tr>
      <w:tr w:rsidR="044E42F4" w:rsidRPr="00CA1602" w14:paraId="2728C696" w14:textId="77777777" w:rsidTr="00100A81">
        <w:trPr>
          <w:trHeight w:val="1245"/>
        </w:trPr>
        <w:tc>
          <w:tcPr>
            <w:tcW w:w="1407"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23F8E140" w14:textId="16DE24AF"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Hungary</w:t>
            </w:r>
          </w:p>
        </w:tc>
        <w:tc>
          <w:tcPr>
            <w:tcW w:w="1576" w:type="dxa"/>
            <w:tcBorders>
              <w:top w:val="single" w:sz="12" w:space="0" w:color="156082"/>
              <w:left w:val="dashed" w:sz="8" w:space="0" w:color="156082"/>
              <w:bottom w:val="single" w:sz="12" w:space="0" w:color="156082"/>
              <w:right w:val="dashed" w:sz="8" w:space="0" w:color="156082"/>
            </w:tcBorders>
            <w:tcMar>
              <w:left w:w="108" w:type="dxa"/>
              <w:right w:w="108" w:type="dxa"/>
            </w:tcMar>
            <w:vAlign w:val="center"/>
          </w:tcPr>
          <w:p w14:paraId="5A14469C" w14:textId="28BAD817"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20"/>
              </w:rPr>
              <w:t>Excluding fraudulent taxpayers</w:t>
            </w:r>
          </w:p>
        </w:tc>
        <w:tc>
          <w:tcPr>
            <w:tcW w:w="1605" w:type="dxa"/>
            <w:tcBorders>
              <w:top w:val="single" w:sz="12" w:space="0" w:color="156082"/>
              <w:left w:val="dashed" w:sz="8" w:space="0" w:color="156082"/>
              <w:bottom w:val="single" w:sz="12" w:space="0" w:color="156082"/>
              <w:right w:val="dashed" w:sz="8" w:space="0" w:color="156082"/>
            </w:tcBorders>
            <w:shd w:val="clear" w:color="auto" w:fill="FFE599" w:themeFill="accent4" w:themeFillTint="66"/>
            <w:tcMar>
              <w:left w:w="108" w:type="dxa"/>
              <w:right w:w="108" w:type="dxa"/>
            </w:tcMar>
            <w:vAlign w:val="center"/>
          </w:tcPr>
          <w:p w14:paraId="4D63DE2B" w14:textId="67726622"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193"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5A9AD48D" w14:textId="141C2AA0" w:rsidR="044E42F4" w:rsidRPr="00DE3A6F" w:rsidRDefault="044E42F4" w:rsidP="044E42F4">
            <w:pPr>
              <w:spacing w:before="120" w:line="276" w:lineRule="auto"/>
              <w:ind w:left="190"/>
              <w:rPr>
                <w:noProof/>
              </w:rPr>
            </w:pPr>
            <w:r w:rsidRPr="001767E0">
              <w:rPr>
                <w:rFonts w:ascii="Arial" w:eastAsia="Arial" w:hAnsi="Arial" w:cs="Arial"/>
                <w:noProof/>
                <w:sz w:val="20"/>
              </w:rPr>
              <w:t xml:space="preserve">Post-release controls are used to identify and exclude fraudulent taxpayers, for example by cancelling their tax number.  </w:t>
            </w:r>
          </w:p>
        </w:tc>
      </w:tr>
      <w:tr w:rsidR="00100A81" w:rsidRPr="00CA1602" w14:paraId="1E8B2D0C" w14:textId="77777777" w:rsidTr="00BD00D0">
        <w:trPr>
          <w:trHeight w:val="675"/>
        </w:trPr>
        <w:tc>
          <w:tcPr>
            <w:tcW w:w="1407" w:type="dxa"/>
            <w:vMerge w:val="restart"/>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77A8BDDE" w14:textId="16D30242"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Ireland </w:t>
            </w:r>
          </w:p>
        </w:tc>
        <w:tc>
          <w:tcPr>
            <w:tcW w:w="1576" w:type="dxa"/>
            <w:vMerge w:val="restart"/>
            <w:tcBorders>
              <w:top w:val="single" w:sz="12" w:space="0" w:color="156082"/>
              <w:left w:val="dashed" w:sz="8" w:space="0" w:color="156082"/>
              <w:bottom w:val="single" w:sz="12" w:space="0" w:color="156082"/>
              <w:right w:val="dashed" w:sz="8" w:space="0" w:color="156082"/>
            </w:tcBorders>
            <w:tcMar>
              <w:left w:w="108" w:type="dxa"/>
              <w:right w:w="108" w:type="dxa"/>
            </w:tcMar>
            <w:vAlign w:val="center"/>
          </w:tcPr>
          <w:p w14:paraId="7C374F2F" w14:textId="7D6EB267"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20"/>
              </w:rPr>
              <w:t>Performing eligibility and compliance checks</w:t>
            </w:r>
          </w:p>
        </w:tc>
        <w:tc>
          <w:tcPr>
            <w:tcW w:w="1605" w:type="dxa"/>
            <w:tcBorders>
              <w:top w:val="single" w:sz="12" w:space="0" w:color="156082"/>
              <w:left w:val="dashed" w:sz="8" w:space="0" w:color="156082"/>
              <w:bottom w:val="dashSmallGap" w:sz="8" w:space="0" w:color="156082"/>
              <w:right w:val="dashed" w:sz="8" w:space="0" w:color="156082"/>
            </w:tcBorders>
            <w:shd w:val="clear" w:color="auto" w:fill="B4C6E7" w:themeFill="accent5" w:themeFillTint="66"/>
            <w:tcMar>
              <w:left w:w="108" w:type="dxa"/>
              <w:right w:w="108" w:type="dxa"/>
            </w:tcMar>
            <w:vAlign w:val="center"/>
          </w:tcPr>
          <w:p w14:paraId="3790F851" w14:textId="5FBB617E"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193" w:type="dxa"/>
            <w:vMerge w:val="restart"/>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3AE35826" w14:textId="62023D11" w:rsidR="044E42F4" w:rsidRPr="00DE3A6F" w:rsidRDefault="044E42F4" w:rsidP="044E42F4">
            <w:pPr>
              <w:spacing w:after="160" w:line="276" w:lineRule="auto"/>
              <w:ind w:left="193"/>
              <w:rPr>
                <w:noProof/>
              </w:rPr>
            </w:pPr>
            <w:r w:rsidRPr="00DE3A6F">
              <w:rPr>
                <w:rFonts w:ascii="Arial" w:eastAsia="Arial" w:hAnsi="Arial" w:cs="Arial"/>
                <w:noProof/>
                <w:sz w:val="20"/>
              </w:rPr>
              <w:t xml:space="preserve">Embedding eligibility and compliance checks into the implementation of the Just Transition Fund from the outset. The measure also ensures accountability and traceability of Just Transition Fund spending. </w:t>
            </w:r>
          </w:p>
        </w:tc>
      </w:tr>
      <w:tr w:rsidR="00BD00D0" w:rsidRPr="00CA1602" w14:paraId="62E9F3A7" w14:textId="77777777" w:rsidTr="00BD00D0">
        <w:trPr>
          <w:trHeight w:val="675"/>
        </w:trPr>
        <w:tc>
          <w:tcPr>
            <w:tcW w:w="1407" w:type="dxa"/>
            <w:vMerge/>
            <w:tcBorders>
              <w:top w:val="single" w:sz="12" w:space="0" w:color="156082"/>
              <w:left w:val="single" w:sz="12" w:space="0" w:color="156082"/>
              <w:bottom w:val="single" w:sz="12" w:space="0" w:color="156082"/>
              <w:right w:val="dashed" w:sz="8" w:space="0" w:color="156082"/>
            </w:tcBorders>
            <w:vAlign w:val="center"/>
          </w:tcPr>
          <w:p w14:paraId="4E2F2BED" w14:textId="77777777" w:rsidR="00286280" w:rsidRPr="00CA1602" w:rsidRDefault="00286280">
            <w:pPr>
              <w:rPr>
                <w:noProof/>
              </w:rPr>
            </w:pPr>
          </w:p>
        </w:tc>
        <w:tc>
          <w:tcPr>
            <w:tcW w:w="1576" w:type="dxa"/>
            <w:vMerge/>
            <w:tcBorders>
              <w:top w:val="single" w:sz="12" w:space="0" w:color="156082"/>
              <w:left w:val="dashed" w:sz="8" w:space="0" w:color="156082"/>
              <w:right w:val="dashed" w:sz="8" w:space="0" w:color="156082"/>
            </w:tcBorders>
            <w:vAlign w:val="center"/>
          </w:tcPr>
          <w:p w14:paraId="7970C6CB" w14:textId="77777777" w:rsidR="00286280" w:rsidRPr="00CA1602" w:rsidRDefault="00286280">
            <w:pPr>
              <w:rPr>
                <w:noProof/>
              </w:rPr>
            </w:pPr>
          </w:p>
        </w:tc>
        <w:tc>
          <w:tcPr>
            <w:tcW w:w="1605" w:type="dxa"/>
            <w:tcBorders>
              <w:top w:val="dashSmallGap" w:sz="8" w:space="0" w:color="156082"/>
              <w:left w:val="dashed" w:sz="8" w:space="0" w:color="156082"/>
              <w:bottom w:val="dashSmallGap" w:sz="8" w:space="0" w:color="156082"/>
              <w:right w:val="dashed" w:sz="8" w:space="0" w:color="156082"/>
            </w:tcBorders>
            <w:shd w:val="clear" w:color="auto" w:fill="B3E5A1"/>
            <w:tcMar>
              <w:left w:w="108" w:type="dxa"/>
              <w:right w:w="108" w:type="dxa"/>
            </w:tcMar>
            <w:vAlign w:val="center"/>
          </w:tcPr>
          <w:p w14:paraId="390561E8" w14:textId="5A0BFAAA" w:rsidR="044E42F4" w:rsidRPr="00DE3A6F" w:rsidRDefault="044E42F4" w:rsidP="044E42F4">
            <w:pPr>
              <w:spacing w:before="120" w:line="276" w:lineRule="auto"/>
              <w:jc w:val="center"/>
              <w:rPr>
                <w:noProof/>
              </w:rPr>
            </w:pPr>
            <w:r w:rsidRPr="001767E0">
              <w:rPr>
                <w:rFonts w:ascii="Arial" w:eastAsia="Arial" w:hAnsi="Arial" w:cs="Arial"/>
                <w:noProof/>
                <w:color w:val="000000" w:themeColor="text1"/>
                <w:sz w:val="18"/>
                <w:szCs w:val="18"/>
              </w:rPr>
              <w:t>Organisational</w:t>
            </w:r>
          </w:p>
        </w:tc>
        <w:tc>
          <w:tcPr>
            <w:tcW w:w="4193" w:type="dxa"/>
            <w:vMerge/>
            <w:tcBorders>
              <w:top w:val="single" w:sz="12" w:space="0" w:color="156082"/>
              <w:left w:val="dashed" w:sz="8" w:space="0" w:color="156082"/>
              <w:right w:val="single" w:sz="12" w:space="0" w:color="156082"/>
            </w:tcBorders>
            <w:vAlign w:val="center"/>
          </w:tcPr>
          <w:p w14:paraId="20BC98E4" w14:textId="77777777" w:rsidR="00286280" w:rsidRPr="00CA1602" w:rsidRDefault="00286280">
            <w:pPr>
              <w:rPr>
                <w:noProof/>
              </w:rPr>
            </w:pPr>
          </w:p>
        </w:tc>
      </w:tr>
      <w:tr w:rsidR="00BD00D0" w:rsidRPr="00CA1602" w14:paraId="3ABCF78F" w14:textId="77777777" w:rsidTr="00BD00D0">
        <w:trPr>
          <w:trHeight w:val="690"/>
        </w:trPr>
        <w:tc>
          <w:tcPr>
            <w:tcW w:w="1407" w:type="dxa"/>
            <w:vMerge/>
            <w:tcBorders>
              <w:left w:val="single" w:sz="12" w:space="0" w:color="156082"/>
              <w:bottom w:val="single" w:sz="12" w:space="0" w:color="156082"/>
              <w:right w:val="dashed" w:sz="8" w:space="0" w:color="156082"/>
            </w:tcBorders>
            <w:vAlign w:val="center"/>
          </w:tcPr>
          <w:p w14:paraId="55B03D3E" w14:textId="77777777" w:rsidR="00286280" w:rsidRPr="00CA1602" w:rsidRDefault="00286280">
            <w:pPr>
              <w:rPr>
                <w:noProof/>
              </w:rPr>
            </w:pPr>
          </w:p>
        </w:tc>
        <w:tc>
          <w:tcPr>
            <w:tcW w:w="1576" w:type="dxa"/>
            <w:vMerge/>
            <w:tcBorders>
              <w:left w:val="dashed" w:sz="8" w:space="0" w:color="156082"/>
              <w:bottom w:val="single" w:sz="12" w:space="0" w:color="156082"/>
              <w:right w:val="dashed" w:sz="8" w:space="0" w:color="156082"/>
            </w:tcBorders>
            <w:vAlign w:val="center"/>
          </w:tcPr>
          <w:p w14:paraId="03BFF109" w14:textId="77777777" w:rsidR="00286280" w:rsidRPr="00CA1602" w:rsidRDefault="00286280">
            <w:pPr>
              <w:rPr>
                <w:noProof/>
              </w:rPr>
            </w:pPr>
          </w:p>
        </w:tc>
        <w:tc>
          <w:tcPr>
            <w:tcW w:w="1605" w:type="dxa"/>
            <w:tcBorders>
              <w:top w:val="dashSmallGap" w:sz="8" w:space="0" w:color="156082"/>
              <w:left w:val="dashed" w:sz="8" w:space="0" w:color="156082"/>
              <w:bottom w:val="single" w:sz="12" w:space="0" w:color="156082"/>
              <w:right w:val="dashed" w:sz="8" w:space="0" w:color="156082"/>
            </w:tcBorders>
            <w:shd w:val="clear" w:color="auto" w:fill="FFE599" w:themeFill="accent4" w:themeFillTint="66"/>
            <w:tcMar>
              <w:left w:w="108" w:type="dxa"/>
              <w:right w:w="108" w:type="dxa"/>
            </w:tcMar>
            <w:vAlign w:val="center"/>
          </w:tcPr>
          <w:p w14:paraId="6178DA57" w14:textId="07F8DB69"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193" w:type="dxa"/>
            <w:vMerge/>
            <w:tcBorders>
              <w:bottom w:val="single" w:sz="12" w:space="0" w:color="156082"/>
              <w:right w:val="single" w:sz="12" w:space="0" w:color="156082"/>
            </w:tcBorders>
            <w:vAlign w:val="center"/>
          </w:tcPr>
          <w:p w14:paraId="7FA60F9C" w14:textId="77777777" w:rsidR="00286280" w:rsidRPr="00CA1602" w:rsidRDefault="00286280">
            <w:pPr>
              <w:rPr>
                <w:noProof/>
              </w:rPr>
            </w:pPr>
          </w:p>
        </w:tc>
      </w:tr>
      <w:tr w:rsidR="044E42F4" w:rsidRPr="00CA1602" w14:paraId="242BDB9B" w14:textId="77777777" w:rsidTr="00BD00D0">
        <w:trPr>
          <w:trHeight w:val="600"/>
        </w:trPr>
        <w:tc>
          <w:tcPr>
            <w:tcW w:w="1407"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2A5F1C2C" w14:textId="4A00736A"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Poland </w:t>
            </w:r>
          </w:p>
        </w:tc>
        <w:tc>
          <w:tcPr>
            <w:tcW w:w="1576" w:type="dxa"/>
            <w:tcBorders>
              <w:top w:val="single" w:sz="12" w:space="0" w:color="156082"/>
              <w:left w:val="dashed" w:sz="8" w:space="0" w:color="156082"/>
              <w:bottom w:val="single" w:sz="12" w:space="0" w:color="156082"/>
              <w:right w:val="dashed" w:sz="8" w:space="0" w:color="156082"/>
            </w:tcBorders>
            <w:tcMar>
              <w:left w:w="108" w:type="dxa"/>
              <w:right w:w="108" w:type="dxa"/>
            </w:tcMar>
            <w:vAlign w:val="center"/>
          </w:tcPr>
          <w:p w14:paraId="1B151AE0" w14:textId="291D9D6B" w:rsidR="044E42F4" w:rsidRPr="00DE3A6F" w:rsidRDefault="044E42F4" w:rsidP="044E42F4">
            <w:pPr>
              <w:spacing w:before="120" w:line="276" w:lineRule="auto"/>
              <w:jc w:val="center"/>
              <w:rPr>
                <w:noProof/>
              </w:rPr>
            </w:pPr>
            <w:r w:rsidRPr="001767E0">
              <w:rPr>
                <w:rFonts w:ascii="Arial" w:eastAsia="Arial" w:hAnsi="Arial" w:cs="Arial"/>
                <w:noProof/>
                <w:color w:val="000000" w:themeColor="text1"/>
                <w:sz w:val="20"/>
              </w:rPr>
              <w:t>Identifying potential conflict of interest</w:t>
            </w:r>
          </w:p>
        </w:tc>
        <w:tc>
          <w:tcPr>
            <w:tcW w:w="1605" w:type="dxa"/>
            <w:tcBorders>
              <w:top w:val="single" w:sz="12" w:space="0" w:color="156082"/>
              <w:left w:val="dashed" w:sz="8" w:space="0" w:color="156082"/>
              <w:bottom w:val="single" w:sz="12" w:space="0" w:color="156082"/>
              <w:right w:val="dashed" w:sz="8" w:space="0" w:color="156082"/>
            </w:tcBorders>
            <w:shd w:val="clear" w:color="auto" w:fill="FFE599" w:themeFill="accent4" w:themeFillTint="66"/>
            <w:tcMar>
              <w:left w:w="108" w:type="dxa"/>
              <w:right w:w="108" w:type="dxa"/>
            </w:tcMar>
            <w:vAlign w:val="center"/>
          </w:tcPr>
          <w:p w14:paraId="4D38B7FD" w14:textId="1D6A8386"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193"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27CF8DC8" w14:textId="4296B506" w:rsidR="044E42F4" w:rsidRPr="00DE3A6F" w:rsidRDefault="044E42F4" w:rsidP="044E42F4">
            <w:pPr>
              <w:spacing w:before="240" w:line="276" w:lineRule="auto"/>
              <w:ind w:left="190"/>
              <w:rPr>
                <w:noProof/>
              </w:rPr>
            </w:pPr>
            <w:r w:rsidRPr="001767E0">
              <w:rPr>
                <w:rFonts w:ascii="Arial" w:eastAsia="Arial" w:hAnsi="Arial" w:cs="Arial"/>
                <w:noProof/>
                <w:sz w:val="20"/>
              </w:rPr>
              <w:t xml:space="preserve">At the </w:t>
            </w:r>
            <w:r w:rsidR="0033759A">
              <w:rPr>
                <w:rFonts w:ascii="Arial" w:eastAsia="Arial" w:hAnsi="Arial" w:cs="Arial"/>
                <w:noProof/>
                <w:sz w:val="20"/>
              </w:rPr>
              <w:t xml:space="preserve">project selection </w:t>
            </w:r>
            <w:r w:rsidRPr="001767E0">
              <w:rPr>
                <w:rFonts w:ascii="Arial" w:eastAsia="Arial" w:hAnsi="Arial" w:cs="Arial"/>
                <w:noProof/>
                <w:sz w:val="20"/>
              </w:rPr>
              <w:t xml:space="preserve">stage, </w:t>
            </w:r>
            <w:r w:rsidR="0033759A">
              <w:rPr>
                <w:rFonts w:ascii="Arial" w:eastAsia="Arial" w:hAnsi="Arial" w:cs="Arial"/>
                <w:noProof/>
                <w:sz w:val="20"/>
              </w:rPr>
              <w:t xml:space="preserve">the </w:t>
            </w:r>
            <w:r w:rsidRPr="001767E0">
              <w:rPr>
                <w:rFonts w:ascii="Arial" w:eastAsia="Arial" w:hAnsi="Arial" w:cs="Arial"/>
                <w:noProof/>
                <w:sz w:val="20"/>
              </w:rPr>
              <w:t xml:space="preserve">SAMPLER tool </w:t>
            </w:r>
            <w:r w:rsidR="0033759A">
              <w:rPr>
                <w:rFonts w:ascii="Arial" w:eastAsia="Arial" w:hAnsi="Arial" w:cs="Arial"/>
                <w:noProof/>
                <w:sz w:val="20"/>
              </w:rPr>
              <w:t xml:space="preserve">is used </w:t>
            </w:r>
            <w:r w:rsidRPr="001767E0">
              <w:rPr>
                <w:rFonts w:ascii="Arial" w:eastAsia="Arial" w:hAnsi="Arial" w:cs="Arial"/>
                <w:noProof/>
                <w:sz w:val="20"/>
              </w:rPr>
              <w:t>to verify conflict</w:t>
            </w:r>
            <w:r w:rsidR="0033759A">
              <w:rPr>
                <w:rFonts w:ascii="Arial" w:eastAsia="Arial" w:hAnsi="Arial" w:cs="Arial"/>
                <w:noProof/>
                <w:sz w:val="20"/>
              </w:rPr>
              <w:t>s</w:t>
            </w:r>
            <w:r w:rsidRPr="001767E0">
              <w:rPr>
                <w:rFonts w:ascii="Arial" w:eastAsia="Arial" w:hAnsi="Arial" w:cs="Arial"/>
                <w:noProof/>
                <w:sz w:val="20"/>
              </w:rPr>
              <w:t xml:space="preserve"> of interest, which simplifies the subsequent procedures.</w:t>
            </w:r>
          </w:p>
        </w:tc>
      </w:tr>
    </w:tbl>
    <w:p w14:paraId="13ACE406" w14:textId="1B001C57" w:rsidR="044E42F4" w:rsidRPr="00DE3A6F" w:rsidRDefault="044E42F4" w:rsidP="044E42F4">
      <w:pPr>
        <w:rPr>
          <w:b/>
          <w:bCs/>
          <w:noProof/>
        </w:rPr>
      </w:pPr>
    </w:p>
    <w:p w14:paraId="65E961C3" w14:textId="15C7EA9A" w:rsidR="044E42F4" w:rsidRPr="00DE3A6F" w:rsidRDefault="044E42F4" w:rsidP="044E42F4">
      <w:pPr>
        <w:rPr>
          <w:b/>
          <w:bCs/>
          <w:noProof/>
        </w:rPr>
      </w:pPr>
    </w:p>
    <w:p w14:paraId="03335730" w14:textId="77777777" w:rsidR="001767E0" w:rsidRDefault="001767E0">
      <w:pPr>
        <w:spacing w:after="0" w:line="240" w:lineRule="auto"/>
        <w:jc w:val="left"/>
        <w:rPr>
          <w:b/>
          <w:bCs/>
          <w:noProof/>
        </w:rPr>
      </w:pPr>
      <w:r>
        <w:rPr>
          <w:b/>
          <w:bCs/>
          <w:noProof/>
        </w:rPr>
        <w:br w:type="page"/>
      </w:r>
    </w:p>
    <w:p w14:paraId="1C5CF9EF" w14:textId="55965478" w:rsidR="3D149168" w:rsidRPr="00DE3A6F" w:rsidRDefault="3D149168" w:rsidP="044E42F4">
      <w:pPr>
        <w:rPr>
          <w:b/>
          <w:bCs/>
          <w:noProof/>
        </w:rPr>
      </w:pPr>
      <w:r w:rsidRPr="00DE3A6F">
        <w:rPr>
          <w:b/>
          <w:bCs/>
          <w:noProof/>
        </w:rPr>
        <w:lastRenderedPageBreak/>
        <w:t>Table 2: Training and capacity-building activities reported by Member States in 2025</w:t>
      </w:r>
    </w:p>
    <w:tbl>
      <w:tblPr>
        <w:tblW w:w="0" w:type="auto"/>
        <w:tblLook w:val="04A0" w:firstRow="1" w:lastRow="0" w:firstColumn="1" w:lastColumn="0" w:noHBand="0" w:noVBand="1"/>
      </w:tblPr>
      <w:tblGrid>
        <w:gridCol w:w="1452"/>
        <w:gridCol w:w="1762"/>
        <w:gridCol w:w="5374"/>
      </w:tblGrid>
      <w:tr w:rsidR="044E42F4" w:rsidRPr="00CA1602" w14:paraId="35082969" w14:textId="77777777" w:rsidTr="28D37C99">
        <w:trPr>
          <w:trHeight w:val="165"/>
        </w:trPr>
        <w:tc>
          <w:tcPr>
            <w:tcW w:w="8732" w:type="dxa"/>
            <w:gridSpan w:val="3"/>
            <w:tcBorders>
              <w:top w:val="single" w:sz="12" w:space="0" w:color="156082"/>
              <w:left w:val="single" w:sz="12" w:space="0" w:color="156082"/>
              <w:bottom w:val="single" w:sz="12" w:space="0" w:color="156082"/>
              <w:right w:val="single" w:sz="12" w:space="0" w:color="156082"/>
            </w:tcBorders>
            <w:shd w:val="clear" w:color="auto" w:fill="156082"/>
            <w:tcMar>
              <w:left w:w="108" w:type="dxa"/>
              <w:right w:w="108" w:type="dxa"/>
            </w:tcMar>
            <w:vAlign w:val="center"/>
          </w:tcPr>
          <w:p w14:paraId="2E489EF3" w14:textId="753EABE3" w:rsidR="044E42F4" w:rsidRPr="00DE3A6F" w:rsidRDefault="044E42F4" w:rsidP="044E42F4">
            <w:pPr>
              <w:spacing w:after="0" w:line="276" w:lineRule="auto"/>
              <w:jc w:val="center"/>
              <w:rPr>
                <w:noProof/>
              </w:rPr>
            </w:pPr>
            <w:r w:rsidRPr="00DE3A6F">
              <w:rPr>
                <w:rFonts w:ascii="Arial" w:eastAsia="Arial" w:hAnsi="Arial" w:cs="Arial"/>
                <w:b/>
                <w:bCs/>
                <w:noProof/>
                <w:color w:val="FFFFFF" w:themeColor="background1"/>
                <w:sz w:val="20"/>
              </w:rPr>
              <w:t>Trainings and capacity-building activities</w:t>
            </w:r>
          </w:p>
        </w:tc>
      </w:tr>
      <w:tr w:rsidR="044E42F4" w:rsidRPr="00CA1602" w14:paraId="5501675D" w14:textId="77777777" w:rsidTr="28D37C99">
        <w:trPr>
          <w:trHeight w:val="165"/>
        </w:trPr>
        <w:tc>
          <w:tcPr>
            <w:tcW w:w="1463" w:type="dxa"/>
            <w:tcBorders>
              <w:top w:val="single" w:sz="12" w:space="0" w:color="156082"/>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5E1E4182" w14:textId="5894E6EE"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Member State</w:t>
            </w:r>
          </w:p>
        </w:tc>
        <w:tc>
          <w:tcPr>
            <w:tcW w:w="1775"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4761828C" w14:textId="11100E04"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Type of measure</w:t>
            </w:r>
          </w:p>
        </w:tc>
        <w:tc>
          <w:tcPr>
            <w:tcW w:w="5494"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51B21F13" w14:textId="3FBCE9A6"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Description</w:t>
            </w:r>
          </w:p>
        </w:tc>
      </w:tr>
      <w:tr w:rsidR="044E42F4" w:rsidRPr="00CA1602" w14:paraId="57480390"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5B3FB515" w14:textId="7A7E25CE" w:rsidR="044E42F4" w:rsidRPr="00DE3A6F" w:rsidRDefault="044E42F4" w:rsidP="044E42F4">
            <w:pPr>
              <w:spacing w:after="0" w:line="276" w:lineRule="auto"/>
              <w:jc w:val="center"/>
              <w:rPr>
                <w:noProof/>
              </w:rPr>
            </w:pPr>
            <w:r w:rsidRPr="00DE3A6F">
              <w:rPr>
                <w:rFonts w:ascii="Arial" w:eastAsia="Arial" w:hAnsi="Arial" w:cs="Arial"/>
                <w:b/>
                <w:bCs/>
                <w:noProof/>
                <w:color w:val="000000" w:themeColor="text1"/>
                <w:sz w:val="20"/>
              </w:rPr>
              <w:t>Belgium</w:t>
            </w:r>
          </w:p>
        </w:tc>
        <w:tc>
          <w:tcPr>
            <w:tcW w:w="1775" w:type="dxa"/>
            <w:tcBorders>
              <w:top w:val="single" w:sz="12" w:space="0" w:color="156082"/>
              <w:left w:val="dashed" w:sz="8" w:space="0" w:color="156082"/>
              <w:bottom w:val="single" w:sz="12" w:space="0" w:color="156082"/>
              <w:right w:val="dashed" w:sz="8" w:space="0" w:color="156082"/>
            </w:tcBorders>
            <w:shd w:val="clear" w:color="auto" w:fill="B3E5A1"/>
            <w:tcMar>
              <w:left w:w="108" w:type="dxa"/>
              <w:right w:w="108" w:type="dxa"/>
            </w:tcMar>
            <w:vAlign w:val="center"/>
          </w:tcPr>
          <w:p w14:paraId="41596255" w14:textId="0171F80A" w:rsidR="044E42F4" w:rsidRPr="00DE3A6F" w:rsidRDefault="044E42F4" w:rsidP="044E42F4">
            <w:pPr>
              <w:spacing w:after="0" w:line="276" w:lineRule="auto"/>
              <w:jc w:val="center"/>
              <w:rPr>
                <w:noProof/>
              </w:rPr>
            </w:pPr>
            <w:r w:rsidRPr="0033759A">
              <w:rPr>
                <w:rFonts w:ascii="Arial" w:eastAsia="Arial" w:hAnsi="Arial" w:cs="Arial"/>
                <w:noProof/>
                <w:color w:val="000000" w:themeColor="text1"/>
                <w:sz w:val="18"/>
                <w:szCs w:val="18"/>
              </w:rPr>
              <w:t>Organisational</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14B5F6A3" w14:textId="2AAB82F8" w:rsidR="044E42F4" w:rsidRPr="00DE3A6F" w:rsidRDefault="044E42F4" w:rsidP="044E42F4">
            <w:pPr>
              <w:spacing w:before="120" w:line="276" w:lineRule="auto"/>
              <w:ind w:left="190"/>
              <w:rPr>
                <w:noProof/>
              </w:rPr>
            </w:pPr>
            <w:r w:rsidRPr="00DE3A6F">
              <w:rPr>
                <w:rFonts w:ascii="Arial" w:eastAsia="Arial" w:hAnsi="Arial" w:cs="Arial"/>
                <w:noProof/>
                <w:sz w:val="20"/>
              </w:rPr>
              <w:t xml:space="preserve">Mandatory e-learning on combating fraud </w:t>
            </w:r>
            <w:r w:rsidR="002840E9" w:rsidRPr="00DE3A6F">
              <w:rPr>
                <w:rFonts w:ascii="Arial" w:eastAsia="Arial" w:hAnsi="Arial" w:cs="Arial"/>
                <w:noProof/>
                <w:sz w:val="20"/>
              </w:rPr>
              <w:t>f</w:t>
            </w:r>
            <w:r w:rsidR="002840E9">
              <w:rPr>
                <w:rFonts w:ascii="Arial" w:eastAsia="Arial" w:hAnsi="Arial" w:cs="Arial"/>
                <w:noProof/>
                <w:sz w:val="20"/>
              </w:rPr>
              <w:t>or</w:t>
            </w:r>
            <w:r w:rsidR="002840E9" w:rsidRPr="00DE3A6F">
              <w:rPr>
                <w:rFonts w:ascii="Arial" w:eastAsia="Arial" w:hAnsi="Arial" w:cs="Arial"/>
                <w:noProof/>
                <w:sz w:val="20"/>
              </w:rPr>
              <w:t xml:space="preserve"> </w:t>
            </w:r>
            <w:r w:rsidRPr="00DE3A6F">
              <w:rPr>
                <w:rFonts w:ascii="Arial" w:eastAsia="Arial" w:hAnsi="Arial" w:cs="Arial"/>
                <w:noProof/>
                <w:sz w:val="20"/>
              </w:rPr>
              <w:t>top managers and project managers.</w:t>
            </w:r>
          </w:p>
        </w:tc>
      </w:tr>
      <w:tr w:rsidR="044E42F4" w:rsidRPr="00CA1602" w14:paraId="1451265C" w14:textId="77777777" w:rsidTr="28D37C99">
        <w:trPr>
          <w:trHeight w:val="600"/>
        </w:trPr>
        <w:tc>
          <w:tcPr>
            <w:tcW w:w="1463" w:type="dxa"/>
            <w:vMerge w:val="restart"/>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16180558" w14:textId="6B67FB27"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Cyprus</w:t>
            </w:r>
          </w:p>
        </w:tc>
        <w:tc>
          <w:tcPr>
            <w:tcW w:w="177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3B31D896" w14:textId="17F55529"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23C0B91E" w14:textId="039F4BF6" w:rsidR="044E42F4" w:rsidRPr="00DE3A6F" w:rsidRDefault="044E42F4" w:rsidP="044E42F4">
            <w:pPr>
              <w:spacing w:before="120" w:line="276" w:lineRule="auto"/>
              <w:ind w:left="190"/>
              <w:rPr>
                <w:noProof/>
              </w:rPr>
            </w:pPr>
            <w:r w:rsidRPr="0033759A">
              <w:rPr>
                <w:rFonts w:ascii="Arial" w:eastAsia="Arial" w:hAnsi="Arial" w:cs="Arial"/>
                <w:noProof/>
                <w:sz w:val="20"/>
              </w:rPr>
              <w:t xml:space="preserve">Training on the importance of transparency of lobbying activities and requirements </w:t>
            </w:r>
            <w:r w:rsidR="002840E9">
              <w:rPr>
                <w:rFonts w:ascii="Arial" w:eastAsia="Arial" w:hAnsi="Arial" w:cs="Arial"/>
                <w:noProof/>
                <w:sz w:val="20"/>
              </w:rPr>
              <w:t>for</w:t>
            </w:r>
            <w:r w:rsidR="002840E9" w:rsidRPr="0033759A">
              <w:rPr>
                <w:rFonts w:ascii="Arial" w:eastAsia="Arial" w:hAnsi="Arial" w:cs="Arial"/>
                <w:noProof/>
                <w:sz w:val="20"/>
              </w:rPr>
              <w:t xml:space="preserve"> </w:t>
            </w:r>
            <w:r w:rsidRPr="0033759A">
              <w:rPr>
                <w:rFonts w:ascii="Arial" w:eastAsia="Arial" w:hAnsi="Arial" w:cs="Arial"/>
                <w:noProof/>
                <w:sz w:val="20"/>
              </w:rPr>
              <w:t xml:space="preserve">registration and public disclosure of meetings. </w:t>
            </w:r>
          </w:p>
        </w:tc>
      </w:tr>
      <w:tr w:rsidR="044E42F4" w:rsidRPr="00CA1602" w14:paraId="461CC551" w14:textId="77777777" w:rsidTr="00BD00D0">
        <w:trPr>
          <w:trHeight w:val="600"/>
        </w:trPr>
        <w:tc>
          <w:tcPr>
            <w:tcW w:w="1463" w:type="dxa"/>
            <w:vMerge/>
            <w:tcBorders>
              <w:left w:val="single" w:sz="12" w:space="0" w:color="156082"/>
              <w:right w:val="dashed" w:sz="8" w:space="0" w:color="156082"/>
            </w:tcBorders>
            <w:vAlign w:val="center"/>
          </w:tcPr>
          <w:p w14:paraId="7DE96A18" w14:textId="77777777" w:rsidR="00286280" w:rsidRPr="00CA1602" w:rsidRDefault="00286280">
            <w:pPr>
              <w:rPr>
                <w:noProof/>
              </w:rPr>
            </w:pPr>
          </w:p>
        </w:tc>
        <w:tc>
          <w:tcPr>
            <w:tcW w:w="177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39A3735F" w14:textId="7D3AEED8"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17175345" w14:textId="331B35C0" w:rsidR="044E42F4" w:rsidRPr="00DE3A6F" w:rsidRDefault="044E42F4" w:rsidP="044E42F4">
            <w:pPr>
              <w:spacing w:before="120" w:line="276" w:lineRule="auto"/>
              <w:ind w:left="190"/>
              <w:rPr>
                <w:noProof/>
              </w:rPr>
            </w:pPr>
            <w:r w:rsidRPr="0033759A">
              <w:rPr>
                <w:rFonts w:ascii="Arial" w:eastAsia="Arial" w:hAnsi="Arial" w:cs="Arial"/>
                <w:noProof/>
                <w:sz w:val="20"/>
              </w:rPr>
              <w:t xml:space="preserve">Training and guidance </w:t>
            </w:r>
            <w:r w:rsidR="002840E9">
              <w:rPr>
                <w:rFonts w:ascii="Arial" w:eastAsia="Arial" w:hAnsi="Arial" w:cs="Arial"/>
                <w:noProof/>
                <w:sz w:val="20"/>
              </w:rPr>
              <w:t>for</w:t>
            </w:r>
            <w:r w:rsidR="002840E9" w:rsidRPr="0033759A">
              <w:rPr>
                <w:rFonts w:ascii="Arial" w:eastAsia="Arial" w:hAnsi="Arial" w:cs="Arial"/>
                <w:noProof/>
                <w:sz w:val="20"/>
              </w:rPr>
              <w:t xml:space="preserve"> </w:t>
            </w:r>
            <w:r w:rsidRPr="0033759A">
              <w:rPr>
                <w:rFonts w:ascii="Arial" w:eastAsia="Arial" w:hAnsi="Arial" w:cs="Arial"/>
                <w:noProof/>
                <w:sz w:val="20"/>
              </w:rPr>
              <w:t xml:space="preserve">all bodies </w:t>
            </w:r>
            <w:r w:rsidR="000A78BC">
              <w:rPr>
                <w:rFonts w:ascii="Arial" w:eastAsia="Arial" w:hAnsi="Arial" w:cs="Arial"/>
                <w:noProof/>
                <w:sz w:val="20"/>
              </w:rPr>
              <w:t xml:space="preserve">working </w:t>
            </w:r>
            <w:r w:rsidRPr="0033759A">
              <w:rPr>
                <w:rFonts w:ascii="Arial" w:eastAsia="Arial" w:hAnsi="Arial" w:cs="Arial"/>
                <w:noProof/>
                <w:sz w:val="20"/>
              </w:rPr>
              <w:t xml:space="preserve">with EU funds </w:t>
            </w:r>
            <w:r w:rsidR="000A78BC">
              <w:rPr>
                <w:rFonts w:ascii="Arial" w:eastAsia="Arial" w:hAnsi="Arial" w:cs="Arial"/>
                <w:noProof/>
                <w:sz w:val="20"/>
              </w:rPr>
              <w:t xml:space="preserve">to set </w:t>
            </w:r>
            <w:r w:rsidRPr="0033759A">
              <w:rPr>
                <w:rFonts w:ascii="Arial" w:eastAsia="Arial" w:hAnsi="Arial" w:cs="Arial"/>
                <w:noProof/>
                <w:sz w:val="20"/>
              </w:rPr>
              <w:t xml:space="preserve">common standards. </w:t>
            </w:r>
          </w:p>
        </w:tc>
      </w:tr>
      <w:tr w:rsidR="044E42F4" w:rsidRPr="00CA1602" w14:paraId="1EB495DE" w14:textId="77777777" w:rsidTr="00BD00D0">
        <w:trPr>
          <w:trHeight w:val="600"/>
        </w:trPr>
        <w:tc>
          <w:tcPr>
            <w:tcW w:w="1463" w:type="dxa"/>
            <w:vMerge/>
            <w:tcBorders>
              <w:left w:val="single" w:sz="12" w:space="0" w:color="156082"/>
              <w:bottom w:val="single" w:sz="12" w:space="0" w:color="156082"/>
              <w:right w:val="dashed" w:sz="8" w:space="0" w:color="156082"/>
            </w:tcBorders>
            <w:vAlign w:val="center"/>
          </w:tcPr>
          <w:p w14:paraId="039036FA" w14:textId="77777777" w:rsidR="00286280" w:rsidRPr="00CA1602" w:rsidRDefault="00286280">
            <w:pPr>
              <w:rPr>
                <w:noProof/>
              </w:rPr>
            </w:pPr>
          </w:p>
        </w:tc>
        <w:tc>
          <w:tcPr>
            <w:tcW w:w="177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05FF4DC5" w14:textId="254965B7"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77BDE6AB" w14:textId="67EF774F" w:rsidR="044E42F4" w:rsidRPr="00DE3A6F" w:rsidRDefault="044E42F4" w:rsidP="044E42F4">
            <w:pPr>
              <w:spacing w:before="120" w:line="276" w:lineRule="auto"/>
              <w:ind w:left="190"/>
              <w:rPr>
                <w:noProof/>
              </w:rPr>
            </w:pPr>
            <w:r w:rsidRPr="00DE3A6F">
              <w:rPr>
                <w:rFonts w:ascii="Arial" w:eastAsia="Arial" w:hAnsi="Arial" w:cs="Arial"/>
                <w:noProof/>
                <w:sz w:val="20"/>
              </w:rPr>
              <w:t>Targeted training program</w:t>
            </w:r>
            <w:r w:rsidR="000A78BC">
              <w:rPr>
                <w:rFonts w:ascii="Arial" w:eastAsia="Arial" w:hAnsi="Arial" w:cs="Arial"/>
                <w:noProof/>
                <w:sz w:val="20"/>
              </w:rPr>
              <w:t>me</w:t>
            </w:r>
            <w:r w:rsidRPr="00DE3A6F">
              <w:rPr>
                <w:rFonts w:ascii="Arial" w:eastAsia="Arial" w:hAnsi="Arial" w:cs="Arial"/>
                <w:noProof/>
                <w:sz w:val="20"/>
              </w:rPr>
              <w:t xml:space="preserve"> covering key PIF</w:t>
            </w:r>
            <w:r w:rsidR="000A78BC">
              <w:rPr>
                <w:rFonts w:ascii="Arial" w:eastAsia="Arial" w:hAnsi="Arial" w:cs="Arial"/>
                <w:noProof/>
                <w:sz w:val="20"/>
              </w:rPr>
              <w:t xml:space="preserve"> </w:t>
            </w:r>
            <w:r w:rsidRPr="00DE3A6F">
              <w:rPr>
                <w:rFonts w:ascii="Arial" w:eastAsia="Arial" w:hAnsi="Arial" w:cs="Arial"/>
                <w:noProof/>
                <w:sz w:val="20"/>
              </w:rPr>
              <w:t xml:space="preserve">areas </w:t>
            </w:r>
            <w:r w:rsidR="000A78BC">
              <w:rPr>
                <w:rFonts w:ascii="Arial" w:eastAsia="Arial" w:hAnsi="Arial" w:cs="Arial"/>
                <w:noProof/>
                <w:sz w:val="20"/>
              </w:rPr>
              <w:t xml:space="preserve">given </w:t>
            </w:r>
            <w:r w:rsidRPr="00DE3A6F">
              <w:rPr>
                <w:rFonts w:ascii="Arial" w:eastAsia="Arial" w:hAnsi="Arial" w:cs="Arial"/>
                <w:noProof/>
                <w:sz w:val="20"/>
              </w:rPr>
              <w:t xml:space="preserve">by the Treasury of the Republic of Cyprus for officials from all authorities </w:t>
            </w:r>
            <w:r w:rsidR="006A6C4F">
              <w:rPr>
                <w:rFonts w:ascii="Arial" w:eastAsia="Arial" w:hAnsi="Arial" w:cs="Arial"/>
                <w:noProof/>
                <w:sz w:val="20"/>
              </w:rPr>
              <w:t xml:space="preserve">working </w:t>
            </w:r>
            <w:r w:rsidRPr="00DE3A6F">
              <w:rPr>
                <w:rFonts w:ascii="Arial" w:eastAsia="Arial" w:hAnsi="Arial" w:cs="Arial"/>
                <w:noProof/>
                <w:sz w:val="20"/>
              </w:rPr>
              <w:t xml:space="preserve">with EU funds. </w:t>
            </w:r>
          </w:p>
        </w:tc>
      </w:tr>
      <w:tr w:rsidR="044E42F4" w:rsidRPr="00CA1602" w14:paraId="2AADCED5" w14:textId="77777777" w:rsidTr="00BD00D0">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4DF34E29" w14:textId="68C1107A"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Czech</w:t>
            </w:r>
            <w:r w:rsidR="007772AC">
              <w:rPr>
                <w:rFonts w:ascii="Arial" w:eastAsia="Arial" w:hAnsi="Arial" w:cs="Arial"/>
                <w:b/>
                <w:bCs/>
                <w:noProof/>
                <w:color w:val="000000" w:themeColor="text1"/>
                <w:sz w:val="20"/>
              </w:rPr>
              <w:t>ia</w:t>
            </w:r>
          </w:p>
        </w:tc>
        <w:tc>
          <w:tcPr>
            <w:tcW w:w="1775" w:type="dxa"/>
            <w:tcBorders>
              <w:top w:val="single" w:sz="12" w:space="0" w:color="156082"/>
              <w:left w:val="dashed" w:sz="8" w:space="0" w:color="156082"/>
              <w:bottom w:val="single" w:sz="12" w:space="0" w:color="156082"/>
              <w:right w:val="dashed" w:sz="8" w:space="0" w:color="156082"/>
            </w:tcBorders>
            <w:shd w:val="clear" w:color="auto" w:fill="B3E5A1"/>
            <w:tcMar>
              <w:left w:w="108" w:type="dxa"/>
              <w:right w:w="108" w:type="dxa"/>
            </w:tcMar>
            <w:vAlign w:val="center"/>
          </w:tcPr>
          <w:p w14:paraId="4C10374E" w14:textId="3FD996B7" w:rsidR="044E42F4" w:rsidRPr="00DE3A6F" w:rsidRDefault="044E42F4" w:rsidP="044E42F4">
            <w:pPr>
              <w:spacing w:before="120" w:line="276" w:lineRule="auto"/>
              <w:jc w:val="center"/>
              <w:rPr>
                <w:noProof/>
              </w:rPr>
            </w:pPr>
            <w:r w:rsidRPr="0033759A">
              <w:rPr>
                <w:rFonts w:ascii="Arial" w:eastAsia="Arial" w:hAnsi="Arial" w:cs="Arial"/>
                <w:noProof/>
                <w:color w:val="000000" w:themeColor="text1"/>
                <w:sz w:val="18"/>
                <w:szCs w:val="18"/>
              </w:rPr>
              <w:t>Organisational</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3F5941D4" w14:textId="51A1FF0C" w:rsidR="044E42F4" w:rsidRPr="00DE3A6F" w:rsidRDefault="044E42F4" w:rsidP="044E42F4">
            <w:pPr>
              <w:spacing w:before="120" w:line="276" w:lineRule="auto"/>
              <w:ind w:left="190"/>
              <w:rPr>
                <w:noProof/>
              </w:rPr>
            </w:pPr>
            <w:r w:rsidRPr="0033759A">
              <w:rPr>
                <w:rFonts w:ascii="Arial" w:eastAsia="Arial" w:hAnsi="Arial" w:cs="Arial"/>
                <w:noProof/>
                <w:sz w:val="20"/>
              </w:rPr>
              <w:t xml:space="preserve">Internal training action for staff of the managing authority </w:t>
            </w:r>
            <w:r w:rsidR="006A6C4F">
              <w:rPr>
                <w:rFonts w:ascii="Arial" w:eastAsia="Arial" w:hAnsi="Arial" w:cs="Arial"/>
                <w:noProof/>
                <w:sz w:val="20"/>
              </w:rPr>
              <w:t xml:space="preserve">for the </w:t>
            </w:r>
            <w:r w:rsidRPr="0033759A">
              <w:rPr>
                <w:rFonts w:ascii="Arial" w:eastAsia="Arial" w:hAnsi="Arial" w:cs="Arial"/>
                <w:noProof/>
                <w:sz w:val="20"/>
              </w:rPr>
              <w:t>Employment+</w:t>
            </w:r>
            <w:r w:rsidR="006A6C4F">
              <w:rPr>
                <w:rFonts w:ascii="Arial" w:eastAsia="Arial" w:hAnsi="Arial" w:cs="Arial"/>
                <w:noProof/>
                <w:sz w:val="20"/>
              </w:rPr>
              <w:t xml:space="preserve"> operational programme</w:t>
            </w:r>
            <w:r w:rsidRPr="0033759A">
              <w:rPr>
                <w:rFonts w:ascii="Arial" w:eastAsia="Arial" w:hAnsi="Arial" w:cs="Arial"/>
                <w:noProof/>
                <w:sz w:val="20"/>
              </w:rPr>
              <w:t>.</w:t>
            </w:r>
          </w:p>
        </w:tc>
      </w:tr>
      <w:tr w:rsidR="044E42F4" w:rsidRPr="00CA1602" w14:paraId="66CF8BB2"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2914E808" w14:textId="6A493C73"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Finland</w:t>
            </w:r>
          </w:p>
        </w:tc>
        <w:tc>
          <w:tcPr>
            <w:tcW w:w="177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0E27830E" w14:textId="37560957"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3E7E895D" w14:textId="0EAA1943" w:rsidR="044E42F4" w:rsidRPr="00DE3A6F" w:rsidRDefault="044E42F4" w:rsidP="044E42F4">
            <w:pPr>
              <w:spacing w:before="120" w:line="276" w:lineRule="auto"/>
              <w:ind w:left="190"/>
              <w:rPr>
                <w:noProof/>
              </w:rPr>
            </w:pPr>
            <w:r w:rsidRPr="0033759A">
              <w:rPr>
                <w:rFonts w:ascii="Arial" w:eastAsia="Arial" w:hAnsi="Arial" w:cs="Arial"/>
                <w:noProof/>
                <w:sz w:val="20"/>
              </w:rPr>
              <w:t xml:space="preserve">Training on good administrative practices </w:t>
            </w:r>
            <w:r w:rsidR="007772AC">
              <w:rPr>
                <w:rFonts w:ascii="Arial" w:eastAsia="Arial" w:hAnsi="Arial" w:cs="Arial"/>
                <w:noProof/>
                <w:sz w:val="20"/>
              </w:rPr>
              <w:t xml:space="preserve">to </w:t>
            </w:r>
            <w:r w:rsidR="007772AC" w:rsidRPr="0033759A">
              <w:rPr>
                <w:rFonts w:ascii="Arial" w:eastAsia="Arial" w:hAnsi="Arial" w:cs="Arial"/>
                <w:noProof/>
                <w:sz w:val="20"/>
              </w:rPr>
              <w:t>harmonis</w:t>
            </w:r>
            <w:r w:rsidR="007772AC">
              <w:rPr>
                <w:rFonts w:ascii="Arial" w:eastAsia="Arial" w:hAnsi="Arial" w:cs="Arial"/>
                <w:noProof/>
                <w:sz w:val="20"/>
              </w:rPr>
              <w:t>e</w:t>
            </w:r>
            <w:r w:rsidR="007772AC" w:rsidRPr="0033759A">
              <w:rPr>
                <w:rFonts w:ascii="Arial" w:eastAsia="Arial" w:hAnsi="Arial" w:cs="Arial"/>
                <w:noProof/>
                <w:sz w:val="20"/>
              </w:rPr>
              <w:t xml:space="preserve"> </w:t>
            </w:r>
            <w:r w:rsidRPr="0033759A">
              <w:rPr>
                <w:rFonts w:ascii="Arial" w:eastAsia="Arial" w:hAnsi="Arial" w:cs="Arial"/>
                <w:noProof/>
                <w:sz w:val="20"/>
              </w:rPr>
              <w:t>approaches. Increasing awareness within organisation</w:t>
            </w:r>
            <w:r w:rsidR="007772AC">
              <w:rPr>
                <w:rFonts w:ascii="Arial" w:eastAsia="Arial" w:hAnsi="Arial" w:cs="Arial"/>
                <w:noProof/>
                <w:sz w:val="20"/>
              </w:rPr>
              <w:t>s</w:t>
            </w:r>
            <w:r w:rsidRPr="0033759A">
              <w:rPr>
                <w:rFonts w:ascii="Arial" w:eastAsia="Arial" w:hAnsi="Arial" w:cs="Arial"/>
                <w:noProof/>
                <w:sz w:val="20"/>
              </w:rPr>
              <w:t xml:space="preserve">. </w:t>
            </w:r>
          </w:p>
        </w:tc>
      </w:tr>
      <w:tr w:rsidR="044E42F4" w:rsidRPr="00CA1602" w14:paraId="34A890AF"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6990E189" w14:textId="76D69503"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Germany</w:t>
            </w:r>
          </w:p>
        </w:tc>
        <w:tc>
          <w:tcPr>
            <w:tcW w:w="177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3463A4C7" w14:textId="51F57F95"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 xml:space="preserve"> Administrative</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698AA88A" w14:textId="6C01FE61" w:rsidR="044E42F4" w:rsidRPr="00DE3A6F" w:rsidRDefault="044E42F4" w:rsidP="044E42F4">
            <w:pPr>
              <w:spacing w:before="120" w:line="276" w:lineRule="auto"/>
              <w:ind w:left="190"/>
              <w:rPr>
                <w:noProof/>
              </w:rPr>
            </w:pPr>
            <w:r w:rsidRPr="00DE3A6F">
              <w:rPr>
                <w:rFonts w:ascii="Arial" w:eastAsia="Arial" w:hAnsi="Arial" w:cs="Arial"/>
                <w:noProof/>
                <w:sz w:val="20"/>
              </w:rPr>
              <w:t>Guideline document on prevention of conflict of interest.</w:t>
            </w:r>
          </w:p>
        </w:tc>
      </w:tr>
      <w:tr w:rsidR="044E42F4" w:rsidRPr="00CA1602" w14:paraId="5A70F817"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0C1B796B" w14:textId="53D9121A"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Hungary </w:t>
            </w:r>
          </w:p>
        </w:tc>
        <w:tc>
          <w:tcPr>
            <w:tcW w:w="1775" w:type="dxa"/>
            <w:tcBorders>
              <w:top w:val="single" w:sz="12" w:space="0" w:color="156082"/>
              <w:left w:val="dashed" w:sz="8" w:space="0" w:color="156082"/>
              <w:bottom w:val="single" w:sz="12" w:space="0" w:color="156082"/>
              <w:right w:val="dashed" w:sz="8" w:space="0" w:color="156082"/>
            </w:tcBorders>
            <w:shd w:val="clear" w:color="auto" w:fill="FFE599" w:themeFill="accent4" w:themeFillTint="66"/>
            <w:tcMar>
              <w:left w:w="108" w:type="dxa"/>
              <w:right w:w="108" w:type="dxa"/>
            </w:tcMar>
            <w:vAlign w:val="center"/>
          </w:tcPr>
          <w:p w14:paraId="5FD8B24E" w14:textId="03079F03"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6ACF3DD8" w14:textId="2E97E147" w:rsidR="044E42F4" w:rsidRPr="00DE3A6F" w:rsidRDefault="044E42F4" w:rsidP="044E42F4">
            <w:pPr>
              <w:spacing w:before="120" w:line="276" w:lineRule="auto"/>
              <w:ind w:left="190"/>
              <w:rPr>
                <w:noProof/>
              </w:rPr>
            </w:pPr>
            <w:r w:rsidRPr="0033759A">
              <w:rPr>
                <w:rFonts w:ascii="Arial" w:eastAsia="Arial" w:hAnsi="Arial" w:cs="Arial"/>
                <w:noProof/>
                <w:sz w:val="20"/>
              </w:rPr>
              <w:t xml:space="preserve">Hungarian </w:t>
            </w:r>
            <w:r w:rsidR="0075106D" w:rsidRPr="0033759A">
              <w:rPr>
                <w:rFonts w:ascii="Arial" w:eastAsia="Arial" w:hAnsi="Arial" w:cs="Arial"/>
                <w:noProof/>
                <w:sz w:val="20"/>
              </w:rPr>
              <w:t xml:space="preserve">public procurement authority </w:t>
            </w:r>
            <w:r w:rsidRPr="0033759A">
              <w:rPr>
                <w:rFonts w:ascii="Arial" w:eastAsia="Arial" w:hAnsi="Arial" w:cs="Arial"/>
                <w:noProof/>
                <w:sz w:val="20"/>
              </w:rPr>
              <w:t xml:space="preserve">updated guidelines on </w:t>
            </w:r>
            <w:r w:rsidR="0075106D">
              <w:rPr>
                <w:rFonts w:ascii="Arial" w:eastAsia="Arial" w:hAnsi="Arial" w:cs="Arial"/>
                <w:noProof/>
                <w:sz w:val="20"/>
              </w:rPr>
              <w:t xml:space="preserve">examining </w:t>
            </w:r>
            <w:r w:rsidRPr="0033759A">
              <w:rPr>
                <w:rFonts w:ascii="Arial" w:eastAsia="Arial" w:hAnsi="Arial" w:cs="Arial"/>
                <w:noProof/>
                <w:sz w:val="20"/>
              </w:rPr>
              <w:t>exceptionally low prices, dynamic purchasing system</w:t>
            </w:r>
            <w:r w:rsidR="0075106D">
              <w:rPr>
                <w:rFonts w:ascii="Arial" w:eastAsia="Arial" w:hAnsi="Arial" w:cs="Arial"/>
                <w:noProof/>
                <w:sz w:val="20"/>
              </w:rPr>
              <w:t>s</w:t>
            </w:r>
            <w:r w:rsidRPr="0033759A">
              <w:rPr>
                <w:rFonts w:ascii="Arial" w:eastAsia="Arial" w:hAnsi="Arial" w:cs="Arial"/>
                <w:noProof/>
                <w:sz w:val="20"/>
              </w:rPr>
              <w:t xml:space="preserve">, provided online training and organised conferences focused on conflict of interest and integrity issues. </w:t>
            </w:r>
          </w:p>
        </w:tc>
      </w:tr>
      <w:tr w:rsidR="044E42F4" w:rsidRPr="00CA1602" w14:paraId="729B6FA6"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5F4BA710" w14:textId="40C6E2ED"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Ireland </w:t>
            </w:r>
          </w:p>
        </w:tc>
        <w:tc>
          <w:tcPr>
            <w:tcW w:w="177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28C3D597" w14:textId="721A3250"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1DC74008" w14:textId="66A318D0" w:rsidR="044E42F4" w:rsidRPr="00DE3A6F" w:rsidRDefault="044E42F4" w:rsidP="044E42F4">
            <w:pPr>
              <w:spacing w:before="120" w:line="276" w:lineRule="auto"/>
              <w:ind w:left="190"/>
              <w:rPr>
                <w:noProof/>
              </w:rPr>
            </w:pPr>
            <w:r w:rsidRPr="0033759A">
              <w:rPr>
                <w:rFonts w:ascii="Arial" w:eastAsia="Arial" w:hAnsi="Arial" w:cs="Arial"/>
                <w:noProof/>
                <w:sz w:val="20"/>
              </w:rPr>
              <w:t xml:space="preserve">The Northern and Western Regional Assembly, a </w:t>
            </w:r>
            <w:r w:rsidR="0075106D" w:rsidRPr="0033759A">
              <w:rPr>
                <w:rFonts w:ascii="Arial" w:eastAsia="Arial" w:hAnsi="Arial" w:cs="Arial"/>
                <w:noProof/>
                <w:sz w:val="20"/>
              </w:rPr>
              <w:t xml:space="preserve">managing authority </w:t>
            </w:r>
            <w:r w:rsidRPr="0033759A">
              <w:rPr>
                <w:rFonts w:ascii="Arial" w:eastAsia="Arial" w:hAnsi="Arial" w:cs="Arial"/>
                <w:noProof/>
                <w:sz w:val="20"/>
              </w:rPr>
              <w:t xml:space="preserve">responsible for the European Regional Development Fund introduced an administrative measure to bolster capacity building. They increased initiatives to boost staff awareness with anti-fraud training </w:t>
            </w:r>
            <w:r w:rsidR="00F82B69">
              <w:rPr>
                <w:rFonts w:ascii="Arial" w:eastAsia="Arial" w:hAnsi="Arial" w:cs="Arial"/>
                <w:noProof/>
                <w:sz w:val="20"/>
              </w:rPr>
              <w:t>on</w:t>
            </w:r>
            <w:r w:rsidR="00F82B69" w:rsidRPr="0033759A">
              <w:rPr>
                <w:rFonts w:ascii="Arial" w:eastAsia="Arial" w:hAnsi="Arial" w:cs="Arial"/>
                <w:noProof/>
                <w:sz w:val="20"/>
              </w:rPr>
              <w:t xml:space="preserve"> </w:t>
            </w:r>
            <w:r w:rsidRPr="0033759A">
              <w:rPr>
                <w:rFonts w:ascii="Arial" w:eastAsia="Arial" w:hAnsi="Arial" w:cs="Arial"/>
                <w:noProof/>
                <w:sz w:val="20"/>
              </w:rPr>
              <w:t xml:space="preserve">governance and control of funds. This </w:t>
            </w:r>
            <w:r w:rsidR="00F82B69">
              <w:rPr>
                <w:rFonts w:ascii="Arial" w:eastAsia="Arial" w:hAnsi="Arial" w:cs="Arial"/>
                <w:noProof/>
                <w:sz w:val="20"/>
              </w:rPr>
              <w:t>covered</w:t>
            </w:r>
            <w:r w:rsidRPr="0033759A">
              <w:rPr>
                <w:rFonts w:ascii="Arial" w:eastAsia="Arial" w:hAnsi="Arial" w:cs="Arial"/>
                <w:noProof/>
                <w:sz w:val="20"/>
              </w:rPr>
              <w:t xml:space="preserve"> many areas including public procurement, conflicts of interest, </w:t>
            </w:r>
            <w:r w:rsidR="00F82B69">
              <w:rPr>
                <w:rFonts w:ascii="Arial" w:eastAsia="Arial" w:hAnsi="Arial" w:cs="Arial"/>
                <w:noProof/>
                <w:sz w:val="20"/>
              </w:rPr>
              <w:t>S</w:t>
            </w:r>
            <w:r w:rsidR="00F82B69" w:rsidRPr="0033759A">
              <w:rPr>
                <w:rFonts w:ascii="Arial" w:eastAsia="Arial" w:hAnsi="Arial" w:cs="Arial"/>
                <w:noProof/>
                <w:sz w:val="20"/>
              </w:rPr>
              <w:t xml:space="preserve">tate </w:t>
            </w:r>
            <w:r w:rsidRPr="0033759A">
              <w:rPr>
                <w:rFonts w:ascii="Arial" w:eastAsia="Arial" w:hAnsi="Arial" w:cs="Arial"/>
                <w:noProof/>
                <w:sz w:val="20"/>
              </w:rPr>
              <w:t>aid, integrity and transparency.</w:t>
            </w:r>
          </w:p>
        </w:tc>
      </w:tr>
      <w:tr w:rsidR="044E42F4" w:rsidRPr="00CA1602" w14:paraId="4573AC67"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5EE99783" w14:textId="01694A9A"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Latvia</w:t>
            </w:r>
          </w:p>
        </w:tc>
        <w:tc>
          <w:tcPr>
            <w:tcW w:w="1775" w:type="dxa"/>
            <w:tcBorders>
              <w:top w:val="single" w:sz="12" w:space="0" w:color="156082"/>
              <w:left w:val="dashed" w:sz="8" w:space="0" w:color="156082"/>
              <w:bottom w:val="single" w:sz="12" w:space="0" w:color="156082"/>
              <w:right w:val="dashed" w:sz="8" w:space="0" w:color="156082"/>
            </w:tcBorders>
            <w:shd w:val="clear" w:color="auto" w:fill="B3E5A1"/>
            <w:tcMar>
              <w:left w:w="108" w:type="dxa"/>
              <w:right w:w="108" w:type="dxa"/>
            </w:tcMar>
            <w:vAlign w:val="center"/>
          </w:tcPr>
          <w:p w14:paraId="0F1E6AEE" w14:textId="5AC5FD00" w:rsidR="044E42F4" w:rsidRPr="00DE3A6F" w:rsidRDefault="044E42F4" w:rsidP="044E42F4">
            <w:pPr>
              <w:spacing w:before="120" w:line="276" w:lineRule="auto"/>
              <w:jc w:val="center"/>
              <w:rPr>
                <w:noProof/>
              </w:rPr>
            </w:pPr>
            <w:r w:rsidRPr="0033759A">
              <w:rPr>
                <w:rFonts w:ascii="Arial" w:eastAsia="Arial" w:hAnsi="Arial" w:cs="Arial"/>
                <w:noProof/>
                <w:color w:val="000000" w:themeColor="text1"/>
                <w:sz w:val="18"/>
                <w:szCs w:val="18"/>
              </w:rPr>
              <w:t>Organisational</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7C99D74E" w14:textId="19FBE08C" w:rsidR="044E42F4" w:rsidRPr="00DE3A6F" w:rsidRDefault="00F82B69" w:rsidP="044E42F4">
            <w:pPr>
              <w:spacing w:before="120" w:line="276" w:lineRule="auto"/>
              <w:ind w:left="190"/>
              <w:rPr>
                <w:noProof/>
              </w:rPr>
            </w:pPr>
            <w:r>
              <w:rPr>
                <w:rFonts w:ascii="Arial" w:eastAsia="Arial" w:hAnsi="Arial" w:cs="Arial"/>
                <w:noProof/>
                <w:sz w:val="20"/>
              </w:rPr>
              <w:t xml:space="preserve">The </w:t>
            </w:r>
            <w:r w:rsidR="044E42F4" w:rsidRPr="00DE3A6F">
              <w:rPr>
                <w:rFonts w:ascii="Arial" w:eastAsia="Arial" w:hAnsi="Arial" w:cs="Arial"/>
                <w:noProof/>
                <w:sz w:val="20"/>
              </w:rPr>
              <w:t xml:space="preserve">Latvian Procurement Monitoring Bureau </w:t>
            </w:r>
            <w:r w:rsidRPr="00DE3A6F">
              <w:rPr>
                <w:rFonts w:ascii="Arial" w:eastAsia="Arial" w:hAnsi="Arial" w:cs="Arial"/>
                <w:noProof/>
                <w:sz w:val="20"/>
              </w:rPr>
              <w:t>organi</w:t>
            </w:r>
            <w:r>
              <w:rPr>
                <w:rFonts w:ascii="Arial" w:eastAsia="Arial" w:hAnsi="Arial" w:cs="Arial"/>
                <w:noProof/>
                <w:sz w:val="20"/>
              </w:rPr>
              <w:t>s</w:t>
            </w:r>
            <w:r w:rsidRPr="00DE3A6F">
              <w:rPr>
                <w:rFonts w:ascii="Arial" w:eastAsia="Arial" w:hAnsi="Arial" w:cs="Arial"/>
                <w:noProof/>
                <w:sz w:val="20"/>
              </w:rPr>
              <w:t xml:space="preserve">ed </w:t>
            </w:r>
            <w:r w:rsidR="044E42F4" w:rsidRPr="00DE3A6F">
              <w:rPr>
                <w:rFonts w:ascii="Arial" w:eastAsia="Arial" w:hAnsi="Arial" w:cs="Arial"/>
                <w:noProof/>
                <w:sz w:val="20"/>
              </w:rPr>
              <w:t>several webinars and workshops, independently and in cooperation with the State Chancellery and the Latvian School of Public Administration, to strengthen knowledge and practice in public procurement processes.</w:t>
            </w:r>
          </w:p>
        </w:tc>
      </w:tr>
      <w:tr w:rsidR="044E42F4" w:rsidRPr="00CA1602" w14:paraId="16F97588"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3938D8B1" w14:textId="06B7CD65"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Lithuania</w:t>
            </w:r>
          </w:p>
        </w:tc>
        <w:tc>
          <w:tcPr>
            <w:tcW w:w="1775" w:type="dxa"/>
            <w:tcBorders>
              <w:top w:val="single" w:sz="12" w:space="0" w:color="156082"/>
              <w:left w:val="dashed" w:sz="8" w:space="0" w:color="156082"/>
              <w:bottom w:val="single" w:sz="12" w:space="0" w:color="156082"/>
              <w:right w:val="dashed" w:sz="8" w:space="0" w:color="156082"/>
            </w:tcBorders>
            <w:shd w:val="clear" w:color="auto" w:fill="B3E5A1"/>
            <w:tcMar>
              <w:left w:w="108" w:type="dxa"/>
              <w:right w:w="108" w:type="dxa"/>
            </w:tcMar>
            <w:vAlign w:val="center"/>
          </w:tcPr>
          <w:p w14:paraId="749B2B36" w14:textId="79393FDE" w:rsidR="044E42F4" w:rsidRPr="00DE3A6F" w:rsidRDefault="044E42F4" w:rsidP="044E42F4">
            <w:pPr>
              <w:spacing w:before="120" w:line="276" w:lineRule="auto"/>
              <w:jc w:val="center"/>
              <w:rPr>
                <w:noProof/>
              </w:rPr>
            </w:pPr>
            <w:r w:rsidRPr="0033759A">
              <w:rPr>
                <w:rFonts w:ascii="Arial" w:eastAsia="Arial" w:hAnsi="Arial" w:cs="Arial"/>
                <w:noProof/>
                <w:color w:val="000000" w:themeColor="text1"/>
                <w:sz w:val="18"/>
                <w:szCs w:val="18"/>
              </w:rPr>
              <w:t>Organisational</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1A0F2C51" w14:textId="2D6C3836" w:rsidR="044E42F4" w:rsidRPr="00DE3A6F" w:rsidRDefault="044E42F4" w:rsidP="044E42F4">
            <w:pPr>
              <w:spacing w:before="120" w:line="276" w:lineRule="auto"/>
              <w:ind w:left="190"/>
              <w:rPr>
                <w:noProof/>
              </w:rPr>
            </w:pPr>
            <w:r w:rsidRPr="0033759A">
              <w:rPr>
                <w:rFonts w:ascii="Arial" w:eastAsia="Arial" w:hAnsi="Arial" w:cs="Arial"/>
                <w:noProof/>
                <w:sz w:val="20"/>
              </w:rPr>
              <w:t xml:space="preserve">Training </w:t>
            </w:r>
            <w:r w:rsidR="00C13239">
              <w:rPr>
                <w:rFonts w:ascii="Arial" w:eastAsia="Arial" w:hAnsi="Arial" w:cs="Arial"/>
                <w:noProof/>
                <w:sz w:val="20"/>
              </w:rPr>
              <w:t xml:space="preserve">on </w:t>
            </w:r>
            <w:r w:rsidRPr="0033759A">
              <w:rPr>
                <w:rFonts w:ascii="Arial" w:eastAsia="Arial" w:hAnsi="Arial" w:cs="Arial"/>
                <w:noProof/>
                <w:sz w:val="20"/>
              </w:rPr>
              <w:t xml:space="preserve">transparency and the fight against corruption and fraud </w:t>
            </w:r>
            <w:r w:rsidR="00C13239">
              <w:rPr>
                <w:rFonts w:ascii="Arial" w:eastAsia="Arial" w:hAnsi="Arial" w:cs="Arial"/>
                <w:noProof/>
                <w:sz w:val="20"/>
              </w:rPr>
              <w:t xml:space="preserve">for </w:t>
            </w:r>
            <w:r w:rsidRPr="0033759A">
              <w:rPr>
                <w:rFonts w:ascii="Arial" w:eastAsia="Arial" w:hAnsi="Arial" w:cs="Arial"/>
                <w:noProof/>
                <w:sz w:val="20"/>
              </w:rPr>
              <w:t xml:space="preserve">institutions </w:t>
            </w:r>
            <w:r w:rsidR="00C13239">
              <w:rPr>
                <w:rFonts w:ascii="Arial" w:eastAsia="Arial" w:hAnsi="Arial" w:cs="Arial"/>
                <w:noProof/>
                <w:sz w:val="20"/>
              </w:rPr>
              <w:t xml:space="preserve">working </w:t>
            </w:r>
            <w:r w:rsidRPr="0033759A">
              <w:rPr>
                <w:rFonts w:ascii="Arial" w:eastAsia="Arial" w:hAnsi="Arial" w:cs="Arial"/>
                <w:noProof/>
                <w:sz w:val="20"/>
              </w:rPr>
              <w:t xml:space="preserve">with </w:t>
            </w:r>
            <w:r w:rsidR="00DF25D1">
              <w:rPr>
                <w:rFonts w:ascii="Arial" w:eastAsia="Arial" w:hAnsi="Arial" w:cs="Arial"/>
                <w:noProof/>
                <w:sz w:val="20"/>
              </w:rPr>
              <w:t xml:space="preserve">EU </w:t>
            </w:r>
            <w:r w:rsidRPr="0033759A">
              <w:rPr>
                <w:rFonts w:ascii="Arial" w:eastAsia="Arial" w:hAnsi="Arial" w:cs="Arial"/>
                <w:noProof/>
                <w:sz w:val="20"/>
              </w:rPr>
              <w:t>Structural Funds</w:t>
            </w:r>
            <w:r w:rsidRPr="0033759A">
              <w:rPr>
                <w:rFonts w:ascii="Arial" w:eastAsia="Arial" w:hAnsi="Arial" w:cs="Arial"/>
                <w:noProof/>
                <w:sz w:val="24"/>
                <w:szCs w:val="24"/>
              </w:rPr>
              <w:t>.</w:t>
            </w:r>
          </w:p>
        </w:tc>
      </w:tr>
      <w:tr w:rsidR="044E42F4" w:rsidRPr="00CA1602" w14:paraId="1DBC8568"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38565647" w14:textId="0EBE2E03"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lastRenderedPageBreak/>
              <w:t xml:space="preserve">Malta </w:t>
            </w:r>
          </w:p>
        </w:tc>
        <w:tc>
          <w:tcPr>
            <w:tcW w:w="1775" w:type="dxa"/>
            <w:tcBorders>
              <w:top w:val="single" w:sz="12"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687C8163" w14:textId="7FC23E4C"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09984A25" w14:textId="60592A10" w:rsidR="044E42F4" w:rsidRPr="00DE3A6F" w:rsidRDefault="044E42F4" w:rsidP="044E42F4">
            <w:pPr>
              <w:spacing w:before="120" w:line="276" w:lineRule="auto"/>
              <w:ind w:left="190"/>
              <w:rPr>
                <w:noProof/>
              </w:rPr>
            </w:pPr>
            <w:r w:rsidRPr="00DE3A6F">
              <w:rPr>
                <w:rFonts w:ascii="Arial" w:eastAsia="Arial" w:hAnsi="Arial" w:cs="Arial"/>
                <w:noProof/>
                <w:sz w:val="20"/>
              </w:rPr>
              <w:t>Communication campaign raising awareness among public service and public sector employees.</w:t>
            </w:r>
          </w:p>
        </w:tc>
      </w:tr>
      <w:tr w:rsidR="1AFEEB88" w:rsidRPr="00CA1602" w14:paraId="77E0354E" w14:textId="77777777" w:rsidTr="28D37C99">
        <w:trPr>
          <w:trHeight w:val="600"/>
        </w:trPr>
        <w:tc>
          <w:tcPr>
            <w:tcW w:w="1452"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3ED42614" w14:textId="62348456" w:rsidR="1AFEEB88" w:rsidRPr="00DE3A6F" w:rsidRDefault="1AFEEB88" w:rsidP="008C51BF">
            <w:pPr>
              <w:spacing w:before="120" w:line="276" w:lineRule="auto"/>
              <w:jc w:val="center"/>
              <w:rPr>
                <w:rFonts w:ascii="Arial" w:eastAsia="Arial" w:hAnsi="Arial" w:cs="Arial"/>
                <w:b/>
                <w:bCs/>
                <w:noProof/>
                <w:color w:val="000000" w:themeColor="text1"/>
                <w:sz w:val="20"/>
              </w:rPr>
            </w:pPr>
            <w:r w:rsidRPr="00DE3A6F">
              <w:rPr>
                <w:rFonts w:ascii="Arial" w:eastAsia="Arial" w:hAnsi="Arial" w:cs="Arial"/>
                <w:b/>
                <w:bCs/>
                <w:noProof/>
                <w:color w:val="000000" w:themeColor="text1"/>
                <w:sz w:val="20"/>
              </w:rPr>
              <w:t>Slovakia</w:t>
            </w:r>
          </w:p>
        </w:tc>
        <w:tc>
          <w:tcPr>
            <w:tcW w:w="1762" w:type="dxa"/>
            <w:tcBorders>
              <w:top w:val="single" w:sz="12" w:space="0" w:color="156082"/>
              <w:left w:val="dashed" w:sz="8" w:space="0" w:color="156082"/>
              <w:bottom w:val="single" w:sz="12" w:space="0" w:color="156082"/>
              <w:right w:val="dashed" w:sz="8" w:space="0" w:color="156082"/>
            </w:tcBorders>
            <w:shd w:val="clear" w:color="auto" w:fill="FFE599" w:themeFill="accent4" w:themeFillTint="66"/>
            <w:tcMar>
              <w:left w:w="108" w:type="dxa"/>
              <w:right w:w="108" w:type="dxa"/>
            </w:tcMar>
            <w:vAlign w:val="center"/>
          </w:tcPr>
          <w:p w14:paraId="2E795422" w14:textId="1B3F84EE" w:rsidR="1AFEEB88" w:rsidRPr="004124FD" w:rsidRDefault="1AFEEB88" w:rsidP="28D37C99">
            <w:pPr>
              <w:spacing w:before="120" w:line="276" w:lineRule="auto"/>
              <w:jc w:val="center"/>
              <w:rPr>
                <w:rFonts w:ascii="Arial" w:eastAsia="Arial" w:hAnsi="Arial" w:cs="Arial"/>
                <w:noProof/>
                <w:color w:val="000000" w:themeColor="text1"/>
                <w:sz w:val="18"/>
                <w:szCs w:val="18"/>
              </w:rPr>
            </w:pPr>
            <w:r w:rsidRPr="004124FD">
              <w:rPr>
                <w:rFonts w:ascii="Arial" w:eastAsia="Arial" w:hAnsi="Arial" w:cs="Arial"/>
                <w:noProof/>
                <w:color w:val="000000" w:themeColor="text1"/>
                <w:sz w:val="18"/>
                <w:szCs w:val="18"/>
              </w:rPr>
              <w:t>Organisational</w:t>
            </w:r>
          </w:p>
        </w:tc>
        <w:tc>
          <w:tcPr>
            <w:tcW w:w="537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13A276A2" w14:textId="781D28E1" w:rsidR="1AFEEB88" w:rsidRPr="00DE3A6F" w:rsidRDefault="1AFEEB88" w:rsidP="008C51BF">
            <w:pPr>
              <w:spacing w:before="120" w:line="276" w:lineRule="auto"/>
              <w:ind w:left="190"/>
              <w:rPr>
                <w:rFonts w:ascii="Arial" w:eastAsia="Arial" w:hAnsi="Arial" w:cs="Arial"/>
                <w:noProof/>
                <w:sz w:val="20"/>
              </w:rPr>
            </w:pPr>
            <w:r w:rsidRPr="00DE3A6F">
              <w:rPr>
                <w:rFonts w:ascii="Arial" w:eastAsia="Arial" w:hAnsi="Arial" w:cs="Arial"/>
                <w:noProof/>
                <w:sz w:val="20"/>
              </w:rPr>
              <w:t xml:space="preserve">Training focused on </w:t>
            </w:r>
            <w:r w:rsidR="00D14ED1">
              <w:rPr>
                <w:rFonts w:ascii="Arial" w:eastAsia="Arial" w:hAnsi="Arial" w:cs="Arial"/>
                <w:noProof/>
                <w:sz w:val="20"/>
              </w:rPr>
              <w:t xml:space="preserve">protecting the EU’s </w:t>
            </w:r>
            <w:r w:rsidRPr="00DE3A6F">
              <w:rPr>
                <w:rFonts w:ascii="Arial" w:eastAsia="Arial" w:hAnsi="Arial" w:cs="Arial"/>
                <w:noProof/>
                <w:sz w:val="20"/>
              </w:rPr>
              <w:t xml:space="preserve">financial interests </w:t>
            </w:r>
            <w:r w:rsidR="00D14ED1">
              <w:rPr>
                <w:rFonts w:ascii="Arial" w:eastAsia="Arial" w:hAnsi="Arial" w:cs="Arial"/>
                <w:noProof/>
                <w:sz w:val="20"/>
              </w:rPr>
              <w:t>o</w:t>
            </w:r>
            <w:r w:rsidRPr="00DE3A6F">
              <w:rPr>
                <w:rFonts w:ascii="Arial" w:eastAsia="Arial" w:hAnsi="Arial" w:cs="Arial"/>
                <w:noProof/>
                <w:sz w:val="20"/>
              </w:rPr>
              <w:t>n both the expenditure and revenue sides of the EU budget (tax and customs fraud, money laundering, irregularities, and financial corrections, etc.)</w:t>
            </w:r>
            <w:r w:rsidR="00D14ED1">
              <w:rPr>
                <w:rFonts w:ascii="Arial" w:eastAsia="Arial" w:hAnsi="Arial" w:cs="Arial"/>
                <w:noProof/>
                <w:sz w:val="20"/>
              </w:rPr>
              <w:t>. The training is for</w:t>
            </w:r>
            <w:r w:rsidRPr="00DE3A6F">
              <w:rPr>
                <w:rFonts w:ascii="Arial" w:eastAsia="Arial" w:hAnsi="Arial" w:cs="Arial"/>
                <w:noProof/>
                <w:sz w:val="20"/>
              </w:rPr>
              <w:t xml:space="preserve"> law enforcement authorities and employees of managing and intermediary bodies, audit and control </w:t>
            </w:r>
            <w:r w:rsidR="0030607A" w:rsidRPr="00DE3A6F">
              <w:rPr>
                <w:rFonts w:ascii="Arial" w:eastAsia="Arial" w:hAnsi="Arial" w:cs="Arial"/>
                <w:noProof/>
                <w:sz w:val="20"/>
              </w:rPr>
              <w:t>bodies</w:t>
            </w:r>
            <w:r w:rsidR="0030607A">
              <w:rPr>
                <w:rFonts w:ascii="Arial" w:eastAsia="Arial" w:hAnsi="Arial" w:cs="Arial"/>
                <w:noProof/>
                <w:sz w:val="20"/>
              </w:rPr>
              <w:t xml:space="preserve"> and</w:t>
            </w:r>
            <w:r w:rsidR="00616535">
              <w:rPr>
                <w:rFonts w:ascii="Arial" w:eastAsia="Arial" w:hAnsi="Arial" w:cs="Arial"/>
                <w:noProof/>
                <w:sz w:val="20"/>
              </w:rPr>
              <w:t xml:space="preserve"> </w:t>
            </w:r>
            <w:r w:rsidRPr="00DE3A6F">
              <w:rPr>
                <w:rFonts w:ascii="Arial" w:eastAsia="Arial" w:hAnsi="Arial" w:cs="Arial"/>
                <w:noProof/>
                <w:sz w:val="20"/>
              </w:rPr>
              <w:t xml:space="preserve">employees working </w:t>
            </w:r>
            <w:r w:rsidR="00616535">
              <w:rPr>
                <w:rFonts w:ascii="Arial" w:eastAsia="Arial" w:hAnsi="Arial" w:cs="Arial"/>
                <w:noProof/>
                <w:sz w:val="20"/>
              </w:rPr>
              <w:t xml:space="preserve">on </w:t>
            </w:r>
            <w:r w:rsidRPr="00DE3A6F">
              <w:rPr>
                <w:rFonts w:ascii="Arial" w:eastAsia="Arial" w:hAnsi="Arial" w:cs="Arial"/>
                <w:noProof/>
                <w:sz w:val="20"/>
              </w:rPr>
              <w:t>traditional own resources.</w:t>
            </w:r>
          </w:p>
        </w:tc>
      </w:tr>
      <w:tr w:rsidR="044E42F4" w:rsidRPr="00CA1602" w14:paraId="20969D44" w14:textId="77777777" w:rsidTr="28D37C99">
        <w:trPr>
          <w:trHeight w:val="600"/>
        </w:trPr>
        <w:tc>
          <w:tcPr>
            <w:tcW w:w="1463" w:type="dxa"/>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71D3CF27" w14:textId="42A50889"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Spain </w:t>
            </w:r>
          </w:p>
        </w:tc>
        <w:tc>
          <w:tcPr>
            <w:tcW w:w="1775" w:type="dxa"/>
            <w:tcBorders>
              <w:top w:val="single" w:sz="12" w:space="0" w:color="156082"/>
              <w:left w:val="dashed" w:sz="8" w:space="0" w:color="156082"/>
              <w:bottom w:val="single" w:sz="12" w:space="0" w:color="156082"/>
              <w:right w:val="dashed" w:sz="8" w:space="0" w:color="156082"/>
            </w:tcBorders>
            <w:shd w:val="clear" w:color="auto" w:fill="FFE599" w:themeFill="accent4" w:themeFillTint="66"/>
            <w:tcMar>
              <w:left w:w="108" w:type="dxa"/>
              <w:right w:w="108" w:type="dxa"/>
            </w:tcMar>
            <w:vAlign w:val="center"/>
          </w:tcPr>
          <w:p w14:paraId="092107A5" w14:textId="380F6AD7"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5494" w:type="dxa"/>
            <w:tcBorders>
              <w:top w:val="single" w:sz="12" w:space="0" w:color="156082"/>
              <w:left w:val="dashed" w:sz="8" w:space="0" w:color="156082"/>
              <w:bottom w:val="single" w:sz="12" w:space="0" w:color="156082"/>
              <w:right w:val="single" w:sz="12" w:space="0" w:color="156082"/>
            </w:tcBorders>
            <w:tcMar>
              <w:left w:w="108" w:type="dxa"/>
              <w:right w:w="108" w:type="dxa"/>
            </w:tcMar>
            <w:vAlign w:val="center"/>
          </w:tcPr>
          <w:p w14:paraId="396118EE" w14:textId="388BA10E" w:rsidR="044E42F4" w:rsidRPr="004124FD" w:rsidRDefault="044E42F4" w:rsidP="28D37C99">
            <w:pPr>
              <w:spacing w:before="120" w:line="276" w:lineRule="auto"/>
              <w:ind w:left="190"/>
              <w:rPr>
                <w:rFonts w:ascii="Aptos" w:eastAsia="Aptos" w:hAnsi="Aptos" w:cs="Aptos"/>
                <w:noProof/>
                <w:sz w:val="20"/>
              </w:rPr>
            </w:pPr>
            <w:r w:rsidRPr="004124FD">
              <w:rPr>
                <w:rFonts w:ascii="Arial" w:eastAsia="Arial" w:hAnsi="Arial" w:cs="Arial"/>
                <w:noProof/>
                <w:sz w:val="20"/>
              </w:rPr>
              <w:t xml:space="preserve">The </w:t>
            </w:r>
            <w:r w:rsidR="0036148D" w:rsidRPr="004124FD">
              <w:rPr>
                <w:rFonts w:ascii="Arial" w:eastAsia="Arial" w:hAnsi="Arial" w:cs="Arial"/>
                <w:noProof/>
                <w:sz w:val="20"/>
              </w:rPr>
              <w:t>Conflict-of-Interest</w:t>
            </w:r>
            <w:r w:rsidRPr="004124FD">
              <w:rPr>
                <w:rFonts w:ascii="Arial" w:eastAsia="Arial" w:hAnsi="Arial" w:cs="Arial"/>
                <w:noProof/>
                <w:sz w:val="20"/>
              </w:rPr>
              <w:t xml:space="preserve"> Advisory Unit continued </w:t>
            </w:r>
            <w:r w:rsidR="004124FD">
              <w:rPr>
                <w:rFonts w:ascii="Arial" w:eastAsia="Arial" w:hAnsi="Arial" w:cs="Arial"/>
                <w:noProof/>
                <w:sz w:val="20"/>
              </w:rPr>
              <w:t xml:space="preserve">to spread </w:t>
            </w:r>
            <w:r w:rsidRPr="004124FD">
              <w:rPr>
                <w:rFonts w:ascii="Arial" w:eastAsia="Arial" w:hAnsi="Arial" w:cs="Arial"/>
                <w:noProof/>
                <w:sz w:val="20"/>
              </w:rPr>
              <w:t>good practices. The Spanish AFCOS continued its intensive training work on preventi</w:t>
            </w:r>
            <w:r w:rsidR="004124FD">
              <w:rPr>
                <w:rFonts w:ascii="Arial" w:eastAsia="Arial" w:hAnsi="Arial" w:cs="Arial"/>
                <w:noProof/>
                <w:sz w:val="20"/>
              </w:rPr>
              <w:t>ng</w:t>
            </w:r>
            <w:r w:rsidRPr="004124FD">
              <w:rPr>
                <w:rFonts w:ascii="Arial" w:eastAsia="Arial" w:hAnsi="Arial" w:cs="Arial"/>
                <w:noProof/>
                <w:sz w:val="20"/>
              </w:rPr>
              <w:t xml:space="preserve"> and fight</w:t>
            </w:r>
            <w:r w:rsidR="004124FD">
              <w:rPr>
                <w:rFonts w:ascii="Arial" w:eastAsia="Arial" w:hAnsi="Arial" w:cs="Arial"/>
                <w:noProof/>
                <w:sz w:val="20"/>
              </w:rPr>
              <w:t>ing</w:t>
            </w:r>
            <w:r w:rsidRPr="004124FD">
              <w:rPr>
                <w:rFonts w:ascii="Arial" w:eastAsia="Arial" w:hAnsi="Arial" w:cs="Arial"/>
                <w:noProof/>
                <w:sz w:val="20"/>
              </w:rPr>
              <w:t xml:space="preserve"> fraud </w:t>
            </w:r>
            <w:r w:rsidR="004124FD" w:rsidRPr="004124FD">
              <w:rPr>
                <w:rFonts w:ascii="Arial" w:eastAsia="Arial" w:hAnsi="Arial" w:cs="Arial"/>
                <w:noProof/>
                <w:sz w:val="20"/>
              </w:rPr>
              <w:t xml:space="preserve">against </w:t>
            </w:r>
            <w:r w:rsidRPr="004124FD">
              <w:rPr>
                <w:rFonts w:ascii="Arial" w:eastAsia="Arial" w:hAnsi="Arial" w:cs="Arial"/>
                <w:noProof/>
                <w:sz w:val="20"/>
              </w:rPr>
              <w:t xml:space="preserve">the </w:t>
            </w:r>
            <w:r w:rsidR="00D32912" w:rsidRPr="004124FD">
              <w:rPr>
                <w:rFonts w:ascii="Arial" w:eastAsia="Arial" w:hAnsi="Arial" w:cs="Arial"/>
                <w:noProof/>
                <w:sz w:val="20"/>
              </w:rPr>
              <w:t>EU</w:t>
            </w:r>
            <w:r w:rsidR="00D32912">
              <w:rPr>
                <w:rFonts w:ascii="Arial" w:eastAsia="Arial" w:hAnsi="Arial" w:cs="Arial"/>
                <w:noProof/>
                <w:sz w:val="20"/>
              </w:rPr>
              <w:t>’</w:t>
            </w:r>
            <w:r w:rsidR="00D32912" w:rsidRPr="004124FD">
              <w:rPr>
                <w:rFonts w:ascii="Arial" w:eastAsia="Arial" w:hAnsi="Arial" w:cs="Arial"/>
                <w:noProof/>
                <w:sz w:val="20"/>
              </w:rPr>
              <w:t xml:space="preserve">s </w:t>
            </w:r>
            <w:r w:rsidRPr="004124FD">
              <w:rPr>
                <w:rFonts w:ascii="Arial" w:eastAsia="Arial" w:hAnsi="Arial" w:cs="Arial"/>
                <w:noProof/>
                <w:sz w:val="20"/>
              </w:rPr>
              <w:t>financial interests.</w:t>
            </w:r>
          </w:p>
        </w:tc>
      </w:tr>
    </w:tbl>
    <w:p w14:paraId="3B8DD424" w14:textId="52167B5C" w:rsidR="044E42F4" w:rsidRPr="00DE3A6F" w:rsidRDefault="044E42F4" w:rsidP="044E42F4">
      <w:pPr>
        <w:rPr>
          <w:b/>
          <w:bCs/>
          <w:noProof/>
        </w:rPr>
      </w:pPr>
    </w:p>
    <w:p w14:paraId="7DC7B541" w14:textId="03AF0A4A" w:rsidR="2673EF26" w:rsidRPr="00DE3A6F" w:rsidRDefault="2673EF26" w:rsidP="044E42F4">
      <w:pPr>
        <w:rPr>
          <w:b/>
          <w:bCs/>
          <w:noProof/>
        </w:rPr>
      </w:pPr>
      <w:r w:rsidRPr="00DE3A6F">
        <w:rPr>
          <w:b/>
          <w:bCs/>
          <w:noProof/>
        </w:rPr>
        <w:t>Table 3: Information exchange management</w:t>
      </w:r>
    </w:p>
    <w:tbl>
      <w:tblPr>
        <w:tblW w:w="0" w:type="auto"/>
        <w:tblLook w:val="04A0" w:firstRow="1" w:lastRow="0" w:firstColumn="1" w:lastColumn="0" w:noHBand="0" w:noVBand="1"/>
      </w:tblPr>
      <w:tblGrid>
        <w:gridCol w:w="1875"/>
        <w:gridCol w:w="1629"/>
        <w:gridCol w:w="4943"/>
      </w:tblGrid>
      <w:tr w:rsidR="044E42F4" w:rsidRPr="00CA1602" w14:paraId="0B9306B7" w14:textId="77777777" w:rsidTr="28D37C99">
        <w:trPr>
          <w:trHeight w:val="165"/>
        </w:trPr>
        <w:tc>
          <w:tcPr>
            <w:tcW w:w="8447" w:type="dxa"/>
            <w:gridSpan w:val="3"/>
            <w:tcBorders>
              <w:top w:val="single" w:sz="12" w:space="0" w:color="156082"/>
              <w:left w:val="single" w:sz="12" w:space="0" w:color="156082"/>
              <w:bottom w:val="single" w:sz="12" w:space="0" w:color="156082"/>
              <w:right w:val="single" w:sz="12" w:space="0" w:color="156082"/>
            </w:tcBorders>
            <w:shd w:val="clear" w:color="auto" w:fill="156082"/>
            <w:tcMar>
              <w:left w:w="108" w:type="dxa"/>
              <w:right w:w="108" w:type="dxa"/>
            </w:tcMar>
          </w:tcPr>
          <w:p w14:paraId="5B04A9A4" w14:textId="2CE03427" w:rsidR="044E42F4" w:rsidRPr="00DE3A6F" w:rsidRDefault="044E42F4" w:rsidP="044E42F4">
            <w:pPr>
              <w:spacing w:after="0" w:line="276" w:lineRule="auto"/>
              <w:jc w:val="center"/>
              <w:rPr>
                <w:noProof/>
              </w:rPr>
            </w:pPr>
            <w:r w:rsidRPr="00DE3A6F">
              <w:rPr>
                <w:rFonts w:ascii="Arial" w:eastAsia="Arial" w:hAnsi="Arial" w:cs="Arial"/>
                <w:b/>
                <w:bCs/>
                <w:noProof/>
                <w:color w:val="FFFFFF" w:themeColor="background1"/>
                <w:sz w:val="20"/>
              </w:rPr>
              <w:t>Managing the flow of information: enhancement of systems and data collection</w:t>
            </w:r>
          </w:p>
        </w:tc>
      </w:tr>
      <w:tr w:rsidR="044E42F4" w:rsidRPr="00CA1602" w14:paraId="1A97F0B7" w14:textId="77777777" w:rsidTr="28D37C99">
        <w:trPr>
          <w:trHeight w:val="165"/>
        </w:trPr>
        <w:tc>
          <w:tcPr>
            <w:tcW w:w="1875" w:type="dxa"/>
            <w:tcBorders>
              <w:top w:val="single" w:sz="12" w:space="0" w:color="156082"/>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7DA8C177" w14:textId="1004EFEB"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Member State</w:t>
            </w:r>
          </w:p>
        </w:tc>
        <w:tc>
          <w:tcPr>
            <w:tcW w:w="1629"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0A51B775" w14:textId="0B5D7E7E"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Type of measure</w:t>
            </w:r>
          </w:p>
        </w:tc>
        <w:tc>
          <w:tcPr>
            <w:tcW w:w="4943"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1C37514D" w14:textId="6F982177"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Description</w:t>
            </w:r>
          </w:p>
        </w:tc>
      </w:tr>
      <w:tr w:rsidR="044E42F4" w:rsidRPr="00CA1602" w14:paraId="4FDADC83" w14:textId="77777777" w:rsidTr="28D37C99">
        <w:trPr>
          <w:trHeight w:val="600"/>
        </w:trPr>
        <w:tc>
          <w:tcPr>
            <w:tcW w:w="1875" w:type="dxa"/>
            <w:tcBorders>
              <w:top w:val="single" w:sz="12" w:space="0" w:color="156082"/>
              <w:left w:val="single" w:sz="12" w:space="0" w:color="156082"/>
              <w:bottom w:val="single" w:sz="8" w:space="0" w:color="156082"/>
              <w:right w:val="dashed" w:sz="8" w:space="0" w:color="156082"/>
            </w:tcBorders>
            <w:tcMar>
              <w:left w:w="108" w:type="dxa"/>
              <w:right w:w="108" w:type="dxa"/>
            </w:tcMar>
            <w:vAlign w:val="center"/>
          </w:tcPr>
          <w:p w14:paraId="41DEE88B" w14:textId="3598B94F" w:rsidR="044E42F4" w:rsidRPr="00DE3A6F" w:rsidRDefault="044E42F4" w:rsidP="044E42F4">
            <w:pPr>
              <w:spacing w:after="0" w:line="276" w:lineRule="auto"/>
              <w:jc w:val="center"/>
              <w:rPr>
                <w:noProof/>
              </w:rPr>
            </w:pPr>
            <w:r w:rsidRPr="00DE3A6F">
              <w:rPr>
                <w:rFonts w:ascii="Arial" w:eastAsia="Arial" w:hAnsi="Arial" w:cs="Arial"/>
                <w:b/>
                <w:bCs/>
                <w:noProof/>
                <w:color w:val="000000" w:themeColor="text1"/>
                <w:sz w:val="20"/>
              </w:rPr>
              <w:t>Croatia</w:t>
            </w:r>
          </w:p>
        </w:tc>
        <w:tc>
          <w:tcPr>
            <w:tcW w:w="1629" w:type="dxa"/>
            <w:tcBorders>
              <w:top w:val="single" w:sz="12" w:space="0" w:color="156082"/>
              <w:left w:val="dashed" w:sz="8" w:space="0" w:color="156082"/>
              <w:bottom w:val="single" w:sz="8" w:space="0" w:color="156082"/>
              <w:right w:val="dashed" w:sz="8" w:space="0" w:color="156082"/>
            </w:tcBorders>
            <w:shd w:val="clear" w:color="auto" w:fill="FFE599" w:themeFill="accent4" w:themeFillTint="66"/>
            <w:tcMar>
              <w:left w:w="108" w:type="dxa"/>
              <w:right w:w="108" w:type="dxa"/>
            </w:tcMar>
            <w:vAlign w:val="center"/>
          </w:tcPr>
          <w:p w14:paraId="057DFA8F" w14:textId="5C14E9D2" w:rsidR="044E42F4" w:rsidRPr="00DE3A6F" w:rsidRDefault="044E42F4" w:rsidP="044E42F4">
            <w:pPr>
              <w:spacing w:after="0" w:line="276" w:lineRule="auto"/>
              <w:jc w:val="center"/>
              <w:rPr>
                <w:noProof/>
              </w:rPr>
            </w:pPr>
            <w:r w:rsidRPr="00DE3A6F">
              <w:rPr>
                <w:rFonts w:ascii="Arial" w:eastAsia="Arial" w:hAnsi="Arial" w:cs="Arial"/>
                <w:noProof/>
                <w:color w:val="000000" w:themeColor="text1"/>
                <w:sz w:val="18"/>
                <w:szCs w:val="18"/>
              </w:rPr>
              <w:t>Operational</w:t>
            </w:r>
          </w:p>
        </w:tc>
        <w:tc>
          <w:tcPr>
            <w:tcW w:w="4943" w:type="dxa"/>
            <w:tcBorders>
              <w:top w:val="single" w:sz="12" w:space="0" w:color="156082"/>
              <w:left w:val="dashed" w:sz="8" w:space="0" w:color="156082"/>
              <w:bottom w:val="single" w:sz="8" w:space="0" w:color="156082"/>
              <w:right w:val="single" w:sz="12" w:space="0" w:color="156082"/>
            </w:tcBorders>
            <w:tcMar>
              <w:left w:w="108" w:type="dxa"/>
              <w:right w:w="108" w:type="dxa"/>
            </w:tcMar>
            <w:vAlign w:val="center"/>
          </w:tcPr>
          <w:p w14:paraId="0AA3249B" w14:textId="5FAE5600" w:rsidR="044E42F4" w:rsidRPr="00DE3A6F" w:rsidRDefault="044E42F4" w:rsidP="044E42F4">
            <w:pPr>
              <w:spacing w:before="120" w:line="276" w:lineRule="auto"/>
              <w:ind w:left="190"/>
              <w:rPr>
                <w:noProof/>
              </w:rPr>
            </w:pPr>
            <w:r w:rsidRPr="004124FD">
              <w:rPr>
                <w:rFonts w:ascii="Arial" w:eastAsia="Arial" w:hAnsi="Arial" w:cs="Arial"/>
                <w:noProof/>
                <w:sz w:val="20"/>
              </w:rPr>
              <w:t xml:space="preserve">Implementation of a new system (eKohezija) which stores all project information and is used for management purposes </w:t>
            </w:r>
            <w:r w:rsidR="00A26595">
              <w:rPr>
                <w:rFonts w:ascii="Arial" w:eastAsia="Arial" w:hAnsi="Arial" w:cs="Arial"/>
                <w:noProof/>
                <w:sz w:val="20"/>
              </w:rPr>
              <w:t xml:space="preserve">throughout the </w:t>
            </w:r>
            <w:r w:rsidRPr="004124FD">
              <w:rPr>
                <w:rFonts w:ascii="Arial" w:eastAsia="Arial" w:hAnsi="Arial" w:cs="Arial"/>
                <w:noProof/>
                <w:sz w:val="20"/>
              </w:rPr>
              <w:t xml:space="preserve">project cycle.  </w:t>
            </w:r>
          </w:p>
        </w:tc>
      </w:tr>
      <w:tr w:rsidR="044E42F4" w:rsidRPr="00CA1602" w14:paraId="33966B05" w14:textId="77777777" w:rsidTr="28D37C99">
        <w:trPr>
          <w:trHeight w:val="600"/>
        </w:trPr>
        <w:tc>
          <w:tcPr>
            <w:tcW w:w="1875" w:type="dxa"/>
            <w:tcBorders>
              <w:top w:val="single" w:sz="8" w:space="0" w:color="156082"/>
              <w:left w:val="single" w:sz="12" w:space="0" w:color="156082"/>
              <w:bottom w:val="single" w:sz="8" w:space="0" w:color="156082"/>
              <w:right w:val="dashed" w:sz="8" w:space="0" w:color="156082"/>
            </w:tcBorders>
            <w:tcMar>
              <w:left w:w="108" w:type="dxa"/>
              <w:right w:w="108" w:type="dxa"/>
            </w:tcMar>
            <w:vAlign w:val="center"/>
          </w:tcPr>
          <w:p w14:paraId="3AC46325" w14:textId="4F0EFC4C"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Cyprus </w:t>
            </w:r>
          </w:p>
        </w:tc>
        <w:tc>
          <w:tcPr>
            <w:tcW w:w="1629" w:type="dxa"/>
            <w:tcBorders>
              <w:top w:val="single" w:sz="8" w:space="0" w:color="156082"/>
              <w:left w:val="dashed" w:sz="8" w:space="0" w:color="156082"/>
              <w:bottom w:val="single" w:sz="8" w:space="0" w:color="156082"/>
              <w:right w:val="dashed" w:sz="8" w:space="0" w:color="156082"/>
            </w:tcBorders>
            <w:shd w:val="clear" w:color="auto" w:fill="B4C6E7" w:themeFill="accent5" w:themeFillTint="66"/>
            <w:tcMar>
              <w:left w:w="108" w:type="dxa"/>
              <w:right w:w="108" w:type="dxa"/>
            </w:tcMar>
            <w:vAlign w:val="center"/>
          </w:tcPr>
          <w:p w14:paraId="534AA40D" w14:textId="10C922E2"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7F843060" w14:textId="1AD31BF9" w:rsidR="044E42F4" w:rsidRPr="00DE3A6F" w:rsidRDefault="044E42F4" w:rsidP="044E42F4">
            <w:pPr>
              <w:spacing w:before="120" w:line="276" w:lineRule="auto"/>
              <w:ind w:left="190"/>
              <w:rPr>
                <w:noProof/>
              </w:rPr>
            </w:pPr>
            <w:r w:rsidRPr="00A26595">
              <w:rPr>
                <w:rFonts w:ascii="Arial" w:eastAsia="Arial" w:hAnsi="Arial" w:cs="Arial"/>
                <w:noProof/>
                <w:sz w:val="20"/>
              </w:rPr>
              <w:t xml:space="preserve">Update of an e-procurement system standardising procedures and documentation, centralising data, recording time-stamped actions across the whole contract lifecycle.  </w:t>
            </w:r>
          </w:p>
        </w:tc>
      </w:tr>
      <w:tr w:rsidR="044E42F4" w:rsidRPr="00CA1602" w14:paraId="106E24DB" w14:textId="77777777" w:rsidTr="28D37C99">
        <w:trPr>
          <w:trHeight w:val="600"/>
        </w:trPr>
        <w:tc>
          <w:tcPr>
            <w:tcW w:w="1875" w:type="dxa"/>
            <w:tcBorders>
              <w:top w:val="single" w:sz="8" w:space="0" w:color="156082"/>
              <w:left w:val="single" w:sz="12" w:space="0" w:color="156082"/>
              <w:bottom w:val="single" w:sz="8" w:space="0" w:color="156082"/>
              <w:right w:val="dashed" w:sz="8" w:space="0" w:color="156082"/>
            </w:tcBorders>
            <w:tcMar>
              <w:left w:w="108" w:type="dxa"/>
              <w:right w:w="108" w:type="dxa"/>
            </w:tcMar>
            <w:vAlign w:val="center"/>
          </w:tcPr>
          <w:p w14:paraId="36476F57" w14:textId="7C654D33"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Finland</w:t>
            </w:r>
          </w:p>
        </w:tc>
        <w:tc>
          <w:tcPr>
            <w:tcW w:w="1629" w:type="dxa"/>
            <w:tcBorders>
              <w:top w:val="single" w:sz="8" w:space="0" w:color="156082"/>
              <w:left w:val="dashed" w:sz="8" w:space="0" w:color="156082"/>
              <w:bottom w:val="single" w:sz="8" w:space="0" w:color="156082"/>
              <w:right w:val="dashed" w:sz="8" w:space="0" w:color="156082"/>
            </w:tcBorders>
            <w:shd w:val="clear" w:color="auto" w:fill="B4C6E7" w:themeFill="accent5" w:themeFillTint="66"/>
            <w:tcMar>
              <w:left w:w="108" w:type="dxa"/>
              <w:right w:w="108" w:type="dxa"/>
            </w:tcMar>
            <w:vAlign w:val="center"/>
          </w:tcPr>
          <w:p w14:paraId="4BBF7DDD" w14:textId="4A31EB61"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65F486D4" w14:textId="6D494DD2" w:rsidR="044E42F4" w:rsidRPr="00DE3A6F" w:rsidRDefault="044E42F4" w:rsidP="044E42F4">
            <w:pPr>
              <w:spacing w:before="120" w:line="276" w:lineRule="auto"/>
              <w:ind w:left="190"/>
              <w:rPr>
                <w:noProof/>
              </w:rPr>
            </w:pPr>
            <w:r w:rsidRPr="00A26595">
              <w:rPr>
                <w:rFonts w:ascii="Arial" w:eastAsia="Arial" w:hAnsi="Arial" w:cs="Arial"/>
                <w:noProof/>
                <w:sz w:val="20"/>
              </w:rPr>
              <w:t xml:space="preserve">Guidelines on the use of </w:t>
            </w:r>
            <w:r w:rsidR="00A26595">
              <w:rPr>
                <w:rFonts w:ascii="Arial" w:eastAsia="Arial" w:hAnsi="Arial" w:cs="Arial"/>
                <w:noProof/>
                <w:sz w:val="20"/>
              </w:rPr>
              <w:t xml:space="preserve">the </w:t>
            </w:r>
            <w:r w:rsidRPr="00A26595">
              <w:rPr>
                <w:rFonts w:ascii="Arial" w:eastAsia="Arial" w:hAnsi="Arial" w:cs="Arial"/>
                <w:noProof/>
                <w:sz w:val="20"/>
              </w:rPr>
              <w:t xml:space="preserve">administrative and control system.  </w:t>
            </w:r>
          </w:p>
        </w:tc>
      </w:tr>
      <w:tr w:rsidR="044E42F4" w:rsidRPr="00CA1602" w14:paraId="47DF2FEA" w14:textId="77777777" w:rsidTr="00BD00D0">
        <w:trPr>
          <w:trHeight w:val="780"/>
        </w:trPr>
        <w:tc>
          <w:tcPr>
            <w:tcW w:w="1875" w:type="dxa"/>
            <w:vMerge w:val="restart"/>
            <w:tcBorders>
              <w:top w:val="single" w:sz="8" w:space="0" w:color="156082"/>
              <w:left w:val="single" w:sz="12" w:space="0" w:color="156082"/>
              <w:bottom w:val="single" w:sz="12" w:space="0" w:color="156082"/>
              <w:right w:val="dashed" w:sz="8" w:space="0" w:color="156082"/>
            </w:tcBorders>
            <w:tcMar>
              <w:left w:w="108" w:type="dxa"/>
              <w:right w:w="108" w:type="dxa"/>
            </w:tcMar>
            <w:vAlign w:val="center"/>
          </w:tcPr>
          <w:p w14:paraId="6C615976" w14:textId="20C96A27"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Italy </w:t>
            </w:r>
          </w:p>
        </w:tc>
        <w:tc>
          <w:tcPr>
            <w:tcW w:w="1629" w:type="dxa"/>
            <w:tcBorders>
              <w:top w:val="single" w:sz="8"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3CDEA1A3" w14:textId="21F2F433"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tcBorders>
              <w:top w:val="single" w:sz="8" w:space="0" w:color="156082"/>
              <w:left w:val="dashed" w:sz="8" w:space="0" w:color="156082"/>
              <w:bottom w:val="single" w:sz="12" w:space="0" w:color="156082"/>
              <w:right w:val="single" w:sz="12" w:space="0" w:color="156082"/>
            </w:tcBorders>
            <w:tcMar>
              <w:left w:w="108" w:type="dxa"/>
              <w:right w:w="108" w:type="dxa"/>
            </w:tcMar>
            <w:vAlign w:val="center"/>
          </w:tcPr>
          <w:p w14:paraId="51642E4C" w14:textId="7D648C30" w:rsidR="044E42F4" w:rsidRPr="00DE3A6F" w:rsidRDefault="044E42F4" w:rsidP="044E42F4">
            <w:pPr>
              <w:spacing w:before="120" w:line="276" w:lineRule="auto"/>
              <w:ind w:left="190"/>
              <w:rPr>
                <w:noProof/>
              </w:rPr>
            </w:pPr>
            <w:r w:rsidRPr="00A26595">
              <w:rPr>
                <w:rFonts w:ascii="Arial" w:eastAsia="Arial" w:hAnsi="Arial" w:cs="Arial"/>
                <w:noProof/>
                <w:sz w:val="20"/>
              </w:rPr>
              <w:t xml:space="preserve">Integration of systems with </w:t>
            </w:r>
            <w:r w:rsidR="00A26595">
              <w:rPr>
                <w:rFonts w:ascii="Arial" w:eastAsia="Arial" w:hAnsi="Arial" w:cs="Arial"/>
                <w:noProof/>
                <w:sz w:val="20"/>
              </w:rPr>
              <w:t xml:space="preserve">the </w:t>
            </w:r>
            <w:r w:rsidR="00A26595" w:rsidRPr="00A26595">
              <w:rPr>
                <w:rFonts w:ascii="Arial" w:eastAsia="Arial" w:hAnsi="Arial" w:cs="Arial"/>
                <w:noProof/>
                <w:sz w:val="20"/>
              </w:rPr>
              <w:t>Arachne</w:t>
            </w:r>
            <w:r w:rsidRPr="00A26595">
              <w:rPr>
                <w:rFonts w:ascii="Arial" w:eastAsia="Arial" w:hAnsi="Arial" w:cs="Arial"/>
                <w:noProof/>
                <w:sz w:val="20"/>
              </w:rPr>
              <w:t xml:space="preserve">/SAS model strengthening early detection of fraud and irregularities. </w:t>
            </w:r>
          </w:p>
        </w:tc>
      </w:tr>
      <w:tr w:rsidR="044E42F4" w:rsidRPr="00CA1602" w14:paraId="2EF3B93D" w14:textId="77777777" w:rsidTr="00BD00D0">
        <w:trPr>
          <w:trHeight w:val="780"/>
        </w:trPr>
        <w:tc>
          <w:tcPr>
            <w:tcW w:w="1875" w:type="dxa"/>
            <w:vMerge/>
            <w:tcBorders>
              <w:top w:val="single" w:sz="12" w:space="0" w:color="156082"/>
              <w:left w:val="single" w:sz="12" w:space="0" w:color="156082"/>
              <w:right w:val="dashed" w:sz="8" w:space="0" w:color="156082"/>
            </w:tcBorders>
            <w:vAlign w:val="center"/>
          </w:tcPr>
          <w:p w14:paraId="27491D21" w14:textId="77777777" w:rsidR="00286280" w:rsidRPr="00CA1602" w:rsidRDefault="00286280">
            <w:pPr>
              <w:rPr>
                <w:noProof/>
              </w:rPr>
            </w:pPr>
          </w:p>
        </w:tc>
        <w:tc>
          <w:tcPr>
            <w:tcW w:w="1629" w:type="dxa"/>
            <w:tcBorders>
              <w:top w:val="single" w:sz="12" w:space="0" w:color="156082"/>
              <w:left w:val="dashed" w:sz="8" w:space="0" w:color="156082"/>
              <w:bottom w:val="single" w:sz="8" w:space="0" w:color="156082"/>
              <w:right w:val="dashed" w:sz="8" w:space="0" w:color="156082"/>
            </w:tcBorders>
            <w:shd w:val="clear" w:color="auto" w:fill="FFE599" w:themeFill="accent4" w:themeFillTint="66"/>
            <w:tcMar>
              <w:left w:w="108" w:type="dxa"/>
              <w:right w:w="108" w:type="dxa"/>
            </w:tcMar>
            <w:vAlign w:val="center"/>
          </w:tcPr>
          <w:p w14:paraId="6C36E71C" w14:textId="31C0003B"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943" w:type="dxa"/>
            <w:tcBorders>
              <w:top w:val="single" w:sz="12" w:space="0" w:color="156082"/>
              <w:left w:val="dashed" w:sz="8" w:space="0" w:color="156082"/>
              <w:bottom w:val="single" w:sz="8" w:space="0" w:color="156082"/>
              <w:right w:val="single" w:sz="12" w:space="0" w:color="156082"/>
            </w:tcBorders>
            <w:tcMar>
              <w:left w:w="108" w:type="dxa"/>
              <w:right w:w="108" w:type="dxa"/>
            </w:tcMar>
            <w:vAlign w:val="center"/>
          </w:tcPr>
          <w:p w14:paraId="300BAA57" w14:textId="3E261584" w:rsidR="044E42F4" w:rsidRPr="00DE3A6F" w:rsidRDefault="044E42F4" w:rsidP="044E42F4">
            <w:pPr>
              <w:spacing w:before="120" w:line="276" w:lineRule="auto"/>
              <w:ind w:left="190"/>
              <w:rPr>
                <w:noProof/>
              </w:rPr>
            </w:pPr>
            <w:r w:rsidRPr="00A26595">
              <w:rPr>
                <w:rFonts w:ascii="Arial" w:eastAsia="Arial" w:hAnsi="Arial" w:cs="Arial"/>
                <w:noProof/>
                <w:sz w:val="20"/>
              </w:rPr>
              <w:t xml:space="preserve">Computerisation of </w:t>
            </w:r>
            <w:r w:rsidR="007A635E">
              <w:rPr>
                <w:rFonts w:ascii="Arial" w:eastAsia="Arial" w:hAnsi="Arial" w:cs="Arial"/>
                <w:noProof/>
                <w:sz w:val="20"/>
              </w:rPr>
              <w:t xml:space="preserve">the </w:t>
            </w:r>
            <w:r w:rsidRPr="00A26595">
              <w:rPr>
                <w:rFonts w:ascii="Arial" w:eastAsia="Arial" w:hAnsi="Arial" w:cs="Arial"/>
                <w:noProof/>
                <w:sz w:val="20"/>
              </w:rPr>
              <w:t xml:space="preserve">serious irregularities </w:t>
            </w:r>
            <w:r w:rsidR="007A635E">
              <w:rPr>
                <w:rFonts w:ascii="Arial" w:eastAsia="Arial" w:hAnsi="Arial" w:cs="Arial"/>
                <w:noProof/>
                <w:sz w:val="20"/>
              </w:rPr>
              <w:t xml:space="preserve">case register </w:t>
            </w:r>
            <w:r w:rsidRPr="00A26595">
              <w:rPr>
                <w:rFonts w:ascii="Arial" w:eastAsia="Arial" w:hAnsi="Arial" w:cs="Arial"/>
                <w:noProof/>
                <w:sz w:val="20"/>
              </w:rPr>
              <w:t xml:space="preserve">to allow constant flow of information.  </w:t>
            </w:r>
          </w:p>
        </w:tc>
      </w:tr>
      <w:tr w:rsidR="044E42F4" w:rsidRPr="00CA1602" w14:paraId="5AC65751" w14:textId="77777777" w:rsidTr="00BD00D0">
        <w:trPr>
          <w:trHeight w:val="780"/>
        </w:trPr>
        <w:tc>
          <w:tcPr>
            <w:tcW w:w="1875" w:type="dxa"/>
            <w:vMerge w:val="restart"/>
            <w:tcBorders>
              <w:top w:val="single" w:sz="12" w:space="0" w:color="156082"/>
              <w:left w:val="single" w:sz="12" w:space="0" w:color="156082"/>
              <w:bottom w:val="single" w:sz="8" w:space="0" w:color="156082"/>
              <w:right w:val="dashed" w:sz="8" w:space="0" w:color="156082"/>
            </w:tcBorders>
            <w:tcMar>
              <w:left w:w="108" w:type="dxa"/>
              <w:right w:w="108" w:type="dxa"/>
            </w:tcMar>
            <w:vAlign w:val="center"/>
          </w:tcPr>
          <w:p w14:paraId="41B8F8F8" w14:textId="5FBB3239"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Portugal </w:t>
            </w:r>
          </w:p>
        </w:tc>
        <w:tc>
          <w:tcPr>
            <w:tcW w:w="1629" w:type="dxa"/>
            <w:tcBorders>
              <w:top w:val="single" w:sz="8" w:space="0" w:color="156082"/>
              <w:left w:val="dashed" w:sz="8" w:space="0" w:color="156082"/>
              <w:bottom w:val="dashed" w:sz="8" w:space="0" w:color="156082"/>
              <w:right w:val="dashed" w:sz="8" w:space="0" w:color="156082"/>
            </w:tcBorders>
            <w:shd w:val="clear" w:color="auto" w:fill="B4C6E7" w:themeFill="accent5" w:themeFillTint="66"/>
            <w:tcMar>
              <w:left w:w="108" w:type="dxa"/>
              <w:right w:w="108" w:type="dxa"/>
            </w:tcMar>
            <w:vAlign w:val="center"/>
          </w:tcPr>
          <w:p w14:paraId="447E842D" w14:textId="2A816846"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tcBorders>
              <w:top w:val="single" w:sz="8" w:space="0" w:color="156082"/>
              <w:left w:val="dashed" w:sz="8" w:space="0" w:color="156082"/>
              <w:bottom w:val="dashed" w:sz="8" w:space="0" w:color="156082"/>
              <w:right w:val="single" w:sz="12" w:space="0" w:color="156082"/>
            </w:tcBorders>
            <w:tcMar>
              <w:left w:w="108" w:type="dxa"/>
              <w:right w:w="108" w:type="dxa"/>
            </w:tcMar>
            <w:vAlign w:val="center"/>
          </w:tcPr>
          <w:p w14:paraId="7B3F6E54" w14:textId="7554A49E" w:rsidR="044E42F4" w:rsidRPr="00DE3A6F" w:rsidRDefault="044E42F4" w:rsidP="044E42F4">
            <w:pPr>
              <w:spacing w:before="120" w:line="276" w:lineRule="auto"/>
              <w:ind w:left="190"/>
              <w:rPr>
                <w:noProof/>
              </w:rPr>
            </w:pPr>
            <w:r w:rsidRPr="00A26595">
              <w:rPr>
                <w:rFonts w:ascii="Arial" w:eastAsia="Arial" w:hAnsi="Arial" w:cs="Arial"/>
                <w:noProof/>
                <w:sz w:val="20"/>
              </w:rPr>
              <w:t>Dashboards sharing risk monitoring information with managing authorities</w:t>
            </w:r>
            <w:r w:rsidRPr="00A26595">
              <w:rPr>
                <w:rFonts w:ascii="Arial" w:eastAsia="Arial" w:hAnsi="Arial" w:cs="Arial"/>
                <w:noProof/>
              </w:rPr>
              <w:t xml:space="preserve">. </w:t>
            </w:r>
          </w:p>
        </w:tc>
      </w:tr>
      <w:tr w:rsidR="044E42F4" w:rsidRPr="00CA1602" w14:paraId="78D051F2" w14:textId="77777777" w:rsidTr="00BD00D0">
        <w:trPr>
          <w:trHeight w:val="780"/>
        </w:trPr>
        <w:tc>
          <w:tcPr>
            <w:tcW w:w="1875" w:type="dxa"/>
            <w:vMerge/>
            <w:tcBorders>
              <w:left w:val="single" w:sz="12" w:space="0" w:color="156082"/>
              <w:bottom w:val="single" w:sz="12" w:space="0" w:color="156082"/>
              <w:right w:val="dashed" w:sz="8" w:space="0" w:color="156082"/>
            </w:tcBorders>
            <w:vAlign w:val="center"/>
          </w:tcPr>
          <w:p w14:paraId="16CD6C7B" w14:textId="77777777" w:rsidR="00286280" w:rsidRPr="00CA1602" w:rsidRDefault="00286280">
            <w:pPr>
              <w:rPr>
                <w:noProof/>
              </w:rPr>
            </w:pPr>
          </w:p>
        </w:tc>
        <w:tc>
          <w:tcPr>
            <w:tcW w:w="1629" w:type="dxa"/>
            <w:tcBorders>
              <w:top w:val="dashed" w:sz="8" w:space="0" w:color="156082"/>
              <w:left w:val="dashed" w:sz="8" w:space="0" w:color="156082"/>
              <w:bottom w:val="single" w:sz="8" w:space="0" w:color="156082"/>
              <w:right w:val="dashed" w:sz="8" w:space="0" w:color="156082"/>
            </w:tcBorders>
            <w:shd w:val="clear" w:color="auto" w:fill="FFE599" w:themeFill="accent4" w:themeFillTint="66"/>
            <w:tcMar>
              <w:left w:w="108" w:type="dxa"/>
              <w:right w:w="108" w:type="dxa"/>
            </w:tcMar>
            <w:vAlign w:val="center"/>
          </w:tcPr>
          <w:p w14:paraId="40ADFBA6" w14:textId="1F366613"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943" w:type="dxa"/>
            <w:tcBorders>
              <w:top w:val="dashed" w:sz="8" w:space="0" w:color="156082"/>
              <w:left w:val="dashed" w:sz="8" w:space="0" w:color="156082"/>
              <w:bottom w:val="single" w:sz="8" w:space="0" w:color="156082"/>
              <w:right w:val="single" w:sz="12" w:space="0" w:color="156082"/>
            </w:tcBorders>
            <w:tcMar>
              <w:left w:w="108" w:type="dxa"/>
              <w:right w:w="108" w:type="dxa"/>
            </w:tcMar>
            <w:vAlign w:val="center"/>
          </w:tcPr>
          <w:p w14:paraId="5561101B" w14:textId="561448C9" w:rsidR="044E42F4" w:rsidRPr="00DE3A6F" w:rsidRDefault="044E42F4" w:rsidP="044E42F4">
            <w:pPr>
              <w:spacing w:after="160" w:line="276" w:lineRule="auto"/>
              <w:ind w:left="193"/>
              <w:rPr>
                <w:noProof/>
              </w:rPr>
            </w:pPr>
            <w:r w:rsidRPr="00DE3A6F">
              <w:rPr>
                <w:rFonts w:ascii="Arial" w:eastAsia="Arial" w:hAnsi="Arial" w:cs="Arial"/>
                <w:noProof/>
                <w:sz w:val="20"/>
              </w:rPr>
              <w:t xml:space="preserve">Development of a new customs anti-fraud database </w:t>
            </w:r>
            <w:r w:rsidR="001B0483">
              <w:rPr>
                <w:rFonts w:ascii="Arial" w:eastAsia="Arial" w:hAnsi="Arial" w:cs="Arial"/>
                <w:noProof/>
                <w:sz w:val="20"/>
              </w:rPr>
              <w:t xml:space="preserve">that is interoperable </w:t>
            </w:r>
            <w:r w:rsidRPr="00DE3A6F">
              <w:rPr>
                <w:rFonts w:ascii="Arial" w:eastAsia="Arial" w:hAnsi="Arial" w:cs="Arial"/>
                <w:noProof/>
                <w:sz w:val="20"/>
              </w:rPr>
              <w:t>with EU and national systems.</w:t>
            </w:r>
          </w:p>
        </w:tc>
      </w:tr>
      <w:tr w:rsidR="63335D47" w:rsidRPr="00CA1602" w14:paraId="04CB41B7" w14:textId="77777777" w:rsidTr="00BD00D0">
        <w:trPr>
          <w:trHeight w:val="780"/>
        </w:trPr>
        <w:tc>
          <w:tcPr>
            <w:tcW w:w="1875" w:type="dxa"/>
            <w:tcBorders>
              <w:top w:val="single" w:sz="12" w:space="0" w:color="156082"/>
              <w:left w:val="single" w:sz="12" w:space="0" w:color="156082"/>
              <w:bottom w:val="single" w:sz="8" w:space="0" w:color="156082"/>
              <w:right w:val="dashed" w:sz="8" w:space="0" w:color="156082"/>
            </w:tcBorders>
            <w:tcMar>
              <w:left w:w="108" w:type="dxa"/>
              <w:right w:w="108" w:type="dxa"/>
            </w:tcMar>
            <w:vAlign w:val="center"/>
          </w:tcPr>
          <w:p w14:paraId="0E10C64A" w14:textId="7B6C162F" w:rsidR="63335D47" w:rsidRPr="00DE3A6F" w:rsidRDefault="63335D47" w:rsidP="00CD212E">
            <w:pPr>
              <w:spacing w:before="120" w:line="276" w:lineRule="auto"/>
              <w:jc w:val="center"/>
              <w:rPr>
                <w:rFonts w:ascii="Arial" w:eastAsia="Arial" w:hAnsi="Arial" w:cs="Arial"/>
                <w:b/>
                <w:bCs/>
                <w:noProof/>
                <w:color w:val="000000" w:themeColor="text1"/>
                <w:sz w:val="20"/>
              </w:rPr>
            </w:pPr>
            <w:r w:rsidRPr="00DE3A6F">
              <w:rPr>
                <w:rFonts w:ascii="Arial" w:eastAsia="Arial" w:hAnsi="Arial" w:cs="Arial"/>
                <w:b/>
                <w:bCs/>
                <w:noProof/>
                <w:color w:val="000000" w:themeColor="text1"/>
                <w:sz w:val="20"/>
              </w:rPr>
              <w:t>Slovakia</w:t>
            </w:r>
          </w:p>
        </w:tc>
        <w:tc>
          <w:tcPr>
            <w:tcW w:w="1629" w:type="dxa"/>
            <w:tcBorders>
              <w:top w:val="single" w:sz="8" w:space="0" w:color="156082"/>
              <w:left w:val="dashed" w:sz="8" w:space="0" w:color="156082"/>
              <w:bottom w:val="single" w:sz="8" w:space="0" w:color="156082"/>
              <w:right w:val="dashed" w:sz="8" w:space="0" w:color="156082"/>
            </w:tcBorders>
            <w:shd w:val="clear" w:color="auto" w:fill="FFE599" w:themeFill="accent4" w:themeFillTint="66"/>
            <w:tcMar>
              <w:left w:w="108" w:type="dxa"/>
              <w:right w:w="108" w:type="dxa"/>
            </w:tcMar>
            <w:vAlign w:val="center"/>
          </w:tcPr>
          <w:p w14:paraId="40EB3A73" w14:textId="4E9E5EFA" w:rsidR="63335D47" w:rsidRPr="00DE3A6F" w:rsidRDefault="63335D47" w:rsidP="00CD212E">
            <w:pPr>
              <w:spacing w:before="120" w:line="276" w:lineRule="auto"/>
              <w:jc w:val="center"/>
              <w:rPr>
                <w:rFonts w:ascii="Arial" w:eastAsia="Arial" w:hAnsi="Arial" w:cs="Arial"/>
                <w:noProof/>
                <w:color w:val="000000" w:themeColor="text1"/>
                <w:sz w:val="18"/>
                <w:szCs w:val="18"/>
              </w:rPr>
            </w:pPr>
            <w:r w:rsidRPr="00DE3A6F">
              <w:rPr>
                <w:rFonts w:ascii="Arial" w:eastAsia="Arial" w:hAnsi="Arial" w:cs="Arial"/>
                <w:noProof/>
                <w:color w:val="000000" w:themeColor="text1"/>
                <w:sz w:val="18"/>
                <w:szCs w:val="18"/>
              </w:rPr>
              <w:t>Operational</w:t>
            </w:r>
          </w:p>
        </w:tc>
        <w:tc>
          <w:tcPr>
            <w:tcW w:w="4943" w:type="dxa"/>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21265CD4" w14:textId="2382F484" w:rsidR="63335D47" w:rsidRPr="007A635E" w:rsidRDefault="63335D47" w:rsidP="28D37C99">
            <w:pPr>
              <w:spacing w:after="160" w:line="276" w:lineRule="auto"/>
              <w:ind w:left="193"/>
              <w:rPr>
                <w:rFonts w:ascii="Arial" w:eastAsia="Arial" w:hAnsi="Arial" w:cs="Arial"/>
                <w:noProof/>
                <w:sz w:val="20"/>
              </w:rPr>
            </w:pPr>
            <w:r w:rsidRPr="007A635E">
              <w:rPr>
                <w:rFonts w:ascii="Arial" w:eastAsia="Arial" w:hAnsi="Arial" w:cs="Arial"/>
                <w:noProof/>
                <w:sz w:val="20"/>
              </w:rPr>
              <w:t xml:space="preserve">New IT functionality in ITMS21+ (the IT system for the Programme Slovakia for the </w:t>
            </w:r>
            <w:r w:rsidR="001A7A3D" w:rsidRPr="007A635E">
              <w:rPr>
                <w:rFonts w:ascii="Arial" w:eastAsia="Arial" w:hAnsi="Arial" w:cs="Arial"/>
                <w:noProof/>
                <w:sz w:val="20"/>
              </w:rPr>
              <w:t>2021-2027</w:t>
            </w:r>
            <w:r w:rsidR="001A7A3D">
              <w:rPr>
                <w:rFonts w:ascii="Arial" w:eastAsia="Arial" w:hAnsi="Arial" w:cs="Arial"/>
                <w:noProof/>
                <w:sz w:val="20"/>
              </w:rPr>
              <w:t xml:space="preserve"> </w:t>
            </w:r>
            <w:r w:rsidRPr="007A635E">
              <w:rPr>
                <w:rFonts w:ascii="Arial" w:eastAsia="Arial" w:hAnsi="Arial" w:cs="Arial"/>
                <w:noProof/>
                <w:sz w:val="20"/>
              </w:rPr>
              <w:t>period), including export and import of data between the ITMS21+ and the IMS.</w:t>
            </w:r>
          </w:p>
        </w:tc>
      </w:tr>
      <w:tr w:rsidR="044E42F4" w:rsidRPr="00CA1602" w14:paraId="576D5483" w14:textId="77777777" w:rsidTr="28D37C99">
        <w:trPr>
          <w:trHeight w:val="780"/>
        </w:trPr>
        <w:tc>
          <w:tcPr>
            <w:tcW w:w="1875" w:type="dxa"/>
            <w:tcBorders>
              <w:top w:val="nil"/>
              <w:left w:val="single" w:sz="12" w:space="0" w:color="156082"/>
              <w:bottom w:val="single" w:sz="8" w:space="0" w:color="156082"/>
              <w:right w:val="dashed" w:sz="8" w:space="0" w:color="156082"/>
            </w:tcBorders>
            <w:tcMar>
              <w:left w:w="108" w:type="dxa"/>
              <w:right w:w="108" w:type="dxa"/>
            </w:tcMar>
            <w:vAlign w:val="center"/>
          </w:tcPr>
          <w:p w14:paraId="64EA4979" w14:textId="28C30E4C"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lastRenderedPageBreak/>
              <w:t>Slovenia</w:t>
            </w:r>
          </w:p>
        </w:tc>
        <w:tc>
          <w:tcPr>
            <w:tcW w:w="1629" w:type="dxa"/>
            <w:tcBorders>
              <w:top w:val="single" w:sz="8" w:space="0" w:color="156082"/>
              <w:left w:val="dashed" w:sz="8" w:space="0" w:color="156082"/>
              <w:bottom w:val="single" w:sz="8" w:space="0" w:color="156082"/>
              <w:right w:val="dashed" w:sz="8" w:space="0" w:color="156082"/>
            </w:tcBorders>
            <w:shd w:val="clear" w:color="auto" w:fill="FFE599" w:themeFill="accent4" w:themeFillTint="66"/>
            <w:tcMar>
              <w:left w:w="108" w:type="dxa"/>
              <w:right w:w="108" w:type="dxa"/>
            </w:tcMar>
            <w:vAlign w:val="center"/>
          </w:tcPr>
          <w:p w14:paraId="22020DF0" w14:textId="2ADC2AA0"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943" w:type="dxa"/>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6182B5A1" w14:textId="71EB31C9" w:rsidR="044E42F4" w:rsidRPr="00DE3A6F" w:rsidRDefault="044E42F4" w:rsidP="044E42F4">
            <w:pPr>
              <w:spacing w:after="160" w:line="276" w:lineRule="auto"/>
              <w:ind w:left="193"/>
              <w:rPr>
                <w:noProof/>
              </w:rPr>
            </w:pPr>
            <w:r w:rsidRPr="007A635E">
              <w:rPr>
                <w:rFonts w:ascii="Arial" w:eastAsia="Arial" w:hAnsi="Arial" w:cs="Arial"/>
                <w:noProof/>
                <w:sz w:val="20"/>
              </w:rPr>
              <w:t xml:space="preserve">Introduction of automatic verification of double financing via a new tab in the system. </w:t>
            </w:r>
          </w:p>
        </w:tc>
      </w:tr>
      <w:tr w:rsidR="044E42F4" w:rsidRPr="00CA1602" w14:paraId="251E1051" w14:textId="77777777" w:rsidTr="28D37C99">
        <w:trPr>
          <w:trHeight w:val="150"/>
        </w:trPr>
        <w:tc>
          <w:tcPr>
            <w:tcW w:w="8447" w:type="dxa"/>
            <w:gridSpan w:val="3"/>
            <w:tcBorders>
              <w:top w:val="single" w:sz="8" w:space="0" w:color="156082"/>
              <w:left w:val="single" w:sz="12" w:space="0" w:color="156082"/>
              <w:bottom w:val="single" w:sz="12" w:space="0" w:color="156082"/>
              <w:right w:val="single" w:sz="12" w:space="0" w:color="156082"/>
            </w:tcBorders>
            <w:shd w:val="clear" w:color="auto" w:fill="156082"/>
            <w:tcMar>
              <w:left w:w="108" w:type="dxa"/>
              <w:right w:w="108" w:type="dxa"/>
            </w:tcMar>
          </w:tcPr>
          <w:p w14:paraId="15B4C855" w14:textId="66E1D0F2" w:rsidR="044E42F4" w:rsidRPr="00DE3A6F" w:rsidRDefault="044E42F4" w:rsidP="044E42F4">
            <w:pPr>
              <w:spacing w:after="0" w:line="276" w:lineRule="auto"/>
              <w:ind w:left="190"/>
              <w:jc w:val="center"/>
              <w:rPr>
                <w:noProof/>
              </w:rPr>
            </w:pPr>
            <w:r w:rsidRPr="00DE3A6F">
              <w:rPr>
                <w:rFonts w:ascii="Arial" w:eastAsia="Arial" w:hAnsi="Arial" w:cs="Arial"/>
                <w:b/>
                <w:bCs/>
                <w:noProof/>
                <w:color w:val="FFFFFF" w:themeColor="background1"/>
                <w:sz w:val="20"/>
              </w:rPr>
              <w:t xml:space="preserve">Managing the flow of information: </w:t>
            </w:r>
            <w:r w:rsidR="00D44F55">
              <w:rPr>
                <w:rFonts w:ascii="Arial" w:eastAsia="Arial" w:hAnsi="Arial" w:cs="Arial"/>
                <w:b/>
                <w:bCs/>
                <w:noProof/>
                <w:color w:val="FFFFFF" w:themeColor="background1"/>
                <w:sz w:val="20"/>
              </w:rPr>
              <w:t>q</w:t>
            </w:r>
            <w:r w:rsidR="00D44F55" w:rsidRPr="00DE3A6F">
              <w:rPr>
                <w:rFonts w:ascii="Arial" w:eastAsia="Arial" w:hAnsi="Arial" w:cs="Arial"/>
                <w:b/>
                <w:bCs/>
                <w:noProof/>
                <w:color w:val="FFFFFF" w:themeColor="background1"/>
                <w:sz w:val="20"/>
              </w:rPr>
              <w:t xml:space="preserve">uality </w:t>
            </w:r>
            <w:r w:rsidRPr="00DE3A6F">
              <w:rPr>
                <w:rFonts w:ascii="Arial" w:eastAsia="Arial" w:hAnsi="Arial" w:cs="Arial"/>
                <w:b/>
                <w:bCs/>
                <w:noProof/>
                <w:color w:val="FFFFFF" w:themeColor="background1"/>
                <w:sz w:val="20"/>
              </w:rPr>
              <w:t>of reporting</w:t>
            </w:r>
          </w:p>
        </w:tc>
      </w:tr>
      <w:tr w:rsidR="044E42F4" w:rsidRPr="00CA1602" w14:paraId="342E77D1" w14:textId="77777777" w:rsidTr="28D37C99">
        <w:trPr>
          <w:trHeight w:val="165"/>
        </w:trPr>
        <w:tc>
          <w:tcPr>
            <w:tcW w:w="1875" w:type="dxa"/>
            <w:tcBorders>
              <w:top w:val="single" w:sz="12" w:space="0" w:color="156082"/>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6FC4FC25" w14:textId="2CFEA1AC"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Member State</w:t>
            </w:r>
          </w:p>
        </w:tc>
        <w:tc>
          <w:tcPr>
            <w:tcW w:w="1629"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2168702A" w14:textId="5F87D432"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Type of measure</w:t>
            </w:r>
          </w:p>
        </w:tc>
        <w:tc>
          <w:tcPr>
            <w:tcW w:w="4943"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49D9F13A" w14:textId="080CFCF9"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Description</w:t>
            </w:r>
          </w:p>
        </w:tc>
      </w:tr>
      <w:tr w:rsidR="044E42F4" w:rsidRPr="00CA1602" w14:paraId="4DFBAB7E" w14:textId="77777777" w:rsidTr="28D37C99">
        <w:trPr>
          <w:trHeight w:val="600"/>
        </w:trPr>
        <w:tc>
          <w:tcPr>
            <w:tcW w:w="1875" w:type="dxa"/>
            <w:tcBorders>
              <w:top w:val="single" w:sz="12" w:space="0" w:color="156082"/>
              <w:left w:val="single" w:sz="12" w:space="0" w:color="156082"/>
              <w:bottom w:val="single" w:sz="8" w:space="0" w:color="156082"/>
              <w:right w:val="dashed" w:sz="8" w:space="0" w:color="156082"/>
            </w:tcBorders>
            <w:tcMar>
              <w:left w:w="108" w:type="dxa"/>
              <w:right w:w="108" w:type="dxa"/>
            </w:tcMar>
            <w:vAlign w:val="center"/>
          </w:tcPr>
          <w:p w14:paraId="4B9EBA2A" w14:textId="173C3051"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Cyprus</w:t>
            </w:r>
          </w:p>
        </w:tc>
        <w:tc>
          <w:tcPr>
            <w:tcW w:w="1629" w:type="dxa"/>
            <w:tcBorders>
              <w:top w:val="single" w:sz="12" w:space="0" w:color="156082"/>
              <w:left w:val="dashed" w:sz="8" w:space="0" w:color="156082"/>
              <w:bottom w:val="single" w:sz="8" w:space="0" w:color="156082"/>
              <w:right w:val="dashed" w:sz="8" w:space="0" w:color="156082"/>
            </w:tcBorders>
            <w:shd w:val="clear" w:color="auto" w:fill="B4C6E7" w:themeFill="accent5" w:themeFillTint="66"/>
            <w:tcMar>
              <w:left w:w="108" w:type="dxa"/>
              <w:right w:w="108" w:type="dxa"/>
            </w:tcMar>
            <w:vAlign w:val="center"/>
          </w:tcPr>
          <w:p w14:paraId="6EDD21F2" w14:textId="63F54C93"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tcBorders>
              <w:top w:val="single" w:sz="12" w:space="0" w:color="156082"/>
              <w:left w:val="dashed" w:sz="8" w:space="0" w:color="156082"/>
              <w:bottom w:val="single" w:sz="8" w:space="0" w:color="156082"/>
              <w:right w:val="single" w:sz="12" w:space="0" w:color="156082"/>
            </w:tcBorders>
            <w:tcMar>
              <w:left w:w="108" w:type="dxa"/>
              <w:right w:w="108" w:type="dxa"/>
            </w:tcMar>
            <w:vAlign w:val="center"/>
          </w:tcPr>
          <w:p w14:paraId="4F388D2D" w14:textId="78086A4B" w:rsidR="044E42F4" w:rsidRPr="00DE3A6F" w:rsidRDefault="044E42F4" w:rsidP="044E42F4">
            <w:pPr>
              <w:spacing w:before="120" w:line="276" w:lineRule="auto"/>
              <w:ind w:left="190"/>
              <w:rPr>
                <w:noProof/>
              </w:rPr>
            </w:pPr>
            <w:r w:rsidRPr="007A635E">
              <w:rPr>
                <w:rFonts w:ascii="Arial" w:eastAsia="Arial" w:hAnsi="Arial" w:cs="Arial"/>
                <w:noProof/>
                <w:sz w:val="20"/>
              </w:rPr>
              <w:t>Among other</w:t>
            </w:r>
            <w:r w:rsidR="00D44F55">
              <w:rPr>
                <w:rFonts w:ascii="Arial" w:eastAsia="Arial" w:hAnsi="Arial" w:cs="Arial"/>
                <w:noProof/>
                <w:sz w:val="20"/>
              </w:rPr>
              <w:t xml:space="preserve"> courses</w:t>
            </w:r>
            <w:r w:rsidRPr="007A635E">
              <w:rPr>
                <w:rFonts w:ascii="Arial" w:eastAsia="Arial" w:hAnsi="Arial" w:cs="Arial"/>
                <w:noProof/>
                <w:sz w:val="20"/>
              </w:rPr>
              <w:t xml:space="preserve">, training on using </w:t>
            </w:r>
            <w:r w:rsidR="00D44F55">
              <w:rPr>
                <w:rFonts w:ascii="Arial" w:eastAsia="Arial" w:hAnsi="Arial" w:cs="Arial"/>
                <w:noProof/>
                <w:sz w:val="20"/>
              </w:rPr>
              <w:t xml:space="preserve">the </w:t>
            </w:r>
            <w:r w:rsidRPr="007A635E">
              <w:rPr>
                <w:rFonts w:ascii="Arial" w:eastAsia="Arial" w:hAnsi="Arial" w:cs="Arial"/>
                <w:noProof/>
                <w:sz w:val="20"/>
              </w:rPr>
              <w:t xml:space="preserve">IMS and EDES systems. </w:t>
            </w:r>
          </w:p>
        </w:tc>
      </w:tr>
      <w:tr w:rsidR="044E42F4" w:rsidRPr="00CA1602" w14:paraId="4FBB6B8C" w14:textId="77777777" w:rsidTr="28D37C99">
        <w:trPr>
          <w:trHeight w:val="600"/>
        </w:trPr>
        <w:tc>
          <w:tcPr>
            <w:tcW w:w="1875" w:type="dxa"/>
            <w:tcBorders>
              <w:top w:val="single" w:sz="8" w:space="0" w:color="156082"/>
              <w:left w:val="single" w:sz="12" w:space="0" w:color="156082"/>
              <w:bottom w:val="single" w:sz="8" w:space="0" w:color="156082"/>
              <w:right w:val="dashed" w:sz="8" w:space="0" w:color="156082"/>
            </w:tcBorders>
            <w:tcMar>
              <w:left w:w="108" w:type="dxa"/>
              <w:right w:w="108" w:type="dxa"/>
            </w:tcMar>
            <w:vAlign w:val="center"/>
          </w:tcPr>
          <w:p w14:paraId="1F983F6A" w14:textId="174F8ABA"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Denmark </w:t>
            </w:r>
          </w:p>
        </w:tc>
        <w:tc>
          <w:tcPr>
            <w:tcW w:w="1629" w:type="dxa"/>
            <w:tcBorders>
              <w:top w:val="single" w:sz="8" w:space="0" w:color="156082"/>
              <w:left w:val="dashed" w:sz="8" w:space="0" w:color="156082"/>
              <w:bottom w:val="single" w:sz="8" w:space="0" w:color="156082"/>
              <w:right w:val="dashed" w:sz="8" w:space="0" w:color="156082"/>
            </w:tcBorders>
            <w:shd w:val="clear" w:color="auto" w:fill="B4C6E7" w:themeFill="accent5" w:themeFillTint="66"/>
            <w:tcMar>
              <w:left w:w="108" w:type="dxa"/>
              <w:right w:w="108" w:type="dxa"/>
            </w:tcMar>
            <w:vAlign w:val="center"/>
          </w:tcPr>
          <w:p w14:paraId="6AD346B2" w14:textId="58E6D1CB"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664B3244" w14:textId="75E2C0CC" w:rsidR="044E42F4" w:rsidRPr="00DE3A6F" w:rsidRDefault="044E42F4" w:rsidP="044E42F4">
            <w:pPr>
              <w:spacing w:before="120" w:line="276" w:lineRule="auto"/>
              <w:ind w:left="193"/>
              <w:rPr>
                <w:noProof/>
              </w:rPr>
            </w:pPr>
            <w:r w:rsidRPr="00DE3A6F">
              <w:rPr>
                <w:rFonts w:ascii="Arial" w:eastAsia="Arial" w:hAnsi="Arial" w:cs="Arial"/>
                <w:noProof/>
                <w:sz w:val="20"/>
              </w:rPr>
              <w:t>Guidelines on proper reporting of irregularities clarifying ambiguities</w:t>
            </w:r>
            <w:r w:rsidR="00270D4B" w:rsidRPr="00DE3A6F">
              <w:rPr>
                <w:rFonts w:ascii="Arial" w:eastAsia="Arial" w:hAnsi="Arial" w:cs="Arial"/>
                <w:noProof/>
                <w:sz w:val="20"/>
              </w:rPr>
              <w:t xml:space="preserve"> identified</w:t>
            </w:r>
            <w:r w:rsidRPr="00DE3A6F">
              <w:rPr>
                <w:rFonts w:ascii="Arial" w:eastAsia="Arial" w:hAnsi="Arial" w:cs="Arial"/>
                <w:noProof/>
                <w:sz w:val="20"/>
              </w:rPr>
              <w:t xml:space="preserve">. </w:t>
            </w:r>
          </w:p>
        </w:tc>
      </w:tr>
      <w:tr w:rsidR="044E42F4" w:rsidRPr="00CA1602" w14:paraId="112D621F" w14:textId="77777777" w:rsidTr="28D37C99">
        <w:trPr>
          <w:trHeight w:val="600"/>
        </w:trPr>
        <w:tc>
          <w:tcPr>
            <w:tcW w:w="1875" w:type="dxa"/>
            <w:tcBorders>
              <w:top w:val="single" w:sz="8" w:space="0" w:color="156082"/>
              <w:left w:val="single" w:sz="12" w:space="0" w:color="156082"/>
              <w:bottom w:val="single" w:sz="8" w:space="0" w:color="156082"/>
              <w:right w:val="dashed" w:sz="8" w:space="0" w:color="156082"/>
            </w:tcBorders>
            <w:tcMar>
              <w:left w:w="108" w:type="dxa"/>
              <w:right w:w="108" w:type="dxa"/>
            </w:tcMar>
            <w:vAlign w:val="center"/>
          </w:tcPr>
          <w:p w14:paraId="0A4FC466" w14:textId="6AE7BCBD"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Germany</w:t>
            </w:r>
          </w:p>
        </w:tc>
        <w:tc>
          <w:tcPr>
            <w:tcW w:w="1629" w:type="dxa"/>
            <w:tcBorders>
              <w:top w:val="single" w:sz="8" w:space="0" w:color="156082"/>
              <w:left w:val="dashed" w:sz="8" w:space="0" w:color="156082"/>
              <w:bottom w:val="single" w:sz="8" w:space="0" w:color="156082"/>
              <w:right w:val="dashed" w:sz="8" w:space="0" w:color="156082"/>
            </w:tcBorders>
            <w:shd w:val="clear" w:color="auto" w:fill="B4C6E7" w:themeFill="accent5" w:themeFillTint="66"/>
            <w:tcMar>
              <w:left w:w="108" w:type="dxa"/>
              <w:right w:w="108" w:type="dxa"/>
            </w:tcMar>
            <w:vAlign w:val="center"/>
          </w:tcPr>
          <w:p w14:paraId="739B7B83" w14:textId="3A186B0F"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5765848C" w14:textId="5CB7A880" w:rsidR="044E42F4" w:rsidRPr="00DE3A6F" w:rsidRDefault="044E42F4" w:rsidP="044E42F4">
            <w:pPr>
              <w:spacing w:before="120" w:line="276" w:lineRule="auto"/>
              <w:ind w:left="190"/>
              <w:rPr>
                <w:noProof/>
              </w:rPr>
            </w:pPr>
            <w:r w:rsidRPr="007A635E">
              <w:rPr>
                <w:rFonts w:ascii="Arial" w:eastAsia="Arial" w:hAnsi="Arial" w:cs="Arial"/>
                <w:noProof/>
                <w:sz w:val="20"/>
              </w:rPr>
              <w:t xml:space="preserve">Workshop dedicated to </w:t>
            </w:r>
            <w:r w:rsidR="00270D4B">
              <w:rPr>
                <w:rFonts w:ascii="Arial" w:eastAsia="Arial" w:hAnsi="Arial" w:cs="Arial"/>
                <w:noProof/>
                <w:sz w:val="20"/>
              </w:rPr>
              <w:t xml:space="preserve">the </w:t>
            </w:r>
            <w:r w:rsidRPr="007A635E">
              <w:rPr>
                <w:rFonts w:ascii="Arial" w:eastAsia="Arial" w:hAnsi="Arial" w:cs="Arial"/>
                <w:noProof/>
                <w:sz w:val="20"/>
              </w:rPr>
              <w:t>IMS system.</w:t>
            </w:r>
          </w:p>
        </w:tc>
      </w:tr>
      <w:tr w:rsidR="044E42F4" w:rsidRPr="00CA1602" w14:paraId="2A04A1AF" w14:textId="77777777" w:rsidTr="28D37C99">
        <w:trPr>
          <w:trHeight w:val="600"/>
        </w:trPr>
        <w:tc>
          <w:tcPr>
            <w:tcW w:w="1875" w:type="dxa"/>
            <w:vMerge w:val="restart"/>
            <w:tcBorders>
              <w:top w:val="single" w:sz="8" w:space="0" w:color="156082"/>
              <w:left w:val="single" w:sz="12" w:space="0" w:color="156082"/>
              <w:bottom w:val="single" w:sz="8" w:space="0" w:color="156082"/>
              <w:right w:val="dashed" w:sz="8" w:space="0" w:color="156082"/>
            </w:tcBorders>
            <w:tcMar>
              <w:left w:w="108" w:type="dxa"/>
              <w:right w:w="108" w:type="dxa"/>
            </w:tcMar>
            <w:vAlign w:val="center"/>
          </w:tcPr>
          <w:p w14:paraId="724E89AE" w14:textId="69E487B3"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Luxembourg</w:t>
            </w:r>
          </w:p>
        </w:tc>
        <w:tc>
          <w:tcPr>
            <w:tcW w:w="1629" w:type="dxa"/>
            <w:tcBorders>
              <w:top w:val="single" w:sz="8" w:space="0" w:color="156082"/>
              <w:left w:val="dashed" w:sz="8" w:space="0" w:color="156082"/>
              <w:bottom w:val="dashed" w:sz="8" w:space="0" w:color="156082"/>
              <w:right w:val="dashed" w:sz="8" w:space="0" w:color="156082"/>
            </w:tcBorders>
            <w:shd w:val="clear" w:color="auto" w:fill="B4C6E7" w:themeFill="accent5" w:themeFillTint="66"/>
            <w:tcMar>
              <w:left w:w="108" w:type="dxa"/>
              <w:right w:w="108" w:type="dxa"/>
            </w:tcMar>
            <w:vAlign w:val="center"/>
          </w:tcPr>
          <w:p w14:paraId="05FBCCA2" w14:textId="15EDE71E"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vMerge w:val="restart"/>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00816B18" w14:textId="08AC065D" w:rsidR="044E42F4" w:rsidRPr="00DE3A6F" w:rsidRDefault="044E42F4" w:rsidP="044E42F4">
            <w:pPr>
              <w:spacing w:before="120" w:line="276" w:lineRule="auto"/>
              <w:ind w:left="190"/>
              <w:rPr>
                <w:noProof/>
              </w:rPr>
            </w:pPr>
            <w:r w:rsidRPr="00DE3A6F">
              <w:rPr>
                <w:rFonts w:ascii="Arial" w:eastAsia="Arial" w:hAnsi="Arial" w:cs="Arial"/>
                <w:noProof/>
                <w:sz w:val="20"/>
              </w:rPr>
              <w:t>Issuance of guidelines to be applied in cases of fraud or irregularities</w:t>
            </w:r>
            <w:r w:rsidR="00270D4B">
              <w:rPr>
                <w:rFonts w:ascii="Arial" w:eastAsia="Arial" w:hAnsi="Arial" w:cs="Arial"/>
                <w:noProof/>
                <w:sz w:val="20"/>
              </w:rPr>
              <w:t xml:space="preserve"> being detected</w:t>
            </w:r>
            <w:r w:rsidRPr="00DE3A6F">
              <w:rPr>
                <w:rFonts w:ascii="Arial" w:eastAsia="Arial" w:hAnsi="Arial" w:cs="Arial"/>
                <w:noProof/>
                <w:sz w:val="20"/>
              </w:rPr>
              <w:t xml:space="preserve">, the corresponding corrective procedures, and the notification and monitoring of </w:t>
            </w:r>
            <w:r w:rsidR="007C06B0">
              <w:rPr>
                <w:rFonts w:ascii="Arial" w:eastAsia="Arial" w:hAnsi="Arial" w:cs="Arial"/>
                <w:noProof/>
                <w:sz w:val="20"/>
              </w:rPr>
              <w:t xml:space="preserve">those </w:t>
            </w:r>
            <w:r w:rsidRPr="00DE3A6F">
              <w:rPr>
                <w:rFonts w:ascii="Arial" w:eastAsia="Arial" w:hAnsi="Arial" w:cs="Arial"/>
                <w:noProof/>
                <w:sz w:val="20"/>
              </w:rPr>
              <w:t>irregularities.</w:t>
            </w:r>
          </w:p>
        </w:tc>
      </w:tr>
      <w:tr w:rsidR="044E42F4" w:rsidRPr="00CA1602" w14:paraId="03D54722" w14:textId="77777777" w:rsidTr="00BD00D0">
        <w:trPr>
          <w:trHeight w:val="600"/>
        </w:trPr>
        <w:tc>
          <w:tcPr>
            <w:tcW w:w="1875" w:type="dxa"/>
            <w:vMerge/>
            <w:tcBorders>
              <w:left w:val="single" w:sz="12" w:space="0" w:color="156082"/>
              <w:right w:val="dashed" w:sz="8" w:space="0" w:color="156082"/>
            </w:tcBorders>
            <w:vAlign w:val="center"/>
          </w:tcPr>
          <w:p w14:paraId="3C2D1682" w14:textId="77777777" w:rsidR="00286280" w:rsidRPr="00CA1602" w:rsidRDefault="00286280">
            <w:pPr>
              <w:rPr>
                <w:noProof/>
              </w:rPr>
            </w:pPr>
          </w:p>
        </w:tc>
        <w:tc>
          <w:tcPr>
            <w:tcW w:w="1629" w:type="dxa"/>
            <w:tcBorders>
              <w:top w:val="dashed" w:sz="8" w:space="0" w:color="156082"/>
              <w:left w:val="dashed" w:sz="8" w:space="0" w:color="156082"/>
              <w:bottom w:val="single" w:sz="8" w:space="0" w:color="156082"/>
              <w:right w:val="dashed" w:sz="8" w:space="0" w:color="156082"/>
            </w:tcBorders>
            <w:shd w:val="clear" w:color="auto" w:fill="B3E5A1"/>
            <w:tcMar>
              <w:left w:w="108" w:type="dxa"/>
              <w:right w:w="108" w:type="dxa"/>
            </w:tcMar>
            <w:vAlign w:val="center"/>
          </w:tcPr>
          <w:p w14:paraId="3F238833" w14:textId="4D8B7D2E" w:rsidR="044E42F4" w:rsidRPr="00DE3A6F" w:rsidRDefault="044E42F4" w:rsidP="044E42F4">
            <w:pPr>
              <w:spacing w:before="120" w:line="276" w:lineRule="auto"/>
              <w:jc w:val="center"/>
              <w:rPr>
                <w:noProof/>
              </w:rPr>
            </w:pPr>
            <w:r w:rsidRPr="007A635E">
              <w:rPr>
                <w:rFonts w:ascii="Arial" w:eastAsia="Arial" w:hAnsi="Arial" w:cs="Arial"/>
                <w:noProof/>
                <w:color w:val="000000" w:themeColor="text1"/>
                <w:sz w:val="18"/>
                <w:szCs w:val="18"/>
              </w:rPr>
              <w:t>Organisational</w:t>
            </w:r>
          </w:p>
        </w:tc>
        <w:tc>
          <w:tcPr>
            <w:tcW w:w="4943" w:type="dxa"/>
            <w:vMerge/>
            <w:tcBorders>
              <w:right w:val="single" w:sz="12" w:space="0" w:color="156082"/>
            </w:tcBorders>
            <w:vAlign w:val="center"/>
          </w:tcPr>
          <w:p w14:paraId="7DA7EAE6" w14:textId="77777777" w:rsidR="00286280" w:rsidRPr="00CA1602" w:rsidRDefault="00286280">
            <w:pPr>
              <w:rPr>
                <w:noProof/>
              </w:rPr>
            </w:pPr>
          </w:p>
        </w:tc>
      </w:tr>
      <w:tr w:rsidR="044E42F4" w:rsidRPr="00CA1602" w14:paraId="74AABCEA" w14:textId="77777777" w:rsidTr="28D37C99">
        <w:trPr>
          <w:trHeight w:val="600"/>
        </w:trPr>
        <w:tc>
          <w:tcPr>
            <w:tcW w:w="1875" w:type="dxa"/>
            <w:tcBorders>
              <w:top w:val="nil"/>
              <w:left w:val="single" w:sz="12" w:space="0" w:color="156082"/>
              <w:bottom w:val="single" w:sz="8" w:space="0" w:color="156082"/>
              <w:right w:val="dashed" w:sz="8" w:space="0" w:color="156082"/>
            </w:tcBorders>
            <w:tcMar>
              <w:left w:w="108" w:type="dxa"/>
              <w:right w:w="108" w:type="dxa"/>
            </w:tcMar>
            <w:vAlign w:val="center"/>
          </w:tcPr>
          <w:p w14:paraId="40D437C1" w14:textId="26690F8E"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Poland</w:t>
            </w:r>
          </w:p>
        </w:tc>
        <w:tc>
          <w:tcPr>
            <w:tcW w:w="1629" w:type="dxa"/>
            <w:tcBorders>
              <w:top w:val="single" w:sz="8" w:space="0" w:color="156082"/>
              <w:left w:val="dashed" w:sz="8" w:space="0" w:color="156082"/>
              <w:bottom w:val="single" w:sz="8" w:space="0" w:color="156082"/>
              <w:right w:val="dashed" w:sz="8" w:space="0" w:color="156082"/>
            </w:tcBorders>
            <w:shd w:val="clear" w:color="auto" w:fill="FFE599" w:themeFill="accent4" w:themeFillTint="66"/>
            <w:tcMar>
              <w:left w:w="108" w:type="dxa"/>
              <w:right w:w="108" w:type="dxa"/>
            </w:tcMar>
            <w:vAlign w:val="center"/>
          </w:tcPr>
          <w:p w14:paraId="266BB228" w14:textId="5DD9F289"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943" w:type="dxa"/>
            <w:tcBorders>
              <w:top w:val="nil"/>
              <w:left w:val="dashed" w:sz="8" w:space="0" w:color="156082"/>
              <w:bottom w:val="single" w:sz="8" w:space="0" w:color="156082"/>
              <w:right w:val="single" w:sz="12" w:space="0" w:color="156082"/>
            </w:tcBorders>
            <w:tcMar>
              <w:left w:w="108" w:type="dxa"/>
              <w:right w:w="108" w:type="dxa"/>
            </w:tcMar>
            <w:vAlign w:val="center"/>
          </w:tcPr>
          <w:p w14:paraId="0167278C" w14:textId="5F08465D" w:rsidR="044E42F4" w:rsidRPr="00DE3A6F" w:rsidRDefault="044E42F4" w:rsidP="044E42F4">
            <w:pPr>
              <w:spacing w:before="120" w:line="276" w:lineRule="auto"/>
              <w:ind w:left="190"/>
              <w:rPr>
                <w:noProof/>
              </w:rPr>
            </w:pPr>
          </w:p>
          <w:p w14:paraId="6C827029" w14:textId="74745880" w:rsidR="044E42F4" w:rsidRPr="007A635E" w:rsidRDefault="08D16426" w:rsidP="28D37C99">
            <w:pPr>
              <w:spacing w:before="120" w:line="276" w:lineRule="auto"/>
              <w:ind w:left="190"/>
              <w:rPr>
                <w:rFonts w:ascii="Arial" w:eastAsia="Arial" w:hAnsi="Arial" w:cs="Arial"/>
                <w:noProof/>
                <w:sz w:val="20"/>
              </w:rPr>
            </w:pPr>
            <w:r w:rsidRPr="007A635E">
              <w:rPr>
                <w:rFonts w:ascii="Arial" w:eastAsia="Arial" w:hAnsi="Arial" w:cs="Arial"/>
                <w:noProof/>
                <w:sz w:val="20"/>
              </w:rPr>
              <w:t xml:space="preserve">Framework checklist harmonising </w:t>
            </w:r>
            <w:r w:rsidR="007C06B0">
              <w:rPr>
                <w:rFonts w:ascii="Arial" w:eastAsia="Arial" w:hAnsi="Arial" w:cs="Arial"/>
                <w:noProof/>
                <w:sz w:val="20"/>
              </w:rPr>
              <w:t xml:space="preserve">the </w:t>
            </w:r>
            <w:r w:rsidRPr="007A635E">
              <w:rPr>
                <w:rFonts w:ascii="Arial" w:eastAsia="Arial" w:hAnsi="Arial" w:cs="Arial"/>
                <w:noProof/>
                <w:sz w:val="20"/>
              </w:rPr>
              <w:t xml:space="preserve">approach of various institutions in selecting </w:t>
            </w:r>
            <w:r w:rsidR="007C06B0">
              <w:rPr>
                <w:rFonts w:ascii="Arial" w:eastAsia="Arial" w:hAnsi="Arial" w:cs="Arial"/>
                <w:noProof/>
                <w:sz w:val="20"/>
              </w:rPr>
              <w:t xml:space="preserve">aspects to </w:t>
            </w:r>
            <w:r w:rsidRPr="007A635E">
              <w:rPr>
                <w:rFonts w:ascii="Arial" w:eastAsia="Arial" w:hAnsi="Arial" w:cs="Arial"/>
                <w:noProof/>
                <w:sz w:val="20"/>
              </w:rPr>
              <w:t>verif</w:t>
            </w:r>
            <w:r w:rsidR="007C06B0">
              <w:rPr>
                <w:rFonts w:ascii="Arial" w:eastAsia="Arial" w:hAnsi="Arial" w:cs="Arial"/>
                <w:noProof/>
                <w:sz w:val="20"/>
              </w:rPr>
              <w:t>y</w:t>
            </w:r>
            <w:r w:rsidRPr="007A635E">
              <w:rPr>
                <w:rFonts w:ascii="Arial" w:eastAsia="Arial" w:hAnsi="Arial" w:cs="Arial"/>
                <w:noProof/>
                <w:sz w:val="20"/>
              </w:rPr>
              <w:t xml:space="preserve"> during checks on public procurement and </w:t>
            </w:r>
            <w:r w:rsidR="007C06B0">
              <w:rPr>
                <w:rFonts w:ascii="Arial" w:eastAsia="Arial" w:hAnsi="Arial" w:cs="Arial"/>
                <w:noProof/>
                <w:sz w:val="20"/>
              </w:rPr>
              <w:t>S</w:t>
            </w:r>
            <w:r w:rsidR="007C06B0" w:rsidRPr="007A635E">
              <w:rPr>
                <w:rFonts w:ascii="Arial" w:eastAsia="Arial" w:hAnsi="Arial" w:cs="Arial"/>
                <w:noProof/>
                <w:sz w:val="20"/>
              </w:rPr>
              <w:t xml:space="preserve">tate </w:t>
            </w:r>
            <w:r w:rsidRPr="007A635E">
              <w:rPr>
                <w:rFonts w:ascii="Arial" w:eastAsia="Arial" w:hAnsi="Arial" w:cs="Arial"/>
                <w:noProof/>
                <w:sz w:val="20"/>
              </w:rPr>
              <w:t>aid.</w:t>
            </w:r>
          </w:p>
        </w:tc>
      </w:tr>
      <w:tr w:rsidR="044E42F4" w:rsidRPr="00CA1602" w14:paraId="11F4EFBB" w14:textId="77777777" w:rsidTr="28D37C99">
        <w:trPr>
          <w:trHeight w:val="600"/>
        </w:trPr>
        <w:tc>
          <w:tcPr>
            <w:tcW w:w="1875" w:type="dxa"/>
            <w:vMerge w:val="restart"/>
            <w:tcBorders>
              <w:top w:val="single" w:sz="8" w:space="0" w:color="156082"/>
              <w:left w:val="single" w:sz="12" w:space="0" w:color="156082"/>
              <w:bottom w:val="single" w:sz="12" w:space="0" w:color="156082"/>
              <w:right w:val="dashed" w:sz="8" w:space="0" w:color="156082"/>
            </w:tcBorders>
            <w:tcMar>
              <w:left w:w="108" w:type="dxa"/>
              <w:right w:w="108" w:type="dxa"/>
            </w:tcMar>
            <w:vAlign w:val="center"/>
          </w:tcPr>
          <w:p w14:paraId="2B5804B0" w14:textId="795AD37D"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Slovakia </w:t>
            </w:r>
          </w:p>
        </w:tc>
        <w:tc>
          <w:tcPr>
            <w:tcW w:w="1629" w:type="dxa"/>
            <w:tcBorders>
              <w:top w:val="single" w:sz="8" w:space="0" w:color="156082"/>
              <w:left w:val="dashed" w:sz="8" w:space="0" w:color="156082"/>
              <w:bottom w:val="dashed" w:sz="8" w:space="0" w:color="156082"/>
              <w:right w:val="dashed" w:sz="8" w:space="0" w:color="156082"/>
            </w:tcBorders>
            <w:shd w:val="clear" w:color="auto" w:fill="F6C5AC"/>
            <w:tcMar>
              <w:left w:w="108" w:type="dxa"/>
              <w:right w:w="108" w:type="dxa"/>
            </w:tcMar>
            <w:vAlign w:val="center"/>
          </w:tcPr>
          <w:p w14:paraId="7711B936" w14:textId="242140C7"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Legislative</w:t>
            </w:r>
          </w:p>
        </w:tc>
        <w:tc>
          <w:tcPr>
            <w:tcW w:w="4943" w:type="dxa"/>
            <w:vMerge w:val="restart"/>
            <w:tcBorders>
              <w:top w:val="single" w:sz="8" w:space="0" w:color="156082"/>
              <w:left w:val="dashed" w:sz="8" w:space="0" w:color="156082"/>
              <w:bottom w:val="single" w:sz="12" w:space="0" w:color="156082"/>
              <w:right w:val="single" w:sz="12" w:space="0" w:color="156082"/>
            </w:tcBorders>
            <w:tcMar>
              <w:left w:w="108" w:type="dxa"/>
              <w:right w:w="108" w:type="dxa"/>
            </w:tcMar>
            <w:vAlign w:val="center"/>
          </w:tcPr>
          <w:p w14:paraId="0AE00F0F" w14:textId="5B805572" w:rsidR="044E42F4" w:rsidRPr="00DE3A6F" w:rsidRDefault="044E42F4" w:rsidP="044E42F4">
            <w:pPr>
              <w:spacing w:before="120" w:line="276" w:lineRule="auto"/>
              <w:ind w:left="190"/>
              <w:rPr>
                <w:noProof/>
              </w:rPr>
            </w:pPr>
          </w:p>
          <w:p w14:paraId="5781D5A7" w14:textId="36F26849" w:rsidR="044E42F4" w:rsidRPr="00DE3A6F" w:rsidRDefault="5C8D027C" w:rsidP="00F97711">
            <w:pPr>
              <w:spacing w:before="120" w:line="276" w:lineRule="auto"/>
              <w:ind w:left="190"/>
              <w:rPr>
                <w:noProof/>
              </w:rPr>
            </w:pPr>
            <w:r w:rsidRPr="007A635E">
              <w:rPr>
                <w:rFonts w:ascii="Arial" w:eastAsia="Arial" w:hAnsi="Arial" w:cs="Arial"/>
                <w:noProof/>
                <w:sz w:val="20"/>
              </w:rPr>
              <w:t>Manual on reporting irregularities (AFCOS); new internal audit guidelines were issued due to the adoption of an amendment to the legislation.</w:t>
            </w:r>
            <w:r w:rsidR="044E42F4" w:rsidRPr="007A635E">
              <w:rPr>
                <w:rFonts w:ascii="Arial" w:eastAsia="Arial" w:hAnsi="Arial" w:cs="Arial"/>
                <w:noProof/>
                <w:sz w:val="20"/>
              </w:rPr>
              <w:t xml:space="preserve"> </w:t>
            </w:r>
          </w:p>
        </w:tc>
      </w:tr>
      <w:tr w:rsidR="044E42F4" w:rsidRPr="00CA1602" w14:paraId="4ECD8C55" w14:textId="77777777" w:rsidTr="00BD00D0">
        <w:trPr>
          <w:trHeight w:val="600"/>
        </w:trPr>
        <w:tc>
          <w:tcPr>
            <w:tcW w:w="1875" w:type="dxa"/>
            <w:vMerge/>
            <w:tcBorders>
              <w:left w:val="single" w:sz="12" w:space="0" w:color="156082"/>
              <w:bottom w:val="single" w:sz="12" w:space="0" w:color="156082"/>
              <w:right w:val="dashed" w:sz="8" w:space="0" w:color="156082"/>
            </w:tcBorders>
            <w:vAlign w:val="center"/>
          </w:tcPr>
          <w:p w14:paraId="5182D532" w14:textId="77777777" w:rsidR="00286280" w:rsidRPr="00CA1602" w:rsidRDefault="00286280">
            <w:pPr>
              <w:rPr>
                <w:noProof/>
              </w:rPr>
            </w:pPr>
          </w:p>
        </w:tc>
        <w:tc>
          <w:tcPr>
            <w:tcW w:w="1629" w:type="dxa"/>
            <w:tcBorders>
              <w:top w:val="dashed" w:sz="8" w:space="0" w:color="156082"/>
              <w:left w:val="dashed" w:sz="8" w:space="0" w:color="156082"/>
              <w:bottom w:val="single" w:sz="12" w:space="0" w:color="156082"/>
              <w:right w:val="dashed" w:sz="8" w:space="0" w:color="156082"/>
            </w:tcBorders>
            <w:shd w:val="clear" w:color="auto" w:fill="B4C6E7" w:themeFill="accent5" w:themeFillTint="66"/>
            <w:tcMar>
              <w:left w:w="108" w:type="dxa"/>
              <w:right w:w="108" w:type="dxa"/>
            </w:tcMar>
            <w:vAlign w:val="center"/>
          </w:tcPr>
          <w:p w14:paraId="0F845B94" w14:textId="564AE685"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43" w:type="dxa"/>
            <w:vMerge/>
            <w:tcBorders>
              <w:bottom w:val="single" w:sz="12" w:space="0" w:color="156082"/>
              <w:right w:val="single" w:sz="12" w:space="0" w:color="156082"/>
            </w:tcBorders>
            <w:vAlign w:val="center"/>
          </w:tcPr>
          <w:p w14:paraId="52C9D954" w14:textId="77777777" w:rsidR="00286280" w:rsidRPr="00CA1602" w:rsidRDefault="00286280">
            <w:pPr>
              <w:rPr>
                <w:noProof/>
              </w:rPr>
            </w:pPr>
          </w:p>
        </w:tc>
      </w:tr>
    </w:tbl>
    <w:p w14:paraId="2AB68A1F" w14:textId="3D09833C" w:rsidR="044E42F4" w:rsidRPr="00DE3A6F" w:rsidRDefault="044E42F4" w:rsidP="044E42F4">
      <w:pPr>
        <w:rPr>
          <w:b/>
          <w:bCs/>
          <w:noProof/>
        </w:rPr>
      </w:pPr>
    </w:p>
    <w:p w14:paraId="59DD9BCE" w14:textId="77777777" w:rsidR="007C06B0" w:rsidRDefault="007C06B0">
      <w:pPr>
        <w:spacing w:after="0" w:line="240" w:lineRule="auto"/>
        <w:jc w:val="left"/>
        <w:rPr>
          <w:b/>
          <w:bCs/>
          <w:noProof/>
        </w:rPr>
      </w:pPr>
      <w:r>
        <w:rPr>
          <w:b/>
          <w:bCs/>
          <w:noProof/>
        </w:rPr>
        <w:br w:type="page"/>
      </w:r>
    </w:p>
    <w:p w14:paraId="406A11F2" w14:textId="2E7426A1" w:rsidR="4D8E9834" w:rsidRPr="00DE3A6F" w:rsidRDefault="4D8E9834" w:rsidP="044E42F4">
      <w:pPr>
        <w:rPr>
          <w:b/>
          <w:bCs/>
          <w:noProof/>
        </w:rPr>
      </w:pPr>
      <w:r w:rsidRPr="00DE3A6F">
        <w:rPr>
          <w:b/>
          <w:bCs/>
          <w:noProof/>
        </w:rPr>
        <w:lastRenderedPageBreak/>
        <w:t xml:space="preserve">Table 4: Measures creating new bodies or transferring </w:t>
      </w:r>
      <w:r w:rsidR="00DF2CCA">
        <w:rPr>
          <w:b/>
          <w:bCs/>
          <w:noProof/>
        </w:rPr>
        <w:t xml:space="preserve">powers </w:t>
      </w:r>
      <w:r w:rsidR="446D46AC" w:rsidRPr="00DE3A6F">
        <w:rPr>
          <w:b/>
          <w:bCs/>
          <w:noProof/>
        </w:rPr>
        <w:t>(including streamlining communication with other national and EU-level counterparts</w:t>
      </w:r>
      <w:r w:rsidR="00DF2CCA">
        <w:rPr>
          <w:b/>
          <w:bCs/>
          <w:noProof/>
        </w:rPr>
        <w:t>)</w:t>
      </w:r>
    </w:p>
    <w:tbl>
      <w:tblPr>
        <w:tblW w:w="0" w:type="auto"/>
        <w:tblLook w:val="04A0" w:firstRow="1" w:lastRow="0" w:firstColumn="1" w:lastColumn="0" w:noHBand="0" w:noVBand="1"/>
      </w:tblPr>
      <w:tblGrid>
        <w:gridCol w:w="1719"/>
        <w:gridCol w:w="1635"/>
        <w:gridCol w:w="4988"/>
      </w:tblGrid>
      <w:tr w:rsidR="044E42F4" w:rsidRPr="00CA1602" w14:paraId="7C9E3F00" w14:textId="77777777" w:rsidTr="28D37C99">
        <w:trPr>
          <w:trHeight w:val="270"/>
        </w:trPr>
        <w:tc>
          <w:tcPr>
            <w:tcW w:w="8342" w:type="dxa"/>
            <w:gridSpan w:val="3"/>
            <w:tcBorders>
              <w:top w:val="single" w:sz="12" w:space="0" w:color="156082"/>
              <w:left w:val="single" w:sz="12" w:space="0" w:color="156082"/>
              <w:bottom w:val="single" w:sz="12" w:space="0" w:color="156082"/>
              <w:right w:val="single" w:sz="12" w:space="0" w:color="156082"/>
            </w:tcBorders>
            <w:shd w:val="clear" w:color="auto" w:fill="156082"/>
            <w:tcMar>
              <w:left w:w="108" w:type="dxa"/>
              <w:right w:w="108" w:type="dxa"/>
            </w:tcMar>
          </w:tcPr>
          <w:p w14:paraId="0973C42B" w14:textId="40D56CFB" w:rsidR="044E42F4" w:rsidRPr="00DE3A6F" w:rsidRDefault="044E42F4" w:rsidP="044E42F4">
            <w:pPr>
              <w:spacing w:after="0" w:line="276" w:lineRule="auto"/>
              <w:ind w:left="190"/>
              <w:jc w:val="center"/>
              <w:rPr>
                <w:noProof/>
              </w:rPr>
            </w:pPr>
            <w:r w:rsidRPr="00DE3A6F">
              <w:rPr>
                <w:rFonts w:ascii="Arial" w:eastAsia="Arial" w:hAnsi="Arial" w:cs="Arial"/>
                <w:b/>
                <w:bCs/>
                <w:noProof/>
                <w:color w:val="FFFFFF" w:themeColor="background1"/>
                <w:sz w:val="20"/>
              </w:rPr>
              <w:t>Managing the flow of information: Dedicated bodies/functions</w:t>
            </w:r>
          </w:p>
        </w:tc>
      </w:tr>
      <w:tr w:rsidR="044E42F4" w:rsidRPr="00CA1602" w14:paraId="7F3FD317" w14:textId="77777777" w:rsidTr="28D37C99">
        <w:trPr>
          <w:trHeight w:val="165"/>
        </w:trPr>
        <w:tc>
          <w:tcPr>
            <w:tcW w:w="1719" w:type="dxa"/>
            <w:tcBorders>
              <w:top w:val="single" w:sz="12" w:space="0" w:color="156082"/>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529C6303" w14:textId="1A18424D"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Member State</w:t>
            </w:r>
          </w:p>
        </w:tc>
        <w:tc>
          <w:tcPr>
            <w:tcW w:w="1635"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26C164AB" w14:textId="5C585427"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Type of measure</w:t>
            </w:r>
          </w:p>
        </w:tc>
        <w:tc>
          <w:tcPr>
            <w:tcW w:w="4988" w:type="dxa"/>
            <w:tcBorders>
              <w:top w:val="nil"/>
              <w:left w:val="single" w:sz="12" w:space="0" w:color="156082"/>
              <w:bottom w:val="single" w:sz="12" w:space="0" w:color="156082"/>
              <w:right w:val="single" w:sz="12" w:space="0" w:color="156082"/>
            </w:tcBorders>
            <w:shd w:val="clear" w:color="auto" w:fill="9CC2E5" w:themeFill="accent1" w:themeFillTint="99"/>
            <w:tcMar>
              <w:left w:w="108" w:type="dxa"/>
              <w:right w:w="108" w:type="dxa"/>
            </w:tcMar>
            <w:vAlign w:val="center"/>
          </w:tcPr>
          <w:p w14:paraId="5FF96714" w14:textId="163BF010" w:rsidR="044E42F4" w:rsidRPr="00DE3A6F" w:rsidRDefault="044E42F4" w:rsidP="044E42F4">
            <w:pPr>
              <w:spacing w:after="0" w:line="276" w:lineRule="auto"/>
              <w:jc w:val="center"/>
              <w:rPr>
                <w:noProof/>
              </w:rPr>
            </w:pPr>
            <w:r w:rsidRPr="00DE3A6F">
              <w:rPr>
                <w:rFonts w:ascii="Arial" w:eastAsia="Arial" w:hAnsi="Arial" w:cs="Arial"/>
                <w:b/>
                <w:bCs/>
                <w:noProof/>
                <w:color w:val="156082"/>
                <w:sz w:val="18"/>
                <w:szCs w:val="18"/>
              </w:rPr>
              <w:t>Description</w:t>
            </w:r>
          </w:p>
        </w:tc>
      </w:tr>
      <w:tr w:rsidR="044E42F4" w:rsidRPr="00CA1602" w14:paraId="0C4B80F2" w14:textId="77777777" w:rsidTr="28D37C99">
        <w:trPr>
          <w:trHeight w:val="600"/>
        </w:trPr>
        <w:tc>
          <w:tcPr>
            <w:tcW w:w="1719" w:type="dxa"/>
            <w:tcBorders>
              <w:top w:val="single" w:sz="12" w:space="0" w:color="156082"/>
              <w:left w:val="single" w:sz="12" w:space="0" w:color="156082"/>
              <w:bottom w:val="single" w:sz="8" w:space="0" w:color="156082"/>
              <w:right w:val="dashed" w:sz="8" w:space="0" w:color="156082"/>
            </w:tcBorders>
            <w:tcMar>
              <w:left w:w="108" w:type="dxa"/>
              <w:right w:w="108" w:type="dxa"/>
            </w:tcMar>
            <w:vAlign w:val="center"/>
          </w:tcPr>
          <w:p w14:paraId="23C1663E" w14:textId="1B9774B5"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Estonia</w:t>
            </w:r>
          </w:p>
        </w:tc>
        <w:tc>
          <w:tcPr>
            <w:tcW w:w="1635" w:type="dxa"/>
            <w:tcBorders>
              <w:top w:val="single" w:sz="12" w:space="0" w:color="156082"/>
              <w:left w:val="dashed" w:sz="8" w:space="0" w:color="156082"/>
              <w:bottom w:val="single" w:sz="8" w:space="0" w:color="156082"/>
              <w:right w:val="dashed" w:sz="8" w:space="0" w:color="156082"/>
            </w:tcBorders>
            <w:shd w:val="clear" w:color="auto" w:fill="B3E5A1"/>
            <w:tcMar>
              <w:left w:w="108" w:type="dxa"/>
              <w:right w:w="108" w:type="dxa"/>
            </w:tcMar>
            <w:vAlign w:val="center"/>
          </w:tcPr>
          <w:p w14:paraId="60F91D03" w14:textId="2441B6AF" w:rsidR="044E42F4" w:rsidRPr="00DE3A6F" w:rsidRDefault="044E42F4" w:rsidP="044E42F4">
            <w:pPr>
              <w:spacing w:before="120" w:line="276" w:lineRule="auto"/>
              <w:jc w:val="center"/>
              <w:rPr>
                <w:noProof/>
              </w:rPr>
            </w:pPr>
            <w:r w:rsidRPr="006426D0">
              <w:rPr>
                <w:rFonts w:ascii="Arial" w:eastAsia="Arial" w:hAnsi="Arial" w:cs="Arial"/>
                <w:noProof/>
                <w:color w:val="000000" w:themeColor="text1"/>
                <w:sz w:val="18"/>
                <w:szCs w:val="18"/>
              </w:rPr>
              <w:t>Organisational</w:t>
            </w:r>
          </w:p>
        </w:tc>
        <w:tc>
          <w:tcPr>
            <w:tcW w:w="4988" w:type="dxa"/>
            <w:tcBorders>
              <w:top w:val="single" w:sz="12" w:space="0" w:color="156082"/>
              <w:left w:val="dashed" w:sz="8" w:space="0" w:color="156082"/>
              <w:bottom w:val="single" w:sz="8" w:space="0" w:color="156082"/>
              <w:right w:val="single" w:sz="12" w:space="0" w:color="156082"/>
            </w:tcBorders>
            <w:tcMar>
              <w:left w:w="108" w:type="dxa"/>
              <w:right w:w="108" w:type="dxa"/>
            </w:tcMar>
            <w:vAlign w:val="center"/>
          </w:tcPr>
          <w:p w14:paraId="27BF63B3" w14:textId="58C2DF05" w:rsidR="044E42F4" w:rsidRPr="00DE3A6F" w:rsidRDefault="044E42F4" w:rsidP="044E42F4">
            <w:pPr>
              <w:spacing w:before="120" w:line="276" w:lineRule="auto"/>
              <w:ind w:left="190"/>
              <w:rPr>
                <w:noProof/>
              </w:rPr>
            </w:pPr>
            <w:r w:rsidRPr="006426D0">
              <w:rPr>
                <w:rFonts w:ascii="Arial" w:eastAsia="Arial" w:hAnsi="Arial" w:cs="Arial"/>
                <w:noProof/>
                <w:sz w:val="20"/>
              </w:rPr>
              <w:t>Designation of a new position of personal income tax manager.</w:t>
            </w:r>
          </w:p>
        </w:tc>
      </w:tr>
      <w:tr w:rsidR="044E42F4" w:rsidRPr="00CA1602" w14:paraId="25C4BDB0" w14:textId="77777777" w:rsidTr="28D37C99">
        <w:trPr>
          <w:trHeight w:val="600"/>
        </w:trPr>
        <w:tc>
          <w:tcPr>
            <w:tcW w:w="1719" w:type="dxa"/>
            <w:vMerge w:val="restart"/>
            <w:tcBorders>
              <w:top w:val="single" w:sz="8" w:space="0" w:color="156082"/>
              <w:left w:val="single" w:sz="12" w:space="0" w:color="156082"/>
              <w:bottom w:val="single" w:sz="12" w:space="0" w:color="156082"/>
              <w:right w:val="dashed" w:sz="8" w:space="0" w:color="156082"/>
            </w:tcBorders>
            <w:tcMar>
              <w:left w:w="108" w:type="dxa"/>
              <w:right w:w="108" w:type="dxa"/>
            </w:tcMar>
            <w:vAlign w:val="center"/>
          </w:tcPr>
          <w:p w14:paraId="1FF85A4E" w14:textId="74E185FF"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Greece</w:t>
            </w:r>
          </w:p>
        </w:tc>
        <w:tc>
          <w:tcPr>
            <w:tcW w:w="1635" w:type="dxa"/>
            <w:tcBorders>
              <w:top w:val="single" w:sz="8" w:space="0" w:color="156082"/>
              <w:left w:val="dashed" w:sz="8" w:space="0" w:color="156082"/>
              <w:bottom w:val="dashed" w:sz="8" w:space="0" w:color="156082"/>
              <w:right w:val="dashed" w:sz="8" w:space="0" w:color="156082"/>
            </w:tcBorders>
            <w:shd w:val="clear" w:color="auto" w:fill="F6C5AC"/>
            <w:tcMar>
              <w:left w:w="108" w:type="dxa"/>
              <w:right w:w="108" w:type="dxa"/>
            </w:tcMar>
            <w:vAlign w:val="center"/>
          </w:tcPr>
          <w:p w14:paraId="07997983" w14:textId="71F846A3"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Legislative</w:t>
            </w:r>
          </w:p>
        </w:tc>
        <w:tc>
          <w:tcPr>
            <w:tcW w:w="4988" w:type="dxa"/>
            <w:vMerge w:val="restart"/>
            <w:tcBorders>
              <w:top w:val="single" w:sz="8" w:space="0" w:color="156082"/>
              <w:left w:val="dashed" w:sz="8" w:space="0" w:color="156082"/>
              <w:bottom w:val="single" w:sz="8" w:space="0" w:color="156082"/>
              <w:right w:val="single" w:sz="12" w:space="0" w:color="156082"/>
            </w:tcBorders>
            <w:tcMar>
              <w:left w:w="108" w:type="dxa"/>
              <w:right w:w="108" w:type="dxa"/>
            </w:tcMar>
            <w:vAlign w:val="center"/>
          </w:tcPr>
          <w:p w14:paraId="5E058E4A" w14:textId="60C6D25D" w:rsidR="044E42F4" w:rsidRPr="00DE3A6F" w:rsidRDefault="044E42F4" w:rsidP="044E42F4">
            <w:pPr>
              <w:spacing w:before="120" w:line="276" w:lineRule="auto"/>
              <w:ind w:left="190"/>
              <w:rPr>
                <w:noProof/>
              </w:rPr>
            </w:pPr>
            <w:r w:rsidRPr="006426D0">
              <w:rPr>
                <w:rFonts w:ascii="Arial" w:eastAsia="Arial" w:hAnsi="Arial" w:cs="Arial"/>
                <w:noProof/>
                <w:sz w:val="20"/>
              </w:rPr>
              <w:t>Transfer of responsibilities, staff and services to</w:t>
            </w:r>
            <w:r w:rsidR="00B65A1F">
              <w:rPr>
                <w:rFonts w:ascii="Arial" w:eastAsia="Arial" w:hAnsi="Arial" w:cs="Arial"/>
                <w:noProof/>
                <w:sz w:val="20"/>
              </w:rPr>
              <w:t xml:space="preserve"> the</w:t>
            </w:r>
            <w:r w:rsidRPr="006426D0">
              <w:rPr>
                <w:rFonts w:ascii="Arial" w:eastAsia="Arial" w:hAnsi="Arial" w:cs="Arial"/>
                <w:noProof/>
                <w:sz w:val="20"/>
              </w:rPr>
              <w:t xml:space="preserve"> Independent Authority for Public Revenue to consolidate control and prosecution mechanisms, integrate information systems, and avoid duplication of responsibilities. </w:t>
            </w:r>
          </w:p>
        </w:tc>
      </w:tr>
      <w:tr w:rsidR="044E42F4" w:rsidRPr="00CA1602" w14:paraId="70F2D84F" w14:textId="77777777" w:rsidTr="00BD00D0">
        <w:trPr>
          <w:trHeight w:val="600"/>
        </w:trPr>
        <w:tc>
          <w:tcPr>
            <w:tcW w:w="1719" w:type="dxa"/>
            <w:vMerge/>
            <w:tcBorders>
              <w:left w:val="single" w:sz="12" w:space="0" w:color="156082"/>
              <w:right w:val="dashed" w:sz="8" w:space="0" w:color="156082"/>
            </w:tcBorders>
            <w:vAlign w:val="center"/>
          </w:tcPr>
          <w:p w14:paraId="13368D04" w14:textId="77777777" w:rsidR="00286280" w:rsidRPr="00CA1602" w:rsidRDefault="00286280">
            <w:pPr>
              <w:rPr>
                <w:noProof/>
              </w:rPr>
            </w:pPr>
          </w:p>
        </w:tc>
        <w:tc>
          <w:tcPr>
            <w:tcW w:w="1635" w:type="dxa"/>
            <w:tcBorders>
              <w:top w:val="dashed" w:sz="8" w:space="0" w:color="156082"/>
              <w:left w:val="dashed" w:sz="8" w:space="0" w:color="156082"/>
              <w:bottom w:val="dashed" w:sz="8" w:space="0" w:color="156082"/>
              <w:right w:val="dashed" w:sz="8" w:space="0" w:color="156082"/>
            </w:tcBorders>
            <w:shd w:val="clear" w:color="auto" w:fill="B4C6E7" w:themeFill="accent5" w:themeFillTint="66"/>
            <w:tcMar>
              <w:left w:w="108" w:type="dxa"/>
              <w:right w:w="108" w:type="dxa"/>
            </w:tcMar>
            <w:vAlign w:val="center"/>
          </w:tcPr>
          <w:p w14:paraId="2A315CB0" w14:textId="6B1855EF"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88" w:type="dxa"/>
            <w:vMerge/>
            <w:tcBorders>
              <w:right w:val="single" w:sz="12" w:space="0" w:color="156082"/>
            </w:tcBorders>
            <w:vAlign w:val="center"/>
          </w:tcPr>
          <w:p w14:paraId="4F2CBF17" w14:textId="77777777" w:rsidR="00286280" w:rsidRPr="00CA1602" w:rsidRDefault="00286280">
            <w:pPr>
              <w:rPr>
                <w:noProof/>
              </w:rPr>
            </w:pPr>
          </w:p>
        </w:tc>
      </w:tr>
      <w:tr w:rsidR="044E42F4" w:rsidRPr="00CA1602" w14:paraId="687AFF09" w14:textId="77777777" w:rsidTr="00BD00D0">
        <w:trPr>
          <w:trHeight w:val="600"/>
        </w:trPr>
        <w:tc>
          <w:tcPr>
            <w:tcW w:w="1719" w:type="dxa"/>
            <w:vMerge/>
            <w:tcBorders>
              <w:left w:val="single" w:sz="12" w:space="0" w:color="156082"/>
              <w:right w:val="dashed" w:sz="8" w:space="0" w:color="156082"/>
            </w:tcBorders>
            <w:vAlign w:val="center"/>
          </w:tcPr>
          <w:p w14:paraId="4F7B472D" w14:textId="77777777" w:rsidR="00286280" w:rsidRPr="00CA1602" w:rsidRDefault="00286280">
            <w:pPr>
              <w:rPr>
                <w:noProof/>
              </w:rPr>
            </w:pPr>
          </w:p>
        </w:tc>
        <w:tc>
          <w:tcPr>
            <w:tcW w:w="1635" w:type="dxa"/>
            <w:tcBorders>
              <w:top w:val="dashed" w:sz="8" w:space="0" w:color="156082"/>
              <w:left w:val="dashed" w:sz="8" w:space="0" w:color="156082"/>
              <w:bottom w:val="dashed" w:sz="8" w:space="0" w:color="156082"/>
              <w:right w:val="dashed" w:sz="8" w:space="0" w:color="156082"/>
            </w:tcBorders>
            <w:shd w:val="clear" w:color="auto" w:fill="B3E5A1"/>
            <w:tcMar>
              <w:left w:w="108" w:type="dxa"/>
              <w:right w:w="108" w:type="dxa"/>
            </w:tcMar>
            <w:vAlign w:val="center"/>
          </w:tcPr>
          <w:p w14:paraId="2C2BDD85" w14:textId="0DAEE2F8" w:rsidR="044E42F4" w:rsidRPr="00DE3A6F" w:rsidRDefault="044E42F4" w:rsidP="044E42F4">
            <w:pPr>
              <w:spacing w:before="120" w:line="276" w:lineRule="auto"/>
              <w:jc w:val="center"/>
              <w:rPr>
                <w:noProof/>
              </w:rPr>
            </w:pPr>
            <w:r w:rsidRPr="006426D0">
              <w:rPr>
                <w:rFonts w:ascii="Arial" w:eastAsia="Arial" w:hAnsi="Arial" w:cs="Arial"/>
                <w:noProof/>
                <w:color w:val="000000" w:themeColor="text1"/>
                <w:sz w:val="18"/>
                <w:szCs w:val="18"/>
              </w:rPr>
              <w:t>Organisational</w:t>
            </w:r>
          </w:p>
        </w:tc>
        <w:tc>
          <w:tcPr>
            <w:tcW w:w="4988" w:type="dxa"/>
            <w:vMerge/>
            <w:tcBorders>
              <w:right w:val="single" w:sz="12" w:space="0" w:color="156082"/>
            </w:tcBorders>
            <w:vAlign w:val="center"/>
          </w:tcPr>
          <w:p w14:paraId="28F183B5" w14:textId="77777777" w:rsidR="00286280" w:rsidRPr="00CA1602" w:rsidRDefault="00286280">
            <w:pPr>
              <w:rPr>
                <w:noProof/>
              </w:rPr>
            </w:pPr>
          </w:p>
        </w:tc>
      </w:tr>
      <w:tr w:rsidR="044E42F4" w:rsidRPr="00CA1602" w14:paraId="61E0BC8B" w14:textId="77777777" w:rsidTr="00BD00D0">
        <w:trPr>
          <w:trHeight w:val="600"/>
        </w:trPr>
        <w:tc>
          <w:tcPr>
            <w:tcW w:w="1719" w:type="dxa"/>
            <w:vMerge/>
            <w:tcBorders>
              <w:left w:val="single" w:sz="12" w:space="0" w:color="156082"/>
              <w:right w:val="dashed" w:sz="8" w:space="0" w:color="156082"/>
            </w:tcBorders>
            <w:vAlign w:val="center"/>
          </w:tcPr>
          <w:p w14:paraId="69281E4D" w14:textId="77777777" w:rsidR="00286280" w:rsidRPr="00CA1602" w:rsidRDefault="00286280">
            <w:pPr>
              <w:rPr>
                <w:noProof/>
              </w:rPr>
            </w:pPr>
          </w:p>
        </w:tc>
        <w:tc>
          <w:tcPr>
            <w:tcW w:w="1635" w:type="dxa"/>
            <w:tcBorders>
              <w:top w:val="dashed" w:sz="8" w:space="0" w:color="156082"/>
              <w:left w:val="dashed" w:sz="8" w:space="0" w:color="156082"/>
              <w:bottom w:val="single" w:sz="8" w:space="0" w:color="156082"/>
              <w:right w:val="dashed" w:sz="8" w:space="0" w:color="156082"/>
            </w:tcBorders>
            <w:shd w:val="clear" w:color="auto" w:fill="FFE599" w:themeFill="accent4" w:themeFillTint="66"/>
            <w:tcMar>
              <w:left w:w="108" w:type="dxa"/>
              <w:right w:w="108" w:type="dxa"/>
            </w:tcMar>
            <w:vAlign w:val="center"/>
          </w:tcPr>
          <w:p w14:paraId="13618487" w14:textId="4534E43B"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Operational</w:t>
            </w:r>
          </w:p>
        </w:tc>
        <w:tc>
          <w:tcPr>
            <w:tcW w:w="4988" w:type="dxa"/>
            <w:vMerge/>
            <w:tcBorders>
              <w:bottom w:val="dashed" w:sz="8" w:space="0" w:color="156082"/>
              <w:right w:val="single" w:sz="12" w:space="0" w:color="156082"/>
            </w:tcBorders>
            <w:vAlign w:val="center"/>
          </w:tcPr>
          <w:p w14:paraId="39AF8591" w14:textId="77777777" w:rsidR="00286280" w:rsidRPr="00CA1602" w:rsidRDefault="00286280">
            <w:pPr>
              <w:rPr>
                <w:noProof/>
              </w:rPr>
            </w:pPr>
          </w:p>
        </w:tc>
      </w:tr>
      <w:tr w:rsidR="044E42F4" w:rsidRPr="00CA1602" w14:paraId="0B5619D4" w14:textId="77777777" w:rsidTr="00BD00D0">
        <w:trPr>
          <w:trHeight w:val="600"/>
        </w:trPr>
        <w:tc>
          <w:tcPr>
            <w:tcW w:w="1719" w:type="dxa"/>
            <w:vMerge/>
            <w:tcBorders>
              <w:left w:val="single" w:sz="12" w:space="0" w:color="156082"/>
              <w:bottom w:val="single" w:sz="12" w:space="0" w:color="156082"/>
              <w:right w:val="dashed" w:sz="8" w:space="0" w:color="156082"/>
            </w:tcBorders>
            <w:vAlign w:val="center"/>
          </w:tcPr>
          <w:p w14:paraId="18063F46" w14:textId="77777777" w:rsidR="00286280" w:rsidRPr="00CA1602" w:rsidRDefault="00286280">
            <w:pPr>
              <w:rPr>
                <w:noProof/>
              </w:rPr>
            </w:pPr>
          </w:p>
        </w:tc>
        <w:tc>
          <w:tcPr>
            <w:tcW w:w="1635" w:type="dxa"/>
            <w:tcBorders>
              <w:top w:val="single" w:sz="8" w:space="0" w:color="156082"/>
              <w:left w:val="dashed" w:sz="8" w:space="0" w:color="156082"/>
              <w:bottom w:val="single" w:sz="12" w:space="0" w:color="156082"/>
              <w:right w:val="dashed" w:sz="8" w:space="0" w:color="156082"/>
            </w:tcBorders>
            <w:shd w:val="clear" w:color="auto" w:fill="F6C5AC"/>
            <w:tcMar>
              <w:left w:w="108" w:type="dxa"/>
              <w:right w:w="108" w:type="dxa"/>
            </w:tcMar>
            <w:vAlign w:val="center"/>
          </w:tcPr>
          <w:p w14:paraId="705BD254" w14:textId="260ACD1F"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Legislative</w:t>
            </w:r>
          </w:p>
        </w:tc>
        <w:tc>
          <w:tcPr>
            <w:tcW w:w="4988" w:type="dxa"/>
            <w:tcBorders>
              <w:top w:val="dashed" w:sz="8" w:space="0" w:color="156082"/>
              <w:left w:val="dashed" w:sz="8" w:space="0" w:color="156082"/>
              <w:bottom w:val="single" w:sz="12" w:space="0" w:color="156082"/>
              <w:right w:val="single" w:sz="12" w:space="0" w:color="156082"/>
            </w:tcBorders>
            <w:tcMar>
              <w:left w:w="108" w:type="dxa"/>
              <w:right w:w="108" w:type="dxa"/>
            </w:tcMar>
            <w:vAlign w:val="center"/>
          </w:tcPr>
          <w:p w14:paraId="6F232FF3" w14:textId="38FAB958" w:rsidR="044E42F4" w:rsidRPr="00DE3A6F" w:rsidRDefault="0019500A" w:rsidP="00BD00D0">
            <w:pPr>
              <w:spacing w:before="120" w:line="276" w:lineRule="auto"/>
              <w:ind w:left="193"/>
              <w:rPr>
                <w:noProof/>
              </w:rPr>
            </w:pPr>
            <w:r>
              <w:rPr>
                <w:rFonts w:ascii="Arial" w:eastAsia="Arial" w:hAnsi="Arial" w:cs="Arial"/>
                <w:noProof/>
                <w:sz w:val="20"/>
              </w:rPr>
              <w:t xml:space="preserve">Creation </w:t>
            </w:r>
            <w:r w:rsidR="044E42F4" w:rsidRPr="006426D0">
              <w:rPr>
                <w:rFonts w:ascii="Arial" w:eastAsia="Arial" w:hAnsi="Arial" w:cs="Arial"/>
                <w:noProof/>
                <w:sz w:val="20"/>
              </w:rPr>
              <w:t xml:space="preserve">of a </w:t>
            </w:r>
            <w:r w:rsidRPr="006426D0">
              <w:rPr>
                <w:rFonts w:ascii="Arial" w:eastAsia="Arial" w:hAnsi="Arial" w:cs="Arial"/>
                <w:noProof/>
                <w:sz w:val="20"/>
              </w:rPr>
              <w:t>register of public procurement professionals</w:t>
            </w:r>
            <w:r w:rsidR="044E42F4" w:rsidRPr="006426D0">
              <w:rPr>
                <w:rFonts w:ascii="Arial" w:eastAsia="Arial" w:hAnsi="Arial" w:cs="Arial"/>
                <w:noProof/>
                <w:sz w:val="20"/>
              </w:rPr>
              <w:t>, with the main objective of simplifying, streamlining and enhancing the transparency, integrity and efficiency of public procurement procedures (Law 5218/2025).</w:t>
            </w:r>
          </w:p>
        </w:tc>
      </w:tr>
      <w:tr w:rsidR="044E42F4" w:rsidRPr="00CA1602" w14:paraId="2E1AA10B" w14:textId="77777777" w:rsidTr="00BD00D0">
        <w:trPr>
          <w:trHeight w:val="600"/>
        </w:trPr>
        <w:tc>
          <w:tcPr>
            <w:tcW w:w="1719" w:type="dxa"/>
            <w:vMerge w:val="restart"/>
            <w:tcBorders>
              <w:top w:val="single" w:sz="12" w:space="0" w:color="156082"/>
              <w:left w:val="single" w:sz="12" w:space="0" w:color="156082"/>
              <w:bottom w:val="single" w:sz="8" w:space="0" w:color="156082"/>
              <w:right w:val="dashed" w:sz="8" w:space="0" w:color="156082"/>
            </w:tcBorders>
            <w:tcMar>
              <w:left w:w="108" w:type="dxa"/>
              <w:right w:w="108" w:type="dxa"/>
            </w:tcMar>
            <w:vAlign w:val="center"/>
          </w:tcPr>
          <w:p w14:paraId="5A6F7FFC" w14:textId="5579F669"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Latvia </w:t>
            </w:r>
          </w:p>
        </w:tc>
        <w:tc>
          <w:tcPr>
            <w:tcW w:w="1635" w:type="dxa"/>
            <w:tcBorders>
              <w:top w:val="single" w:sz="12" w:space="0" w:color="156082"/>
              <w:left w:val="dashed" w:sz="8" w:space="0" w:color="156082"/>
              <w:bottom w:val="single" w:sz="8" w:space="0" w:color="156082"/>
              <w:right w:val="dashed" w:sz="8" w:space="0" w:color="156082"/>
            </w:tcBorders>
            <w:shd w:val="clear" w:color="auto" w:fill="B3E5A1"/>
            <w:tcMar>
              <w:left w:w="108" w:type="dxa"/>
              <w:right w:w="108" w:type="dxa"/>
            </w:tcMar>
            <w:vAlign w:val="center"/>
          </w:tcPr>
          <w:p w14:paraId="64BCC04B" w14:textId="62CD1D76" w:rsidR="044E42F4" w:rsidRPr="00DE3A6F" w:rsidRDefault="044E42F4" w:rsidP="044E42F4">
            <w:pPr>
              <w:spacing w:before="120" w:line="276" w:lineRule="auto"/>
              <w:jc w:val="center"/>
              <w:rPr>
                <w:noProof/>
              </w:rPr>
            </w:pPr>
            <w:r w:rsidRPr="006426D0">
              <w:rPr>
                <w:rFonts w:ascii="Arial" w:eastAsia="Arial" w:hAnsi="Arial" w:cs="Arial"/>
                <w:noProof/>
                <w:color w:val="000000" w:themeColor="text1"/>
                <w:sz w:val="18"/>
                <w:szCs w:val="18"/>
              </w:rPr>
              <w:t>Organisational</w:t>
            </w:r>
          </w:p>
        </w:tc>
        <w:tc>
          <w:tcPr>
            <w:tcW w:w="4988" w:type="dxa"/>
            <w:tcBorders>
              <w:top w:val="single" w:sz="12" w:space="0" w:color="156082"/>
              <w:left w:val="dashed" w:sz="8" w:space="0" w:color="156082"/>
              <w:bottom w:val="single" w:sz="8" w:space="0" w:color="156082"/>
              <w:right w:val="single" w:sz="12" w:space="0" w:color="156082"/>
            </w:tcBorders>
            <w:tcMar>
              <w:left w:w="108" w:type="dxa"/>
              <w:right w:w="108" w:type="dxa"/>
            </w:tcMar>
            <w:vAlign w:val="center"/>
          </w:tcPr>
          <w:p w14:paraId="3F3564A3" w14:textId="59321CB0" w:rsidR="044E42F4" w:rsidRPr="00DE3A6F" w:rsidRDefault="044E42F4" w:rsidP="044E42F4">
            <w:pPr>
              <w:spacing w:before="120" w:line="276" w:lineRule="auto"/>
              <w:ind w:left="190"/>
              <w:rPr>
                <w:noProof/>
              </w:rPr>
            </w:pPr>
            <w:r w:rsidRPr="006426D0">
              <w:rPr>
                <w:rFonts w:ascii="Arial" w:eastAsia="Arial" w:hAnsi="Arial" w:cs="Arial"/>
                <w:noProof/>
                <w:sz w:val="20"/>
              </w:rPr>
              <w:t xml:space="preserve">Transformation of </w:t>
            </w:r>
            <w:r w:rsidR="0019500A">
              <w:rPr>
                <w:rFonts w:ascii="Arial" w:eastAsia="Arial" w:hAnsi="Arial" w:cs="Arial"/>
                <w:noProof/>
                <w:sz w:val="20"/>
              </w:rPr>
              <w:t xml:space="preserve">the </w:t>
            </w:r>
            <w:r w:rsidRPr="006426D0">
              <w:rPr>
                <w:rFonts w:ascii="Arial" w:eastAsia="Arial" w:hAnsi="Arial" w:cs="Arial"/>
                <w:noProof/>
                <w:sz w:val="20"/>
              </w:rPr>
              <w:t xml:space="preserve">Tax and Customs Police Department into an independent direct administration institution - the Tax and Customs Police </w:t>
            </w:r>
            <w:r w:rsidR="004E1CCE">
              <w:rPr>
                <w:rFonts w:ascii="Arial" w:eastAsia="Arial" w:hAnsi="Arial" w:cs="Arial"/>
                <w:noProof/>
                <w:sz w:val="20"/>
              </w:rPr>
              <w:t>to</w:t>
            </w:r>
            <w:r w:rsidRPr="006426D0">
              <w:rPr>
                <w:rFonts w:ascii="Arial" w:eastAsia="Arial" w:hAnsi="Arial" w:cs="Arial"/>
                <w:noProof/>
                <w:sz w:val="20"/>
              </w:rPr>
              <w:t xml:space="preserve"> </w:t>
            </w:r>
            <w:r w:rsidR="004E1CCE" w:rsidRPr="006426D0">
              <w:rPr>
                <w:rFonts w:ascii="Arial" w:eastAsia="Arial" w:hAnsi="Arial" w:cs="Arial"/>
                <w:noProof/>
                <w:sz w:val="20"/>
              </w:rPr>
              <w:t>separat</w:t>
            </w:r>
            <w:r w:rsidR="004E1CCE">
              <w:rPr>
                <w:rFonts w:ascii="Arial" w:eastAsia="Arial" w:hAnsi="Arial" w:cs="Arial"/>
                <w:noProof/>
                <w:sz w:val="20"/>
              </w:rPr>
              <w:t>e</w:t>
            </w:r>
            <w:r w:rsidR="004E1CCE" w:rsidRPr="006426D0">
              <w:rPr>
                <w:rFonts w:ascii="Arial" w:eastAsia="Arial" w:hAnsi="Arial" w:cs="Arial"/>
                <w:noProof/>
                <w:sz w:val="20"/>
              </w:rPr>
              <w:t xml:space="preserve"> </w:t>
            </w:r>
            <w:r w:rsidRPr="006426D0">
              <w:rPr>
                <w:rFonts w:ascii="Arial" w:eastAsia="Arial" w:hAnsi="Arial" w:cs="Arial"/>
                <w:noProof/>
                <w:sz w:val="20"/>
              </w:rPr>
              <w:t xml:space="preserve">and </w:t>
            </w:r>
            <w:r w:rsidR="004E1CCE" w:rsidRPr="006426D0">
              <w:rPr>
                <w:rFonts w:ascii="Arial" w:eastAsia="Arial" w:hAnsi="Arial" w:cs="Arial"/>
                <w:noProof/>
                <w:sz w:val="20"/>
              </w:rPr>
              <w:t xml:space="preserve">transfer </w:t>
            </w:r>
            <w:r w:rsidRPr="006426D0">
              <w:rPr>
                <w:rFonts w:ascii="Arial" w:eastAsia="Arial" w:hAnsi="Arial" w:cs="Arial"/>
                <w:noProof/>
                <w:sz w:val="20"/>
              </w:rPr>
              <w:t>responsibilities.</w:t>
            </w:r>
          </w:p>
        </w:tc>
      </w:tr>
      <w:tr w:rsidR="044E42F4" w:rsidRPr="00CA1602" w14:paraId="4B93F877" w14:textId="77777777" w:rsidTr="00BD00D0">
        <w:trPr>
          <w:trHeight w:val="600"/>
        </w:trPr>
        <w:tc>
          <w:tcPr>
            <w:tcW w:w="1719" w:type="dxa"/>
            <w:vMerge/>
            <w:tcBorders>
              <w:left w:val="single" w:sz="12" w:space="0" w:color="156082"/>
              <w:bottom w:val="single" w:sz="12" w:space="0" w:color="156082"/>
              <w:right w:val="dashed" w:sz="8" w:space="0" w:color="156082"/>
            </w:tcBorders>
            <w:vAlign w:val="center"/>
          </w:tcPr>
          <w:p w14:paraId="6C9A8A88" w14:textId="77777777" w:rsidR="00286280" w:rsidRPr="00CA1602" w:rsidRDefault="00286280">
            <w:pPr>
              <w:rPr>
                <w:noProof/>
              </w:rPr>
            </w:pPr>
          </w:p>
        </w:tc>
        <w:tc>
          <w:tcPr>
            <w:tcW w:w="1635" w:type="dxa"/>
            <w:tcBorders>
              <w:top w:val="single" w:sz="8" w:space="0" w:color="156082"/>
              <w:left w:val="dashed" w:sz="8" w:space="0" w:color="156082"/>
              <w:bottom w:val="single" w:sz="12" w:space="0" w:color="156082"/>
              <w:right w:val="dashed" w:sz="8" w:space="0" w:color="156082"/>
            </w:tcBorders>
            <w:shd w:val="clear" w:color="auto" w:fill="B3E5A1"/>
            <w:tcMar>
              <w:left w:w="108" w:type="dxa"/>
              <w:right w:w="108" w:type="dxa"/>
            </w:tcMar>
            <w:vAlign w:val="center"/>
          </w:tcPr>
          <w:p w14:paraId="6ECD3D2B" w14:textId="49A24ACD" w:rsidR="044E42F4" w:rsidRPr="00DE3A6F" w:rsidRDefault="044E42F4" w:rsidP="044E42F4">
            <w:pPr>
              <w:spacing w:before="120" w:line="276" w:lineRule="auto"/>
              <w:jc w:val="center"/>
              <w:rPr>
                <w:noProof/>
              </w:rPr>
            </w:pPr>
            <w:r w:rsidRPr="006426D0">
              <w:rPr>
                <w:rFonts w:ascii="Arial" w:eastAsia="Arial" w:hAnsi="Arial" w:cs="Arial"/>
                <w:noProof/>
                <w:color w:val="000000" w:themeColor="text1"/>
                <w:sz w:val="18"/>
                <w:szCs w:val="18"/>
              </w:rPr>
              <w:t>Organisational</w:t>
            </w:r>
          </w:p>
        </w:tc>
        <w:tc>
          <w:tcPr>
            <w:tcW w:w="4988" w:type="dxa"/>
            <w:tcBorders>
              <w:top w:val="single" w:sz="8" w:space="0" w:color="156082"/>
              <w:left w:val="dashed" w:sz="8" w:space="0" w:color="156082"/>
              <w:bottom w:val="single" w:sz="12" w:space="0" w:color="156082"/>
              <w:right w:val="single" w:sz="12" w:space="0" w:color="156082"/>
            </w:tcBorders>
            <w:tcMar>
              <w:left w:w="108" w:type="dxa"/>
              <w:right w:w="108" w:type="dxa"/>
            </w:tcMar>
            <w:vAlign w:val="center"/>
          </w:tcPr>
          <w:p w14:paraId="4446F072" w14:textId="72836579" w:rsidR="044E42F4" w:rsidRPr="00DE3A6F" w:rsidRDefault="004E1CCE" w:rsidP="044E42F4">
            <w:pPr>
              <w:spacing w:before="120" w:line="276" w:lineRule="auto"/>
              <w:ind w:left="190"/>
              <w:rPr>
                <w:noProof/>
              </w:rPr>
            </w:pPr>
            <w:r>
              <w:rPr>
                <w:rFonts w:ascii="Arial" w:eastAsia="Arial" w:hAnsi="Arial" w:cs="Arial"/>
                <w:noProof/>
                <w:sz w:val="20"/>
              </w:rPr>
              <w:t>Creation</w:t>
            </w:r>
            <w:r w:rsidRPr="00DE3A6F">
              <w:rPr>
                <w:rFonts w:ascii="Arial" w:eastAsia="Arial" w:hAnsi="Arial" w:cs="Arial"/>
                <w:noProof/>
                <w:sz w:val="20"/>
              </w:rPr>
              <w:t xml:space="preserve"> </w:t>
            </w:r>
            <w:r w:rsidR="044E42F4" w:rsidRPr="00DE3A6F">
              <w:rPr>
                <w:rFonts w:ascii="Arial" w:eastAsia="Arial" w:hAnsi="Arial" w:cs="Arial"/>
                <w:noProof/>
                <w:sz w:val="20"/>
              </w:rPr>
              <w:t>of the Customs Audit Division at the State Revenue Service.</w:t>
            </w:r>
          </w:p>
        </w:tc>
      </w:tr>
      <w:tr w:rsidR="044E42F4" w:rsidRPr="00CA1602" w14:paraId="5B579284" w14:textId="77777777" w:rsidTr="00BD00D0">
        <w:trPr>
          <w:trHeight w:val="600"/>
        </w:trPr>
        <w:tc>
          <w:tcPr>
            <w:tcW w:w="1719" w:type="dxa"/>
            <w:vMerge w:val="restart"/>
            <w:tcBorders>
              <w:top w:val="single" w:sz="12" w:space="0" w:color="156082"/>
              <w:left w:val="single" w:sz="12" w:space="0" w:color="156082"/>
              <w:bottom w:val="single" w:sz="8" w:space="0" w:color="156082"/>
              <w:right w:val="dashed" w:sz="8" w:space="0" w:color="156082"/>
            </w:tcBorders>
            <w:tcMar>
              <w:left w:w="108" w:type="dxa"/>
              <w:right w:w="108" w:type="dxa"/>
            </w:tcMar>
            <w:vAlign w:val="center"/>
          </w:tcPr>
          <w:p w14:paraId="7E9781A0" w14:textId="1D49DBB3"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Slovakia</w:t>
            </w:r>
          </w:p>
        </w:tc>
        <w:tc>
          <w:tcPr>
            <w:tcW w:w="1635" w:type="dxa"/>
            <w:tcBorders>
              <w:top w:val="single" w:sz="12" w:space="0" w:color="156082"/>
              <w:left w:val="dashed" w:sz="8" w:space="0" w:color="156082"/>
              <w:bottom w:val="dashed" w:sz="8" w:space="0" w:color="156082"/>
              <w:right w:val="dashed" w:sz="8" w:space="0" w:color="156082"/>
            </w:tcBorders>
            <w:shd w:val="clear" w:color="auto" w:fill="F6C5AC"/>
            <w:tcMar>
              <w:left w:w="108" w:type="dxa"/>
              <w:right w:w="108" w:type="dxa"/>
            </w:tcMar>
            <w:vAlign w:val="center"/>
          </w:tcPr>
          <w:p w14:paraId="7B1F3805" w14:textId="3DCE3352"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Legislative</w:t>
            </w:r>
          </w:p>
        </w:tc>
        <w:tc>
          <w:tcPr>
            <w:tcW w:w="4988" w:type="dxa"/>
            <w:vMerge w:val="restart"/>
            <w:tcBorders>
              <w:top w:val="single" w:sz="12" w:space="0" w:color="156082"/>
              <w:left w:val="dashed" w:sz="8" w:space="0" w:color="156082"/>
              <w:bottom w:val="single" w:sz="8" w:space="0" w:color="156082"/>
              <w:right w:val="single" w:sz="12" w:space="0" w:color="156082"/>
            </w:tcBorders>
            <w:tcMar>
              <w:left w:w="108" w:type="dxa"/>
              <w:right w:w="108" w:type="dxa"/>
            </w:tcMar>
            <w:vAlign w:val="center"/>
          </w:tcPr>
          <w:p w14:paraId="09DA6D68" w14:textId="35D8D57C" w:rsidR="044E42F4" w:rsidRPr="00DE3A6F" w:rsidRDefault="004E1CCE" w:rsidP="044E42F4">
            <w:pPr>
              <w:spacing w:before="120" w:line="276" w:lineRule="auto"/>
              <w:ind w:left="190"/>
              <w:rPr>
                <w:noProof/>
              </w:rPr>
            </w:pPr>
            <w:r>
              <w:rPr>
                <w:rFonts w:ascii="Arial" w:eastAsia="Arial" w:hAnsi="Arial" w:cs="Arial"/>
                <w:noProof/>
                <w:sz w:val="20"/>
              </w:rPr>
              <w:t>Setting-up</w:t>
            </w:r>
            <w:r w:rsidRPr="006426D0">
              <w:rPr>
                <w:rFonts w:ascii="Arial" w:eastAsia="Arial" w:hAnsi="Arial" w:cs="Arial"/>
                <w:noProof/>
                <w:sz w:val="20"/>
              </w:rPr>
              <w:t xml:space="preserve"> </w:t>
            </w:r>
            <w:r w:rsidR="044E42F4" w:rsidRPr="006426D0">
              <w:rPr>
                <w:rFonts w:ascii="Arial" w:eastAsia="Arial" w:hAnsi="Arial" w:cs="Arial"/>
                <w:noProof/>
                <w:sz w:val="20"/>
              </w:rPr>
              <w:t>of a cross-cutting working group within the Agricultural Paying Agency focused on project assessment, public procurement, conflicts of interest and control of EU funds.</w:t>
            </w:r>
          </w:p>
        </w:tc>
      </w:tr>
      <w:tr w:rsidR="044E42F4" w:rsidRPr="00CA1602" w14:paraId="12EC6C0A" w14:textId="77777777" w:rsidTr="00BD00D0">
        <w:trPr>
          <w:trHeight w:val="600"/>
        </w:trPr>
        <w:tc>
          <w:tcPr>
            <w:tcW w:w="1719" w:type="dxa"/>
            <w:vMerge/>
            <w:tcBorders>
              <w:left w:val="single" w:sz="12" w:space="0" w:color="156082"/>
              <w:right w:val="dashed" w:sz="8" w:space="0" w:color="156082"/>
            </w:tcBorders>
            <w:vAlign w:val="center"/>
          </w:tcPr>
          <w:p w14:paraId="35A97073" w14:textId="77777777" w:rsidR="00286280" w:rsidRPr="00CA1602" w:rsidRDefault="00286280">
            <w:pPr>
              <w:rPr>
                <w:noProof/>
              </w:rPr>
            </w:pPr>
          </w:p>
        </w:tc>
        <w:tc>
          <w:tcPr>
            <w:tcW w:w="1635" w:type="dxa"/>
            <w:tcBorders>
              <w:top w:val="dashed" w:sz="8" w:space="0" w:color="156082"/>
              <w:left w:val="dashed" w:sz="8" w:space="0" w:color="156082"/>
              <w:bottom w:val="dashed" w:sz="8" w:space="0" w:color="156082"/>
              <w:right w:val="dashed" w:sz="8" w:space="0" w:color="156082"/>
            </w:tcBorders>
            <w:shd w:val="clear" w:color="auto" w:fill="B4C6E7" w:themeFill="accent5" w:themeFillTint="66"/>
            <w:tcMar>
              <w:left w:w="108" w:type="dxa"/>
              <w:right w:w="108" w:type="dxa"/>
            </w:tcMar>
            <w:vAlign w:val="center"/>
          </w:tcPr>
          <w:p w14:paraId="39D9841D" w14:textId="2AC16DA1"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88" w:type="dxa"/>
            <w:vMerge/>
            <w:tcBorders>
              <w:right w:val="single" w:sz="12" w:space="0" w:color="156082"/>
            </w:tcBorders>
            <w:vAlign w:val="center"/>
          </w:tcPr>
          <w:p w14:paraId="4AE64C40" w14:textId="77777777" w:rsidR="00286280" w:rsidRPr="00CA1602" w:rsidRDefault="00286280">
            <w:pPr>
              <w:rPr>
                <w:noProof/>
              </w:rPr>
            </w:pPr>
          </w:p>
        </w:tc>
      </w:tr>
      <w:tr w:rsidR="044E42F4" w:rsidRPr="00CA1602" w14:paraId="38C66402" w14:textId="77777777" w:rsidTr="00BD00D0">
        <w:trPr>
          <w:trHeight w:val="600"/>
        </w:trPr>
        <w:tc>
          <w:tcPr>
            <w:tcW w:w="1719" w:type="dxa"/>
            <w:vMerge/>
            <w:tcBorders>
              <w:left w:val="single" w:sz="12" w:space="0" w:color="156082"/>
              <w:bottom w:val="single" w:sz="12" w:space="0" w:color="156082"/>
              <w:right w:val="dashed" w:sz="8" w:space="0" w:color="156082"/>
            </w:tcBorders>
            <w:vAlign w:val="center"/>
          </w:tcPr>
          <w:p w14:paraId="6D355191" w14:textId="77777777" w:rsidR="00286280" w:rsidRPr="00CA1602" w:rsidRDefault="00286280">
            <w:pPr>
              <w:rPr>
                <w:noProof/>
              </w:rPr>
            </w:pPr>
          </w:p>
        </w:tc>
        <w:tc>
          <w:tcPr>
            <w:tcW w:w="1635" w:type="dxa"/>
            <w:tcBorders>
              <w:top w:val="dashed" w:sz="8" w:space="0" w:color="156082"/>
              <w:left w:val="dashed" w:sz="8" w:space="0" w:color="156082"/>
              <w:bottom w:val="single" w:sz="12" w:space="0" w:color="156082"/>
              <w:right w:val="dashed" w:sz="8" w:space="0" w:color="156082"/>
            </w:tcBorders>
            <w:shd w:val="clear" w:color="auto" w:fill="B3E5A1"/>
            <w:tcMar>
              <w:left w:w="108" w:type="dxa"/>
              <w:right w:w="108" w:type="dxa"/>
            </w:tcMar>
            <w:vAlign w:val="center"/>
          </w:tcPr>
          <w:p w14:paraId="2FA87F16" w14:textId="1F0A6976" w:rsidR="044E42F4" w:rsidRPr="00DE3A6F" w:rsidRDefault="044E42F4" w:rsidP="044E42F4">
            <w:pPr>
              <w:spacing w:before="120" w:line="276" w:lineRule="auto"/>
              <w:jc w:val="center"/>
              <w:rPr>
                <w:noProof/>
              </w:rPr>
            </w:pPr>
            <w:r w:rsidRPr="006426D0">
              <w:rPr>
                <w:rFonts w:ascii="Arial" w:eastAsia="Arial" w:hAnsi="Arial" w:cs="Arial"/>
                <w:noProof/>
                <w:color w:val="000000" w:themeColor="text1"/>
                <w:sz w:val="18"/>
                <w:szCs w:val="18"/>
              </w:rPr>
              <w:t>Organisational</w:t>
            </w:r>
          </w:p>
        </w:tc>
        <w:tc>
          <w:tcPr>
            <w:tcW w:w="4988" w:type="dxa"/>
            <w:vMerge/>
            <w:tcBorders>
              <w:bottom w:val="single" w:sz="12" w:space="0" w:color="156082"/>
              <w:right w:val="single" w:sz="12" w:space="0" w:color="156082"/>
            </w:tcBorders>
            <w:vAlign w:val="center"/>
          </w:tcPr>
          <w:p w14:paraId="2E5BFF34" w14:textId="77777777" w:rsidR="00286280" w:rsidRPr="00CA1602" w:rsidRDefault="00286280">
            <w:pPr>
              <w:rPr>
                <w:noProof/>
              </w:rPr>
            </w:pPr>
          </w:p>
        </w:tc>
      </w:tr>
      <w:tr w:rsidR="044E42F4" w:rsidRPr="00CA1602" w14:paraId="7E93592D" w14:textId="77777777" w:rsidTr="00BD00D0">
        <w:trPr>
          <w:trHeight w:val="600"/>
        </w:trPr>
        <w:tc>
          <w:tcPr>
            <w:tcW w:w="1719" w:type="dxa"/>
            <w:vMerge w:val="restart"/>
            <w:tcBorders>
              <w:top w:val="single" w:sz="12" w:space="0" w:color="156082"/>
              <w:left w:val="single" w:sz="12" w:space="0" w:color="156082"/>
              <w:bottom w:val="single" w:sz="12" w:space="0" w:color="156082"/>
              <w:right w:val="dashed" w:sz="8" w:space="0" w:color="156082"/>
            </w:tcBorders>
            <w:tcMar>
              <w:left w:w="108" w:type="dxa"/>
              <w:right w:w="108" w:type="dxa"/>
            </w:tcMar>
            <w:vAlign w:val="center"/>
          </w:tcPr>
          <w:p w14:paraId="12B45A92" w14:textId="6529B0B0" w:rsidR="044E42F4" w:rsidRPr="00DE3A6F" w:rsidRDefault="044E42F4" w:rsidP="044E42F4">
            <w:pPr>
              <w:spacing w:before="120" w:line="276" w:lineRule="auto"/>
              <w:jc w:val="center"/>
              <w:rPr>
                <w:noProof/>
              </w:rPr>
            </w:pPr>
            <w:r w:rsidRPr="00DE3A6F">
              <w:rPr>
                <w:rFonts w:ascii="Arial" w:eastAsia="Arial" w:hAnsi="Arial" w:cs="Arial"/>
                <w:b/>
                <w:bCs/>
                <w:noProof/>
                <w:color w:val="000000" w:themeColor="text1"/>
                <w:sz w:val="20"/>
              </w:rPr>
              <w:t xml:space="preserve">Spain </w:t>
            </w:r>
          </w:p>
        </w:tc>
        <w:tc>
          <w:tcPr>
            <w:tcW w:w="1635" w:type="dxa"/>
            <w:tcBorders>
              <w:top w:val="single" w:sz="12" w:space="0" w:color="156082"/>
              <w:left w:val="dashed" w:sz="8" w:space="0" w:color="156082"/>
              <w:bottom w:val="dashed" w:sz="8" w:space="0" w:color="156082"/>
              <w:right w:val="dashed" w:sz="8" w:space="0" w:color="156082"/>
            </w:tcBorders>
            <w:shd w:val="clear" w:color="auto" w:fill="B4C6E7" w:themeFill="accent5" w:themeFillTint="66"/>
            <w:tcMar>
              <w:left w:w="108" w:type="dxa"/>
              <w:right w:w="108" w:type="dxa"/>
            </w:tcMar>
            <w:vAlign w:val="center"/>
          </w:tcPr>
          <w:p w14:paraId="38C9129B" w14:textId="22D7668C" w:rsidR="044E42F4" w:rsidRPr="00DE3A6F" w:rsidRDefault="044E42F4" w:rsidP="044E42F4">
            <w:pPr>
              <w:spacing w:before="120" w:line="276" w:lineRule="auto"/>
              <w:jc w:val="center"/>
              <w:rPr>
                <w:noProof/>
              </w:rPr>
            </w:pPr>
            <w:r w:rsidRPr="00DE3A6F">
              <w:rPr>
                <w:rFonts w:ascii="Arial" w:eastAsia="Arial" w:hAnsi="Arial" w:cs="Arial"/>
                <w:noProof/>
                <w:color w:val="000000" w:themeColor="text1"/>
                <w:sz w:val="18"/>
                <w:szCs w:val="18"/>
              </w:rPr>
              <w:t>Administrative</w:t>
            </w:r>
          </w:p>
        </w:tc>
        <w:tc>
          <w:tcPr>
            <w:tcW w:w="4988" w:type="dxa"/>
            <w:tcBorders>
              <w:top w:val="single" w:sz="12" w:space="0" w:color="156082"/>
              <w:left w:val="dashed" w:sz="8" w:space="0" w:color="156082"/>
              <w:bottom w:val="dashed" w:sz="8" w:space="0" w:color="156082"/>
              <w:right w:val="single" w:sz="12" w:space="0" w:color="156082"/>
            </w:tcBorders>
            <w:tcMar>
              <w:left w:w="108" w:type="dxa"/>
              <w:right w:w="108" w:type="dxa"/>
            </w:tcMar>
            <w:vAlign w:val="center"/>
          </w:tcPr>
          <w:p w14:paraId="335DC377" w14:textId="5A82B9B5" w:rsidR="044E42F4" w:rsidRPr="00DE3A6F" w:rsidRDefault="004E1CCE" w:rsidP="044E42F4">
            <w:pPr>
              <w:spacing w:before="120" w:line="276" w:lineRule="auto"/>
              <w:ind w:left="190"/>
              <w:rPr>
                <w:noProof/>
              </w:rPr>
            </w:pPr>
            <w:r>
              <w:rPr>
                <w:rFonts w:ascii="Arial" w:eastAsia="Arial" w:hAnsi="Arial" w:cs="Arial"/>
                <w:noProof/>
                <w:sz w:val="20"/>
              </w:rPr>
              <w:t>Creation</w:t>
            </w:r>
            <w:r w:rsidRPr="00DE3A6F">
              <w:rPr>
                <w:rFonts w:ascii="Arial" w:eastAsia="Arial" w:hAnsi="Arial" w:cs="Arial"/>
                <w:noProof/>
                <w:sz w:val="20"/>
              </w:rPr>
              <w:t xml:space="preserve"> </w:t>
            </w:r>
            <w:r w:rsidR="044E42F4" w:rsidRPr="00DE3A6F">
              <w:rPr>
                <w:rFonts w:ascii="Arial" w:eastAsia="Arial" w:hAnsi="Arial" w:cs="Arial"/>
                <w:noProof/>
                <w:sz w:val="20"/>
              </w:rPr>
              <w:t>of the State Independent Whistleblower Protection Authority.</w:t>
            </w:r>
          </w:p>
        </w:tc>
      </w:tr>
      <w:tr w:rsidR="044E42F4" w:rsidRPr="00CA1602" w14:paraId="7A6555A8" w14:textId="77777777" w:rsidTr="00BD00D0">
        <w:trPr>
          <w:trHeight w:val="600"/>
        </w:trPr>
        <w:tc>
          <w:tcPr>
            <w:tcW w:w="1719" w:type="dxa"/>
            <w:vMerge/>
            <w:tcBorders>
              <w:left w:val="single" w:sz="12" w:space="0" w:color="156082"/>
              <w:bottom w:val="single" w:sz="12" w:space="0" w:color="156082"/>
              <w:right w:val="dashed" w:sz="8" w:space="0" w:color="156082"/>
            </w:tcBorders>
            <w:vAlign w:val="center"/>
          </w:tcPr>
          <w:p w14:paraId="1A17F8F4" w14:textId="77777777" w:rsidR="00286280" w:rsidRPr="00CA1602" w:rsidRDefault="00286280">
            <w:pPr>
              <w:rPr>
                <w:noProof/>
              </w:rPr>
            </w:pPr>
          </w:p>
        </w:tc>
        <w:tc>
          <w:tcPr>
            <w:tcW w:w="1635" w:type="dxa"/>
            <w:tcBorders>
              <w:top w:val="dashed" w:sz="8" w:space="0" w:color="156082"/>
              <w:left w:val="dashed" w:sz="8" w:space="0" w:color="156082"/>
              <w:bottom w:val="single" w:sz="12" w:space="0" w:color="156082"/>
              <w:right w:val="dashed" w:sz="8" w:space="0" w:color="156082"/>
            </w:tcBorders>
            <w:shd w:val="clear" w:color="auto" w:fill="B3E5A1"/>
            <w:tcMar>
              <w:left w:w="108" w:type="dxa"/>
              <w:right w:w="108" w:type="dxa"/>
            </w:tcMar>
            <w:vAlign w:val="center"/>
          </w:tcPr>
          <w:p w14:paraId="7508D44C" w14:textId="1023C578" w:rsidR="044E42F4" w:rsidRPr="00DE3A6F" w:rsidRDefault="044E42F4" w:rsidP="044E42F4">
            <w:pPr>
              <w:spacing w:before="120" w:line="276" w:lineRule="auto"/>
              <w:jc w:val="center"/>
              <w:rPr>
                <w:noProof/>
              </w:rPr>
            </w:pPr>
            <w:r w:rsidRPr="006426D0">
              <w:rPr>
                <w:rFonts w:ascii="Arial" w:eastAsia="Arial" w:hAnsi="Arial" w:cs="Arial"/>
                <w:noProof/>
                <w:color w:val="000000" w:themeColor="text1"/>
                <w:sz w:val="18"/>
                <w:szCs w:val="18"/>
              </w:rPr>
              <w:t>Organisational</w:t>
            </w:r>
          </w:p>
        </w:tc>
        <w:tc>
          <w:tcPr>
            <w:tcW w:w="4988" w:type="dxa"/>
            <w:tcBorders>
              <w:top w:val="dashed" w:sz="8" w:space="0" w:color="156082"/>
              <w:left w:val="dashed" w:sz="8" w:space="0" w:color="156082"/>
              <w:bottom w:val="single" w:sz="12" w:space="0" w:color="156082"/>
              <w:right w:val="single" w:sz="12" w:space="0" w:color="156082"/>
            </w:tcBorders>
            <w:tcMar>
              <w:left w:w="108" w:type="dxa"/>
              <w:right w:w="108" w:type="dxa"/>
            </w:tcMar>
            <w:vAlign w:val="center"/>
          </w:tcPr>
          <w:p w14:paraId="71E954F6" w14:textId="641B2F6A" w:rsidR="044E42F4" w:rsidRPr="00DE3A6F" w:rsidRDefault="004E1CCE" w:rsidP="044E42F4">
            <w:pPr>
              <w:spacing w:before="120" w:line="276" w:lineRule="auto"/>
              <w:ind w:left="190"/>
              <w:rPr>
                <w:noProof/>
              </w:rPr>
            </w:pPr>
            <w:r>
              <w:rPr>
                <w:rFonts w:ascii="Arial" w:eastAsia="Arial" w:hAnsi="Arial" w:cs="Arial"/>
                <w:noProof/>
                <w:sz w:val="20"/>
              </w:rPr>
              <w:t>Setting-up</w:t>
            </w:r>
            <w:r w:rsidRPr="006426D0">
              <w:rPr>
                <w:rFonts w:ascii="Arial" w:eastAsia="Arial" w:hAnsi="Arial" w:cs="Arial"/>
                <w:noProof/>
                <w:sz w:val="20"/>
              </w:rPr>
              <w:t xml:space="preserve"> </w:t>
            </w:r>
            <w:r w:rsidR="044E42F4" w:rsidRPr="006426D0">
              <w:rPr>
                <w:rFonts w:ascii="Arial" w:eastAsia="Arial" w:hAnsi="Arial" w:cs="Arial"/>
                <w:noProof/>
                <w:sz w:val="20"/>
              </w:rPr>
              <w:t xml:space="preserve">of an operational group dedicated to </w:t>
            </w:r>
            <w:r w:rsidR="006818E7">
              <w:rPr>
                <w:rFonts w:ascii="Arial" w:eastAsia="Arial" w:hAnsi="Arial" w:cs="Arial"/>
                <w:noProof/>
                <w:sz w:val="20"/>
              </w:rPr>
              <w:t xml:space="preserve">the </w:t>
            </w:r>
            <w:r w:rsidR="044E42F4" w:rsidRPr="006426D0">
              <w:rPr>
                <w:rFonts w:ascii="Arial" w:eastAsia="Arial" w:hAnsi="Arial" w:cs="Arial"/>
                <w:noProof/>
                <w:sz w:val="20"/>
              </w:rPr>
              <w:t xml:space="preserve">EPPO cases.  </w:t>
            </w:r>
          </w:p>
        </w:tc>
      </w:tr>
    </w:tbl>
    <w:p w14:paraId="5EDE97B8" w14:textId="40B0319B" w:rsidR="001D0C51" w:rsidRDefault="001D0C51" w:rsidP="044E42F4">
      <w:pPr>
        <w:rPr>
          <w:b/>
          <w:bCs/>
          <w:noProof/>
        </w:rPr>
      </w:pPr>
    </w:p>
    <w:p w14:paraId="426BD6BC" w14:textId="77777777" w:rsidR="001D0C51" w:rsidRDefault="001D0C51">
      <w:pPr>
        <w:spacing w:after="0" w:line="240" w:lineRule="auto"/>
        <w:jc w:val="left"/>
        <w:rPr>
          <w:b/>
          <w:bCs/>
          <w:noProof/>
        </w:rPr>
      </w:pPr>
      <w:r>
        <w:rPr>
          <w:b/>
          <w:bCs/>
          <w:noProof/>
        </w:rPr>
        <w:br w:type="page"/>
      </w:r>
    </w:p>
    <w:p w14:paraId="7D103713" w14:textId="508C3D96" w:rsidR="00D90661" w:rsidRDefault="001D0C51" w:rsidP="044E42F4">
      <w:pPr>
        <w:rPr>
          <w:b/>
          <w:bCs/>
          <w:noProof/>
        </w:rPr>
      </w:pPr>
      <w:r w:rsidRPr="00DE3A6F">
        <w:rPr>
          <w:b/>
          <w:bCs/>
          <w:noProof/>
        </w:rPr>
        <w:lastRenderedPageBreak/>
        <w:t xml:space="preserve">ANNEX </w:t>
      </w:r>
      <w:r>
        <w:rPr>
          <w:b/>
          <w:bCs/>
          <w:noProof/>
        </w:rPr>
        <w:t>4</w:t>
      </w:r>
      <w:r w:rsidR="00AA0990">
        <w:rPr>
          <w:b/>
          <w:bCs/>
          <w:noProof/>
        </w:rPr>
        <w:t xml:space="preserve"> –OLAF’s financial recommendations</w:t>
      </w:r>
    </w:p>
    <w:p w14:paraId="1870F693" w14:textId="2CB11154" w:rsidR="044E42F4" w:rsidRDefault="00D90661" w:rsidP="044E42F4">
      <w:pPr>
        <w:rPr>
          <w:b/>
          <w:bCs/>
          <w:noProof/>
        </w:rPr>
      </w:pPr>
      <w:r>
        <w:rPr>
          <w:b/>
          <w:bCs/>
          <w:noProof/>
        </w:rPr>
        <w:t>Table 5:</w:t>
      </w:r>
      <w:r w:rsidR="001D0C51" w:rsidRPr="00DE3A6F">
        <w:rPr>
          <w:b/>
          <w:bCs/>
          <w:noProof/>
        </w:rPr>
        <w:t xml:space="preserve"> </w:t>
      </w:r>
      <w:r w:rsidR="009E5FD4">
        <w:rPr>
          <w:b/>
          <w:bCs/>
          <w:noProof/>
        </w:rPr>
        <w:t xml:space="preserve">Financial recoveries following OLAF’s financial recommendations </w:t>
      </w:r>
      <w:r w:rsidR="0052530A">
        <w:rPr>
          <w:b/>
          <w:bCs/>
          <w:noProof/>
        </w:rPr>
        <w:t xml:space="preserve">with </w:t>
      </w:r>
      <w:r w:rsidR="00677DDF">
        <w:rPr>
          <w:b/>
          <w:bCs/>
          <w:noProof/>
        </w:rPr>
        <w:t xml:space="preserve">finalised follow-up </w:t>
      </w:r>
      <w:r w:rsidR="004633A2">
        <w:rPr>
          <w:b/>
          <w:bCs/>
          <w:noProof/>
        </w:rPr>
        <w:t>per area, management mode and year</w:t>
      </w:r>
    </w:p>
    <w:tbl>
      <w:tblPr>
        <w:tblW w:w="8856" w:type="dxa"/>
        <w:tblLayout w:type="fixed"/>
        <w:tblLook w:val="04A0" w:firstRow="1" w:lastRow="0" w:firstColumn="1" w:lastColumn="0" w:noHBand="0" w:noVBand="1"/>
      </w:tblPr>
      <w:tblGrid>
        <w:gridCol w:w="1563"/>
        <w:gridCol w:w="1325"/>
        <w:gridCol w:w="1223"/>
        <w:gridCol w:w="1276"/>
        <w:gridCol w:w="1276"/>
        <w:gridCol w:w="1136"/>
        <w:gridCol w:w="1057"/>
      </w:tblGrid>
      <w:tr w:rsidR="00AC3674" w:rsidRPr="00F35EDF" w14:paraId="7B873F8C" w14:textId="77777777" w:rsidTr="00AC3674">
        <w:trPr>
          <w:trHeight w:val="1215"/>
        </w:trPr>
        <w:tc>
          <w:tcPr>
            <w:tcW w:w="1563" w:type="dxa"/>
            <w:vMerge w:val="restart"/>
            <w:tcBorders>
              <w:top w:val="nil"/>
              <w:left w:val="nil"/>
              <w:bottom w:val="single" w:sz="8" w:space="0" w:color="44B3E1"/>
              <w:right w:val="nil"/>
            </w:tcBorders>
            <w:shd w:val="clear" w:color="000000" w:fill="782170"/>
            <w:vAlign w:val="center"/>
            <w:hideMark/>
          </w:tcPr>
          <w:p w14:paraId="51AAF3AA" w14:textId="77777777" w:rsidR="00F35EDF" w:rsidRPr="00F35EDF" w:rsidRDefault="00F35EDF" w:rsidP="00F35EDF">
            <w:pPr>
              <w:spacing w:after="0" w:line="240" w:lineRule="auto"/>
              <w:jc w:val="center"/>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AREA - Management mode / Year</w:t>
            </w:r>
          </w:p>
        </w:tc>
        <w:tc>
          <w:tcPr>
            <w:tcW w:w="1325" w:type="dxa"/>
            <w:tcBorders>
              <w:top w:val="nil"/>
              <w:left w:val="nil"/>
              <w:bottom w:val="single" w:sz="8" w:space="0" w:color="44B3E1"/>
              <w:right w:val="nil"/>
            </w:tcBorders>
            <w:shd w:val="clear" w:color="000000" w:fill="782170"/>
            <w:vAlign w:val="center"/>
            <w:hideMark/>
          </w:tcPr>
          <w:p w14:paraId="2652A191" w14:textId="3FEE515E" w:rsidR="00F35EDF" w:rsidRPr="00F35EDF" w:rsidRDefault="00F35EDF" w:rsidP="00F35EDF">
            <w:pPr>
              <w:spacing w:after="0" w:line="240" w:lineRule="auto"/>
              <w:jc w:val="center"/>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Recom</w:t>
            </w:r>
            <w:r w:rsidR="004B22ED">
              <w:rPr>
                <w:rFonts w:ascii="Aptos Narrow" w:hAnsi="Aptos Narrow"/>
                <w:b/>
                <w:bCs/>
                <w:noProof/>
                <w:color w:val="FFFFFF"/>
                <w:szCs w:val="22"/>
                <w:lang w:val="en-IE" w:eastAsia="en-IE"/>
              </w:rPr>
              <w:t>-</w:t>
            </w:r>
            <w:r w:rsidRPr="00F35EDF">
              <w:rPr>
                <w:rFonts w:ascii="Aptos Narrow" w:hAnsi="Aptos Narrow"/>
                <w:b/>
                <w:bCs/>
                <w:noProof/>
                <w:color w:val="FFFFFF"/>
                <w:szCs w:val="22"/>
                <w:lang w:val="en-IE" w:eastAsia="en-IE"/>
              </w:rPr>
              <w:t>mendations</w:t>
            </w:r>
          </w:p>
        </w:tc>
        <w:tc>
          <w:tcPr>
            <w:tcW w:w="1223" w:type="dxa"/>
            <w:tcBorders>
              <w:top w:val="nil"/>
              <w:left w:val="nil"/>
              <w:bottom w:val="single" w:sz="8" w:space="0" w:color="44B3E1"/>
              <w:right w:val="nil"/>
            </w:tcBorders>
            <w:shd w:val="clear" w:color="000000" w:fill="782170"/>
            <w:vAlign w:val="center"/>
            <w:hideMark/>
          </w:tcPr>
          <w:p w14:paraId="4B0D053A" w14:textId="78AEE1D8" w:rsidR="00F35EDF" w:rsidRPr="00F35EDF" w:rsidRDefault="00F35EDF" w:rsidP="00F35EDF">
            <w:pPr>
              <w:spacing w:after="0" w:line="240" w:lineRule="auto"/>
              <w:jc w:val="center"/>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Amount recom</w:t>
            </w:r>
            <w:r w:rsidR="00AC3674">
              <w:rPr>
                <w:rFonts w:ascii="Aptos Narrow" w:hAnsi="Aptos Narrow"/>
                <w:b/>
                <w:bCs/>
                <w:noProof/>
                <w:color w:val="FFFFFF"/>
                <w:szCs w:val="22"/>
                <w:lang w:val="en-IE" w:eastAsia="en-IE"/>
              </w:rPr>
              <w:t>-</w:t>
            </w:r>
            <w:r w:rsidRPr="00F35EDF">
              <w:rPr>
                <w:rFonts w:ascii="Aptos Narrow" w:hAnsi="Aptos Narrow"/>
                <w:b/>
                <w:bCs/>
                <w:noProof/>
                <w:color w:val="FFFFFF"/>
                <w:szCs w:val="22"/>
                <w:lang w:val="en-IE" w:eastAsia="en-IE"/>
              </w:rPr>
              <w:t>mended to be recovered</w:t>
            </w:r>
          </w:p>
        </w:tc>
        <w:tc>
          <w:tcPr>
            <w:tcW w:w="1276" w:type="dxa"/>
            <w:tcBorders>
              <w:top w:val="nil"/>
              <w:left w:val="nil"/>
              <w:bottom w:val="single" w:sz="8" w:space="0" w:color="44B3E1"/>
              <w:right w:val="nil"/>
            </w:tcBorders>
            <w:shd w:val="clear" w:color="000000" w:fill="782170"/>
            <w:vAlign w:val="center"/>
            <w:hideMark/>
          </w:tcPr>
          <w:p w14:paraId="4D8E5BD5" w14:textId="77777777" w:rsidR="00F35EDF" w:rsidRPr="00F35EDF" w:rsidRDefault="00F35EDF" w:rsidP="00F35EDF">
            <w:pPr>
              <w:spacing w:after="0" w:line="240" w:lineRule="auto"/>
              <w:jc w:val="center"/>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Amount to be recovered FAER</w:t>
            </w:r>
          </w:p>
        </w:tc>
        <w:tc>
          <w:tcPr>
            <w:tcW w:w="1276" w:type="dxa"/>
            <w:tcBorders>
              <w:top w:val="nil"/>
              <w:left w:val="nil"/>
              <w:bottom w:val="single" w:sz="8" w:space="0" w:color="44B3E1"/>
              <w:right w:val="nil"/>
            </w:tcBorders>
            <w:shd w:val="clear" w:color="000000" w:fill="782170"/>
            <w:vAlign w:val="center"/>
            <w:hideMark/>
          </w:tcPr>
          <w:p w14:paraId="6965EB72" w14:textId="39E5249F" w:rsidR="00F35EDF" w:rsidRPr="00F35EDF" w:rsidRDefault="00F35EDF" w:rsidP="00F35EDF">
            <w:pPr>
              <w:spacing w:after="0" w:line="240" w:lineRule="auto"/>
              <w:jc w:val="center"/>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Establish</w:t>
            </w:r>
            <w:r w:rsidR="00AC3674">
              <w:rPr>
                <w:rFonts w:ascii="Aptos Narrow" w:hAnsi="Aptos Narrow"/>
                <w:b/>
                <w:bCs/>
                <w:noProof/>
                <w:color w:val="FFFFFF"/>
                <w:szCs w:val="22"/>
                <w:lang w:val="en-IE" w:eastAsia="en-IE"/>
              </w:rPr>
              <w:t>-</w:t>
            </w:r>
            <w:r w:rsidRPr="00F35EDF">
              <w:rPr>
                <w:rFonts w:ascii="Aptos Narrow" w:hAnsi="Aptos Narrow"/>
                <w:b/>
                <w:bCs/>
                <w:noProof/>
                <w:color w:val="FFFFFF"/>
                <w:szCs w:val="22"/>
                <w:lang w:val="en-IE" w:eastAsia="en-IE"/>
              </w:rPr>
              <w:t>ment rate for recovery</w:t>
            </w:r>
          </w:p>
        </w:tc>
        <w:tc>
          <w:tcPr>
            <w:tcW w:w="1136" w:type="dxa"/>
            <w:tcBorders>
              <w:top w:val="nil"/>
              <w:left w:val="nil"/>
              <w:bottom w:val="single" w:sz="8" w:space="0" w:color="44B3E1"/>
              <w:right w:val="nil"/>
            </w:tcBorders>
            <w:shd w:val="clear" w:color="000000" w:fill="782170"/>
            <w:vAlign w:val="center"/>
            <w:hideMark/>
          </w:tcPr>
          <w:p w14:paraId="060651EE" w14:textId="77777777" w:rsidR="00F35EDF" w:rsidRPr="00F35EDF" w:rsidRDefault="00F35EDF" w:rsidP="00F35EDF">
            <w:pPr>
              <w:spacing w:after="0" w:line="240" w:lineRule="auto"/>
              <w:jc w:val="center"/>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Amount recovered</w:t>
            </w:r>
          </w:p>
        </w:tc>
        <w:tc>
          <w:tcPr>
            <w:tcW w:w="1057" w:type="dxa"/>
            <w:tcBorders>
              <w:top w:val="nil"/>
              <w:left w:val="nil"/>
              <w:bottom w:val="single" w:sz="8" w:space="0" w:color="44B3E1"/>
              <w:right w:val="nil"/>
            </w:tcBorders>
            <w:shd w:val="clear" w:color="000000" w:fill="782170"/>
            <w:vAlign w:val="center"/>
            <w:hideMark/>
          </w:tcPr>
          <w:p w14:paraId="3B81BEF3" w14:textId="77777777" w:rsidR="00F35EDF" w:rsidRPr="00F35EDF" w:rsidRDefault="00F35EDF" w:rsidP="00F35EDF">
            <w:pPr>
              <w:spacing w:after="0" w:line="240" w:lineRule="auto"/>
              <w:jc w:val="center"/>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Recovery rate</w:t>
            </w:r>
          </w:p>
        </w:tc>
      </w:tr>
      <w:tr w:rsidR="00AC3674" w:rsidRPr="00F35EDF" w14:paraId="3B01DFF4" w14:textId="77777777" w:rsidTr="00AC3674">
        <w:trPr>
          <w:trHeight w:val="315"/>
        </w:trPr>
        <w:tc>
          <w:tcPr>
            <w:tcW w:w="1563" w:type="dxa"/>
            <w:vMerge/>
            <w:tcBorders>
              <w:top w:val="nil"/>
              <w:left w:val="nil"/>
              <w:bottom w:val="single" w:sz="8" w:space="0" w:color="44B3E1"/>
              <w:right w:val="nil"/>
            </w:tcBorders>
            <w:vAlign w:val="center"/>
            <w:hideMark/>
          </w:tcPr>
          <w:p w14:paraId="0E9DE4CF" w14:textId="77777777" w:rsidR="00F35EDF" w:rsidRPr="00F35EDF" w:rsidRDefault="00F35EDF" w:rsidP="00F35EDF">
            <w:pPr>
              <w:spacing w:after="0" w:line="240" w:lineRule="auto"/>
              <w:jc w:val="left"/>
              <w:rPr>
                <w:rFonts w:ascii="Aptos Narrow" w:hAnsi="Aptos Narrow"/>
                <w:b/>
                <w:bCs/>
                <w:noProof/>
                <w:color w:val="FFFFFF"/>
                <w:szCs w:val="22"/>
                <w:lang w:val="en-IE" w:eastAsia="en-IE"/>
              </w:rPr>
            </w:pPr>
          </w:p>
        </w:tc>
        <w:tc>
          <w:tcPr>
            <w:tcW w:w="1325" w:type="dxa"/>
            <w:tcBorders>
              <w:top w:val="nil"/>
              <w:left w:val="nil"/>
              <w:bottom w:val="single" w:sz="8" w:space="0" w:color="44B3E1"/>
              <w:right w:val="nil"/>
            </w:tcBorders>
            <w:shd w:val="clear" w:color="000000" w:fill="D86DCD"/>
            <w:vAlign w:val="center"/>
            <w:hideMark/>
          </w:tcPr>
          <w:p w14:paraId="5A5F91EB" w14:textId="77777777" w:rsidR="00F35EDF" w:rsidRPr="00F35EDF" w:rsidRDefault="00F35EDF" w:rsidP="00F35EDF">
            <w:pPr>
              <w:spacing w:after="0" w:line="240" w:lineRule="auto"/>
              <w:jc w:val="center"/>
              <w:rPr>
                <w:rFonts w:ascii="Aptos Narrow" w:hAnsi="Aptos Narrow"/>
                <w:b/>
                <w:bCs/>
                <w:noProof/>
                <w:color w:val="FFFFFF"/>
                <w:sz w:val="20"/>
                <w:lang w:val="en-IE" w:eastAsia="en-IE"/>
              </w:rPr>
            </w:pPr>
            <w:r w:rsidRPr="00F35EDF">
              <w:rPr>
                <w:rFonts w:ascii="Aptos Narrow" w:hAnsi="Aptos Narrow"/>
                <w:b/>
                <w:bCs/>
                <w:noProof/>
                <w:color w:val="FFFFFF"/>
                <w:sz w:val="20"/>
                <w:lang w:val="en-IE" w:eastAsia="en-IE"/>
              </w:rPr>
              <w:t>N</w:t>
            </w:r>
          </w:p>
        </w:tc>
        <w:tc>
          <w:tcPr>
            <w:tcW w:w="1223" w:type="dxa"/>
            <w:tcBorders>
              <w:top w:val="nil"/>
              <w:left w:val="nil"/>
              <w:bottom w:val="single" w:sz="8" w:space="0" w:color="44B3E1"/>
              <w:right w:val="nil"/>
            </w:tcBorders>
            <w:shd w:val="clear" w:color="000000" w:fill="D86DCD"/>
            <w:vAlign w:val="center"/>
            <w:hideMark/>
          </w:tcPr>
          <w:p w14:paraId="1F6DD178" w14:textId="77777777" w:rsidR="00F35EDF" w:rsidRPr="00F35EDF" w:rsidRDefault="00F35EDF" w:rsidP="00F35EDF">
            <w:pPr>
              <w:spacing w:after="0" w:line="240" w:lineRule="auto"/>
              <w:jc w:val="center"/>
              <w:rPr>
                <w:rFonts w:ascii="Aptos Narrow" w:hAnsi="Aptos Narrow"/>
                <w:b/>
                <w:bCs/>
                <w:noProof/>
                <w:color w:val="FFFFFF"/>
                <w:sz w:val="20"/>
                <w:lang w:val="en-IE" w:eastAsia="en-IE"/>
              </w:rPr>
            </w:pPr>
            <w:r w:rsidRPr="00F35EDF">
              <w:rPr>
                <w:rFonts w:ascii="Aptos Narrow" w:hAnsi="Aptos Narrow"/>
                <w:b/>
                <w:bCs/>
                <w:noProof/>
                <w:color w:val="FFFFFF"/>
                <w:sz w:val="20"/>
                <w:lang w:val="en-IE" w:eastAsia="en-IE"/>
              </w:rPr>
              <w:t>EUR million</w:t>
            </w:r>
          </w:p>
        </w:tc>
        <w:tc>
          <w:tcPr>
            <w:tcW w:w="1276" w:type="dxa"/>
            <w:tcBorders>
              <w:top w:val="nil"/>
              <w:left w:val="nil"/>
              <w:bottom w:val="single" w:sz="8" w:space="0" w:color="44B3E1"/>
              <w:right w:val="nil"/>
            </w:tcBorders>
            <w:shd w:val="clear" w:color="000000" w:fill="D86DCD"/>
            <w:vAlign w:val="center"/>
            <w:hideMark/>
          </w:tcPr>
          <w:p w14:paraId="5309AE0D" w14:textId="77777777" w:rsidR="00F35EDF" w:rsidRPr="00F35EDF" w:rsidRDefault="00F35EDF" w:rsidP="00F35EDF">
            <w:pPr>
              <w:spacing w:after="0" w:line="240" w:lineRule="auto"/>
              <w:jc w:val="center"/>
              <w:rPr>
                <w:rFonts w:ascii="Aptos Narrow" w:hAnsi="Aptos Narrow"/>
                <w:b/>
                <w:bCs/>
                <w:noProof/>
                <w:color w:val="FFFFFF"/>
                <w:sz w:val="20"/>
                <w:lang w:val="en-IE" w:eastAsia="en-IE"/>
              </w:rPr>
            </w:pPr>
            <w:r w:rsidRPr="00F35EDF">
              <w:rPr>
                <w:rFonts w:ascii="Aptos Narrow" w:hAnsi="Aptos Narrow"/>
                <w:b/>
                <w:bCs/>
                <w:noProof/>
                <w:color w:val="FFFFFF"/>
                <w:sz w:val="20"/>
                <w:lang w:val="en-IE" w:eastAsia="en-IE"/>
              </w:rPr>
              <w:t>EUR million</w:t>
            </w:r>
          </w:p>
        </w:tc>
        <w:tc>
          <w:tcPr>
            <w:tcW w:w="1276" w:type="dxa"/>
            <w:tcBorders>
              <w:top w:val="nil"/>
              <w:left w:val="nil"/>
              <w:bottom w:val="single" w:sz="8" w:space="0" w:color="44B3E1"/>
              <w:right w:val="nil"/>
            </w:tcBorders>
            <w:shd w:val="clear" w:color="000000" w:fill="D86DCD"/>
            <w:vAlign w:val="center"/>
            <w:hideMark/>
          </w:tcPr>
          <w:p w14:paraId="3567112C" w14:textId="77777777" w:rsidR="00F35EDF" w:rsidRPr="00F35EDF" w:rsidRDefault="00F35EDF" w:rsidP="00F35EDF">
            <w:pPr>
              <w:spacing w:after="0" w:line="240" w:lineRule="auto"/>
              <w:jc w:val="center"/>
              <w:rPr>
                <w:rFonts w:ascii="Aptos Narrow" w:hAnsi="Aptos Narrow"/>
                <w:b/>
                <w:bCs/>
                <w:noProof/>
                <w:color w:val="FFFFFF"/>
                <w:sz w:val="20"/>
                <w:lang w:val="en-IE" w:eastAsia="en-IE"/>
              </w:rPr>
            </w:pPr>
            <w:r w:rsidRPr="00F35EDF">
              <w:rPr>
                <w:rFonts w:ascii="Aptos Narrow" w:hAnsi="Aptos Narrow"/>
                <w:b/>
                <w:bCs/>
                <w:noProof/>
                <w:color w:val="FFFFFF"/>
                <w:sz w:val="20"/>
                <w:lang w:val="en-IE" w:eastAsia="en-IE"/>
              </w:rPr>
              <w:t>%</w:t>
            </w:r>
          </w:p>
        </w:tc>
        <w:tc>
          <w:tcPr>
            <w:tcW w:w="1136" w:type="dxa"/>
            <w:tcBorders>
              <w:top w:val="nil"/>
              <w:left w:val="nil"/>
              <w:bottom w:val="single" w:sz="8" w:space="0" w:color="44B3E1"/>
              <w:right w:val="nil"/>
            </w:tcBorders>
            <w:shd w:val="clear" w:color="000000" w:fill="D86DCD"/>
            <w:vAlign w:val="center"/>
            <w:hideMark/>
          </w:tcPr>
          <w:p w14:paraId="4E0AA6C4" w14:textId="77777777" w:rsidR="00F35EDF" w:rsidRPr="00F35EDF" w:rsidRDefault="00F35EDF" w:rsidP="00F35EDF">
            <w:pPr>
              <w:spacing w:after="0" w:line="240" w:lineRule="auto"/>
              <w:jc w:val="center"/>
              <w:rPr>
                <w:rFonts w:ascii="Aptos Narrow" w:hAnsi="Aptos Narrow"/>
                <w:b/>
                <w:bCs/>
                <w:noProof/>
                <w:color w:val="FFFFFF"/>
                <w:sz w:val="20"/>
                <w:lang w:val="en-IE" w:eastAsia="en-IE"/>
              </w:rPr>
            </w:pPr>
            <w:r w:rsidRPr="00F35EDF">
              <w:rPr>
                <w:rFonts w:ascii="Aptos Narrow" w:hAnsi="Aptos Narrow"/>
                <w:b/>
                <w:bCs/>
                <w:noProof/>
                <w:color w:val="FFFFFF"/>
                <w:sz w:val="20"/>
                <w:lang w:val="en-IE" w:eastAsia="en-IE"/>
              </w:rPr>
              <w:t>EUR million</w:t>
            </w:r>
          </w:p>
        </w:tc>
        <w:tc>
          <w:tcPr>
            <w:tcW w:w="1057" w:type="dxa"/>
            <w:tcBorders>
              <w:top w:val="nil"/>
              <w:left w:val="nil"/>
              <w:bottom w:val="single" w:sz="8" w:space="0" w:color="44B3E1"/>
              <w:right w:val="nil"/>
            </w:tcBorders>
            <w:shd w:val="clear" w:color="000000" w:fill="D86DCD"/>
            <w:vAlign w:val="center"/>
            <w:hideMark/>
          </w:tcPr>
          <w:p w14:paraId="09AC889F" w14:textId="77777777" w:rsidR="00F35EDF" w:rsidRPr="00F35EDF" w:rsidRDefault="00F35EDF" w:rsidP="00F35EDF">
            <w:pPr>
              <w:spacing w:after="0" w:line="240" w:lineRule="auto"/>
              <w:jc w:val="center"/>
              <w:rPr>
                <w:rFonts w:ascii="Aptos Narrow" w:hAnsi="Aptos Narrow"/>
                <w:b/>
                <w:bCs/>
                <w:noProof/>
                <w:color w:val="FFFFFF"/>
                <w:sz w:val="20"/>
                <w:lang w:val="en-IE" w:eastAsia="en-IE"/>
              </w:rPr>
            </w:pPr>
            <w:r w:rsidRPr="00F35EDF">
              <w:rPr>
                <w:rFonts w:ascii="Aptos Narrow" w:hAnsi="Aptos Narrow"/>
                <w:b/>
                <w:bCs/>
                <w:noProof/>
                <w:color w:val="FFFFFF"/>
                <w:sz w:val="20"/>
                <w:lang w:val="en-IE" w:eastAsia="en-IE"/>
              </w:rPr>
              <w:t>%</w:t>
            </w:r>
          </w:p>
        </w:tc>
      </w:tr>
      <w:tr w:rsidR="00AC3674" w:rsidRPr="00F35EDF" w14:paraId="514B9308" w14:textId="77777777" w:rsidTr="00DE241B">
        <w:trPr>
          <w:trHeight w:val="315"/>
        </w:trPr>
        <w:tc>
          <w:tcPr>
            <w:tcW w:w="1563" w:type="dxa"/>
            <w:tcBorders>
              <w:top w:val="nil"/>
              <w:left w:val="nil"/>
              <w:bottom w:val="single" w:sz="8" w:space="0" w:color="44B3E1"/>
              <w:right w:val="nil"/>
            </w:tcBorders>
            <w:shd w:val="clear" w:color="000000" w:fill="E49EDD"/>
            <w:noWrap/>
            <w:vAlign w:val="center"/>
            <w:hideMark/>
          </w:tcPr>
          <w:p w14:paraId="038A24F9" w14:textId="01F6ED79" w:rsidR="00594C5A"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REVENUE</w:t>
            </w:r>
          </w:p>
          <w:p w14:paraId="51F96337" w14:textId="026BFB08" w:rsidR="00F35EDF" w:rsidRPr="00F35EDF"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customs</w:t>
            </w:r>
          </w:p>
        </w:tc>
        <w:tc>
          <w:tcPr>
            <w:tcW w:w="1325" w:type="dxa"/>
            <w:tcBorders>
              <w:top w:val="nil"/>
              <w:left w:val="nil"/>
              <w:bottom w:val="single" w:sz="8" w:space="0" w:color="44B3E1"/>
              <w:right w:val="nil"/>
            </w:tcBorders>
            <w:shd w:val="clear" w:color="000000" w:fill="E49EDD"/>
            <w:noWrap/>
            <w:vAlign w:val="center"/>
            <w:hideMark/>
          </w:tcPr>
          <w:p w14:paraId="67600B12"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600</w:t>
            </w:r>
          </w:p>
        </w:tc>
        <w:tc>
          <w:tcPr>
            <w:tcW w:w="1223" w:type="dxa"/>
            <w:tcBorders>
              <w:top w:val="nil"/>
              <w:left w:val="nil"/>
              <w:bottom w:val="single" w:sz="8" w:space="0" w:color="44B3E1"/>
              <w:right w:val="nil"/>
            </w:tcBorders>
            <w:shd w:val="clear" w:color="000000" w:fill="E49EDD"/>
            <w:noWrap/>
            <w:vAlign w:val="center"/>
            <w:hideMark/>
          </w:tcPr>
          <w:p w14:paraId="6A95A66D"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4 178.5</w:t>
            </w:r>
          </w:p>
        </w:tc>
        <w:tc>
          <w:tcPr>
            <w:tcW w:w="1276" w:type="dxa"/>
            <w:tcBorders>
              <w:top w:val="nil"/>
              <w:left w:val="nil"/>
              <w:bottom w:val="single" w:sz="8" w:space="0" w:color="44B3E1"/>
              <w:right w:val="nil"/>
            </w:tcBorders>
            <w:shd w:val="clear" w:color="000000" w:fill="E49EDD"/>
            <w:noWrap/>
            <w:vAlign w:val="center"/>
            <w:hideMark/>
          </w:tcPr>
          <w:p w14:paraId="0A1E8B3A"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4 704.1</w:t>
            </w:r>
          </w:p>
        </w:tc>
        <w:tc>
          <w:tcPr>
            <w:tcW w:w="1276" w:type="dxa"/>
            <w:tcBorders>
              <w:top w:val="nil"/>
              <w:left w:val="nil"/>
              <w:bottom w:val="single" w:sz="8" w:space="0" w:color="44B3E1"/>
              <w:right w:val="nil"/>
            </w:tcBorders>
            <w:shd w:val="clear" w:color="000000" w:fill="E49EDD"/>
            <w:noWrap/>
            <w:vAlign w:val="center"/>
            <w:hideMark/>
          </w:tcPr>
          <w:p w14:paraId="50CFEB90"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113%</w:t>
            </w:r>
          </w:p>
        </w:tc>
        <w:tc>
          <w:tcPr>
            <w:tcW w:w="1136" w:type="dxa"/>
            <w:tcBorders>
              <w:top w:val="nil"/>
              <w:left w:val="nil"/>
              <w:bottom w:val="single" w:sz="8" w:space="0" w:color="44B3E1"/>
              <w:right w:val="nil"/>
            </w:tcBorders>
            <w:shd w:val="clear" w:color="000000" w:fill="E49EDD"/>
            <w:noWrap/>
            <w:vAlign w:val="center"/>
            <w:hideMark/>
          </w:tcPr>
          <w:p w14:paraId="538CD5B1"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4 534.6</w:t>
            </w:r>
          </w:p>
        </w:tc>
        <w:tc>
          <w:tcPr>
            <w:tcW w:w="1057" w:type="dxa"/>
            <w:tcBorders>
              <w:top w:val="nil"/>
              <w:left w:val="nil"/>
              <w:bottom w:val="single" w:sz="8" w:space="0" w:color="44B3E1"/>
              <w:right w:val="nil"/>
            </w:tcBorders>
            <w:shd w:val="clear" w:color="000000" w:fill="E49EDD"/>
            <w:noWrap/>
            <w:vAlign w:val="center"/>
            <w:hideMark/>
          </w:tcPr>
          <w:p w14:paraId="5CEED418"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96%</w:t>
            </w:r>
          </w:p>
        </w:tc>
      </w:tr>
      <w:tr w:rsidR="00AC3674" w:rsidRPr="00F35EDF" w14:paraId="6D251788" w14:textId="77777777" w:rsidTr="00DE241B">
        <w:trPr>
          <w:trHeight w:val="300"/>
        </w:trPr>
        <w:tc>
          <w:tcPr>
            <w:tcW w:w="1563" w:type="dxa"/>
            <w:tcBorders>
              <w:top w:val="nil"/>
              <w:left w:val="nil"/>
              <w:bottom w:val="nil"/>
              <w:right w:val="nil"/>
            </w:tcBorders>
            <w:shd w:val="clear" w:color="000000" w:fill="F2CEEF"/>
            <w:noWrap/>
            <w:vAlign w:val="center"/>
            <w:hideMark/>
          </w:tcPr>
          <w:p w14:paraId="5B546C7A"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2016</w:t>
            </w:r>
          </w:p>
        </w:tc>
        <w:tc>
          <w:tcPr>
            <w:tcW w:w="1325" w:type="dxa"/>
            <w:tcBorders>
              <w:top w:val="nil"/>
              <w:left w:val="nil"/>
              <w:bottom w:val="nil"/>
              <w:right w:val="nil"/>
            </w:tcBorders>
            <w:shd w:val="clear" w:color="000000" w:fill="F2CEEF"/>
            <w:noWrap/>
            <w:vAlign w:val="center"/>
            <w:hideMark/>
          </w:tcPr>
          <w:p w14:paraId="50D2649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71</w:t>
            </w:r>
          </w:p>
        </w:tc>
        <w:tc>
          <w:tcPr>
            <w:tcW w:w="1223" w:type="dxa"/>
            <w:tcBorders>
              <w:top w:val="nil"/>
              <w:left w:val="nil"/>
              <w:bottom w:val="nil"/>
              <w:right w:val="nil"/>
            </w:tcBorders>
            <w:shd w:val="clear" w:color="000000" w:fill="F2CEEF"/>
            <w:noWrap/>
            <w:vAlign w:val="center"/>
            <w:hideMark/>
          </w:tcPr>
          <w:p w14:paraId="326A517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104.7</w:t>
            </w:r>
          </w:p>
        </w:tc>
        <w:tc>
          <w:tcPr>
            <w:tcW w:w="1276" w:type="dxa"/>
            <w:tcBorders>
              <w:top w:val="nil"/>
              <w:left w:val="nil"/>
              <w:bottom w:val="nil"/>
              <w:right w:val="nil"/>
            </w:tcBorders>
            <w:shd w:val="clear" w:color="000000" w:fill="F2CEEF"/>
            <w:noWrap/>
            <w:vAlign w:val="center"/>
            <w:hideMark/>
          </w:tcPr>
          <w:p w14:paraId="33C352A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64.9</w:t>
            </w:r>
          </w:p>
        </w:tc>
        <w:tc>
          <w:tcPr>
            <w:tcW w:w="1276" w:type="dxa"/>
            <w:tcBorders>
              <w:top w:val="nil"/>
              <w:left w:val="nil"/>
              <w:bottom w:val="nil"/>
              <w:right w:val="nil"/>
            </w:tcBorders>
            <w:shd w:val="clear" w:color="000000" w:fill="F2CEEF"/>
            <w:noWrap/>
            <w:vAlign w:val="center"/>
            <w:hideMark/>
          </w:tcPr>
          <w:p w14:paraId="67470BD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62%</w:t>
            </w:r>
          </w:p>
        </w:tc>
        <w:tc>
          <w:tcPr>
            <w:tcW w:w="1136" w:type="dxa"/>
            <w:tcBorders>
              <w:top w:val="nil"/>
              <w:left w:val="nil"/>
              <w:bottom w:val="nil"/>
              <w:right w:val="nil"/>
            </w:tcBorders>
            <w:shd w:val="clear" w:color="000000" w:fill="F2CEEF"/>
            <w:noWrap/>
            <w:vAlign w:val="center"/>
            <w:hideMark/>
          </w:tcPr>
          <w:p w14:paraId="2B9E06E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23.6</w:t>
            </w:r>
          </w:p>
        </w:tc>
        <w:tc>
          <w:tcPr>
            <w:tcW w:w="1057" w:type="dxa"/>
            <w:tcBorders>
              <w:top w:val="nil"/>
              <w:left w:val="nil"/>
              <w:bottom w:val="nil"/>
              <w:right w:val="nil"/>
            </w:tcBorders>
            <w:shd w:val="clear" w:color="000000" w:fill="F2CEEF"/>
            <w:noWrap/>
            <w:vAlign w:val="center"/>
            <w:hideMark/>
          </w:tcPr>
          <w:p w14:paraId="687BB6E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36%</w:t>
            </w:r>
          </w:p>
        </w:tc>
      </w:tr>
      <w:tr w:rsidR="00AC3674" w:rsidRPr="00F35EDF" w14:paraId="4986DD94" w14:textId="77777777" w:rsidTr="00DE241B">
        <w:trPr>
          <w:trHeight w:val="300"/>
        </w:trPr>
        <w:tc>
          <w:tcPr>
            <w:tcW w:w="1563" w:type="dxa"/>
            <w:tcBorders>
              <w:top w:val="nil"/>
              <w:left w:val="nil"/>
              <w:bottom w:val="nil"/>
              <w:right w:val="nil"/>
            </w:tcBorders>
            <w:shd w:val="clear" w:color="000000" w:fill="FFFFFF"/>
            <w:noWrap/>
            <w:vAlign w:val="center"/>
            <w:hideMark/>
          </w:tcPr>
          <w:p w14:paraId="4304A528"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2017</w:t>
            </w:r>
          </w:p>
        </w:tc>
        <w:tc>
          <w:tcPr>
            <w:tcW w:w="1325" w:type="dxa"/>
            <w:tcBorders>
              <w:top w:val="nil"/>
              <w:left w:val="nil"/>
              <w:bottom w:val="nil"/>
              <w:right w:val="nil"/>
            </w:tcBorders>
            <w:shd w:val="clear" w:color="000000" w:fill="FFFFFF"/>
            <w:noWrap/>
            <w:vAlign w:val="center"/>
            <w:hideMark/>
          </w:tcPr>
          <w:p w14:paraId="2440C6F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88</w:t>
            </w:r>
          </w:p>
        </w:tc>
        <w:tc>
          <w:tcPr>
            <w:tcW w:w="1223" w:type="dxa"/>
            <w:tcBorders>
              <w:top w:val="nil"/>
              <w:left w:val="nil"/>
              <w:bottom w:val="nil"/>
              <w:right w:val="nil"/>
            </w:tcBorders>
            <w:shd w:val="clear" w:color="000000" w:fill="FFFFFF"/>
            <w:noWrap/>
            <w:vAlign w:val="center"/>
            <w:hideMark/>
          </w:tcPr>
          <w:p w14:paraId="641E175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2 530.5</w:t>
            </w:r>
          </w:p>
        </w:tc>
        <w:tc>
          <w:tcPr>
            <w:tcW w:w="1276" w:type="dxa"/>
            <w:tcBorders>
              <w:top w:val="nil"/>
              <w:left w:val="nil"/>
              <w:bottom w:val="nil"/>
              <w:right w:val="nil"/>
            </w:tcBorders>
            <w:shd w:val="clear" w:color="000000" w:fill="FFFFFF"/>
            <w:noWrap/>
            <w:vAlign w:val="center"/>
            <w:hideMark/>
          </w:tcPr>
          <w:p w14:paraId="71718EF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3 777.0</w:t>
            </w:r>
          </w:p>
        </w:tc>
        <w:tc>
          <w:tcPr>
            <w:tcW w:w="1276" w:type="dxa"/>
            <w:tcBorders>
              <w:top w:val="nil"/>
              <w:left w:val="nil"/>
              <w:bottom w:val="nil"/>
              <w:right w:val="nil"/>
            </w:tcBorders>
            <w:shd w:val="clear" w:color="000000" w:fill="FFFFFF"/>
            <w:noWrap/>
            <w:vAlign w:val="center"/>
            <w:hideMark/>
          </w:tcPr>
          <w:p w14:paraId="2C865BF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149%</w:t>
            </w:r>
          </w:p>
        </w:tc>
        <w:tc>
          <w:tcPr>
            <w:tcW w:w="1136" w:type="dxa"/>
            <w:tcBorders>
              <w:top w:val="nil"/>
              <w:left w:val="nil"/>
              <w:bottom w:val="nil"/>
              <w:right w:val="nil"/>
            </w:tcBorders>
            <w:shd w:val="clear" w:color="000000" w:fill="FFFFFF"/>
            <w:noWrap/>
            <w:vAlign w:val="center"/>
            <w:hideMark/>
          </w:tcPr>
          <w:p w14:paraId="3983027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3 735.8</w:t>
            </w:r>
          </w:p>
        </w:tc>
        <w:tc>
          <w:tcPr>
            <w:tcW w:w="1057" w:type="dxa"/>
            <w:tcBorders>
              <w:top w:val="nil"/>
              <w:left w:val="nil"/>
              <w:bottom w:val="nil"/>
              <w:right w:val="nil"/>
            </w:tcBorders>
            <w:shd w:val="clear" w:color="000000" w:fill="FFFFFF"/>
            <w:noWrap/>
            <w:vAlign w:val="center"/>
            <w:hideMark/>
          </w:tcPr>
          <w:p w14:paraId="7201C8F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99%</w:t>
            </w:r>
          </w:p>
        </w:tc>
      </w:tr>
      <w:tr w:rsidR="00AC3674" w:rsidRPr="00F35EDF" w14:paraId="10361B70" w14:textId="77777777" w:rsidTr="00DE241B">
        <w:trPr>
          <w:trHeight w:val="300"/>
        </w:trPr>
        <w:tc>
          <w:tcPr>
            <w:tcW w:w="1563" w:type="dxa"/>
            <w:tcBorders>
              <w:top w:val="nil"/>
              <w:left w:val="nil"/>
              <w:bottom w:val="nil"/>
              <w:right w:val="nil"/>
            </w:tcBorders>
            <w:shd w:val="clear" w:color="000000" w:fill="F2CEEF"/>
            <w:noWrap/>
            <w:vAlign w:val="center"/>
            <w:hideMark/>
          </w:tcPr>
          <w:p w14:paraId="55EF65BC"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2018</w:t>
            </w:r>
          </w:p>
        </w:tc>
        <w:tc>
          <w:tcPr>
            <w:tcW w:w="1325" w:type="dxa"/>
            <w:tcBorders>
              <w:top w:val="nil"/>
              <w:left w:val="nil"/>
              <w:bottom w:val="nil"/>
              <w:right w:val="nil"/>
            </w:tcBorders>
            <w:shd w:val="clear" w:color="000000" w:fill="F2CEEF"/>
            <w:noWrap/>
            <w:vAlign w:val="center"/>
            <w:hideMark/>
          </w:tcPr>
          <w:p w14:paraId="5C1EB78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83</w:t>
            </w:r>
          </w:p>
        </w:tc>
        <w:tc>
          <w:tcPr>
            <w:tcW w:w="1223" w:type="dxa"/>
            <w:tcBorders>
              <w:top w:val="nil"/>
              <w:left w:val="nil"/>
              <w:bottom w:val="nil"/>
              <w:right w:val="nil"/>
            </w:tcBorders>
            <w:shd w:val="clear" w:color="000000" w:fill="F2CEEF"/>
            <w:noWrap/>
            <w:vAlign w:val="center"/>
            <w:hideMark/>
          </w:tcPr>
          <w:p w14:paraId="2172EAB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58.2</w:t>
            </w:r>
          </w:p>
        </w:tc>
        <w:tc>
          <w:tcPr>
            <w:tcW w:w="1276" w:type="dxa"/>
            <w:tcBorders>
              <w:top w:val="nil"/>
              <w:left w:val="nil"/>
              <w:bottom w:val="nil"/>
              <w:right w:val="nil"/>
            </w:tcBorders>
            <w:shd w:val="clear" w:color="000000" w:fill="F2CEEF"/>
            <w:noWrap/>
            <w:vAlign w:val="center"/>
            <w:hideMark/>
          </w:tcPr>
          <w:p w14:paraId="50A43FC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40.6</w:t>
            </w:r>
          </w:p>
        </w:tc>
        <w:tc>
          <w:tcPr>
            <w:tcW w:w="1276" w:type="dxa"/>
            <w:tcBorders>
              <w:top w:val="nil"/>
              <w:left w:val="nil"/>
              <w:bottom w:val="nil"/>
              <w:right w:val="nil"/>
            </w:tcBorders>
            <w:shd w:val="clear" w:color="000000" w:fill="F2CEEF"/>
            <w:noWrap/>
            <w:vAlign w:val="center"/>
            <w:hideMark/>
          </w:tcPr>
          <w:p w14:paraId="4830B84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70%</w:t>
            </w:r>
          </w:p>
        </w:tc>
        <w:tc>
          <w:tcPr>
            <w:tcW w:w="1136" w:type="dxa"/>
            <w:tcBorders>
              <w:top w:val="nil"/>
              <w:left w:val="nil"/>
              <w:bottom w:val="nil"/>
              <w:right w:val="nil"/>
            </w:tcBorders>
            <w:shd w:val="clear" w:color="000000" w:fill="F2CEEF"/>
            <w:noWrap/>
            <w:vAlign w:val="center"/>
            <w:hideMark/>
          </w:tcPr>
          <w:p w14:paraId="101B1C1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20.4</w:t>
            </w:r>
          </w:p>
        </w:tc>
        <w:tc>
          <w:tcPr>
            <w:tcW w:w="1057" w:type="dxa"/>
            <w:tcBorders>
              <w:top w:val="nil"/>
              <w:left w:val="nil"/>
              <w:bottom w:val="nil"/>
              <w:right w:val="nil"/>
            </w:tcBorders>
            <w:shd w:val="clear" w:color="000000" w:fill="F2CEEF"/>
            <w:noWrap/>
            <w:vAlign w:val="center"/>
            <w:hideMark/>
          </w:tcPr>
          <w:p w14:paraId="7B1282F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50%</w:t>
            </w:r>
          </w:p>
        </w:tc>
      </w:tr>
      <w:tr w:rsidR="00AC3674" w:rsidRPr="00F35EDF" w14:paraId="555C8B65" w14:textId="77777777" w:rsidTr="00DE241B">
        <w:trPr>
          <w:trHeight w:val="300"/>
        </w:trPr>
        <w:tc>
          <w:tcPr>
            <w:tcW w:w="1563" w:type="dxa"/>
            <w:tcBorders>
              <w:top w:val="nil"/>
              <w:left w:val="nil"/>
              <w:bottom w:val="nil"/>
              <w:right w:val="nil"/>
            </w:tcBorders>
            <w:shd w:val="clear" w:color="000000" w:fill="FFFFFF"/>
            <w:noWrap/>
            <w:vAlign w:val="center"/>
            <w:hideMark/>
          </w:tcPr>
          <w:p w14:paraId="06C7610C"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2019</w:t>
            </w:r>
          </w:p>
        </w:tc>
        <w:tc>
          <w:tcPr>
            <w:tcW w:w="1325" w:type="dxa"/>
            <w:tcBorders>
              <w:top w:val="nil"/>
              <w:left w:val="nil"/>
              <w:bottom w:val="nil"/>
              <w:right w:val="nil"/>
            </w:tcBorders>
            <w:shd w:val="clear" w:color="000000" w:fill="FFFFFF"/>
            <w:noWrap/>
            <w:vAlign w:val="center"/>
            <w:hideMark/>
          </w:tcPr>
          <w:p w14:paraId="29E2B62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64</w:t>
            </w:r>
          </w:p>
        </w:tc>
        <w:tc>
          <w:tcPr>
            <w:tcW w:w="1223" w:type="dxa"/>
            <w:tcBorders>
              <w:top w:val="nil"/>
              <w:left w:val="nil"/>
              <w:bottom w:val="nil"/>
              <w:right w:val="nil"/>
            </w:tcBorders>
            <w:shd w:val="clear" w:color="000000" w:fill="FFFFFF"/>
            <w:noWrap/>
            <w:vAlign w:val="center"/>
            <w:hideMark/>
          </w:tcPr>
          <w:p w14:paraId="79735AE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288.6</w:t>
            </w:r>
          </w:p>
        </w:tc>
        <w:tc>
          <w:tcPr>
            <w:tcW w:w="1276" w:type="dxa"/>
            <w:tcBorders>
              <w:top w:val="nil"/>
              <w:left w:val="nil"/>
              <w:bottom w:val="nil"/>
              <w:right w:val="nil"/>
            </w:tcBorders>
            <w:shd w:val="clear" w:color="000000" w:fill="FFFFFF"/>
            <w:noWrap/>
            <w:vAlign w:val="center"/>
            <w:hideMark/>
          </w:tcPr>
          <w:p w14:paraId="5973FEA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201.1</w:t>
            </w:r>
          </w:p>
        </w:tc>
        <w:tc>
          <w:tcPr>
            <w:tcW w:w="1276" w:type="dxa"/>
            <w:tcBorders>
              <w:top w:val="nil"/>
              <w:left w:val="nil"/>
              <w:bottom w:val="nil"/>
              <w:right w:val="nil"/>
            </w:tcBorders>
            <w:shd w:val="clear" w:color="000000" w:fill="FFFFFF"/>
            <w:noWrap/>
            <w:vAlign w:val="center"/>
            <w:hideMark/>
          </w:tcPr>
          <w:p w14:paraId="51FC39B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70%</w:t>
            </w:r>
          </w:p>
        </w:tc>
        <w:tc>
          <w:tcPr>
            <w:tcW w:w="1136" w:type="dxa"/>
            <w:tcBorders>
              <w:top w:val="nil"/>
              <w:left w:val="nil"/>
              <w:bottom w:val="nil"/>
              <w:right w:val="nil"/>
            </w:tcBorders>
            <w:shd w:val="clear" w:color="000000" w:fill="FFFFFF"/>
            <w:noWrap/>
            <w:vAlign w:val="center"/>
            <w:hideMark/>
          </w:tcPr>
          <w:p w14:paraId="543FB39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200.2</w:t>
            </w:r>
          </w:p>
        </w:tc>
        <w:tc>
          <w:tcPr>
            <w:tcW w:w="1057" w:type="dxa"/>
            <w:tcBorders>
              <w:top w:val="nil"/>
              <w:left w:val="nil"/>
              <w:bottom w:val="nil"/>
              <w:right w:val="nil"/>
            </w:tcBorders>
            <w:shd w:val="clear" w:color="000000" w:fill="FFFFFF"/>
            <w:noWrap/>
            <w:vAlign w:val="center"/>
            <w:hideMark/>
          </w:tcPr>
          <w:p w14:paraId="2AD8AC7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13F4E751" w14:textId="77777777" w:rsidTr="00DE241B">
        <w:trPr>
          <w:trHeight w:val="300"/>
        </w:trPr>
        <w:tc>
          <w:tcPr>
            <w:tcW w:w="1563" w:type="dxa"/>
            <w:tcBorders>
              <w:top w:val="nil"/>
              <w:left w:val="nil"/>
              <w:bottom w:val="nil"/>
              <w:right w:val="nil"/>
            </w:tcBorders>
            <w:shd w:val="clear" w:color="000000" w:fill="F2CEEF"/>
            <w:noWrap/>
            <w:vAlign w:val="center"/>
            <w:hideMark/>
          </w:tcPr>
          <w:p w14:paraId="5A5C96CE"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2020</w:t>
            </w:r>
          </w:p>
        </w:tc>
        <w:tc>
          <w:tcPr>
            <w:tcW w:w="1325" w:type="dxa"/>
            <w:tcBorders>
              <w:top w:val="nil"/>
              <w:left w:val="nil"/>
              <w:bottom w:val="nil"/>
              <w:right w:val="nil"/>
            </w:tcBorders>
            <w:shd w:val="clear" w:color="000000" w:fill="F2CEEF"/>
            <w:noWrap/>
            <w:vAlign w:val="center"/>
            <w:hideMark/>
          </w:tcPr>
          <w:p w14:paraId="2D12330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97</w:t>
            </w:r>
          </w:p>
        </w:tc>
        <w:tc>
          <w:tcPr>
            <w:tcW w:w="1223" w:type="dxa"/>
            <w:tcBorders>
              <w:top w:val="nil"/>
              <w:left w:val="nil"/>
              <w:bottom w:val="nil"/>
              <w:right w:val="nil"/>
            </w:tcBorders>
            <w:shd w:val="clear" w:color="000000" w:fill="F2CEEF"/>
            <w:noWrap/>
            <w:vAlign w:val="center"/>
            <w:hideMark/>
          </w:tcPr>
          <w:p w14:paraId="2E3B82D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123.2</w:t>
            </w:r>
          </w:p>
        </w:tc>
        <w:tc>
          <w:tcPr>
            <w:tcW w:w="1276" w:type="dxa"/>
            <w:tcBorders>
              <w:top w:val="nil"/>
              <w:left w:val="nil"/>
              <w:bottom w:val="nil"/>
              <w:right w:val="nil"/>
            </w:tcBorders>
            <w:shd w:val="clear" w:color="000000" w:fill="F2CEEF"/>
            <w:noWrap/>
            <w:vAlign w:val="center"/>
            <w:hideMark/>
          </w:tcPr>
          <w:p w14:paraId="3C17EF1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95.1</w:t>
            </w:r>
          </w:p>
        </w:tc>
        <w:tc>
          <w:tcPr>
            <w:tcW w:w="1276" w:type="dxa"/>
            <w:tcBorders>
              <w:top w:val="nil"/>
              <w:left w:val="nil"/>
              <w:bottom w:val="nil"/>
              <w:right w:val="nil"/>
            </w:tcBorders>
            <w:shd w:val="clear" w:color="000000" w:fill="F2CEEF"/>
            <w:noWrap/>
            <w:vAlign w:val="center"/>
            <w:hideMark/>
          </w:tcPr>
          <w:p w14:paraId="7D3B1B0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77%</w:t>
            </w:r>
          </w:p>
        </w:tc>
        <w:tc>
          <w:tcPr>
            <w:tcW w:w="1136" w:type="dxa"/>
            <w:tcBorders>
              <w:top w:val="nil"/>
              <w:left w:val="nil"/>
              <w:bottom w:val="nil"/>
              <w:right w:val="nil"/>
            </w:tcBorders>
            <w:shd w:val="clear" w:color="000000" w:fill="F2CEEF"/>
            <w:noWrap/>
            <w:vAlign w:val="center"/>
            <w:hideMark/>
          </w:tcPr>
          <w:p w14:paraId="5F8953D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53.6</w:t>
            </w:r>
          </w:p>
        </w:tc>
        <w:tc>
          <w:tcPr>
            <w:tcW w:w="1057" w:type="dxa"/>
            <w:tcBorders>
              <w:top w:val="nil"/>
              <w:left w:val="nil"/>
              <w:bottom w:val="nil"/>
              <w:right w:val="nil"/>
            </w:tcBorders>
            <w:shd w:val="clear" w:color="000000" w:fill="F2CEEF"/>
            <w:noWrap/>
            <w:vAlign w:val="center"/>
            <w:hideMark/>
          </w:tcPr>
          <w:p w14:paraId="3262D0E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56%</w:t>
            </w:r>
          </w:p>
        </w:tc>
      </w:tr>
      <w:tr w:rsidR="00AC3674" w:rsidRPr="00F35EDF" w14:paraId="3BA27E58" w14:textId="77777777" w:rsidTr="00DE241B">
        <w:trPr>
          <w:trHeight w:val="300"/>
        </w:trPr>
        <w:tc>
          <w:tcPr>
            <w:tcW w:w="1563" w:type="dxa"/>
            <w:tcBorders>
              <w:top w:val="nil"/>
              <w:left w:val="nil"/>
              <w:bottom w:val="nil"/>
              <w:right w:val="nil"/>
            </w:tcBorders>
            <w:shd w:val="clear" w:color="000000" w:fill="FFFFFF"/>
            <w:noWrap/>
            <w:vAlign w:val="center"/>
            <w:hideMark/>
          </w:tcPr>
          <w:p w14:paraId="355AC726"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2021</w:t>
            </w:r>
          </w:p>
        </w:tc>
        <w:tc>
          <w:tcPr>
            <w:tcW w:w="1325" w:type="dxa"/>
            <w:tcBorders>
              <w:top w:val="nil"/>
              <w:left w:val="nil"/>
              <w:bottom w:val="nil"/>
              <w:right w:val="nil"/>
            </w:tcBorders>
            <w:shd w:val="clear" w:color="000000" w:fill="FFFFFF"/>
            <w:noWrap/>
            <w:vAlign w:val="center"/>
            <w:hideMark/>
          </w:tcPr>
          <w:p w14:paraId="7696C38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90</w:t>
            </w:r>
          </w:p>
        </w:tc>
        <w:tc>
          <w:tcPr>
            <w:tcW w:w="1223" w:type="dxa"/>
            <w:tcBorders>
              <w:top w:val="nil"/>
              <w:left w:val="nil"/>
              <w:bottom w:val="nil"/>
              <w:right w:val="nil"/>
            </w:tcBorders>
            <w:shd w:val="clear" w:color="000000" w:fill="FFFFFF"/>
            <w:noWrap/>
            <w:vAlign w:val="center"/>
            <w:hideMark/>
          </w:tcPr>
          <w:p w14:paraId="10D84A9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286.2</w:t>
            </w:r>
          </w:p>
        </w:tc>
        <w:tc>
          <w:tcPr>
            <w:tcW w:w="1276" w:type="dxa"/>
            <w:tcBorders>
              <w:top w:val="nil"/>
              <w:left w:val="nil"/>
              <w:bottom w:val="nil"/>
              <w:right w:val="nil"/>
            </w:tcBorders>
            <w:shd w:val="clear" w:color="000000" w:fill="FFFFFF"/>
            <w:noWrap/>
            <w:vAlign w:val="center"/>
            <w:hideMark/>
          </w:tcPr>
          <w:p w14:paraId="54B26B6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68.5</w:t>
            </w:r>
          </w:p>
        </w:tc>
        <w:tc>
          <w:tcPr>
            <w:tcW w:w="1276" w:type="dxa"/>
            <w:tcBorders>
              <w:top w:val="nil"/>
              <w:left w:val="nil"/>
              <w:bottom w:val="nil"/>
              <w:right w:val="nil"/>
            </w:tcBorders>
            <w:shd w:val="clear" w:color="000000" w:fill="FFFFFF"/>
            <w:noWrap/>
            <w:vAlign w:val="center"/>
            <w:hideMark/>
          </w:tcPr>
          <w:p w14:paraId="5BCE50F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24%</w:t>
            </w:r>
          </w:p>
        </w:tc>
        <w:tc>
          <w:tcPr>
            <w:tcW w:w="1136" w:type="dxa"/>
            <w:tcBorders>
              <w:top w:val="nil"/>
              <w:left w:val="nil"/>
              <w:bottom w:val="nil"/>
              <w:right w:val="nil"/>
            </w:tcBorders>
            <w:shd w:val="clear" w:color="000000" w:fill="FFFFFF"/>
            <w:noWrap/>
            <w:vAlign w:val="center"/>
            <w:hideMark/>
          </w:tcPr>
          <w:p w14:paraId="1505D13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48.5</w:t>
            </w:r>
          </w:p>
        </w:tc>
        <w:tc>
          <w:tcPr>
            <w:tcW w:w="1057" w:type="dxa"/>
            <w:tcBorders>
              <w:top w:val="nil"/>
              <w:left w:val="nil"/>
              <w:bottom w:val="nil"/>
              <w:right w:val="nil"/>
            </w:tcBorders>
            <w:shd w:val="clear" w:color="000000" w:fill="FFFFFF"/>
            <w:noWrap/>
            <w:vAlign w:val="center"/>
            <w:hideMark/>
          </w:tcPr>
          <w:p w14:paraId="1B3782D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71%</w:t>
            </w:r>
          </w:p>
        </w:tc>
      </w:tr>
      <w:tr w:rsidR="00AC3674" w:rsidRPr="00F35EDF" w14:paraId="49349261" w14:textId="77777777" w:rsidTr="00DE241B">
        <w:trPr>
          <w:trHeight w:val="300"/>
        </w:trPr>
        <w:tc>
          <w:tcPr>
            <w:tcW w:w="1563" w:type="dxa"/>
            <w:tcBorders>
              <w:top w:val="nil"/>
              <w:left w:val="nil"/>
              <w:bottom w:val="nil"/>
              <w:right w:val="nil"/>
            </w:tcBorders>
            <w:shd w:val="clear" w:color="000000" w:fill="F2CEEF"/>
            <w:noWrap/>
            <w:vAlign w:val="center"/>
            <w:hideMark/>
          </w:tcPr>
          <w:p w14:paraId="63D5B774"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2022</w:t>
            </w:r>
          </w:p>
        </w:tc>
        <w:tc>
          <w:tcPr>
            <w:tcW w:w="1325" w:type="dxa"/>
            <w:tcBorders>
              <w:top w:val="nil"/>
              <w:left w:val="nil"/>
              <w:bottom w:val="nil"/>
              <w:right w:val="nil"/>
            </w:tcBorders>
            <w:shd w:val="clear" w:color="000000" w:fill="F2CEEF"/>
            <w:noWrap/>
            <w:vAlign w:val="center"/>
            <w:hideMark/>
          </w:tcPr>
          <w:p w14:paraId="18EBD3E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28</w:t>
            </w:r>
          </w:p>
        </w:tc>
        <w:tc>
          <w:tcPr>
            <w:tcW w:w="1223" w:type="dxa"/>
            <w:tcBorders>
              <w:top w:val="nil"/>
              <w:left w:val="nil"/>
              <w:bottom w:val="nil"/>
              <w:right w:val="nil"/>
            </w:tcBorders>
            <w:shd w:val="clear" w:color="000000" w:fill="F2CEEF"/>
            <w:noWrap/>
            <w:vAlign w:val="center"/>
            <w:hideMark/>
          </w:tcPr>
          <w:p w14:paraId="2A2D1AF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81.9</w:t>
            </w:r>
          </w:p>
        </w:tc>
        <w:tc>
          <w:tcPr>
            <w:tcW w:w="1276" w:type="dxa"/>
            <w:tcBorders>
              <w:top w:val="nil"/>
              <w:left w:val="nil"/>
              <w:bottom w:val="nil"/>
              <w:right w:val="nil"/>
            </w:tcBorders>
            <w:shd w:val="clear" w:color="000000" w:fill="F2CEEF"/>
            <w:noWrap/>
            <w:vAlign w:val="center"/>
            <w:hideMark/>
          </w:tcPr>
          <w:p w14:paraId="1F6F30B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93.6</w:t>
            </w:r>
          </w:p>
        </w:tc>
        <w:tc>
          <w:tcPr>
            <w:tcW w:w="1276" w:type="dxa"/>
            <w:tcBorders>
              <w:top w:val="nil"/>
              <w:left w:val="nil"/>
              <w:bottom w:val="nil"/>
              <w:right w:val="nil"/>
            </w:tcBorders>
            <w:shd w:val="clear" w:color="000000" w:fill="F2CEEF"/>
            <w:noWrap/>
            <w:vAlign w:val="center"/>
            <w:hideMark/>
          </w:tcPr>
          <w:p w14:paraId="07ADD4C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114%</w:t>
            </w:r>
          </w:p>
        </w:tc>
        <w:tc>
          <w:tcPr>
            <w:tcW w:w="1136" w:type="dxa"/>
            <w:tcBorders>
              <w:top w:val="nil"/>
              <w:left w:val="nil"/>
              <w:bottom w:val="nil"/>
              <w:right w:val="nil"/>
            </w:tcBorders>
            <w:shd w:val="clear" w:color="000000" w:fill="F2CEEF"/>
            <w:noWrap/>
            <w:vAlign w:val="center"/>
            <w:hideMark/>
          </w:tcPr>
          <w:p w14:paraId="32C86B0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89.1</w:t>
            </w:r>
          </w:p>
        </w:tc>
        <w:tc>
          <w:tcPr>
            <w:tcW w:w="1057" w:type="dxa"/>
            <w:tcBorders>
              <w:top w:val="nil"/>
              <w:left w:val="nil"/>
              <w:bottom w:val="nil"/>
              <w:right w:val="nil"/>
            </w:tcBorders>
            <w:shd w:val="clear" w:color="000000" w:fill="F2CEEF"/>
            <w:noWrap/>
            <w:vAlign w:val="center"/>
            <w:hideMark/>
          </w:tcPr>
          <w:p w14:paraId="4DBF914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95%</w:t>
            </w:r>
          </w:p>
        </w:tc>
      </w:tr>
      <w:tr w:rsidR="00AC3674" w:rsidRPr="00F35EDF" w14:paraId="5B3F32C3" w14:textId="77777777" w:rsidTr="00DE241B">
        <w:trPr>
          <w:trHeight w:val="300"/>
        </w:trPr>
        <w:tc>
          <w:tcPr>
            <w:tcW w:w="1563" w:type="dxa"/>
            <w:tcBorders>
              <w:top w:val="nil"/>
              <w:left w:val="nil"/>
              <w:bottom w:val="nil"/>
              <w:right w:val="nil"/>
            </w:tcBorders>
            <w:shd w:val="clear" w:color="000000" w:fill="FFFFFF"/>
            <w:noWrap/>
            <w:vAlign w:val="center"/>
            <w:hideMark/>
          </w:tcPr>
          <w:p w14:paraId="00E06151"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2023</w:t>
            </w:r>
          </w:p>
        </w:tc>
        <w:tc>
          <w:tcPr>
            <w:tcW w:w="1325" w:type="dxa"/>
            <w:tcBorders>
              <w:top w:val="nil"/>
              <w:left w:val="nil"/>
              <w:bottom w:val="nil"/>
              <w:right w:val="nil"/>
            </w:tcBorders>
            <w:shd w:val="clear" w:color="000000" w:fill="FFFFFF"/>
            <w:noWrap/>
            <w:vAlign w:val="center"/>
            <w:hideMark/>
          </w:tcPr>
          <w:p w14:paraId="3B021E3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32</w:t>
            </w:r>
          </w:p>
        </w:tc>
        <w:tc>
          <w:tcPr>
            <w:tcW w:w="1223" w:type="dxa"/>
            <w:tcBorders>
              <w:top w:val="nil"/>
              <w:left w:val="nil"/>
              <w:bottom w:val="nil"/>
              <w:right w:val="nil"/>
            </w:tcBorders>
            <w:shd w:val="clear" w:color="000000" w:fill="FFFFFF"/>
            <w:noWrap/>
            <w:vAlign w:val="center"/>
            <w:hideMark/>
          </w:tcPr>
          <w:p w14:paraId="5B4F04B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688.5</w:t>
            </w:r>
          </w:p>
        </w:tc>
        <w:tc>
          <w:tcPr>
            <w:tcW w:w="1276" w:type="dxa"/>
            <w:tcBorders>
              <w:top w:val="nil"/>
              <w:left w:val="nil"/>
              <w:bottom w:val="nil"/>
              <w:right w:val="nil"/>
            </w:tcBorders>
            <w:shd w:val="clear" w:color="000000" w:fill="FFFFFF"/>
            <w:noWrap/>
            <w:vAlign w:val="center"/>
            <w:hideMark/>
          </w:tcPr>
          <w:p w14:paraId="0175D8A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343.7</w:t>
            </w:r>
          </w:p>
        </w:tc>
        <w:tc>
          <w:tcPr>
            <w:tcW w:w="1276" w:type="dxa"/>
            <w:tcBorders>
              <w:top w:val="nil"/>
              <w:left w:val="nil"/>
              <w:bottom w:val="nil"/>
              <w:right w:val="nil"/>
            </w:tcBorders>
            <w:shd w:val="clear" w:color="000000" w:fill="FFFFFF"/>
            <w:noWrap/>
            <w:vAlign w:val="center"/>
            <w:hideMark/>
          </w:tcPr>
          <w:p w14:paraId="21041F4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50%</w:t>
            </w:r>
          </w:p>
        </w:tc>
        <w:tc>
          <w:tcPr>
            <w:tcW w:w="1136" w:type="dxa"/>
            <w:tcBorders>
              <w:top w:val="nil"/>
              <w:left w:val="nil"/>
              <w:bottom w:val="nil"/>
              <w:right w:val="nil"/>
            </w:tcBorders>
            <w:shd w:val="clear" w:color="000000" w:fill="FFFFFF"/>
            <w:noWrap/>
            <w:vAlign w:val="center"/>
            <w:hideMark/>
          </w:tcPr>
          <w:p w14:paraId="3631E17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343.7</w:t>
            </w:r>
          </w:p>
        </w:tc>
        <w:tc>
          <w:tcPr>
            <w:tcW w:w="1057" w:type="dxa"/>
            <w:tcBorders>
              <w:top w:val="nil"/>
              <w:left w:val="nil"/>
              <w:bottom w:val="nil"/>
              <w:right w:val="nil"/>
            </w:tcBorders>
            <w:shd w:val="clear" w:color="000000" w:fill="FFFFFF"/>
            <w:noWrap/>
            <w:vAlign w:val="center"/>
            <w:hideMark/>
          </w:tcPr>
          <w:p w14:paraId="32A4117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265EEFD6" w14:textId="77777777" w:rsidTr="00DE241B">
        <w:trPr>
          <w:trHeight w:val="300"/>
        </w:trPr>
        <w:tc>
          <w:tcPr>
            <w:tcW w:w="1563" w:type="dxa"/>
            <w:tcBorders>
              <w:top w:val="nil"/>
              <w:left w:val="nil"/>
              <w:bottom w:val="nil"/>
              <w:right w:val="nil"/>
            </w:tcBorders>
            <w:shd w:val="clear" w:color="000000" w:fill="F2CEEF"/>
            <w:noWrap/>
            <w:vAlign w:val="center"/>
            <w:hideMark/>
          </w:tcPr>
          <w:p w14:paraId="228B3A95"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2024</w:t>
            </w:r>
          </w:p>
        </w:tc>
        <w:tc>
          <w:tcPr>
            <w:tcW w:w="1325" w:type="dxa"/>
            <w:tcBorders>
              <w:top w:val="nil"/>
              <w:left w:val="nil"/>
              <w:bottom w:val="nil"/>
              <w:right w:val="nil"/>
            </w:tcBorders>
            <w:shd w:val="clear" w:color="000000" w:fill="F2CEEF"/>
            <w:noWrap/>
            <w:vAlign w:val="center"/>
            <w:hideMark/>
          </w:tcPr>
          <w:p w14:paraId="5253348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29</w:t>
            </w:r>
          </w:p>
        </w:tc>
        <w:tc>
          <w:tcPr>
            <w:tcW w:w="1223" w:type="dxa"/>
            <w:tcBorders>
              <w:top w:val="nil"/>
              <w:left w:val="nil"/>
              <w:bottom w:val="nil"/>
              <w:right w:val="nil"/>
            </w:tcBorders>
            <w:shd w:val="clear" w:color="000000" w:fill="F2CEEF"/>
            <w:noWrap/>
            <w:vAlign w:val="center"/>
            <w:hideMark/>
          </w:tcPr>
          <w:p w14:paraId="5D12128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11.0</w:t>
            </w:r>
          </w:p>
        </w:tc>
        <w:tc>
          <w:tcPr>
            <w:tcW w:w="1276" w:type="dxa"/>
            <w:tcBorders>
              <w:top w:val="nil"/>
              <w:left w:val="nil"/>
              <w:bottom w:val="nil"/>
              <w:right w:val="nil"/>
            </w:tcBorders>
            <w:shd w:val="clear" w:color="000000" w:fill="F2CEEF"/>
            <w:noWrap/>
            <w:vAlign w:val="center"/>
            <w:hideMark/>
          </w:tcPr>
          <w:p w14:paraId="195E955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12.1</w:t>
            </w:r>
          </w:p>
        </w:tc>
        <w:tc>
          <w:tcPr>
            <w:tcW w:w="1276" w:type="dxa"/>
            <w:tcBorders>
              <w:top w:val="nil"/>
              <w:left w:val="nil"/>
              <w:bottom w:val="nil"/>
              <w:right w:val="nil"/>
            </w:tcBorders>
            <w:shd w:val="clear" w:color="000000" w:fill="F2CEEF"/>
            <w:noWrap/>
            <w:vAlign w:val="center"/>
            <w:hideMark/>
          </w:tcPr>
          <w:p w14:paraId="5C934C6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110%</w:t>
            </w:r>
          </w:p>
        </w:tc>
        <w:tc>
          <w:tcPr>
            <w:tcW w:w="1136" w:type="dxa"/>
            <w:tcBorders>
              <w:top w:val="nil"/>
              <w:left w:val="nil"/>
              <w:bottom w:val="nil"/>
              <w:right w:val="nil"/>
            </w:tcBorders>
            <w:shd w:val="clear" w:color="000000" w:fill="F2CEEF"/>
            <w:noWrap/>
            <w:vAlign w:val="center"/>
            <w:hideMark/>
          </w:tcPr>
          <w:p w14:paraId="19E798B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12.1</w:t>
            </w:r>
          </w:p>
        </w:tc>
        <w:tc>
          <w:tcPr>
            <w:tcW w:w="1057" w:type="dxa"/>
            <w:tcBorders>
              <w:top w:val="nil"/>
              <w:left w:val="nil"/>
              <w:bottom w:val="nil"/>
              <w:right w:val="nil"/>
            </w:tcBorders>
            <w:shd w:val="clear" w:color="000000" w:fill="F2CEEF"/>
            <w:noWrap/>
            <w:vAlign w:val="center"/>
            <w:hideMark/>
          </w:tcPr>
          <w:p w14:paraId="64DA50E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20CD1482" w14:textId="77777777" w:rsidTr="00DE241B">
        <w:trPr>
          <w:trHeight w:val="300"/>
        </w:trPr>
        <w:tc>
          <w:tcPr>
            <w:tcW w:w="1563" w:type="dxa"/>
            <w:tcBorders>
              <w:top w:val="nil"/>
              <w:left w:val="nil"/>
              <w:bottom w:val="nil"/>
              <w:right w:val="nil"/>
            </w:tcBorders>
            <w:shd w:val="clear" w:color="000000" w:fill="FFFFFF"/>
            <w:noWrap/>
            <w:vAlign w:val="center"/>
            <w:hideMark/>
          </w:tcPr>
          <w:p w14:paraId="23239B84"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2025</w:t>
            </w:r>
          </w:p>
        </w:tc>
        <w:tc>
          <w:tcPr>
            <w:tcW w:w="1325" w:type="dxa"/>
            <w:tcBorders>
              <w:top w:val="nil"/>
              <w:left w:val="nil"/>
              <w:bottom w:val="nil"/>
              <w:right w:val="nil"/>
            </w:tcBorders>
            <w:shd w:val="clear" w:color="000000" w:fill="FFFFFF"/>
            <w:noWrap/>
            <w:vAlign w:val="center"/>
            <w:hideMark/>
          </w:tcPr>
          <w:p w14:paraId="2811E85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18</w:t>
            </w:r>
          </w:p>
        </w:tc>
        <w:tc>
          <w:tcPr>
            <w:tcW w:w="1223" w:type="dxa"/>
            <w:tcBorders>
              <w:top w:val="nil"/>
              <w:left w:val="nil"/>
              <w:bottom w:val="nil"/>
              <w:right w:val="nil"/>
            </w:tcBorders>
            <w:shd w:val="clear" w:color="000000" w:fill="FFFFFF"/>
            <w:noWrap/>
            <w:vAlign w:val="center"/>
            <w:hideMark/>
          </w:tcPr>
          <w:p w14:paraId="520A9C0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5.6</w:t>
            </w:r>
          </w:p>
        </w:tc>
        <w:tc>
          <w:tcPr>
            <w:tcW w:w="1276" w:type="dxa"/>
            <w:tcBorders>
              <w:top w:val="nil"/>
              <w:left w:val="nil"/>
              <w:bottom w:val="nil"/>
              <w:right w:val="nil"/>
            </w:tcBorders>
            <w:shd w:val="clear" w:color="000000" w:fill="FFFFFF"/>
            <w:noWrap/>
            <w:vAlign w:val="center"/>
            <w:hideMark/>
          </w:tcPr>
          <w:p w14:paraId="7C10BD9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7.4</w:t>
            </w:r>
          </w:p>
        </w:tc>
        <w:tc>
          <w:tcPr>
            <w:tcW w:w="1276" w:type="dxa"/>
            <w:tcBorders>
              <w:top w:val="nil"/>
              <w:left w:val="nil"/>
              <w:bottom w:val="nil"/>
              <w:right w:val="nil"/>
            </w:tcBorders>
            <w:shd w:val="clear" w:color="000000" w:fill="FFFFFF"/>
            <w:noWrap/>
            <w:vAlign w:val="center"/>
            <w:hideMark/>
          </w:tcPr>
          <w:p w14:paraId="294720A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132%</w:t>
            </w:r>
          </w:p>
        </w:tc>
        <w:tc>
          <w:tcPr>
            <w:tcW w:w="1136" w:type="dxa"/>
            <w:tcBorders>
              <w:top w:val="nil"/>
              <w:left w:val="nil"/>
              <w:bottom w:val="nil"/>
              <w:right w:val="nil"/>
            </w:tcBorders>
            <w:shd w:val="clear" w:color="000000" w:fill="FFFFFF"/>
            <w:noWrap/>
            <w:vAlign w:val="center"/>
            <w:hideMark/>
          </w:tcPr>
          <w:p w14:paraId="28BC80C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7.3</w:t>
            </w:r>
          </w:p>
        </w:tc>
        <w:tc>
          <w:tcPr>
            <w:tcW w:w="1057" w:type="dxa"/>
            <w:tcBorders>
              <w:top w:val="nil"/>
              <w:left w:val="nil"/>
              <w:bottom w:val="nil"/>
              <w:right w:val="nil"/>
            </w:tcBorders>
            <w:shd w:val="clear" w:color="000000" w:fill="FFFFFF"/>
            <w:noWrap/>
            <w:vAlign w:val="center"/>
            <w:hideMark/>
          </w:tcPr>
          <w:p w14:paraId="62A64C6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26EBAD7F" w14:textId="77777777" w:rsidTr="00DE241B">
        <w:trPr>
          <w:trHeight w:val="675"/>
        </w:trPr>
        <w:tc>
          <w:tcPr>
            <w:tcW w:w="1563" w:type="dxa"/>
            <w:tcBorders>
              <w:top w:val="nil"/>
              <w:left w:val="nil"/>
              <w:bottom w:val="single" w:sz="8" w:space="0" w:color="44B3E1"/>
              <w:right w:val="nil"/>
            </w:tcBorders>
            <w:shd w:val="clear" w:color="000000" w:fill="E49EDD"/>
            <w:vAlign w:val="center"/>
            <w:hideMark/>
          </w:tcPr>
          <w:p w14:paraId="7B5FBF6F" w14:textId="77777777" w:rsidR="00F35EDF"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EXPENDITURE</w:t>
            </w:r>
          </w:p>
          <w:p w14:paraId="76988EF2" w14:textId="7900E703" w:rsidR="00F35EDF" w:rsidRPr="00F35EDF"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Direct management</w:t>
            </w:r>
          </w:p>
        </w:tc>
        <w:tc>
          <w:tcPr>
            <w:tcW w:w="1325" w:type="dxa"/>
            <w:tcBorders>
              <w:top w:val="nil"/>
              <w:left w:val="nil"/>
              <w:bottom w:val="single" w:sz="8" w:space="0" w:color="44B3E1"/>
              <w:right w:val="nil"/>
            </w:tcBorders>
            <w:shd w:val="clear" w:color="000000" w:fill="E49EDD"/>
            <w:noWrap/>
            <w:vAlign w:val="center"/>
            <w:hideMark/>
          </w:tcPr>
          <w:p w14:paraId="55B0E44E"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206</w:t>
            </w:r>
          </w:p>
        </w:tc>
        <w:tc>
          <w:tcPr>
            <w:tcW w:w="1223" w:type="dxa"/>
            <w:tcBorders>
              <w:top w:val="nil"/>
              <w:left w:val="nil"/>
              <w:bottom w:val="single" w:sz="8" w:space="0" w:color="44B3E1"/>
              <w:right w:val="nil"/>
            </w:tcBorders>
            <w:shd w:val="clear" w:color="000000" w:fill="E49EDD"/>
            <w:noWrap/>
            <w:vAlign w:val="center"/>
            <w:hideMark/>
          </w:tcPr>
          <w:p w14:paraId="7E33710E"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78.0</w:t>
            </w:r>
          </w:p>
        </w:tc>
        <w:tc>
          <w:tcPr>
            <w:tcW w:w="1276" w:type="dxa"/>
            <w:tcBorders>
              <w:top w:val="nil"/>
              <w:left w:val="nil"/>
              <w:bottom w:val="single" w:sz="8" w:space="0" w:color="44B3E1"/>
              <w:right w:val="nil"/>
            </w:tcBorders>
            <w:shd w:val="clear" w:color="000000" w:fill="E49EDD"/>
            <w:noWrap/>
            <w:vAlign w:val="center"/>
            <w:hideMark/>
          </w:tcPr>
          <w:p w14:paraId="1685156F"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64.3</w:t>
            </w:r>
          </w:p>
        </w:tc>
        <w:tc>
          <w:tcPr>
            <w:tcW w:w="1276" w:type="dxa"/>
            <w:tcBorders>
              <w:top w:val="nil"/>
              <w:left w:val="nil"/>
              <w:bottom w:val="single" w:sz="8" w:space="0" w:color="44B3E1"/>
              <w:right w:val="nil"/>
            </w:tcBorders>
            <w:shd w:val="clear" w:color="000000" w:fill="E49EDD"/>
            <w:noWrap/>
            <w:vAlign w:val="center"/>
            <w:hideMark/>
          </w:tcPr>
          <w:p w14:paraId="0A93F3CE"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82%</w:t>
            </w:r>
          </w:p>
        </w:tc>
        <w:tc>
          <w:tcPr>
            <w:tcW w:w="1136" w:type="dxa"/>
            <w:tcBorders>
              <w:top w:val="nil"/>
              <w:left w:val="nil"/>
              <w:bottom w:val="single" w:sz="8" w:space="0" w:color="44B3E1"/>
              <w:right w:val="nil"/>
            </w:tcBorders>
            <w:shd w:val="clear" w:color="000000" w:fill="E49EDD"/>
            <w:noWrap/>
            <w:vAlign w:val="center"/>
            <w:hideMark/>
          </w:tcPr>
          <w:p w14:paraId="68FCED51"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46.7</w:t>
            </w:r>
          </w:p>
        </w:tc>
        <w:tc>
          <w:tcPr>
            <w:tcW w:w="1057" w:type="dxa"/>
            <w:tcBorders>
              <w:top w:val="nil"/>
              <w:left w:val="nil"/>
              <w:bottom w:val="single" w:sz="8" w:space="0" w:color="44B3E1"/>
              <w:right w:val="nil"/>
            </w:tcBorders>
            <w:shd w:val="clear" w:color="000000" w:fill="E49EDD"/>
            <w:noWrap/>
            <w:vAlign w:val="center"/>
            <w:hideMark/>
          </w:tcPr>
          <w:p w14:paraId="4A292134"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73%</w:t>
            </w:r>
          </w:p>
        </w:tc>
      </w:tr>
      <w:tr w:rsidR="00AC3674" w:rsidRPr="00F35EDF" w14:paraId="08AD315E" w14:textId="77777777" w:rsidTr="00DE241B">
        <w:trPr>
          <w:trHeight w:val="300"/>
        </w:trPr>
        <w:tc>
          <w:tcPr>
            <w:tcW w:w="1563" w:type="dxa"/>
            <w:tcBorders>
              <w:top w:val="nil"/>
              <w:left w:val="nil"/>
              <w:bottom w:val="nil"/>
              <w:right w:val="nil"/>
            </w:tcBorders>
            <w:shd w:val="clear" w:color="000000" w:fill="F2CEEF"/>
            <w:noWrap/>
            <w:vAlign w:val="center"/>
            <w:hideMark/>
          </w:tcPr>
          <w:p w14:paraId="3A6BA04D"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2016</w:t>
            </w:r>
          </w:p>
        </w:tc>
        <w:tc>
          <w:tcPr>
            <w:tcW w:w="1325" w:type="dxa"/>
            <w:tcBorders>
              <w:top w:val="nil"/>
              <w:left w:val="nil"/>
              <w:bottom w:val="nil"/>
              <w:right w:val="nil"/>
            </w:tcBorders>
            <w:shd w:val="clear" w:color="000000" w:fill="F2CEEF"/>
            <w:noWrap/>
            <w:vAlign w:val="center"/>
            <w:hideMark/>
          </w:tcPr>
          <w:p w14:paraId="4DF1888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41</w:t>
            </w:r>
          </w:p>
        </w:tc>
        <w:tc>
          <w:tcPr>
            <w:tcW w:w="1223" w:type="dxa"/>
            <w:tcBorders>
              <w:top w:val="nil"/>
              <w:left w:val="nil"/>
              <w:bottom w:val="nil"/>
              <w:right w:val="nil"/>
            </w:tcBorders>
            <w:shd w:val="clear" w:color="000000" w:fill="F2CEEF"/>
            <w:noWrap/>
            <w:vAlign w:val="center"/>
            <w:hideMark/>
          </w:tcPr>
          <w:p w14:paraId="460FAC1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12.4</w:t>
            </w:r>
          </w:p>
        </w:tc>
        <w:tc>
          <w:tcPr>
            <w:tcW w:w="1276" w:type="dxa"/>
            <w:tcBorders>
              <w:top w:val="nil"/>
              <w:left w:val="nil"/>
              <w:bottom w:val="nil"/>
              <w:right w:val="nil"/>
            </w:tcBorders>
            <w:shd w:val="clear" w:color="000000" w:fill="F2CEEF"/>
            <w:noWrap/>
            <w:vAlign w:val="center"/>
            <w:hideMark/>
          </w:tcPr>
          <w:p w14:paraId="6249AA4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10.9</w:t>
            </w:r>
          </w:p>
        </w:tc>
        <w:tc>
          <w:tcPr>
            <w:tcW w:w="1276" w:type="dxa"/>
            <w:tcBorders>
              <w:top w:val="nil"/>
              <w:left w:val="nil"/>
              <w:bottom w:val="nil"/>
              <w:right w:val="nil"/>
            </w:tcBorders>
            <w:shd w:val="clear" w:color="000000" w:fill="F2CEEF"/>
            <w:noWrap/>
            <w:vAlign w:val="center"/>
            <w:hideMark/>
          </w:tcPr>
          <w:p w14:paraId="3F170B7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88%</w:t>
            </w:r>
          </w:p>
        </w:tc>
        <w:tc>
          <w:tcPr>
            <w:tcW w:w="1136" w:type="dxa"/>
            <w:tcBorders>
              <w:top w:val="nil"/>
              <w:left w:val="nil"/>
              <w:bottom w:val="nil"/>
              <w:right w:val="nil"/>
            </w:tcBorders>
            <w:shd w:val="clear" w:color="000000" w:fill="F2CEEF"/>
            <w:noWrap/>
            <w:vAlign w:val="center"/>
            <w:hideMark/>
          </w:tcPr>
          <w:p w14:paraId="721E9BC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4.0</w:t>
            </w:r>
          </w:p>
        </w:tc>
        <w:tc>
          <w:tcPr>
            <w:tcW w:w="1057" w:type="dxa"/>
            <w:tcBorders>
              <w:top w:val="nil"/>
              <w:left w:val="nil"/>
              <w:bottom w:val="nil"/>
              <w:right w:val="nil"/>
            </w:tcBorders>
            <w:shd w:val="clear" w:color="000000" w:fill="F2CEEF"/>
            <w:noWrap/>
            <w:vAlign w:val="center"/>
            <w:hideMark/>
          </w:tcPr>
          <w:p w14:paraId="1B4A33A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37%</w:t>
            </w:r>
          </w:p>
        </w:tc>
      </w:tr>
      <w:tr w:rsidR="00AC3674" w:rsidRPr="00F35EDF" w14:paraId="3E001370" w14:textId="77777777" w:rsidTr="00DE241B">
        <w:trPr>
          <w:trHeight w:val="300"/>
        </w:trPr>
        <w:tc>
          <w:tcPr>
            <w:tcW w:w="1563" w:type="dxa"/>
            <w:tcBorders>
              <w:top w:val="nil"/>
              <w:left w:val="nil"/>
              <w:bottom w:val="nil"/>
              <w:right w:val="nil"/>
            </w:tcBorders>
            <w:shd w:val="clear" w:color="000000" w:fill="FFFFFF"/>
            <w:noWrap/>
            <w:vAlign w:val="center"/>
            <w:hideMark/>
          </w:tcPr>
          <w:p w14:paraId="774B9B7E"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2017</w:t>
            </w:r>
          </w:p>
        </w:tc>
        <w:tc>
          <w:tcPr>
            <w:tcW w:w="1325" w:type="dxa"/>
            <w:tcBorders>
              <w:top w:val="nil"/>
              <w:left w:val="nil"/>
              <w:bottom w:val="nil"/>
              <w:right w:val="nil"/>
            </w:tcBorders>
            <w:shd w:val="clear" w:color="000000" w:fill="FFFFFF"/>
            <w:noWrap/>
            <w:vAlign w:val="center"/>
            <w:hideMark/>
          </w:tcPr>
          <w:p w14:paraId="2A99216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27</w:t>
            </w:r>
          </w:p>
        </w:tc>
        <w:tc>
          <w:tcPr>
            <w:tcW w:w="1223" w:type="dxa"/>
            <w:tcBorders>
              <w:top w:val="nil"/>
              <w:left w:val="nil"/>
              <w:bottom w:val="nil"/>
              <w:right w:val="nil"/>
            </w:tcBorders>
            <w:shd w:val="clear" w:color="000000" w:fill="FFFFFF"/>
            <w:noWrap/>
            <w:vAlign w:val="center"/>
            <w:hideMark/>
          </w:tcPr>
          <w:p w14:paraId="4FA2D37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13.6</w:t>
            </w:r>
          </w:p>
        </w:tc>
        <w:tc>
          <w:tcPr>
            <w:tcW w:w="1276" w:type="dxa"/>
            <w:tcBorders>
              <w:top w:val="nil"/>
              <w:left w:val="nil"/>
              <w:bottom w:val="nil"/>
              <w:right w:val="nil"/>
            </w:tcBorders>
            <w:shd w:val="clear" w:color="000000" w:fill="FFFFFF"/>
            <w:noWrap/>
            <w:vAlign w:val="center"/>
            <w:hideMark/>
          </w:tcPr>
          <w:p w14:paraId="349769C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7.1</w:t>
            </w:r>
          </w:p>
        </w:tc>
        <w:tc>
          <w:tcPr>
            <w:tcW w:w="1276" w:type="dxa"/>
            <w:tcBorders>
              <w:top w:val="nil"/>
              <w:left w:val="nil"/>
              <w:bottom w:val="nil"/>
              <w:right w:val="nil"/>
            </w:tcBorders>
            <w:shd w:val="clear" w:color="000000" w:fill="FFFFFF"/>
            <w:noWrap/>
            <w:vAlign w:val="center"/>
            <w:hideMark/>
          </w:tcPr>
          <w:p w14:paraId="2FC1C03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52%</w:t>
            </w:r>
          </w:p>
        </w:tc>
        <w:tc>
          <w:tcPr>
            <w:tcW w:w="1136" w:type="dxa"/>
            <w:tcBorders>
              <w:top w:val="nil"/>
              <w:left w:val="nil"/>
              <w:bottom w:val="nil"/>
              <w:right w:val="nil"/>
            </w:tcBorders>
            <w:shd w:val="clear" w:color="000000" w:fill="FFFFFF"/>
            <w:noWrap/>
            <w:vAlign w:val="center"/>
            <w:hideMark/>
          </w:tcPr>
          <w:p w14:paraId="36F7344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4.0</w:t>
            </w:r>
          </w:p>
        </w:tc>
        <w:tc>
          <w:tcPr>
            <w:tcW w:w="1057" w:type="dxa"/>
            <w:tcBorders>
              <w:top w:val="nil"/>
              <w:left w:val="nil"/>
              <w:bottom w:val="nil"/>
              <w:right w:val="nil"/>
            </w:tcBorders>
            <w:shd w:val="clear" w:color="000000" w:fill="FFFFFF"/>
            <w:noWrap/>
            <w:vAlign w:val="center"/>
            <w:hideMark/>
          </w:tcPr>
          <w:p w14:paraId="449C5F4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56%</w:t>
            </w:r>
          </w:p>
        </w:tc>
      </w:tr>
      <w:tr w:rsidR="00AC3674" w:rsidRPr="00F35EDF" w14:paraId="25FB2990" w14:textId="77777777" w:rsidTr="00DE241B">
        <w:trPr>
          <w:trHeight w:val="300"/>
        </w:trPr>
        <w:tc>
          <w:tcPr>
            <w:tcW w:w="1563" w:type="dxa"/>
            <w:tcBorders>
              <w:top w:val="nil"/>
              <w:left w:val="nil"/>
              <w:bottom w:val="nil"/>
              <w:right w:val="nil"/>
            </w:tcBorders>
            <w:shd w:val="clear" w:color="000000" w:fill="F2CEEF"/>
            <w:noWrap/>
            <w:vAlign w:val="center"/>
            <w:hideMark/>
          </w:tcPr>
          <w:p w14:paraId="23F69811"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2018</w:t>
            </w:r>
          </w:p>
        </w:tc>
        <w:tc>
          <w:tcPr>
            <w:tcW w:w="1325" w:type="dxa"/>
            <w:tcBorders>
              <w:top w:val="nil"/>
              <w:left w:val="nil"/>
              <w:bottom w:val="nil"/>
              <w:right w:val="nil"/>
            </w:tcBorders>
            <w:shd w:val="clear" w:color="000000" w:fill="F2CEEF"/>
            <w:noWrap/>
            <w:vAlign w:val="center"/>
            <w:hideMark/>
          </w:tcPr>
          <w:p w14:paraId="463478A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28</w:t>
            </w:r>
          </w:p>
        </w:tc>
        <w:tc>
          <w:tcPr>
            <w:tcW w:w="1223" w:type="dxa"/>
            <w:tcBorders>
              <w:top w:val="nil"/>
              <w:left w:val="nil"/>
              <w:bottom w:val="nil"/>
              <w:right w:val="nil"/>
            </w:tcBorders>
            <w:shd w:val="clear" w:color="000000" w:fill="F2CEEF"/>
            <w:noWrap/>
            <w:vAlign w:val="center"/>
            <w:hideMark/>
          </w:tcPr>
          <w:p w14:paraId="660471A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7.3</w:t>
            </w:r>
          </w:p>
        </w:tc>
        <w:tc>
          <w:tcPr>
            <w:tcW w:w="1276" w:type="dxa"/>
            <w:tcBorders>
              <w:top w:val="nil"/>
              <w:left w:val="nil"/>
              <w:bottom w:val="nil"/>
              <w:right w:val="nil"/>
            </w:tcBorders>
            <w:shd w:val="clear" w:color="000000" w:fill="F2CEEF"/>
            <w:noWrap/>
            <w:vAlign w:val="center"/>
            <w:hideMark/>
          </w:tcPr>
          <w:p w14:paraId="53892A9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3.6</w:t>
            </w:r>
          </w:p>
        </w:tc>
        <w:tc>
          <w:tcPr>
            <w:tcW w:w="1276" w:type="dxa"/>
            <w:tcBorders>
              <w:top w:val="nil"/>
              <w:left w:val="nil"/>
              <w:bottom w:val="nil"/>
              <w:right w:val="nil"/>
            </w:tcBorders>
            <w:shd w:val="clear" w:color="000000" w:fill="F2CEEF"/>
            <w:noWrap/>
            <w:vAlign w:val="center"/>
            <w:hideMark/>
          </w:tcPr>
          <w:p w14:paraId="50331C7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49%</w:t>
            </w:r>
          </w:p>
        </w:tc>
        <w:tc>
          <w:tcPr>
            <w:tcW w:w="1136" w:type="dxa"/>
            <w:tcBorders>
              <w:top w:val="nil"/>
              <w:left w:val="nil"/>
              <w:bottom w:val="nil"/>
              <w:right w:val="nil"/>
            </w:tcBorders>
            <w:shd w:val="clear" w:color="000000" w:fill="F2CEEF"/>
            <w:noWrap/>
            <w:vAlign w:val="center"/>
            <w:hideMark/>
          </w:tcPr>
          <w:p w14:paraId="53D91ED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1.8</w:t>
            </w:r>
          </w:p>
        </w:tc>
        <w:tc>
          <w:tcPr>
            <w:tcW w:w="1057" w:type="dxa"/>
            <w:tcBorders>
              <w:top w:val="nil"/>
              <w:left w:val="nil"/>
              <w:bottom w:val="nil"/>
              <w:right w:val="nil"/>
            </w:tcBorders>
            <w:shd w:val="clear" w:color="000000" w:fill="F2CEEF"/>
            <w:noWrap/>
            <w:vAlign w:val="center"/>
            <w:hideMark/>
          </w:tcPr>
          <w:p w14:paraId="4B80C46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52%</w:t>
            </w:r>
          </w:p>
        </w:tc>
      </w:tr>
      <w:tr w:rsidR="00AC3674" w:rsidRPr="00F35EDF" w14:paraId="46182F2A" w14:textId="77777777" w:rsidTr="00DE241B">
        <w:trPr>
          <w:trHeight w:val="300"/>
        </w:trPr>
        <w:tc>
          <w:tcPr>
            <w:tcW w:w="1563" w:type="dxa"/>
            <w:tcBorders>
              <w:top w:val="nil"/>
              <w:left w:val="nil"/>
              <w:bottom w:val="nil"/>
              <w:right w:val="nil"/>
            </w:tcBorders>
            <w:shd w:val="clear" w:color="000000" w:fill="FFFFFF"/>
            <w:noWrap/>
            <w:vAlign w:val="center"/>
            <w:hideMark/>
          </w:tcPr>
          <w:p w14:paraId="2F764F1B"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2019</w:t>
            </w:r>
          </w:p>
        </w:tc>
        <w:tc>
          <w:tcPr>
            <w:tcW w:w="1325" w:type="dxa"/>
            <w:tcBorders>
              <w:top w:val="nil"/>
              <w:left w:val="nil"/>
              <w:bottom w:val="nil"/>
              <w:right w:val="nil"/>
            </w:tcBorders>
            <w:shd w:val="clear" w:color="000000" w:fill="FFFFFF"/>
            <w:noWrap/>
            <w:vAlign w:val="center"/>
            <w:hideMark/>
          </w:tcPr>
          <w:p w14:paraId="68C597D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26</w:t>
            </w:r>
          </w:p>
        </w:tc>
        <w:tc>
          <w:tcPr>
            <w:tcW w:w="1223" w:type="dxa"/>
            <w:tcBorders>
              <w:top w:val="nil"/>
              <w:left w:val="nil"/>
              <w:bottom w:val="nil"/>
              <w:right w:val="nil"/>
            </w:tcBorders>
            <w:shd w:val="clear" w:color="000000" w:fill="FFFFFF"/>
            <w:noWrap/>
            <w:vAlign w:val="center"/>
            <w:hideMark/>
          </w:tcPr>
          <w:p w14:paraId="7F5E4B6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6.3</w:t>
            </w:r>
          </w:p>
        </w:tc>
        <w:tc>
          <w:tcPr>
            <w:tcW w:w="1276" w:type="dxa"/>
            <w:tcBorders>
              <w:top w:val="nil"/>
              <w:left w:val="nil"/>
              <w:bottom w:val="nil"/>
              <w:right w:val="nil"/>
            </w:tcBorders>
            <w:shd w:val="clear" w:color="000000" w:fill="FFFFFF"/>
            <w:noWrap/>
            <w:vAlign w:val="center"/>
            <w:hideMark/>
          </w:tcPr>
          <w:p w14:paraId="5F7F686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5.3</w:t>
            </w:r>
          </w:p>
        </w:tc>
        <w:tc>
          <w:tcPr>
            <w:tcW w:w="1276" w:type="dxa"/>
            <w:tcBorders>
              <w:top w:val="nil"/>
              <w:left w:val="nil"/>
              <w:bottom w:val="nil"/>
              <w:right w:val="nil"/>
            </w:tcBorders>
            <w:shd w:val="clear" w:color="000000" w:fill="FFFFFF"/>
            <w:noWrap/>
            <w:vAlign w:val="center"/>
            <w:hideMark/>
          </w:tcPr>
          <w:p w14:paraId="35D574C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85%</w:t>
            </w:r>
          </w:p>
        </w:tc>
        <w:tc>
          <w:tcPr>
            <w:tcW w:w="1136" w:type="dxa"/>
            <w:tcBorders>
              <w:top w:val="nil"/>
              <w:left w:val="nil"/>
              <w:bottom w:val="nil"/>
              <w:right w:val="nil"/>
            </w:tcBorders>
            <w:shd w:val="clear" w:color="000000" w:fill="FFFFFF"/>
            <w:noWrap/>
            <w:vAlign w:val="center"/>
            <w:hideMark/>
          </w:tcPr>
          <w:p w14:paraId="58ED36E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2.5</w:t>
            </w:r>
          </w:p>
        </w:tc>
        <w:tc>
          <w:tcPr>
            <w:tcW w:w="1057" w:type="dxa"/>
            <w:tcBorders>
              <w:top w:val="nil"/>
              <w:left w:val="nil"/>
              <w:bottom w:val="nil"/>
              <w:right w:val="nil"/>
            </w:tcBorders>
            <w:shd w:val="clear" w:color="000000" w:fill="FFFFFF"/>
            <w:noWrap/>
            <w:vAlign w:val="center"/>
            <w:hideMark/>
          </w:tcPr>
          <w:p w14:paraId="1F60227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48%</w:t>
            </w:r>
          </w:p>
        </w:tc>
      </w:tr>
      <w:tr w:rsidR="00AC3674" w:rsidRPr="00F35EDF" w14:paraId="4FC5ACF6" w14:textId="77777777" w:rsidTr="00DE241B">
        <w:trPr>
          <w:trHeight w:val="300"/>
        </w:trPr>
        <w:tc>
          <w:tcPr>
            <w:tcW w:w="1563" w:type="dxa"/>
            <w:tcBorders>
              <w:top w:val="nil"/>
              <w:left w:val="nil"/>
              <w:bottom w:val="nil"/>
              <w:right w:val="nil"/>
            </w:tcBorders>
            <w:shd w:val="clear" w:color="000000" w:fill="F2CEEF"/>
            <w:noWrap/>
            <w:vAlign w:val="center"/>
            <w:hideMark/>
          </w:tcPr>
          <w:p w14:paraId="28D62D9C"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2020</w:t>
            </w:r>
          </w:p>
        </w:tc>
        <w:tc>
          <w:tcPr>
            <w:tcW w:w="1325" w:type="dxa"/>
            <w:tcBorders>
              <w:top w:val="nil"/>
              <w:left w:val="nil"/>
              <w:bottom w:val="nil"/>
              <w:right w:val="nil"/>
            </w:tcBorders>
            <w:shd w:val="clear" w:color="000000" w:fill="F2CEEF"/>
            <w:noWrap/>
            <w:vAlign w:val="center"/>
            <w:hideMark/>
          </w:tcPr>
          <w:p w14:paraId="3BA07AD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32</w:t>
            </w:r>
          </w:p>
        </w:tc>
        <w:tc>
          <w:tcPr>
            <w:tcW w:w="1223" w:type="dxa"/>
            <w:tcBorders>
              <w:top w:val="nil"/>
              <w:left w:val="nil"/>
              <w:bottom w:val="nil"/>
              <w:right w:val="nil"/>
            </w:tcBorders>
            <w:shd w:val="clear" w:color="000000" w:fill="F2CEEF"/>
            <w:noWrap/>
            <w:vAlign w:val="center"/>
            <w:hideMark/>
          </w:tcPr>
          <w:p w14:paraId="169624D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14.2</w:t>
            </w:r>
          </w:p>
        </w:tc>
        <w:tc>
          <w:tcPr>
            <w:tcW w:w="1276" w:type="dxa"/>
            <w:tcBorders>
              <w:top w:val="nil"/>
              <w:left w:val="nil"/>
              <w:bottom w:val="nil"/>
              <w:right w:val="nil"/>
            </w:tcBorders>
            <w:shd w:val="clear" w:color="000000" w:fill="F2CEEF"/>
            <w:noWrap/>
            <w:vAlign w:val="center"/>
            <w:hideMark/>
          </w:tcPr>
          <w:p w14:paraId="190EFFB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10.5</w:t>
            </w:r>
          </w:p>
        </w:tc>
        <w:tc>
          <w:tcPr>
            <w:tcW w:w="1276" w:type="dxa"/>
            <w:tcBorders>
              <w:top w:val="nil"/>
              <w:left w:val="nil"/>
              <w:bottom w:val="nil"/>
              <w:right w:val="nil"/>
            </w:tcBorders>
            <w:shd w:val="clear" w:color="000000" w:fill="F2CEEF"/>
            <w:noWrap/>
            <w:vAlign w:val="center"/>
            <w:hideMark/>
          </w:tcPr>
          <w:p w14:paraId="6F74627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74%</w:t>
            </w:r>
          </w:p>
        </w:tc>
        <w:tc>
          <w:tcPr>
            <w:tcW w:w="1136" w:type="dxa"/>
            <w:tcBorders>
              <w:top w:val="nil"/>
              <w:left w:val="nil"/>
              <w:bottom w:val="nil"/>
              <w:right w:val="nil"/>
            </w:tcBorders>
            <w:shd w:val="clear" w:color="000000" w:fill="F2CEEF"/>
            <w:noWrap/>
            <w:vAlign w:val="center"/>
            <w:hideMark/>
          </w:tcPr>
          <w:p w14:paraId="5EF1A93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10.4</w:t>
            </w:r>
          </w:p>
        </w:tc>
        <w:tc>
          <w:tcPr>
            <w:tcW w:w="1057" w:type="dxa"/>
            <w:tcBorders>
              <w:top w:val="nil"/>
              <w:left w:val="nil"/>
              <w:bottom w:val="nil"/>
              <w:right w:val="nil"/>
            </w:tcBorders>
            <w:shd w:val="clear" w:color="000000" w:fill="F2CEEF"/>
            <w:noWrap/>
            <w:vAlign w:val="center"/>
            <w:hideMark/>
          </w:tcPr>
          <w:p w14:paraId="77F6BD3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99%</w:t>
            </w:r>
          </w:p>
        </w:tc>
      </w:tr>
      <w:tr w:rsidR="00AC3674" w:rsidRPr="00F35EDF" w14:paraId="59DE37BA" w14:textId="77777777" w:rsidTr="00DE241B">
        <w:trPr>
          <w:trHeight w:val="300"/>
        </w:trPr>
        <w:tc>
          <w:tcPr>
            <w:tcW w:w="1563" w:type="dxa"/>
            <w:tcBorders>
              <w:top w:val="nil"/>
              <w:left w:val="nil"/>
              <w:bottom w:val="nil"/>
              <w:right w:val="nil"/>
            </w:tcBorders>
            <w:shd w:val="clear" w:color="000000" w:fill="FFFFFF"/>
            <w:noWrap/>
            <w:vAlign w:val="center"/>
            <w:hideMark/>
          </w:tcPr>
          <w:p w14:paraId="6D894C61"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2021</w:t>
            </w:r>
          </w:p>
        </w:tc>
        <w:tc>
          <w:tcPr>
            <w:tcW w:w="1325" w:type="dxa"/>
            <w:tcBorders>
              <w:top w:val="nil"/>
              <w:left w:val="nil"/>
              <w:bottom w:val="nil"/>
              <w:right w:val="nil"/>
            </w:tcBorders>
            <w:shd w:val="clear" w:color="000000" w:fill="FFFFFF"/>
            <w:noWrap/>
            <w:vAlign w:val="center"/>
            <w:hideMark/>
          </w:tcPr>
          <w:p w14:paraId="47441E7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w:t>
            </w:r>
          </w:p>
        </w:tc>
        <w:tc>
          <w:tcPr>
            <w:tcW w:w="1223" w:type="dxa"/>
            <w:tcBorders>
              <w:top w:val="nil"/>
              <w:left w:val="nil"/>
              <w:bottom w:val="nil"/>
              <w:right w:val="nil"/>
            </w:tcBorders>
            <w:shd w:val="clear" w:color="000000" w:fill="FFFFFF"/>
            <w:noWrap/>
            <w:vAlign w:val="center"/>
            <w:hideMark/>
          </w:tcPr>
          <w:p w14:paraId="1B51DDE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9.4</w:t>
            </w:r>
          </w:p>
        </w:tc>
        <w:tc>
          <w:tcPr>
            <w:tcW w:w="1276" w:type="dxa"/>
            <w:tcBorders>
              <w:top w:val="nil"/>
              <w:left w:val="nil"/>
              <w:bottom w:val="nil"/>
              <w:right w:val="nil"/>
            </w:tcBorders>
            <w:shd w:val="clear" w:color="000000" w:fill="FFFFFF"/>
            <w:noWrap/>
            <w:vAlign w:val="center"/>
            <w:hideMark/>
          </w:tcPr>
          <w:p w14:paraId="2EBAA78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9.8</w:t>
            </w:r>
          </w:p>
        </w:tc>
        <w:tc>
          <w:tcPr>
            <w:tcW w:w="1276" w:type="dxa"/>
            <w:tcBorders>
              <w:top w:val="nil"/>
              <w:left w:val="nil"/>
              <w:bottom w:val="nil"/>
              <w:right w:val="nil"/>
            </w:tcBorders>
            <w:shd w:val="clear" w:color="000000" w:fill="FFFFFF"/>
            <w:noWrap/>
            <w:vAlign w:val="center"/>
            <w:hideMark/>
          </w:tcPr>
          <w:p w14:paraId="49B8EFB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104%</w:t>
            </w:r>
          </w:p>
        </w:tc>
        <w:tc>
          <w:tcPr>
            <w:tcW w:w="1136" w:type="dxa"/>
            <w:tcBorders>
              <w:top w:val="nil"/>
              <w:left w:val="nil"/>
              <w:bottom w:val="nil"/>
              <w:right w:val="nil"/>
            </w:tcBorders>
            <w:shd w:val="clear" w:color="000000" w:fill="FFFFFF"/>
            <w:noWrap/>
            <w:vAlign w:val="center"/>
            <w:hideMark/>
          </w:tcPr>
          <w:p w14:paraId="56D1BA0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7.0</w:t>
            </w:r>
          </w:p>
        </w:tc>
        <w:tc>
          <w:tcPr>
            <w:tcW w:w="1057" w:type="dxa"/>
            <w:tcBorders>
              <w:top w:val="nil"/>
              <w:left w:val="nil"/>
              <w:bottom w:val="nil"/>
              <w:right w:val="nil"/>
            </w:tcBorders>
            <w:shd w:val="clear" w:color="000000" w:fill="FFFFFF"/>
            <w:noWrap/>
            <w:vAlign w:val="center"/>
            <w:hideMark/>
          </w:tcPr>
          <w:p w14:paraId="46DAFB0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72%</w:t>
            </w:r>
          </w:p>
        </w:tc>
      </w:tr>
      <w:tr w:rsidR="00AC3674" w:rsidRPr="00F35EDF" w14:paraId="15F4EA0D" w14:textId="77777777" w:rsidTr="00DE241B">
        <w:trPr>
          <w:trHeight w:val="300"/>
        </w:trPr>
        <w:tc>
          <w:tcPr>
            <w:tcW w:w="1563" w:type="dxa"/>
            <w:tcBorders>
              <w:top w:val="nil"/>
              <w:left w:val="nil"/>
              <w:bottom w:val="nil"/>
              <w:right w:val="nil"/>
            </w:tcBorders>
            <w:shd w:val="clear" w:color="000000" w:fill="F2CEEF"/>
            <w:noWrap/>
            <w:vAlign w:val="center"/>
            <w:hideMark/>
          </w:tcPr>
          <w:p w14:paraId="3D0CCD23"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2022</w:t>
            </w:r>
          </w:p>
        </w:tc>
        <w:tc>
          <w:tcPr>
            <w:tcW w:w="1325" w:type="dxa"/>
            <w:tcBorders>
              <w:top w:val="nil"/>
              <w:left w:val="nil"/>
              <w:bottom w:val="nil"/>
              <w:right w:val="nil"/>
            </w:tcBorders>
            <w:shd w:val="clear" w:color="000000" w:fill="F2CEEF"/>
            <w:noWrap/>
            <w:vAlign w:val="center"/>
            <w:hideMark/>
          </w:tcPr>
          <w:p w14:paraId="2F26872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15</w:t>
            </w:r>
          </w:p>
        </w:tc>
        <w:tc>
          <w:tcPr>
            <w:tcW w:w="1223" w:type="dxa"/>
            <w:tcBorders>
              <w:top w:val="nil"/>
              <w:left w:val="nil"/>
              <w:bottom w:val="nil"/>
              <w:right w:val="nil"/>
            </w:tcBorders>
            <w:shd w:val="clear" w:color="000000" w:fill="F2CEEF"/>
            <w:noWrap/>
            <w:vAlign w:val="center"/>
            <w:hideMark/>
          </w:tcPr>
          <w:p w14:paraId="741B383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1.6</w:t>
            </w:r>
          </w:p>
        </w:tc>
        <w:tc>
          <w:tcPr>
            <w:tcW w:w="1276" w:type="dxa"/>
            <w:tcBorders>
              <w:top w:val="nil"/>
              <w:left w:val="nil"/>
              <w:bottom w:val="nil"/>
              <w:right w:val="nil"/>
            </w:tcBorders>
            <w:shd w:val="clear" w:color="000000" w:fill="F2CEEF"/>
            <w:noWrap/>
            <w:vAlign w:val="center"/>
            <w:hideMark/>
          </w:tcPr>
          <w:p w14:paraId="53492C9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w:t>
            </w:r>
          </w:p>
        </w:tc>
        <w:tc>
          <w:tcPr>
            <w:tcW w:w="1276" w:type="dxa"/>
            <w:tcBorders>
              <w:top w:val="nil"/>
              <w:left w:val="nil"/>
              <w:bottom w:val="nil"/>
              <w:right w:val="nil"/>
            </w:tcBorders>
            <w:shd w:val="clear" w:color="000000" w:fill="F2CEEF"/>
            <w:noWrap/>
            <w:vAlign w:val="center"/>
            <w:hideMark/>
          </w:tcPr>
          <w:p w14:paraId="393F775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80%</w:t>
            </w:r>
          </w:p>
        </w:tc>
        <w:tc>
          <w:tcPr>
            <w:tcW w:w="1136" w:type="dxa"/>
            <w:tcBorders>
              <w:top w:val="nil"/>
              <w:left w:val="nil"/>
              <w:bottom w:val="nil"/>
              <w:right w:val="nil"/>
            </w:tcBorders>
            <w:shd w:val="clear" w:color="000000" w:fill="F2CEEF"/>
            <w:noWrap/>
            <w:vAlign w:val="center"/>
            <w:hideMark/>
          </w:tcPr>
          <w:p w14:paraId="52D2151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w:t>
            </w:r>
          </w:p>
        </w:tc>
        <w:tc>
          <w:tcPr>
            <w:tcW w:w="1057" w:type="dxa"/>
            <w:tcBorders>
              <w:top w:val="nil"/>
              <w:left w:val="nil"/>
              <w:bottom w:val="nil"/>
              <w:right w:val="nil"/>
            </w:tcBorders>
            <w:shd w:val="clear" w:color="000000" w:fill="F2CEEF"/>
            <w:noWrap/>
            <w:vAlign w:val="center"/>
            <w:hideMark/>
          </w:tcPr>
          <w:p w14:paraId="607F7D4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85%</w:t>
            </w:r>
          </w:p>
        </w:tc>
      </w:tr>
      <w:tr w:rsidR="00AC3674" w:rsidRPr="00F35EDF" w14:paraId="46220DA4" w14:textId="77777777" w:rsidTr="00DE241B">
        <w:trPr>
          <w:trHeight w:val="300"/>
        </w:trPr>
        <w:tc>
          <w:tcPr>
            <w:tcW w:w="1563" w:type="dxa"/>
            <w:tcBorders>
              <w:top w:val="nil"/>
              <w:left w:val="nil"/>
              <w:bottom w:val="nil"/>
              <w:right w:val="nil"/>
            </w:tcBorders>
            <w:shd w:val="clear" w:color="000000" w:fill="FFFFFF"/>
            <w:noWrap/>
            <w:vAlign w:val="center"/>
            <w:hideMark/>
          </w:tcPr>
          <w:p w14:paraId="6FC3BA7A"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2023</w:t>
            </w:r>
          </w:p>
        </w:tc>
        <w:tc>
          <w:tcPr>
            <w:tcW w:w="1325" w:type="dxa"/>
            <w:tcBorders>
              <w:top w:val="nil"/>
              <w:left w:val="nil"/>
              <w:bottom w:val="nil"/>
              <w:right w:val="nil"/>
            </w:tcBorders>
            <w:shd w:val="clear" w:color="000000" w:fill="FFFFFF"/>
            <w:noWrap/>
            <w:vAlign w:val="center"/>
            <w:hideMark/>
          </w:tcPr>
          <w:p w14:paraId="42D5DEA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w:t>
            </w:r>
          </w:p>
        </w:tc>
        <w:tc>
          <w:tcPr>
            <w:tcW w:w="1223" w:type="dxa"/>
            <w:tcBorders>
              <w:top w:val="nil"/>
              <w:left w:val="nil"/>
              <w:bottom w:val="nil"/>
              <w:right w:val="nil"/>
            </w:tcBorders>
            <w:shd w:val="clear" w:color="000000" w:fill="FFFFFF"/>
            <w:noWrap/>
            <w:vAlign w:val="center"/>
            <w:hideMark/>
          </w:tcPr>
          <w:p w14:paraId="21CB316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13.0</w:t>
            </w:r>
          </w:p>
        </w:tc>
        <w:tc>
          <w:tcPr>
            <w:tcW w:w="1276" w:type="dxa"/>
            <w:tcBorders>
              <w:top w:val="nil"/>
              <w:left w:val="nil"/>
              <w:bottom w:val="nil"/>
              <w:right w:val="nil"/>
            </w:tcBorders>
            <w:shd w:val="clear" w:color="000000" w:fill="FFFFFF"/>
            <w:noWrap/>
            <w:vAlign w:val="center"/>
            <w:hideMark/>
          </w:tcPr>
          <w:p w14:paraId="0B328DD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15.8</w:t>
            </w:r>
          </w:p>
        </w:tc>
        <w:tc>
          <w:tcPr>
            <w:tcW w:w="1276" w:type="dxa"/>
            <w:tcBorders>
              <w:top w:val="nil"/>
              <w:left w:val="nil"/>
              <w:bottom w:val="nil"/>
              <w:right w:val="nil"/>
            </w:tcBorders>
            <w:shd w:val="clear" w:color="000000" w:fill="FFFFFF"/>
            <w:noWrap/>
            <w:vAlign w:val="center"/>
            <w:hideMark/>
          </w:tcPr>
          <w:p w14:paraId="2D773F2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122%</w:t>
            </w:r>
          </w:p>
        </w:tc>
        <w:tc>
          <w:tcPr>
            <w:tcW w:w="1136" w:type="dxa"/>
            <w:tcBorders>
              <w:top w:val="nil"/>
              <w:left w:val="nil"/>
              <w:bottom w:val="nil"/>
              <w:right w:val="nil"/>
            </w:tcBorders>
            <w:shd w:val="clear" w:color="000000" w:fill="FFFFFF"/>
            <w:noWrap/>
            <w:vAlign w:val="center"/>
            <w:hideMark/>
          </w:tcPr>
          <w:p w14:paraId="52BE85C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15.8</w:t>
            </w:r>
          </w:p>
        </w:tc>
        <w:tc>
          <w:tcPr>
            <w:tcW w:w="1057" w:type="dxa"/>
            <w:tcBorders>
              <w:top w:val="nil"/>
              <w:left w:val="nil"/>
              <w:bottom w:val="nil"/>
              <w:right w:val="nil"/>
            </w:tcBorders>
            <w:shd w:val="clear" w:color="000000" w:fill="FFFFFF"/>
            <w:noWrap/>
            <w:vAlign w:val="center"/>
            <w:hideMark/>
          </w:tcPr>
          <w:p w14:paraId="721FB9A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2277EBC7" w14:textId="77777777" w:rsidTr="00DE241B">
        <w:trPr>
          <w:trHeight w:val="300"/>
        </w:trPr>
        <w:tc>
          <w:tcPr>
            <w:tcW w:w="1563" w:type="dxa"/>
            <w:tcBorders>
              <w:top w:val="nil"/>
              <w:left w:val="nil"/>
              <w:bottom w:val="nil"/>
              <w:right w:val="nil"/>
            </w:tcBorders>
            <w:shd w:val="clear" w:color="000000" w:fill="F2CEEF"/>
            <w:noWrap/>
            <w:vAlign w:val="center"/>
            <w:hideMark/>
          </w:tcPr>
          <w:p w14:paraId="23721BA1"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2024</w:t>
            </w:r>
          </w:p>
        </w:tc>
        <w:tc>
          <w:tcPr>
            <w:tcW w:w="1325" w:type="dxa"/>
            <w:tcBorders>
              <w:top w:val="nil"/>
              <w:left w:val="nil"/>
              <w:bottom w:val="nil"/>
              <w:right w:val="nil"/>
            </w:tcBorders>
            <w:shd w:val="clear" w:color="000000" w:fill="F2CEEF"/>
            <w:noWrap/>
            <w:vAlign w:val="center"/>
            <w:hideMark/>
          </w:tcPr>
          <w:p w14:paraId="6B9ABB2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w:t>
            </w:r>
          </w:p>
        </w:tc>
        <w:tc>
          <w:tcPr>
            <w:tcW w:w="1223" w:type="dxa"/>
            <w:tcBorders>
              <w:top w:val="nil"/>
              <w:left w:val="nil"/>
              <w:bottom w:val="nil"/>
              <w:right w:val="nil"/>
            </w:tcBorders>
            <w:shd w:val="clear" w:color="000000" w:fill="F2CEEF"/>
            <w:noWrap/>
            <w:vAlign w:val="center"/>
            <w:hideMark/>
          </w:tcPr>
          <w:p w14:paraId="2A0B25A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0.3</w:t>
            </w:r>
          </w:p>
        </w:tc>
        <w:tc>
          <w:tcPr>
            <w:tcW w:w="1276" w:type="dxa"/>
            <w:tcBorders>
              <w:top w:val="nil"/>
              <w:left w:val="nil"/>
              <w:bottom w:val="nil"/>
              <w:right w:val="nil"/>
            </w:tcBorders>
            <w:shd w:val="clear" w:color="000000" w:fill="F2CEEF"/>
            <w:noWrap/>
            <w:vAlign w:val="center"/>
            <w:hideMark/>
          </w:tcPr>
          <w:p w14:paraId="08AF769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0.0</w:t>
            </w:r>
          </w:p>
        </w:tc>
        <w:tc>
          <w:tcPr>
            <w:tcW w:w="1276" w:type="dxa"/>
            <w:tcBorders>
              <w:top w:val="nil"/>
              <w:left w:val="nil"/>
              <w:bottom w:val="nil"/>
              <w:right w:val="nil"/>
            </w:tcBorders>
            <w:shd w:val="clear" w:color="000000" w:fill="F2CEEF"/>
            <w:noWrap/>
            <w:vAlign w:val="center"/>
            <w:hideMark/>
          </w:tcPr>
          <w:p w14:paraId="4E6473C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18%</w:t>
            </w:r>
          </w:p>
        </w:tc>
        <w:tc>
          <w:tcPr>
            <w:tcW w:w="1136" w:type="dxa"/>
            <w:tcBorders>
              <w:top w:val="nil"/>
              <w:left w:val="nil"/>
              <w:bottom w:val="nil"/>
              <w:right w:val="nil"/>
            </w:tcBorders>
            <w:shd w:val="clear" w:color="000000" w:fill="F2CEEF"/>
            <w:noWrap/>
            <w:vAlign w:val="center"/>
            <w:hideMark/>
          </w:tcPr>
          <w:p w14:paraId="7EBAE16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0.0</w:t>
            </w:r>
          </w:p>
        </w:tc>
        <w:tc>
          <w:tcPr>
            <w:tcW w:w="1057" w:type="dxa"/>
            <w:tcBorders>
              <w:top w:val="nil"/>
              <w:left w:val="nil"/>
              <w:bottom w:val="nil"/>
              <w:right w:val="nil"/>
            </w:tcBorders>
            <w:shd w:val="clear" w:color="000000" w:fill="F2CEEF"/>
            <w:noWrap/>
            <w:vAlign w:val="center"/>
            <w:hideMark/>
          </w:tcPr>
          <w:p w14:paraId="6266F2A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5CF5A153" w14:textId="77777777" w:rsidTr="00DE241B">
        <w:trPr>
          <w:trHeight w:val="300"/>
        </w:trPr>
        <w:tc>
          <w:tcPr>
            <w:tcW w:w="1563" w:type="dxa"/>
            <w:tcBorders>
              <w:top w:val="nil"/>
              <w:left w:val="nil"/>
              <w:bottom w:val="nil"/>
              <w:right w:val="nil"/>
            </w:tcBorders>
            <w:shd w:val="clear" w:color="000000" w:fill="FFFFFF"/>
            <w:noWrap/>
            <w:vAlign w:val="center"/>
            <w:hideMark/>
          </w:tcPr>
          <w:p w14:paraId="6D9CF57A"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2025</w:t>
            </w:r>
          </w:p>
        </w:tc>
        <w:tc>
          <w:tcPr>
            <w:tcW w:w="1325" w:type="dxa"/>
            <w:tcBorders>
              <w:top w:val="nil"/>
              <w:left w:val="nil"/>
              <w:bottom w:val="nil"/>
              <w:right w:val="nil"/>
            </w:tcBorders>
            <w:shd w:val="clear" w:color="000000" w:fill="FFFFFF"/>
            <w:noWrap/>
            <w:vAlign w:val="center"/>
            <w:hideMark/>
          </w:tcPr>
          <w:p w14:paraId="39822E6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w:t>
            </w:r>
          </w:p>
        </w:tc>
        <w:tc>
          <w:tcPr>
            <w:tcW w:w="1223" w:type="dxa"/>
            <w:tcBorders>
              <w:top w:val="nil"/>
              <w:left w:val="nil"/>
              <w:bottom w:val="nil"/>
              <w:right w:val="nil"/>
            </w:tcBorders>
            <w:shd w:val="clear" w:color="000000" w:fill="FFFFFF"/>
            <w:noWrap/>
            <w:vAlign w:val="center"/>
            <w:hideMark/>
          </w:tcPr>
          <w:p w14:paraId="523ADA3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0.0</w:t>
            </w:r>
          </w:p>
        </w:tc>
        <w:tc>
          <w:tcPr>
            <w:tcW w:w="1276" w:type="dxa"/>
            <w:tcBorders>
              <w:top w:val="nil"/>
              <w:left w:val="nil"/>
              <w:bottom w:val="nil"/>
              <w:right w:val="nil"/>
            </w:tcBorders>
            <w:shd w:val="clear" w:color="000000" w:fill="FFFFFF"/>
            <w:noWrap/>
            <w:vAlign w:val="center"/>
            <w:hideMark/>
          </w:tcPr>
          <w:p w14:paraId="36D3588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0.0</w:t>
            </w:r>
          </w:p>
        </w:tc>
        <w:tc>
          <w:tcPr>
            <w:tcW w:w="1276" w:type="dxa"/>
            <w:tcBorders>
              <w:top w:val="nil"/>
              <w:left w:val="nil"/>
              <w:bottom w:val="nil"/>
              <w:right w:val="nil"/>
            </w:tcBorders>
            <w:shd w:val="clear" w:color="000000" w:fill="FFFFFF"/>
            <w:noWrap/>
            <w:vAlign w:val="center"/>
            <w:hideMark/>
          </w:tcPr>
          <w:p w14:paraId="64F85BB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76%</w:t>
            </w:r>
          </w:p>
        </w:tc>
        <w:tc>
          <w:tcPr>
            <w:tcW w:w="1136" w:type="dxa"/>
            <w:tcBorders>
              <w:top w:val="nil"/>
              <w:left w:val="nil"/>
              <w:bottom w:val="nil"/>
              <w:right w:val="nil"/>
            </w:tcBorders>
            <w:shd w:val="clear" w:color="000000" w:fill="FFFFFF"/>
            <w:noWrap/>
            <w:vAlign w:val="center"/>
            <w:hideMark/>
          </w:tcPr>
          <w:p w14:paraId="26E303B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0.0</w:t>
            </w:r>
          </w:p>
        </w:tc>
        <w:tc>
          <w:tcPr>
            <w:tcW w:w="1057" w:type="dxa"/>
            <w:tcBorders>
              <w:top w:val="nil"/>
              <w:left w:val="nil"/>
              <w:bottom w:val="nil"/>
              <w:right w:val="nil"/>
            </w:tcBorders>
            <w:shd w:val="clear" w:color="000000" w:fill="FFFFFF"/>
            <w:noWrap/>
            <w:vAlign w:val="center"/>
            <w:hideMark/>
          </w:tcPr>
          <w:p w14:paraId="6E12A94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1F207FC9" w14:textId="77777777" w:rsidTr="00DE241B">
        <w:trPr>
          <w:trHeight w:val="915"/>
        </w:trPr>
        <w:tc>
          <w:tcPr>
            <w:tcW w:w="1563" w:type="dxa"/>
            <w:tcBorders>
              <w:top w:val="nil"/>
              <w:left w:val="nil"/>
              <w:bottom w:val="single" w:sz="8" w:space="0" w:color="44B3E1"/>
              <w:right w:val="nil"/>
            </w:tcBorders>
            <w:shd w:val="clear" w:color="000000" w:fill="E49EDD"/>
            <w:vAlign w:val="center"/>
            <w:hideMark/>
          </w:tcPr>
          <w:p w14:paraId="69D2D995" w14:textId="32AB56CE" w:rsidR="00AC3674"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EXPENDITURE</w:t>
            </w:r>
          </w:p>
          <w:p w14:paraId="563AC963" w14:textId="7E5DA6BF" w:rsidR="00F35EDF" w:rsidRPr="00F35EDF"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Indirect management</w:t>
            </w:r>
          </w:p>
        </w:tc>
        <w:tc>
          <w:tcPr>
            <w:tcW w:w="1325" w:type="dxa"/>
            <w:tcBorders>
              <w:top w:val="nil"/>
              <w:left w:val="nil"/>
              <w:bottom w:val="single" w:sz="8" w:space="0" w:color="44B3E1"/>
              <w:right w:val="nil"/>
            </w:tcBorders>
            <w:shd w:val="clear" w:color="000000" w:fill="E49EDD"/>
            <w:noWrap/>
            <w:vAlign w:val="center"/>
            <w:hideMark/>
          </w:tcPr>
          <w:p w14:paraId="284CCBCF"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121</w:t>
            </w:r>
          </w:p>
        </w:tc>
        <w:tc>
          <w:tcPr>
            <w:tcW w:w="1223" w:type="dxa"/>
            <w:tcBorders>
              <w:top w:val="nil"/>
              <w:left w:val="nil"/>
              <w:bottom w:val="single" w:sz="8" w:space="0" w:color="44B3E1"/>
              <w:right w:val="nil"/>
            </w:tcBorders>
            <w:shd w:val="clear" w:color="000000" w:fill="E49EDD"/>
            <w:noWrap/>
            <w:vAlign w:val="center"/>
            <w:hideMark/>
          </w:tcPr>
          <w:p w14:paraId="25338CCF"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110.6</w:t>
            </w:r>
          </w:p>
        </w:tc>
        <w:tc>
          <w:tcPr>
            <w:tcW w:w="1276" w:type="dxa"/>
            <w:tcBorders>
              <w:top w:val="nil"/>
              <w:left w:val="nil"/>
              <w:bottom w:val="single" w:sz="8" w:space="0" w:color="44B3E1"/>
              <w:right w:val="nil"/>
            </w:tcBorders>
            <w:shd w:val="clear" w:color="000000" w:fill="E49EDD"/>
            <w:noWrap/>
            <w:vAlign w:val="center"/>
            <w:hideMark/>
          </w:tcPr>
          <w:p w14:paraId="45AD950D"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46.8</w:t>
            </w:r>
          </w:p>
        </w:tc>
        <w:tc>
          <w:tcPr>
            <w:tcW w:w="1276" w:type="dxa"/>
            <w:tcBorders>
              <w:top w:val="nil"/>
              <w:left w:val="nil"/>
              <w:bottom w:val="single" w:sz="8" w:space="0" w:color="44B3E1"/>
              <w:right w:val="nil"/>
            </w:tcBorders>
            <w:shd w:val="clear" w:color="000000" w:fill="E49EDD"/>
            <w:noWrap/>
            <w:vAlign w:val="center"/>
            <w:hideMark/>
          </w:tcPr>
          <w:p w14:paraId="2F3BE1E0"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42%</w:t>
            </w:r>
          </w:p>
        </w:tc>
        <w:tc>
          <w:tcPr>
            <w:tcW w:w="1136" w:type="dxa"/>
            <w:tcBorders>
              <w:top w:val="nil"/>
              <w:left w:val="nil"/>
              <w:bottom w:val="single" w:sz="8" w:space="0" w:color="44B3E1"/>
              <w:right w:val="nil"/>
            </w:tcBorders>
            <w:shd w:val="clear" w:color="000000" w:fill="E49EDD"/>
            <w:noWrap/>
            <w:vAlign w:val="center"/>
            <w:hideMark/>
          </w:tcPr>
          <w:p w14:paraId="27551329"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41.1</w:t>
            </w:r>
          </w:p>
        </w:tc>
        <w:tc>
          <w:tcPr>
            <w:tcW w:w="1057" w:type="dxa"/>
            <w:tcBorders>
              <w:top w:val="nil"/>
              <w:left w:val="nil"/>
              <w:bottom w:val="single" w:sz="8" w:space="0" w:color="44B3E1"/>
              <w:right w:val="nil"/>
            </w:tcBorders>
            <w:shd w:val="clear" w:color="000000" w:fill="E49EDD"/>
            <w:noWrap/>
            <w:vAlign w:val="center"/>
            <w:hideMark/>
          </w:tcPr>
          <w:p w14:paraId="05CCDBFF"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88%</w:t>
            </w:r>
          </w:p>
        </w:tc>
      </w:tr>
      <w:tr w:rsidR="00AC3674" w:rsidRPr="00F35EDF" w14:paraId="7E084BAA" w14:textId="77777777" w:rsidTr="00DE241B">
        <w:trPr>
          <w:trHeight w:val="300"/>
        </w:trPr>
        <w:tc>
          <w:tcPr>
            <w:tcW w:w="1563" w:type="dxa"/>
            <w:tcBorders>
              <w:top w:val="nil"/>
              <w:left w:val="nil"/>
              <w:bottom w:val="nil"/>
              <w:right w:val="nil"/>
            </w:tcBorders>
            <w:shd w:val="clear" w:color="000000" w:fill="F2CEEF"/>
            <w:noWrap/>
            <w:vAlign w:val="center"/>
            <w:hideMark/>
          </w:tcPr>
          <w:p w14:paraId="3CD2F3B3"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2016</w:t>
            </w:r>
          </w:p>
        </w:tc>
        <w:tc>
          <w:tcPr>
            <w:tcW w:w="1325" w:type="dxa"/>
            <w:tcBorders>
              <w:top w:val="nil"/>
              <w:left w:val="nil"/>
              <w:bottom w:val="nil"/>
              <w:right w:val="nil"/>
            </w:tcBorders>
            <w:shd w:val="clear" w:color="000000" w:fill="F2CEEF"/>
            <w:noWrap/>
            <w:vAlign w:val="center"/>
            <w:hideMark/>
          </w:tcPr>
          <w:p w14:paraId="03DBDDE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33</w:t>
            </w:r>
          </w:p>
        </w:tc>
        <w:tc>
          <w:tcPr>
            <w:tcW w:w="1223" w:type="dxa"/>
            <w:tcBorders>
              <w:top w:val="nil"/>
              <w:left w:val="nil"/>
              <w:bottom w:val="nil"/>
              <w:right w:val="nil"/>
            </w:tcBorders>
            <w:shd w:val="clear" w:color="000000" w:fill="F2CEEF"/>
            <w:noWrap/>
            <w:vAlign w:val="center"/>
            <w:hideMark/>
          </w:tcPr>
          <w:p w14:paraId="24DD233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28.3</w:t>
            </w:r>
          </w:p>
        </w:tc>
        <w:tc>
          <w:tcPr>
            <w:tcW w:w="1276" w:type="dxa"/>
            <w:tcBorders>
              <w:top w:val="nil"/>
              <w:left w:val="nil"/>
              <w:bottom w:val="nil"/>
              <w:right w:val="nil"/>
            </w:tcBorders>
            <w:shd w:val="clear" w:color="000000" w:fill="F2CEEF"/>
            <w:noWrap/>
            <w:vAlign w:val="center"/>
            <w:hideMark/>
          </w:tcPr>
          <w:p w14:paraId="529CBA3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19.1</w:t>
            </w:r>
          </w:p>
        </w:tc>
        <w:tc>
          <w:tcPr>
            <w:tcW w:w="1276" w:type="dxa"/>
            <w:tcBorders>
              <w:top w:val="nil"/>
              <w:left w:val="nil"/>
              <w:bottom w:val="nil"/>
              <w:right w:val="nil"/>
            </w:tcBorders>
            <w:shd w:val="clear" w:color="000000" w:fill="F2CEEF"/>
            <w:noWrap/>
            <w:vAlign w:val="center"/>
            <w:hideMark/>
          </w:tcPr>
          <w:p w14:paraId="61A0A38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67%</w:t>
            </w:r>
          </w:p>
        </w:tc>
        <w:tc>
          <w:tcPr>
            <w:tcW w:w="1136" w:type="dxa"/>
            <w:tcBorders>
              <w:top w:val="nil"/>
              <w:left w:val="nil"/>
              <w:bottom w:val="nil"/>
              <w:right w:val="nil"/>
            </w:tcBorders>
            <w:shd w:val="clear" w:color="000000" w:fill="F2CEEF"/>
            <w:noWrap/>
            <w:vAlign w:val="center"/>
            <w:hideMark/>
          </w:tcPr>
          <w:p w14:paraId="6AAE39D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16.6</w:t>
            </w:r>
          </w:p>
        </w:tc>
        <w:tc>
          <w:tcPr>
            <w:tcW w:w="1057" w:type="dxa"/>
            <w:tcBorders>
              <w:top w:val="nil"/>
              <w:left w:val="nil"/>
              <w:bottom w:val="nil"/>
              <w:right w:val="nil"/>
            </w:tcBorders>
            <w:shd w:val="clear" w:color="000000" w:fill="F2CEEF"/>
            <w:noWrap/>
            <w:vAlign w:val="center"/>
            <w:hideMark/>
          </w:tcPr>
          <w:p w14:paraId="38ED2DF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87%</w:t>
            </w:r>
          </w:p>
        </w:tc>
      </w:tr>
      <w:tr w:rsidR="00AC3674" w:rsidRPr="00F35EDF" w14:paraId="4362367C" w14:textId="77777777" w:rsidTr="00DE241B">
        <w:trPr>
          <w:trHeight w:val="300"/>
        </w:trPr>
        <w:tc>
          <w:tcPr>
            <w:tcW w:w="1563" w:type="dxa"/>
            <w:tcBorders>
              <w:top w:val="nil"/>
              <w:left w:val="nil"/>
              <w:bottom w:val="nil"/>
              <w:right w:val="nil"/>
            </w:tcBorders>
            <w:shd w:val="clear" w:color="000000" w:fill="FFFFFF"/>
            <w:noWrap/>
            <w:vAlign w:val="center"/>
            <w:hideMark/>
          </w:tcPr>
          <w:p w14:paraId="1F4BC626"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2017</w:t>
            </w:r>
          </w:p>
        </w:tc>
        <w:tc>
          <w:tcPr>
            <w:tcW w:w="1325" w:type="dxa"/>
            <w:tcBorders>
              <w:top w:val="nil"/>
              <w:left w:val="nil"/>
              <w:bottom w:val="nil"/>
              <w:right w:val="nil"/>
            </w:tcBorders>
            <w:shd w:val="clear" w:color="000000" w:fill="FFFFFF"/>
            <w:noWrap/>
            <w:vAlign w:val="center"/>
            <w:hideMark/>
          </w:tcPr>
          <w:p w14:paraId="38FD705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w:t>
            </w:r>
          </w:p>
        </w:tc>
        <w:tc>
          <w:tcPr>
            <w:tcW w:w="1223" w:type="dxa"/>
            <w:tcBorders>
              <w:top w:val="nil"/>
              <w:left w:val="nil"/>
              <w:bottom w:val="nil"/>
              <w:right w:val="nil"/>
            </w:tcBorders>
            <w:shd w:val="clear" w:color="000000" w:fill="FFFFFF"/>
            <w:noWrap/>
            <w:vAlign w:val="center"/>
            <w:hideMark/>
          </w:tcPr>
          <w:p w14:paraId="6DCC10A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6.5</w:t>
            </w:r>
          </w:p>
        </w:tc>
        <w:tc>
          <w:tcPr>
            <w:tcW w:w="1276" w:type="dxa"/>
            <w:tcBorders>
              <w:top w:val="nil"/>
              <w:left w:val="nil"/>
              <w:bottom w:val="nil"/>
              <w:right w:val="nil"/>
            </w:tcBorders>
            <w:shd w:val="clear" w:color="000000" w:fill="FFFFFF"/>
            <w:noWrap/>
            <w:vAlign w:val="center"/>
            <w:hideMark/>
          </w:tcPr>
          <w:p w14:paraId="48A795F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w:t>
            </w:r>
          </w:p>
        </w:tc>
        <w:tc>
          <w:tcPr>
            <w:tcW w:w="1276" w:type="dxa"/>
            <w:tcBorders>
              <w:top w:val="nil"/>
              <w:left w:val="nil"/>
              <w:bottom w:val="nil"/>
              <w:right w:val="nil"/>
            </w:tcBorders>
            <w:shd w:val="clear" w:color="000000" w:fill="FFFFFF"/>
            <w:noWrap/>
            <w:vAlign w:val="center"/>
            <w:hideMark/>
          </w:tcPr>
          <w:p w14:paraId="6031AAC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16%</w:t>
            </w:r>
          </w:p>
        </w:tc>
        <w:tc>
          <w:tcPr>
            <w:tcW w:w="1136" w:type="dxa"/>
            <w:tcBorders>
              <w:top w:val="nil"/>
              <w:left w:val="nil"/>
              <w:bottom w:val="nil"/>
              <w:right w:val="nil"/>
            </w:tcBorders>
            <w:shd w:val="clear" w:color="000000" w:fill="FFFFFF"/>
            <w:noWrap/>
            <w:vAlign w:val="center"/>
            <w:hideMark/>
          </w:tcPr>
          <w:p w14:paraId="6C708F8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0.9</w:t>
            </w:r>
          </w:p>
        </w:tc>
        <w:tc>
          <w:tcPr>
            <w:tcW w:w="1057" w:type="dxa"/>
            <w:tcBorders>
              <w:top w:val="nil"/>
              <w:left w:val="nil"/>
              <w:bottom w:val="nil"/>
              <w:right w:val="nil"/>
            </w:tcBorders>
            <w:shd w:val="clear" w:color="000000" w:fill="FFFFFF"/>
            <w:noWrap/>
            <w:vAlign w:val="center"/>
            <w:hideMark/>
          </w:tcPr>
          <w:p w14:paraId="353EC04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89%</w:t>
            </w:r>
          </w:p>
        </w:tc>
      </w:tr>
      <w:tr w:rsidR="00AC3674" w:rsidRPr="00F35EDF" w14:paraId="5C598D47" w14:textId="77777777" w:rsidTr="00DE241B">
        <w:trPr>
          <w:trHeight w:val="300"/>
        </w:trPr>
        <w:tc>
          <w:tcPr>
            <w:tcW w:w="1563" w:type="dxa"/>
            <w:tcBorders>
              <w:top w:val="nil"/>
              <w:left w:val="nil"/>
              <w:bottom w:val="nil"/>
              <w:right w:val="nil"/>
            </w:tcBorders>
            <w:shd w:val="clear" w:color="000000" w:fill="F2CEEF"/>
            <w:noWrap/>
            <w:vAlign w:val="center"/>
            <w:hideMark/>
          </w:tcPr>
          <w:p w14:paraId="29D107B8"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2018</w:t>
            </w:r>
          </w:p>
        </w:tc>
        <w:tc>
          <w:tcPr>
            <w:tcW w:w="1325" w:type="dxa"/>
            <w:tcBorders>
              <w:top w:val="nil"/>
              <w:left w:val="nil"/>
              <w:bottom w:val="nil"/>
              <w:right w:val="nil"/>
            </w:tcBorders>
            <w:shd w:val="clear" w:color="000000" w:fill="F2CEEF"/>
            <w:noWrap/>
            <w:vAlign w:val="center"/>
            <w:hideMark/>
          </w:tcPr>
          <w:p w14:paraId="5321DB0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12</w:t>
            </w:r>
          </w:p>
        </w:tc>
        <w:tc>
          <w:tcPr>
            <w:tcW w:w="1223" w:type="dxa"/>
            <w:tcBorders>
              <w:top w:val="nil"/>
              <w:left w:val="nil"/>
              <w:bottom w:val="nil"/>
              <w:right w:val="nil"/>
            </w:tcBorders>
            <w:shd w:val="clear" w:color="000000" w:fill="F2CEEF"/>
            <w:noWrap/>
            <w:vAlign w:val="center"/>
            <w:hideMark/>
          </w:tcPr>
          <w:p w14:paraId="54DDB7A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18.5</w:t>
            </w:r>
          </w:p>
        </w:tc>
        <w:tc>
          <w:tcPr>
            <w:tcW w:w="1276" w:type="dxa"/>
            <w:tcBorders>
              <w:top w:val="nil"/>
              <w:left w:val="nil"/>
              <w:bottom w:val="nil"/>
              <w:right w:val="nil"/>
            </w:tcBorders>
            <w:shd w:val="clear" w:color="000000" w:fill="F2CEEF"/>
            <w:noWrap/>
            <w:vAlign w:val="center"/>
            <w:hideMark/>
          </w:tcPr>
          <w:p w14:paraId="58DB360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6.3</w:t>
            </w:r>
          </w:p>
        </w:tc>
        <w:tc>
          <w:tcPr>
            <w:tcW w:w="1276" w:type="dxa"/>
            <w:tcBorders>
              <w:top w:val="nil"/>
              <w:left w:val="nil"/>
              <w:bottom w:val="nil"/>
              <w:right w:val="nil"/>
            </w:tcBorders>
            <w:shd w:val="clear" w:color="000000" w:fill="F2CEEF"/>
            <w:noWrap/>
            <w:vAlign w:val="center"/>
            <w:hideMark/>
          </w:tcPr>
          <w:p w14:paraId="6CB51C8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34%</w:t>
            </w:r>
          </w:p>
        </w:tc>
        <w:tc>
          <w:tcPr>
            <w:tcW w:w="1136" w:type="dxa"/>
            <w:tcBorders>
              <w:top w:val="nil"/>
              <w:left w:val="nil"/>
              <w:bottom w:val="nil"/>
              <w:right w:val="nil"/>
            </w:tcBorders>
            <w:shd w:val="clear" w:color="000000" w:fill="F2CEEF"/>
            <w:noWrap/>
            <w:vAlign w:val="center"/>
            <w:hideMark/>
          </w:tcPr>
          <w:p w14:paraId="7B158E9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6.3</w:t>
            </w:r>
          </w:p>
        </w:tc>
        <w:tc>
          <w:tcPr>
            <w:tcW w:w="1057" w:type="dxa"/>
            <w:tcBorders>
              <w:top w:val="nil"/>
              <w:left w:val="nil"/>
              <w:bottom w:val="nil"/>
              <w:right w:val="nil"/>
            </w:tcBorders>
            <w:shd w:val="clear" w:color="000000" w:fill="F2CEEF"/>
            <w:noWrap/>
            <w:vAlign w:val="center"/>
            <w:hideMark/>
          </w:tcPr>
          <w:p w14:paraId="050CEFD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31B5F412" w14:textId="77777777" w:rsidTr="00DE241B">
        <w:trPr>
          <w:trHeight w:val="300"/>
        </w:trPr>
        <w:tc>
          <w:tcPr>
            <w:tcW w:w="1563" w:type="dxa"/>
            <w:tcBorders>
              <w:top w:val="nil"/>
              <w:left w:val="nil"/>
              <w:bottom w:val="nil"/>
              <w:right w:val="nil"/>
            </w:tcBorders>
            <w:shd w:val="clear" w:color="000000" w:fill="FFFFFF"/>
            <w:noWrap/>
            <w:vAlign w:val="center"/>
            <w:hideMark/>
          </w:tcPr>
          <w:p w14:paraId="728DC0E5"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2019</w:t>
            </w:r>
          </w:p>
        </w:tc>
        <w:tc>
          <w:tcPr>
            <w:tcW w:w="1325" w:type="dxa"/>
            <w:tcBorders>
              <w:top w:val="nil"/>
              <w:left w:val="nil"/>
              <w:bottom w:val="nil"/>
              <w:right w:val="nil"/>
            </w:tcBorders>
            <w:shd w:val="clear" w:color="000000" w:fill="FFFFFF"/>
            <w:noWrap/>
            <w:vAlign w:val="center"/>
            <w:hideMark/>
          </w:tcPr>
          <w:p w14:paraId="432E04C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w:t>
            </w:r>
          </w:p>
        </w:tc>
        <w:tc>
          <w:tcPr>
            <w:tcW w:w="1223" w:type="dxa"/>
            <w:tcBorders>
              <w:top w:val="nil"/>
              <w:left w:val="nil"/>
              <w:bottom w:val="nil"/>
              <w:right w:val="nil"/>
            </w:tcBorders>
            <w:shd w:val="clear" w:color="000000" w:fill="FFFFFF"/>
            <w:noWrap/>
            <w:vAlign w:val="center"/>
            <w:hideMark/>
          </w:tcPr>
          <w:p w14:paraId="577B372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5.1</w:t>
            </w:r>
          </w:p>
        </w:tc>
        <w:tc>
          <w:tcPr>
            <w:tcW w:w="1276" w:type="dxa"/>
            <w:tcBorders>
              <w:top w:val="nil"/>
              <w:left w:val="nil"/>
              <w:bottom w:val="nil"/>
              <w:right w:val="nil"/>
            </w:tcBorders>
            <w:shd w:val="clear" w:color="000000" w:fill="FFFFFF"/>
            <w:noWrap/>
            <w:vAlign w:val="center"/>
            <w:hideMark/>
          </w:tcPr>
          <w:p w14:paraId="2D00286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w:t>
            </w:r>
          </w:p>
        </w:tc>
        <w:tc>
          <w:tcPr>
            <w:tcW w:w="1276" w:type="dxa"/>
            <w:tcBorders>
              <w:top w:val="nil"/>
              <w:left w:val="nil"/>
              <w:bottom w:val="nil"/>
              <w:right w:val="nil"/>
            </w:tcBorders>
            <w:shd w:val="clear" w:color="000000" w:fill="FFFFFF"/>
            <w:noWrap/>
            <w:vAlign w:val="center"/>
            <w:hideMark/>
          </w:tcPr>
          <w:p w14:paraId="7A1B426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22%</w:t>
            </w:r>
          </w:p>
        </w:tc>
        <w:tc>
          <w:tcPr>
            <w:tcW w:w="1136" w:type="dxa"/>
            <w:tcBorders>
              <w:top w:val="nil"/>
              <w:left w:val="nil"/>
              <w:bottom w:val="nil"/>
              <w:right w:val="nil"/>
            </w:tcBorders>
            <w:shd w:val="clear" w:color="000000" w:fill="FFFFFF"/>
            <w:noWrap/>
            <w:vAlign w:val="center"/>
            <w:hideMark/>
          </w:tcPr>
          <w:p w14:paraId="02CF1F5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w:t>
            </w:r>
          </w:p>
        </w:tc>
        <w:tc>
          <w:tcPr>
            <w:tcW w:w="1057" w:type="dxa"/>
            <w:tcBorders>
              <w:top w:val="nil"/>
              <w:left w:val="nil"/>
              <w:bottom w:val="nil"/>
              <w:right w:val="nil"/>
            </w:tcBorders>
            <w:shd w:val="clear" w:color="000000" w:fill="FFFFFF"/>
            <w:noWrap/>
            <w:vAlign w:val="center"/>
            <w:hideMark/>
          </w:tcPr>
          <w:p w14:paraId="5EF32A9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0BB2AC90" w14:textId="77777777" w:rsidTr="00DE241B">
        <w:trPr>
          <w:trHeight w:val="300"/>
        </w:trPr>
        <w:tc>
          <w:tcPr>
            <w:tcW w:w="1563" w:type="dxa"/>
            <w:tcBorders>
              <w:top w:val="nil"/>
              <w:left w:val="nil"/>
              <w:bottom w:val="nil"/>
              <w:right w:val="nil"/>
            </w:tcBorders>
            <w:shd w:val="clear" w:color="000000" w:fill="F2CEEF"/>
            <w:noWrap/>
            <w:vAlign w:val="center"/>
            <w:hideMark/>
          </w:tcPr>
          <w:p w14:paraId="2C6121C5"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2020</w:t>
            </w:r>
          </w:p>
        </w:tc>
        <w:tc>
          <w:tcPr>
            <w:tcW w:w="1325" w:type="dxa"/>
            <w:tcBorders>
              <w:top w:val="nil"/>
              <w:left w:val="nil"/>
              <w:bottom w:val="nil"/>
              <w:right w:val="nil"/>
            </w:tcBorders>
            <w:shd w:val="clear" w:color="000000" w:fill="F2CEEF"/>
            <w:noWrap/>
            <w:vAlign w:val="center"/>
            <w:hideMark/>
          </w:tcPr>
          <w:p w14:paraId="2559442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19</w:t>
            </w:r>
          </w:p>
        </w:tc>
        <w:tc>
          <w:tcPr>
            <w:tcW w:w="1223" w:type="dxa"/>
            <w:tcBorders>
              <w:top w:val="nil"/>
              <w:left w:val="nil"/>
              <w:bottom w:val="nil"/>
              <w:right w:val="nil"/>
            </w:tcBorders>
            <w:shd w:val="clear" w:color="000000" w:fill="F2CEEF"/>
            <w:noWrap/>
            <w:vAlign w:val="center"/>
            <w:hideMark/>
          </w:tcPr>
          <w:p w14:paraId="6C977D5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26.8</w:t>
            </w:r>
          </w:p>
        </w:tc>
        <w:tc>
          <w:tcPr>
            <w:tcW w:w="1276" w:type="dxa"/>
            <w:tcBorders>
              <w:top w:val="nil"/>
              <w:left w:val="nil"/>
              <w:bottom w:val="nil"/>
              <w:right w:val="nil"/>
            </w:tcBorders>
            <w:shd w:val="clear" w:color="000000" w:fill="F2CEEF"/>
            <w:noWrap/>
            <w:vAlign w:val="center"/>
            <w:hideMark/>
          </w:tcPr>
          <w:p w14:paraId="0AB0DDF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4.1</w:t>
            </w:r>
          </w:p>
        </w:tc>
        <w:tc>
          <w:tcPr>
            <w:tcW w:w="1276" w:type="dxa"/>
            <w:tcBorders>
              <w:top w:val="nil"/>
              <w:left w:val="nil"/>
              <w:bottom w:val="nil"/>
              <w:right w:val="nil"/>
            </w:tcBorders>
            <w:shd w:val="clear" w:color="000000" w:fill="F2CEEF"/>
            <w:noWrap/>
            <w:vAlign w:val="center"/>
            <w:hideMark/>
          </w:tcPr>
          <w:p w14:paraId="3E3FC80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15%</w:t>
            </w:r>
          </w:p>
        </w:tc>
        <w:tc>
          <w:tcPr>
            <w:tcW w:w="1136" w:type="dxa"/>
            <w:tcBorders>
              <w:top w:val="nil"/>
              <w:left w:val="nil"/>
              <w:bottom w:val="nil"/>
              <w:right w:val="nil"/>
            </w:tcBorders>
            <w:shd w:val="clear" w:color="000000" w:fill="F2CEEF"/>
            <w:noWrap/>
            <w:vAlign w:val="center"/>
            <w:hideMark/>
          </w:tcPr>
          <w:p w14:paraId="2FE8E3E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1.7</w:t>
            </w:r>
          </w:p>
        </w:tc>
        <w:tc>
          <w:tcPr>
            <w:tcW w:w="1057" w:type="dxa"/>
            <w:tcBorders>
              <w:top w:val="nil"/>
              <w:left w:val="nil"/>
              <w:bottom w:val="nil"/>
              <w:right w:val="nil"/>
            </w:tcBorders>
            <w:shd w:val="clear" w:color="000000" w:fill="F2CEEF"/>
            <w:noWrap/>
            <w:vAlign w:val="center"/>
            <w:hideMark/>
          </w:tcPr>
          <w:p w14:paraId="147C9D7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41%</w:t>
            </w:r>
          </w:p>
        </w:tc>
      </w:tr>
      <w:tr w:rsidR="00AC3674" w:rsidRPr="00F35EDF" w14:paraId="5F2BDEC6" w14:textId="77777777" w:rsidTr="00DE241B">
        <w:trPr>
          <w:trHeight w:val="300"/>
        </w:trPr>
        <w:tc>
          <w:tcPr>
            <w:tcW w:w="1563" w:type="dxa"/>
            <w:tcBorders>
              <w:top w:val="nil"/>
              <w:left w:val="nil"/>
              <w:bottom w:val="nil"/>
              <w:right w:val="nil"/>
            </w:tcBorders>
            <w:shd w:val="clear" w:color="000000" w:fill="FFFFFF"/>
            <w:noWrap/>
            <w:vAlign w:val="center"/>
            <w:hideMark/>
          </w:tcPr>
          <w:p w14:paraId="6092D638"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2021</w:t>
            </w:r>
          </w:p>
        </w:tc>
        <w:tc>
          <w:tcPr>
            <w:tcW w:w="1325" w:type="dxa"/>
            <w:tcBorders>
              <w:top w:val="nil"/>
              <w:left w:val="nil"/>
              <w:bottom w:val="nil"/>
              <w:right w:val="nil"/>
            </w:tcBorders>
            <w:shd w:val="clear" w:color="000000" w:fill="FFFFFF"/>
            <w:noWrap/>
            <w:vAlign w:val="center"/>
            <w:hideMark/>
          </w:tcPr>
          <w:p w14:paraId="7C310E3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11</w:t>
            </w:r>
          </w:p>
        </w:tc>
        <w:tc>
          <w:tcPr>
            <w:tcW w:w="1223" w:type="dxa"/>
            <w:tcBorders>
              <w:top w:val="nil"/>
              <w:left w:val="nil"/>
              <w:bottom w:val="nil"/>
              <w:right w:val="nil"/>
            </w:tcBorders>
            <w:shd w:val="clear" w:color="000000" w:fill="FFFFFF"/>
            <w:noWrap/>
            <w:vAlign w:val="center"/>
            <w:hideMark/>
          </w:tcPr>
          <w:p w14:paraId="00FC299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w:t>
            </w:r>
          </w:p>
        </w:tc>
        <w:tc>
          <w:tcPr>
            <w:tcW w:w="1276" w:type="dxa"/>
            <w:tcBorders>
              <w:top w:val="nil"/>
              <w:left w:val="nil"/>
              <w:bottom w:val="nil"/>
              <w:right w:val="nil"/>
            </w:tcBorders>
            <w:shd w:val="clear" w:color="000000" w:fill="FFFFFF"/>
            <w:noWrap/>
            <w:vAlign w:val="center"/>
            <w:hideMark/>
          </w:tcPr>
          <w:p w14:paraId="64D3F08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1.6</w:t>
            </w:r>
          </w:p>
        </w:tc>
        <w:tc>
          <w:tcPr>
            <w:tcW w:w="1276" w:type="dxa"/>
            <w:tcBorders>
              <w:top w:val="nil"/>
              <w:left w:val="nil"/>
              <w:bottom w:val="nil"/>
              <w:right w:val="nil"/>
            </w:tcBorders>
            <w:shd w:val="clear" w:color="000000" w:fill="FFFFFF"/>
            <w:noWrap/>
            <w:vAlign w:val="center"/>
            <w:hideMark/>
          </w:tcPr>
          <w:p w14:paraId="31BE414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79%</w:t>
            </w:r>
          </w:p>
        </w:tc>
        <w:tc>
          <w:tcPr>
            <w:tcW w:w="1136" w:type="dxa"/>
            <w:tcBorders>
              <w:top w:val="nil"/>
              <w:left w:val="nil"/>
              <w:bottom w:val="nil"/>
              <w:right w:val="nil"/>
            </w:tcBorders>
            <w:shd w:val="clear" w:color="000000" w:fill="FFFFFF"/>
            <w:noWrap/>
            <w:vAlign w:val="center"/>
            <w:hideMark/>
          </w:tcPr>
          <w:p w14:paraId="6ADA4F5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0.9</w:t>
            </w:r>
          </w:p>
        </w:tc>
        <w:tc>
          <w:tcPr>
            <w:tcW w:w="1057" w:type="dxa"/>
            <w:tcBorders>
              <w:top w:val="nil"/>
              <w:left w:val="nil"/>
              <w:bottom w:val="nil"/>
              <w:right w:val="nil"/>
            </w:tcBorders>
            <w:shd w:val="clear" w:color="000000" w:fill="FFFFFF"/>
            <w:noWrap/>
            <w:vAlign w:val="center"/>
            <w:hideMark/>
          </w:tcPr>
          <w:p w14:paraId="5423096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56%</w:t>
            </w:r>
          </w:p>
        </w:tc>
      </w:tr>
      <w:tr w:rsidR="00AC3674" w:rsidRPr="00F35EDF" w14:paraId="722BA16A" w14:textId="77777777" w:rsidTr="00DE241B">
        <w:trPr>
          <w:trHeight w:val="300"/>
        </w:trPr>
        <w:tc>
          <w:tcPr>
            <w:tcW w:w="1563" w:type="dxa"/>
            <w:tcBorders>
              <w:top w:val="nil"/>
              <w:left w:val="nil"/>
              <w:bottom w:val="nil"/>
              <w:right w:val="nil"/>
            </w:tcBorders>
            <w:shd w:val="clear" w:color="000000" w:fill="F2CEEF"/>
            <w:noWrap/>
            <w:vAlign w:val="center"/>
            <w:hideMark/>
          </w:tcPr>
          <w:p w14:paraId="310E3A88"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2022</w:t>
            </w:r>
          </w:p>
        </w:tc>
        <w:tc>
          <w:tcPr>
            <w:tcW w:w="1325" w:type="dxa"/>
            <w:tcBorders>
              <w:top w:val="nil"/>
              <w:left w:val="nil"/>
              <w:bottom w:val="nil"/>
              <w:right w:val="nil"/>
            </w:tcBorders>
            <w:shd w:val="clear" w:color="000000" w:fill="F2CEEF"/>
            <w:noWrap/>
            <w:vAlign w:val="center"/>
            <w:hideMark/>
          </w:tcPr>
          <w:p w14:paraId="09E83CC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12</w:t>
            </w:r>
          </w:p>
        </w:tc>
        <w:tc>
          <w:tcPr>
            <w:tcW w:w="1223" w:type="dxa"/>
            <w:tcBorders>
              <w:top w:val="nil"/>
              <w:left w:val="nil"/>
              <w:bottom w:val="nil"/>
              <w:right w:val="nil"/>
            </w:tcBorders>
            <w:shd w:val="clear" w:color="000000" w:fill="F2CEEF"/>
            <w:noWrap/>
            <w:vAlign w:val="center"/>
            <w:hideMark/>
          </w:tcPr>
          <w:p w14:paraId="2D6FD80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w:t>
            </w:r>
          </w:p>
        </w:tc>
        <w:tc>
          <w:tcPr>
            <w:tcW w:w="1276" w:type="dxa"/>
            <w:tcBorders>
              <w:top w:val="nil"/>
              <w:left w:val="nil"/>
              <w:bottom w:val="nil"/>
              <w:right w:val="nil"/>
            </w:tcBorders>
            <w:shd w:val="clear" w:color="000000" w:fill="F2CEEF"/>
            <w:noWrap/>
            <w:vAlign w:val="center"/>
            <w:hideMark/>
          </w:tcPr>
          <w:p w14:paraId="36BEB66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10.1</w:t>
            </w:r>
          </w:p>
        </w:tc>
        <w:tc>
          <w:tcPr>
            <w:tcW w:w="1276" w:type="dxa"/>
            <w:tcBorders>
              <w:top w:val="nil"/>
              <w:left w:val="nil"/>
              <w:bottom w:val="nil"/>
              <w:right w:val="nil"/>
            </w:tcBorders>
            <w:shd w:val="clear" w:color="000000" w:fill="F2CEEF"/>
            <w:noWrap/>
            <w:vAlign w:val="center"/>
            <w:hideMark/>
          </w:tcPr>
          <w:p w14:paraId="4D68093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50%</w:t>
            </w:r>
          </w:p>
        </w:tc>
        <w:tc>
          <w:tcPr>
            <w:tcW w:w="1136" w:type="dxa"/>
            <w:tcBorders>
              <w:top w:val="nil"/>
              <w:left w:val="nil"/>
              <w:bottom w:val="nil"/>
              <w:right w:val="nil"/>
            </w:tcBorders>
            <w:shd w:val="clear" w:color="000000" w:fill="F2CEEF"/>
            <w:noWrap/>
            <w:vAlign w:val="center"/>
            <w:hideMark/>
          </w:tcPr>
          <w:p w14:paraId="2B36A2F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10.1</w:t>
            </w:r>
          </w:p>
        </w:tc>
        <w:tc>
          <w:tcPr>
            <w:tcW w:w="1057" w:type="dxa"/>
            <w:tcBorders>
              <w:top w:val="nil"/>
              <w:left w:val="nil"/>
              <w:bottom w:val="nil"/>
              <w:right w:val="nil"/>
            </w:tcBorders>
            <w:shd w:val="clear" w:color="000000" w:fill="F2CEEF"/>
            <w:noWrap/>
            <w:vAlign w:val="center"/>
            <w:hideMark/>
          </w:tcPr>
          <w:p w14:paraId="6A163CE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3E7820B8" w14:textId="77777777" w:rsidTr="00DE241B">
        <w:trPr>
          <w:trHeight w:val="300"/>
        </w:trPr>
        <w:tc>
          <w:tcPr>
            <w:tcW w:w="1563" w:type="dxa"/>
            <w:tcBorders>
              <w:top w:val="nil"/>
              <w:left w:val="nil"/>
              <w:bottom w:val="nil"/>
              <w:right w:val="nil"/>
            </w:tcBorders>
            <w:shd w:val="clear" w:color="000000" w:fill="FFFFFF"/>
            <w:noWrap/>
            <w:vAlign w:val="center"/>
            <w:hideMark/>
          </w:tcPr>
          <w:p w14:paraId="0EDC597F"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2023</w:t>
            </w:r>
          </w:p>
        </w:tc>
        <w:tc>
          <w:tcPr>
            <w:tcW w:w="1325" w:type="dxa"/>
            <w:tcBorders>
              <w:top w:val="nil"/>
              <w:left w:val="nil"/>
              <w:bottom w:val="nil"/>
              <w:right w:val="nil"/>
            </w:tcBorders>
            <w:shd w:val="clear" w:color="000000" w:fill="FFFFFF"/>
            <w:noWrap/>
            <w:vAlign w:val="center"/>
            <w:hideMark/>
          </w:tcPr>
          <w:p w14:paraId="3662058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w:t>
            </w:r>
          </w:p>
        </w:tc>
        <w:tc>
          <w:tcPr>
            <w:tcW w:w="1223" w:type="dxa"/>
            <w:tcBorders>
              <w:top w:val="nil"/>
              <w:left w:val="nil"/>
              <w:bottom w:val="nil"/>
              <w:right w:val="nil"/>
            </w:tcBorders>
            <w:shd w:val="clear" w:color="000000" w:fill="FFFFFF"/>
            <w:noWrap/>
            <w:vAlign w:val="center"/>
            <w:hideMark/>
          </w:tcPr>
          <w:p w14:paraId="697ABBD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3.0</w:t>
            </w:r>
          </w:p>
        </w:tc>
        <w:tc>
          <w:tcPr>
            <w:tcW w:w="1276" w:type="dxa"/>
            <w:tcBorders>
              <w:top w:val="nil"/>
              <w:left w:val="nil"/>
              <w:bottom w:val="nil"/>
              <w:right w:val="nil"/>
            </w:tcBorders>
            <w:shd w:val="clear" w:color="000000" w:fill="FFFFFF"/>
            <w:noWrap/>
            <w:vAlign w:val="center"/>
            <w:hideMark/>
          </w:tcPr>
          <w:p w14:paraId="2485495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2.7</w:t>
            </w:r>
          </w:p>
        </w:tc>
        <w:tc>
          <w:tcPr>
            <w:tcW w:w="1276" w:type="dxa"/>
            <w:tcBorders>
              <w:top w:val="nil"/>
              <w:left w:val="nil"/>
              <w:bottom w:val="nil"/>
              <w:right w:val="nil"/>
            </w:tcBorders>
            <w:shd w:val="clear" w:color="000000" w:fill="FFFFFF"/>
            <w:noWrap/>
            <w:vAlign w:val="center"/>
            <w:hideMark/>
          </w:tcPr>
          <w:p w14:paraId="285AD8A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92%</w:t>
            </w:r>
          </w:p>
        </w:tc>
        <w:tc>
          <w:tcPr>
            <w:tcW w:w="1136" w:type="dxa"/>
            <w:tcBorders>
              <w:top w:val="nil"/>
              <w:left w:val="nil"/>
              <w:bottom w:val="nil"/>
              <w:right w:val="nil"/>
            </w:tcBorders>
            <w:shd w:val="clear" w:color="000000" w:fill="FFFFFF"/>
            <w:noWrap/>
            <w:vAlign w:val="center"/>
            <w:hideMark/>
          </w:tcPr>
          <w:p w14:paraId="4036874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2.7</w:t>
            </w:r>
          </w:p>
        </w:tc>
        <w:tc>
          <w:tcPr>
            <w:tcW w:w="1057" w:type="dxa"/>
            <w:tcBorders>
              <w:top w:val="nil"/>
              <w:left w:val="nil"/>
              <w:bottom w:val="nil"/>
              <w:right w:val="nil"/>
            </w:tcBorders>
            <w:shd w:val="clear" w:color="000000" w:fill="FFFFFF"/>
            <w:noWrap/>
            <w:vAlign w:val="center"/>
            <w:hideMark/>
          </w:tcPr>
          <w:p w14:paraId="06EFF43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514CD1DC" w14:textId="77777777" w:rsidTr="00DE241B">
        <w:trPr>
          <w:trHeight w:val="300"/>
        </w:trPr>
        <w:tc>
          <w:tcPr>
            <w:tcW w:w="1563" w:type="dxa"/>
            <w:tcBorders>
              <w:top w:val="nil"/>
              <w:left w:val="nil"/>
              <w:bottom w:val="nil"/>
              <w:right w:val="nil"/>
            </w:tcBorders>
            <w:shd w:val="clear" w:color="000000" w:fill="F2CEEF"/>
            <w:noWrap/>
            <w:vAlign w:val="center"/>
            <w:hideMark/>
          </w:tcPr>
          <w:p w14:paraId="218C04AB"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2024</w:t>
            </w:r>
          </w:p>
        </w:tc>
        <w:tc>
          <w:tcPr>
            <w:tcW w:w="1325" w:type="dxa"/>
            <w:tcBorders>
              <w:top w:val="nil"/>
              <w:left w:val="nil"/>
              <w:bottom w:val="nil"/>
              <w:right w:val="nil"/>
            </w:tcBorders>
            <w:shd w:val="clear" w:color="000000" w:fill="F2CEEF"/>
            <w:noWrap/>
            <w:vAlign w:val="center"/>
            <w:hideMark/>
          </w:tcPr>
          <w:p w14:paraId="139BD51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w:t>
            </w:r>
          </w:p>
        </w:tc>
        <w:tc>
          <w:tcPr>
            <w:tcW w:w="1223" w:type="dxa"/>
            <w:tcBorders>
              <w:top w:val="nil"/>
              <w:left w:val="nil"/>
              <w:bottom w:val="nil"/>
              <w:right w:val="nil"/>
            </w:tcBorders>
            <w:shd w:val="clear" w:color="000000" w:fill="F2CEEF"/>
            <w:noWrap/>
            <w:vAlign w:val="center"/>
            <w:hideMark/>
          </w:tcPr>
          <w:p w14:paraId="5C4A72F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0.2</w:t>
            </w:r>
          </w:p>
        </w:tc>
        <w:tc>
          <w:tcPr>
            <w:tcW w:w="1276" w:type="dxa"/>
            <w:tcBorders>
              <w:top w:val="nil"/>
              <w:left w:val="nil"/>
              <w:bottom w:val="nil"/>
              <w:right w:val="nil"/>
            </w:tcBorders>
            <w:shd w:val="clear" w:color="000000" w:fill="F2CEEF"/>
            <w:noWrap/>
            <w:vAlign w:val="center"/>
            <w:hideMark/>
          </w:tcPr>
          <w:p w14:paraId="2F29AD5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0.7</w:t>
            </w:r>
          </w:p>
        </w:tc>
        <w:tc>
          <w:tcPr>
            <w:tcW w:w="1276" w:type="dxa"/>
            <w:tcBorders>
              <w:top w:val="nil"/>
              <w:left w:val="nil"/>
              <w:bottom w:val="nil"/>
              <w:right w:val="nil"/>
            </w:tcBorders>
            <w:shd w:val="clear" w:color="000000" w:fill="F2CEEF"/>
            <w:noWrap/>
            <w:vAlign w:val="center"/>
            <w:hideMark/>
          </w:tcPr>
          <w:p w14:paraId="6CEB0E1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316%</w:t>
            </w:r>
          </w:p>
        </w:tc>
        <w:tc>
          <w:tcPr>
            <w:tcW w:w="1136" w:type="dxa"/>
            <w:tcBorders>
              <w:top w:val="nil"/>
              <w:left w:val="nil"/>
              <w:bottom w:val="nil"/>
              <w:right w:val="nil"/>
            </w:tcBorders>
            <w:shd w:val="clear" w:color="000000" w:fill="F2CEEF"/>
            <w:noWrap/>
            <w:vAlign w:val="center"/>
            <w:hideMark/>
          </w:tcPr>
          <w:p w14:paraId="1088400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0.7</w:t>
            </w:r>
          </w:p>
        </w:tc>
        <w:tc>
          <w:tcPr>
            <w:tcW w:w="1057" w:type="dxa"/>
            <w:tcBorders>
              <w:top w:val="nil"/>
              <w:left w:val="nil"/>
              <w:bottom w:val="nil"/>
              <w:right w:val="nil"/>
            </w:tcBorders>
            <w:shd w:val="clear" w:color="000000" w:fill="F2CEEF"/>
            <w:noWrap/>
            <w:vAlign w:val="center"/>
            <w:hideMark/>
          </w:tcPr>
          <w:p w14:paraId="560D24E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78063043" w14:textId="77777777" w:rsidTr="00DE241B">
        <w:trPr>
          <w:trHeight w:val="810"/>
        </w:trPr>
        <w:tc>
          <w:tcPr>
            <w:tcW w:w="1563" w:type="dxa"/>
            <w:tcBorders>
              <w:top w:val="nil"/>
              <w:left w:val="nil"/>
              <w:bottom w:val="single" w:sz="8" w:space="0" w:color="44B3E1"/>
              <w:right w:val="nil"/>
            </w:tcBorders>
            <w:shd w:val="clear" w:color="000000" w:fill="E49EDD"/>
            <w:vAlign w:val="center"/>
            <w:hideMark/>
          </w:tcPr>
          <w:p w14:paraId="4771471F" w14:textId="722DD8DA" w:rsidR="00AC3674"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lastRenderedPageBreak/>
              <w:t>EXPENDITURE</w:t>
            </w:r>
          </w:p>
          <w:p w14:paraId="0B1BC402" w14:textId="2C22A06D" w:rsidR="00F35EDF" w:rsidRPr="00F35EDF" w:rsidRDefault="00F35EDF" w:rsidP="00F35EDF">
            <w:pPr>
              <w:spacing w:after="0" w:line="240" w:lineRule="auto"/>
              <w:jc w:val="lef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Shared management</w:t>
            </w:r>
          </w:p>
        </w:tc>
        <w:tc>
          <w:tcPr>
            <w:tcW w:w="1325" w:type="dxa"/>
            <w:tcBorders>
              <w:top w:val="nil"/>
              <w:left w:val="nil"/>
              <w:bottom w:val="single" w:sz="8" w:space="0" w:color="44B3E1"/>
              <w:right w:val="nil"/>
            </w:tcBorders>
            <w:shd w:val="clear" w:color="000000" w:fill="E49EDD"/>
            <w:noWrap/>
            <w:vAlign w:val="center"/>
            <w:hideMark/>
          </w:tcPr>
          <w:p w14:paraId="433B4776"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242</w:t>
            </w:r>
          </w:p>
        </w:tc>
        <w:tc>
          <w:tcPr>
            <w:tcW w:w="1223" w:type="dxa"/>
            <w:tcBorders>
              <w:top w:val="nil"/>
              <w:left w:val="nil"/>
              <w:bottom w:val="single" w:sz="8" w:space="0" w:color="44B3E1"/>
              <w:right w:val="nil"/>
            </w:tcBorders>
            <w:shd w:val="clear" w:color="000000" w:fill="E49EDD"/>
            <w:noWrap/>
            <w:vAlign w:val="center"/>
            <w:hideMark/>
          </w:tcPr>
          <w:p w14:paraId="54313F53"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941.1</w:t>
            </w:r>
          </w:p>
        </w:tc>
        <w:tc>
          <w:tcPr>
            <w:tcW w:w="1276" w:type="dxa"/>
            <w:tcBorders>
              <w:top w:val="nil"/>
              <w:left w:val="nil"/>
              <w:bottom w:val="single" w:sz="8" w:space="0" w:color="44B3E1"/>
              <w:right w:val="nil"/>
            </w:tcBorders>
            <w:shd w:val="clear" w:color="000000" w:fill="E49EDD"/>
            <w:noWrap/>
            <w:vAlign w:val="center"/>
            <w:hideMark/>
          </w:tcPr>
          <w:p w14:paraId="00573B9B"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743.8</w:t>
            </w:r>
          </w:p>
        </w:tc>
        <w:tc>
          <w:tcPr>
            <w:tcW w:w="1276" w:type="dxa"/>
            <w:tcBorders>
              <w:top w:val="nil"/>
              <w:left w:val="nil"/>
              <w:bottom w:val="single" w:sz="8" w:space="0" w:color="44B3E1"/>
              <w:right w:val="nil"/>
            </w:tcBorders>
            <w:shd w:val="clear" w:color="000000" w:fill="E49EDD"/>
            <w:noWrap/>
            <w:vAlign w:val="center"/>
            <w:hideMark/>
          </w:tcPr>
          <w:p w14:paraId="2D9664BA"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79%</w:t>
            </w:r>
          </w:p>
        </w:tc>
        <w:tc>
          <w:tcPr>
            <w:tcW w:w="1136" w:type="dxa"/>
            <w:tcBorders>
              <w:top w:val="nil"/>
              <w:left w:val="nil"/>
              <w:bottom w:val="single" w:sz="8" w:space="0" w:color="44B3E1"/>
              <w:right w:val="nil"/>
            </w:tcBorders>
            <w:shd w:val="clear" w:color="000000" w:fill="E49EDD"/>
            <w:noWrap/>
            <w:vAlign w:val="center"/>
            <w:hideMark/>
          </w:tcPr>
          <w:p w14:paraId="7DA30EFB"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737.0</w:t>
            </w:r>
          </w:p>
        </w:tc>
        <w:tc>
          <w:tcPr>
            <w:tcW w:w="1057" w:type="dxa"/>
            <w:tcBorders>
              <w:top w:val="nil"/>
              <w:left w:val="nil"/>
              <w:bottom w:val="single" w:sz="8" w:space="0" w:color="44B3E1"/>
              <w:right w:val="nil"/>
            </w:tcBorders>
            <w:shd w:val="clear" w:color="000000" w:fill="E49EDD"/>
            <w:noWrap/>
            <w:vAlign w:val="center"/>
            <w:hideMark/>
          </w:tcPr>
          <w:p w14:paraId="7382B27C" w14:textId="77777777" w:rsidR="00F35EDF" w:rsidRPr="00F35EDF" w:rsidRDefault="00F35EDF" w:rsidP="00F35EDF">
            <w:pPr>
              <w:spacing w:after="0" w:line="240" w:lineRule="auto"/>
              <w:jc w:val="right"/>
              <w:rPr>
                <w:rFonts w:ascii="Aptos Narrow" w:hAnsi="Aptos Narrow"/>
                <w:b/>
                <w:bCs/>
                <w:noProof/>
                <w:color w:val="000000"/>
                <w:szCs w:val="22"/>
                <w:lang w:val="en-IE" w:eastAsia="en-IE"/>
              </w:rPr>
            </w:pPr>
            <w:r w:rsidRPr="00F35EDF">
              <w:rPr>
                <w:rFonts w:ascii="Aptos Narrow" w:hAnsi="Aptos Narrow"/>
                <w:b/>
                <w:bCs/>
                <w:noProof/>
                <w:color w:val="000000"/>
                <w:szCs w:val="22"/>
                <w:lang w:val="en-IE" w:eastAsia="en-IE"/>
              </w:rPr>
              <w:t>99%</w:t>
            </w:r>
          </w:p>
        </w:tc>
      </w:tr>
      <w:tr w:rsidR="00AC3674" w:rsidRPr="00F35EDF" w14:paraId="13F5F3B5" w14:textId="77777777" w:rsidTr="00DE241B">
        <w:trPr>
          <w:trHeight w:val="300"/>
        </w:trPr>
        <w:tc>
          <w:tcPr>
            <w:tcW w:w="1563" w:type="dxa"/>
            <w:tcBorders>
              <w:top w:val="nil"/>
              <w:left w:val="nil"/>
              <w:bottom w:val="nil"/>
              <w:right w:val="nil"/>
            </w:tcBorders>
            <w:shd w:val="clear" w:color="000000" w:fill="F2CEEF"/>
            <w:noWrap/>
            <w:vAlign w:val="center"/>
            <w:hideMark/>
          </w:tcPr>
          <w:p w14:paraId="207665DD"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2016</w:t>
            </w:r>
          </w:p>
        </w:tc>
        <w:tc>
          <w:tcPr>
            <w:tcW w:w="1325" w:type="dxa"/>
            <w:tcBorders>
              <w:top w:val="nil"/>
              <w:left w:val="nil"/>
              <w:bottom w:val="nil"/>
              <w:right w:val="nil"/>
            </w:tcBorders>
            <w:shd w:val="clear" w:color="000000" w:fill="F2CEEF"/>
            <w:noWrap/>
            <w:vAlign w:val="center"/>
            <w:hideMark/>
          </w:tcPr>
          <w:p w14:paraId="792E9BE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46</w:t>
            </w:r>
          </w:p>
        </w:tc>
        <w:tc>
          <w:tcPr>
            <w:tcW w:w="1223" w:type="dxa"/>
            <w:tcBorders>
              <w:top w:val="nil"/>
              <w:left w:val="nil"/>
              <w:bottom w:val="nil"/>
              <w:right w:val="nil"/>
            </w:tcBorders>
            <w:shd w:val="clear" w:color="000000" w:fill="F2CEEF"/>
            <w:noWrap/>
            <w:vAlign w:val="center"/>
            <w:hideMark/>
          </w:tcPr>
          <w:p w14:paraId="0C21191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193.6</w:t>
            </w:r>
          </w:p>
        </w:tc>
        <w:tc>
          <w:tcPr>
            <w:tcW w:w="1276" w:type="dxa"/>
            <w:tcBorders>
              <w:top w:val="nil"/>
              <w:left w:val="nil"/>
              <w:bottom w:val="nil"/>
              <w:right w:val="nil"/>
            </w:tcBorders>
            <w:shd w:val="clear" w:color="000000" w:fill="F2CEEF"/>
            <w:noWrap/>
            <w:vAlign w:val="center"/>
            <w:hideMark/>
          </w:tcPr>
          <w:p w14:paraId="6CCB2A6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103.1</w:t>
            </w:r>
          </w:p>
        </w:tc>
        <w:tc>
          <w:tcPr>
            <w:tcW w:w="1276" w:type="dxa"/>
            <w:tcBorders>
              <w:top w:val="nil"/>
              <w:left w:val="nil"/>
              <w:bottom w:val="nil"/>
              <w:right w:val="nil"/>
            </w:tcBorders>
            <w:shd w:val="clear" w:color="000000" w:fill="F2CEEF"/>
            <w:noWrap/>
            <w:vAlign w:val="center"/>
            <w:hideMark/>
          </w:tcPr>
          <w:p w14:paraId="4926254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53%</w:t>
            </w:r>
          </w:p>
        </w:tc>
        <w:tc>
          <w:tcPr>
            <w:tcW w:w="1136" w:type="dxa"/>
            <w:tcBorders>
              <w:top w:val="nil"/>
              <w:left w:val="nil"/>
              <w:bottom w:val="nil"/>
              <w:right w:val="nil"/>
            </w:tcBorders>
            <w:shd w:val="clear" w:color="000000" w:fill="F2CEEF"/>
            <w:noWrap/>
            <w:vAlign w:val="center"/>
            <w:hideMark/>
          </w:tcPr>
          <w:p w14:paraId="577104C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102.9</w:t>
            </w:r>
          </w:p>
        </w:tc>
        <w:tc>
          <w:tcPr>
            <w:tcW w:w="1057" w:type="dxa"/>
            <w:tcBorders>
              <w:top w:val="nil"/>
              <w:left w:val="nil"/>
              <w:bottom w:val="nil"/>
              <w:right w:val="nil"/>
            </w:tcBorders>
            <w:shd w:val="clear" w:color="000000" w:fill="F2CEEF"/>
            <w:noWrap/>
            <w:vAlign w:val="center"/>
            <w:hideMark/>
          </w:tcPr>
          <w:p w14:paraId="25D2683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4B4C69B5" w14:textId="77777777" w:rsidTr="00DE241B">
        <w:trPr>
          <w:trHeight w:val="300"/>
        </w:trPr>
        <w:tc>
          <w:tcPr>
            <w:tcW w:w="1563" w:type="dxa"/>
            <w:tcBorders>
              <w:top w:val="nil"/>
              <w:left w:val="nil"/>
              <w:bottom w:val="nil"/>
              <w:right w:val="nil"/>
            </w:tcBorders>
            <w:shd w:val="clear" w:color="000000" w:fill="FFFFFF"/>
            <w:noWrap/>
            <w:vAlign w:val="center"/>
            <w:hideMark/>
          </w:tcPr>
          <w:p w14:paraId="5D9330C8"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2017</w:t>
            </w:r>
          </w:p>
        </w:tc>
        <w:tc>
          <w:tcPr>
            <w:tcW w:w="1325" w:type="dxa"/>
            <w:tcBorders>
              <w:top w:val="nil"/>
              <w:left w:val="nil"/>
              <w:bottom w:val="nil"/>
              <w:right w:val="nil"/>
            </w:tcBorders>
            <w:shd w:val="clear" w:color="000000" w:fill="FFFFFF"/>
            <w:noWrap/>
            <w:vAlign w:val="center"/>
            <w:hideMark/>
          </w:tcPr>
          <w:p w14:paraId="72C3542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42</w:t>
            </w:r>
          </w:p>
        </w:tc>
        <w:tc>
          <w:tcPr>
            <w:tcW w:w="1223" w:type="dxa"/>
            <w:tcBorders>
              <w:top w:val="nil"/>
              <w:left w:val="nil"/>
              <w:bottom w:val="nil"/>
              <w:right w:val="nil"/>
            </w:tcBorders>
            <w:shd w:val="clear" w:color="000000" w:fill="FFFFFF"/>
            <w:noWrap/>
            <w:vAlign w:val="center"/>
            <w:hideMark/>
          </w:tcPr>
          <w:p w14:paraId="4A81354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379.0</w:t>
            </w:r>
          </w:p>
        </w:tc>
        <w:tc>
          <w:tcPr>
            <w:tcW w:w="1276" w:type="dxa"/>
            <w:tcBorders>
              <w:top w:val="nil"/>
              <w:left w:val="nil"/>
              <w:bottom w:val="nil"/>
              <w:right w:val="nil"/>
            </w:tcBorders>
            <w:shd w:val="clear" w:color="000000" w:fill="FFFFFF"/>
            <w:noWrap/>
            <w:vAlign w:val="center"/>
            <w:hideMark/>
          </w:tcPr>
          <w:p w14:paraId="59E623E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356.8</w:t>
            </w:r>
          </w:p>
        </w:tc>
        <w:tc>
          <w:tcPr>
            <w:tcW w:w="1276" w:type="dxa"/>
            <w:tcBorders>
              <w:top w:val="nil"/>
              <w:left w:val="nil"/>
              <w:bottom w:val="nil"/>
              <w:right w:val="nil"/>
            </w:tcBorders>
            <w:shd w:val="clear" w:color="000000" w:fill="FFFFFF"/>
            <w:noWrap/>
            <w:vAlign w:val="center"/>
            <w:hideMark/>
          </w:tcPr>
          <w:p w14:paraId="6CFD6FA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94%</w:t>
            </w:r>
          </w:p>
        </w:tc>
        <w:tc>
          <w:tcPr>
            <w:tcW w:w="1136" w:type="dxa"/>
            <w:tcBorders>
              <w:top w:val="nil"/>
              <w:left w:val="nil"/>
              <w:bottom w:val="nil"/>
              <w:right w:val="nil"/>
            </w:tcBorders>
            <w:shd w:val="clear" w:color="000000" w:fill="FFFFFF"/>
            <w:noWrap/>
            <w:vAlign w:val="center"/>
            <w:hideMark/>
          </w:tcPr>
          <w:p w14:paraId="51B2103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355.9</w:t>
            </w:r>
          </w:p>
        </w:tc>
        <w:tc>
          <w:tcPr>
            <w:tcW w:w="1057" w:type="dxa"/>
            <w:tcBorders>
              <w:top w:val="nil"/>
              <w:left w:val="nil"/>
              <w:bottom w:val="nil"/>
              <w:right w:val="nil"/>
            </w:tcBorders>
            <w:shd w:val="clear" w:color="000000" w:fill="FFFFFF"/>
            <w:noWrap/>
            <w:vAlign w:val="center"/>
            <w:hideMark/>
          </w:tcPr>
          <w:p w14:paraId="372616F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5627E1B9" w14:textId="77777777" w:rsidTr="00DE241B">
        <w:trPr>
          <w:trHeight w:val="300"/>
        </w:trPr>
        <w:tc>
          <w:tcPr>
            <w:tcW w:w="1563" w:type="dxa"/>
            <w:tcBorders>
              <w:top w:val="nil"/>
              <w:left w:val="nil"/>
              <w:bottom w:val="nil"/>
              <w:right w:val="nil"/>
            </w:tcBorders>
            <w:shd w:val="clear" w:color="000000" w:fill="F2CEEF"/>
            <w:noWrap/>
            <w:vAlign w:val="center"/>
            <w:hideMark/>
          </w:tcPr>
          <w:p w14:paraId="4D802C61"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2018</w:t>
            </w:r>
          </w:p>
        </w:tc>
        <w:tc>
          <w:tcPr>
            <w:tcW w:w="1325" w:type="dxa"/>
            <w:tcBorders>
              <w:top w:val="nil"/>
              <w:left w:val="nil"/>
              <w:bottom w:val="nil"/>
              <w:right w:val="nil"/>
            </w:tcBorders>
            <w:shd w:val="clear" w:color="000000" w:fill="F2CEEF"/>
            <w:noWrap/>
            <w:vAlign w:val="center"/>
            <w:hideMark/>
          </w:tcPr>
          <w:p w14:paraId="4933671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27</w:t>
            </w:r>
          </w:p>
        </w:tc>
        <w:tc>
          <w:tcPr>
            <w:tcW w:w="1223" w:type="dxa"/>
            <w:tcBorders>
              <w:top w:val="nil"/>
              <w:left w:val="nil"/>
              <w:bottom w:val="nil"/>
              <w:right w:val="nil"/>
            </w:tcBorders>
            <w:shd w:val="clear" w:color="000000" w:fill="F2CEEF"/>
            <w:noWrap/>
            <w:vAlign w:val="center"/>
            <w:hideMark/>
          </w:tcPr>
          <w:p w14:paraId="5406E61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59.0</w:t>
            </w:r>
          </w:p>
        </w:tc>
        <w:tc>
          <w:tcPr>
            <w:tcW w:w="1276" w:type="dxa"/>
            <w:tcBorders>
              <w:top w:val="nil"/>
              <w:left w:val="nil"/>
              <w:bottom w:val="nil"/>
              <w:right w:val="nil"/>
            </w:tcBorders>
            <w:shd w:val="clear" w:color="000000" w:fill="F2CEEF"/>
            <w:noWrap/>
            <w:vAlign w:val="center"/>
            <w:hideMark/>
          </w:tcPr>
          <w:p w14:paraId="27B639E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135.5</w:t>
            </w:r>
          </w:p>
        </w:tc>
        <w:tc>
          <w:tcPr>
            <w:tcW w:w="1276" w:type="dxa"/>
            <w:tcBorders>
              <w:top w:val="nil"/>
              <w:left w:val="nil"/>
              <w:bottom w:val="nil"/>
              <w:right w:val="nil"/>
            </w:tcBorders>
            <w:shd w:val="clear" w:color="000000" w:fill="F2CEEF"/>
            <w:noWrap/>
            <w:vAlign w:val="center"/>
            <w:hideMark/>
          </w:tcPr>
          <w:p w14:paraId="14D73CB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229%</w:t>
            </w:r>
          </w:p>
        </w:tc>
        <w:tc>
          <w:tcPr>
            <w:tcW w:w="1136" w:type="dxa"/>
            <w:tcBorders>
              <w:top w:val="nil"/>
              <w:left w:val="nil"/>
              <w:bottom w:val="nil"/>
              <w:right w:val="nil"/>
            </w:tcBorders>
            <w:shd w:val="clear" w:color="000000" w:fill="F2CEEF"/>
            <w:noWrap/>
            <w:vAlign w:val="center"/>
            <w:hideMark/>
          </w:tcPr>
          <w:p w14:paraId="203FFE8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135.5</w:t>
            </w:r>
          </w:p>
        </w:tc>
        <w:tc>
          <w:tcPr>
            <w:tcW w:w="1057" w:type="dxa"/>
            <w:tcBorders>
              <w:top w:val="nil"/>
              <w:left w:val="nil"/>
              <w:bottom w:val="nil"/>
              <w:right w:val="nil"/>
            </w:tcBorders>
            <w:shd w:val="clear" w:color="000000" w:fill="F2CEEF"/>
            <w:noWrap/>
            <w:vAlign w:val="center"/>
            <w:hideMark/>
          </w:tcPr>
          <w:p w14:paraId="5213A18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37B5AC3B" w14:textId="77777777" w:rsidTr="00DE241B">
        <w:trPr>
          <w:trHeight w:val="300"/>
        </w:trPr>
        <w:tc>
          <w:tcPr>
            <w:tcW w:w="1563" w:type="dxa"/>
            <w:tcBorders>
              <w:top w:val="nil"/>
              <w:left w:val="nil"/>
              <w:bottom w:val="nil"/>
              <w:right w:val="nil"/>
            </w:tcBorders>
            <w:shd w:val="clear" w:color="000000" w:fill="FFFFFF"/>
            <w:noWrap/>
            <w:vAlign w:val="center"/>
            <w:hideMark/>
          </w:tcPr>
          <w:p w14:paraId="530B6CD1"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2019</w:t>
            </w:r>
          </w:p>
        </w:tc>
        <w:tc>
          <w:tcPr>
            <w:tcW w:w="1325" w:type="dxa"/>
            <w:tcBorders>
              <w:top w:val="nil"/>
              <w:left w:val="nil"/>
              <w:bottom w:val="nil"/>
              <w:right w:val="nil"/>
            </w:tcBorders>
            <w:shd w:val="clear" w:color="000000" w:fill="FFFFFF"/>
            <w:noWrap/>
            <w:vAlign w:val="center"/>
            <w:hideMark/>
          </w:tcPr>
          <w:p w14:paraId="785A7C5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29</w:t>
            </w:r>
          </w:p>
        </w:tc>
        <w:tc>
          <w:tcPr>
            <w:tcW w:w="1223" w:type="dxa"/>
            <w:tcBorders>
              <w:top w:val="nil"/>
              <w:left w:val="nil"/>
              <w:bottom w:val="nil"/>
              <w:right w:val="nil"/>
            </w:tcBorders>
            <w:shd w:val="clear" w:color="000000" w:fill="FFFFFF"/>
            <w:noWrap/>
            <w:vAlign w:val="center"/>
            <w:hideMark/>
          </w:tcPr>
          <w:p w14:paraId="4262184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137.4</w:t>
            </w:r>
          </w:p>
        </w:tc>
        <w:tc>
          <w:tcPr>
            <w:tcW w:w="1276" w:type="dxa"/>
            <w:tcBorders>
              <w:top w:val="nil"/>
              <w:left w:val="nil"/>
              <w:bottom w:val="nil"/>
              <w:right w:val="nil"/>
            </w:tcBorders>
            <w:shd w:val="clear" w:color="000000" w:fill="FFFFFF"/>
            <w:noWrap/>
            <w:vAlign w:val="center"/>
            <w:hideMark/>
          </w:tcPr>
          <w:p w14:paraId="484B79C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27.9</w:t>
            </w:r>
          </w:p>
        </w:tc>
        <w:tc>
          <w:tcPr>
            <w:tcW w:w="1276" w:type="dxa"/>
            <w:tcBorders>
              <w:top w:val="nil"/>
              <w:left w:val="nil"/>
              <w:bottom w:val="nil"/>
              <w:right w:val="nil"/>
            </w:tcBorders>
            <w:shd w:val="clear" w:color="000000" w:fill="FFFFFF"/>
            <w:noWrap/>
            <w:vAlign w:val="center"/>
            <w:hideMark/>
          </w:tcPr>
          <w:p w14:paraId="128B6A1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w:t>
            </w:r>
          </w:p>
        </w:tc>
        <w:tc>
          <w:tcPr>
            <w:tcW w:w="1136" w:type="dxa"/>
            <w:tcBorders>
              <w:top w:val="nil"/>
              <w:left w:val="nil"/>
              <w:bottom w:val="nil"/>
              <w:right w:val="nil"/>
            </w:tcBorders>
            <w:shd w:val="clear" w:color="000000" w:fill="FFFFFF"/>
            <w:noWrap/>
            <w:vAlign w:val="center"/>
            <w:hideMark/>
          </w:tcPr>
          <w:p w14:paraId="0970A61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27.9</w:t>
            </w:r>
          </w:p>
        </w:tc>
        <w:tc>
          <w:tcPr>
            <w:tcW w:w="1057" w:type="dxa"/>
            <w:tcBorders>
              <w:top w:val="nil"/>
              <w:left w:val="nil"/>
              <w:bottom w:val="nil"/>
              <w:right w:val="nil"/>
            </w:tcBorders>
            <w:shd w:val="clear" w:color="000000" w:fill="FFFFFF"/>
            <w:noWrap/>
            <w:vAlign w:val="center"/>
            <w:hideMark/>
          </w:tcPr>
          <w:p w14:paraId="41A024E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460C4B13" w14:textId="77777777" w:rsidTr="00DE241B">
        <w:trPr>
          <w:trHeight w:val="300"/>
        </w:trPr>
        <w:tc>
          <w:tcPr>
            <w:tcW w:w="1563" w:type="dxa"/>
            <w:tcBorders>
              <w:top w:val="nil"/>
              <w:left w:val="nil"/>
              <w:bottom w:val="nil"/>
              <w:right w:val="nil"/>
            </w:tcBorders>
            <w:shd w:val="clear" w:color="000000" w:fill="F2CEEF"/>
            <w:noWrap/>
            <w:vAlign w:val="center"/>
            <w:hideMark/>
          </w:tcPr>
          <w:p w14:paraId="4F9D313E"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2020</w:t>
            </w:r>
          </w:p>
        </w:tc>
        <w:tc>
          <w:tcPr>
            <w:tcW w:w="1325" w:type="dxa"/>
            <w:tcBorders>
              <w:top w:val="nil"/>
              <w:left w:val="nil"/>
              <w:bottom w:val="nil"/>
              <w:right w:val="nil"/>
            </w:tcBorders>
            <w:shd w:val="clear" w:color="000000" w:fill="F2CEEF"/>
            <w:noWrap/>
            <w:vAlign w:val="center"/>
            <w:hideMark/>
          </w:tcPr>
          <w:p w14:paraId="5C77013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19</w:t>
            </w:r>
          </w:p>
        </w:tc>
        <w:tc>
          <w:tcPr>
            <w:tcW w:w="1223" w:type="dxa"/>
            <w:tcBorders>
              <w:top w:val="nil"/>
              <w:left w:val="nil"/>
              <w:bottom w:val="nil"/>
              <w:right w:val="nil"/>
            </w:tcBorders>
            <w:shd w:val="clear" w:color="000000" w:fill="F2CEEF"/>
            <w:noWrap/>
            <w:vAlign w:val="center"/>
            <w:hideMark/>
          </w:tcPr>
          <w:p w14:paraId="5C77B30A"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37.8</w:t>
            </w:r>
          </w:p>
        </w:tc>
        <w:tc>
          <w:tcPr>
            <w:tcW w:w="1276" w:type="dxa"/>
            <w:tcBorders>
              <w:top w:val="nil"/>
              <w:left w:val="nil"/>
              <w:bottom w:val="nil"/>
              <w:right w:val="nil"/>
            </w:tcBorders>
            <w:shd w:val="clear" w:color="000000" w:fill="F2CEEF"/>
            <w:noWrap/>
            <w:vAlign w:val="center"/>
            <w:hideMark/>
          </w:tcPr>
          <w:p w14:paraId="771C68B6"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32.1</w:t>
            </w:r>
          </w:p>
        </w:tc>
        <w:tc>
          <w:tcPr>
            <w:tcW w:w="1276" w:type="dxa"/>
            <w:tcBorders>
              <w:top w:val="nil"/>
              <w:left w:val="nil"/>
              <w:bottom w:val="nil"/>
              <w:right w:val="nil"/>
            </w:tcBorders>
            <w:shd w:val="clear" w:color="000000" w:fill="F2CEEF"/>
            <w:noWrap/>
            <w:vAlign w:val="center"/>
            <w:hideMark/>
          </w:tcPr>
          <w:p w14:paraId="17EA056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85%</w:t>
            </w:r>
          </w:p>
        </w:tc>
        <w:tc>
          <w:tcPr>
            <w:tcW w:w="1136" w:type="dxa"/>
            <w:tcBorders>
              <w:top w:val="nil"/>
              <w:left w:val="nil"/>
              <w:bottom w:val="nil"/>
              <w:right w:val="nil"/>
            </w:tcBorders>
            <w:shd w:val="clear" w:color="000000" w:fill="F2CEEF"/>
            <w:noWrap/>
            <w:vAlign w:val="center"/>
            <w:hideMark/>
          </w:tcPr>
          <w:p w14:paraId="07DE20D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32.0</w:t>
            </w:r>
          </w:p>
        </w:tc>
        <w:tc>
          <w:tcPr>
            <w:tcW w:w="1057" w:type="dxa"/>
            <w:tcBorders>
              <w:top w:val="nil"/>
              <w:left w:val="nil"/>
              <w:bottom w:val="nil"/>
              <w:right w:val="nil"/>
            </w:tcBorders>
            <w:shd w:val="clear" w:color="000000" w:fill="F2CEEF"/>
            <w:noWrap/>
            <w:vAlign w:val="center"/>
            <w:hideMark/>
          </w:tcPr>
          <w:p w14:paraId="6F9F1C4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61D56542" w14:textId="77777777" w:rsidTr="00DE241B">
        <w:trPr>
          <w:trHeight w:val="300"/>
        </w:trPr>
        <w:tc>
          <w:tcPr>
            <w:tcW w:w="1563" w:type="dxa"/>
            <w:tcBorders>
              <w:top w:val="nil"/>
              <w:left w:val="nil"/>
              <w:bottom w:val="nil"/>
              <w:right w:val="nil"/>
            </w:tcBorders>
            <w:shd w:val="clear" w:color="000000" w:fill="FFFFFF"/>
            <w:noWrap/>
            <w:vAlign w:val="center"/>
            <w:hideMark/>
          </w:tcPr>
          <w:p w14:paraId="60A8E0CE"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2021</w:t>
            </w:r>
          </w:p>
        </w:tc>
        <w:tc>
          <w:tcPr>
            <w:tcW w:w="1325" w:type="dxa"/>
            <w:tcBorders>
              <w:top w:val="nil"/>
              <w:left w:val="nil"/>
              <w:bottom w:val="nil"/>
              <w:right w:val="nil"/>
            </w:tcBorders>
            <w:shd w:val="clear" w:color="000000" w:fill="FFFFFF"/>
            <w:noWrap/>
            <w:vAlign w:val="center"/>
            <w:hideMark/>
          </w:tcPr>
          <w:p w14:paraId="49C534E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w:t>
            </w:r>
          </w:p>
        </w:tc>
        <w:tc>
          <w:tcPr>
            <w:tcW w:w="1223" w:type="dxa"/>
            <w:tcBorders>
              <w:top w:val="nil"/>
              <w:left w:val="nil"/>
              <w:bottom w:val="nil"/>
              <w:right w:val="nil"/>
            </w:tcBorders>
            <w:shd w:val="clear" w:color="000000" w:fill="FFFFFF"/>
            <w:noWrap/>
            <w:vAlign w:val="center"/>
            <w:hideMark/>
          </w:tcPr>
          <w:p w14:paraId="2D8C25C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21.8</w:t>
            </w:r>
          </w:p>
        </w:tc>
        <w:tc>
          <w:tcPr>
            <w:tcW w:w="1276" w:type="dxa"/>
            <w:tcBorders>
              <w:top w:val="nil"/>
              <w:left w:val="nil"/>
              <w:bottom w:val="nil"/>
              <w:right w:val="nil"/>
            </w:tcBorders>
            <w:shd w:val="clear" w:color="000000" w:fill="FFFFFF"/>
            <w:noWrap/>
            <w:vAlign w:val="center"/>
            <w:hideMark/>
          </w:tcPr>
          <w:p w14:paraId="7491967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10.4</w:t>
            </w:r>
          </w:p>
        </w:tc>
        <w:tc>
          <w:tcPr>
            <w:tcW w:w="1276" w:type="dxa"/>
            <w:tcBorders>
              <w:top w:val="nil"/>
              <w:left w:val="nil"/>
              <w:bottom w:val="nil"/>
              <w:right w:val="nil"/>
            </w:tcBorders>
            <w:shd w:val="clear" w:color="000000" w:fill="FFFFFF"/>
            <w:noWrap/>
            <w:vAlign w:val="center"/>
            <w:hideMark/>
          </w:tcPr>
          <w:p w14:paraId="1046FB6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48%</w:t>
            </w:r>
          </w:p>
        </w:tc>
        <w:tc>
          <w:tcPr>
            <w:tcW w:w="1136" w:type="dxa"/>
            <w:tcBorders>
              <w:top w:val="nil"/>
              <w:left w:val="nil"/>
              <w:bottom w:val="nil"/>
              <w:right w:val="nil"/>
            </w:tcBorders>
            <w:shd w:val="clear" w:color="000000" w:fill="FFFFFF"/>
            <w:noWrap/>
            <w:vAlign w:val="center"/>
            <w:hideMark/>
          </w:tcPr>
          <w:p w14:paraId="0E283920"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10.4</w:t>
            </w:r>
          </w:p>
        </w:tc>
        <w:tc>
          <w:tcPr>
            <w:tcW w:w="1057" w:type="dxa"/>
            <w:tcBorders>
              <w:top w:val="nil"/>
              <w:left w:val="nil"/>
              <w:bottom w:val="nil"/>
              <w:right w:val="nil"/>
            </w:tcBorders>
            <w:shd w:val="clear" w:color="000000" w:fill="FFFFFF"/>
            <w:noWrap/>
            <w:vAlign w:val="center"/>
            <w:hideMark/>
          </w:tcPr>
          <w:p w14:paraId="382440C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99%</w:t>
            </w:r>
          </w:p>
        </w:tc>
      </w:tr>
      <w:tr w:rsidR="00AC3674" w:rsidRPr="00F35EDF" w14:paraId="5D7331B7" w14:textId="77777777" w:rsidTr="00DE241B">
        <w:trPr>
          <w:trHeight w:val="300"/>
        </w:trPr>
        <w:tc>
          <w:tcPr>
            <w:tcW w:w="1563" w:type="dxa"/>
            <w:tcBorders>
              <w:top w:val="nil"/>
              <w:left w:val="nil"/>
              <w:bottom w:val="nil"/>
              <w:right w:val="nil"/>
            </w:tcBorders>
            <w:shd w:val="clear" w:color="000000" w:fill="F2CEEF"/>
            <w:noWrap/>
            <w:vAlign w:val="center"/>
            <w:hideMark/>
          </w:tcPr>
          <w:p w14:paraId="529A8ECF"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2022</w:t>
            </w:r>
          </w:p>
        </w:tc>
        <w:tc>
          <w:tcPr>
            <w:tcW w:w="1325" w:type="dxa"/>
            <w:tcBorders>
              <w:top w:val="nil"/>
              <w:left w:val="nil"/>
              <w:bottom w:val="nil"/>
              <w:right w:val="nil"/>
            </w:tcBorders>
            <w:shd w:val="clear" w:color="000000" w:fill="F2CEEF"/>
            <w:noWrap/>
            <w:vAlign w:val="center"/>
            <w:hideMark/>
          </w:tcPr>
          <w:p w14:paraId="0E65826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27</w:t>
            </w:r>
          </w:p>
        </w:tc>
        <w:tc>
          <w:tcPr>
            <w:tcW w:w="1223" w:type="dxa"/>
            <w:tcBorders>
              <w:top w:val="nil"/>
              <w:left w:val="nil"/>
              <w:bottom w:val="nil"/>
              <w:right w:val="nil"/>
            </w:tcBorders>
            <w:shd w:val="clear" w:color="000000" w:fill="F2CEEF"/>
            <w:noWrap/>
            <w:vAlign w:val="center"/>
            <w:hideMark/>
          </w:tcPr>
          <w:p w14:paraId="67477B48"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67.1</w:t>
            </w:r>
          </w:p>
        </w:tc>
        <w:tc>
          <w:tcPr>
            <w:tcW w:w="1276" w:type="dxa"/>
            <w:tcBorders>
              <w:top w:val="nil"/>
              <w:left w:val="nil"/>
              <w:bottom w:val="nil"/>
              <w:right w:val="nil"/>
            </w:tcBorders>
            <w:shd w:val="clear" w:color="000000" w:fill="F2CEEF"/>
            <w:noWrap/>
            <w:vAlign w:val="center"/>
            <w:hideMark/>
          </w:tcPr>
          <w:p w14:paraId="3C51744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40.6</w:t>
            </w:r>
          </w:p>
        </w:tc>
        <w:tc>
          <w:tcPr>
            <w:tcW w:w="1276" w:type="dxa"/>
            <w:tcBorders>
              <w:top w:val="nil"/>
              <w:left w:val="nil"/>
              <w:bottom w:val="nil"/>
              <w:right w:val="nil"/>
            </w:tcBorders>
            <w:shd w:val="clear" w:color="000000" w:fill="F2CEEF"/>
            <w:noWrap/>
            <w:vAlign w:val="center"/>
            <w:hideMark/>
          </w:tcPr>
          <w:p w14:paraId="1BE618E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60%</w:t>
            </w:r>
          </w:p>
        </w:tc>
        <w:tc>
          <w:tcPr>
            <w:tcW w:w="1136" w:type="dxa"/>
            <w:tcBorders>
              <w:top w:val="nil"/>
              <w:left w:val="nil"/>
              <w:bottom w:val="nil"/>
              <w:right w:val="nil"/>
            </w:tcBorders>
            <w:shd w:val="clear" w:color="000000" w:fill="F2CEEF"/>
            <w:noWrap/>
            <w:vAlign w:val="center"/>
            <w:hideMark/>
          </w:tcPr>
          <w:p w14:paraId="6555A18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35.5</w:t>
            </w:r>
          </w:p>
        </w:tc>
        <w:tc>
          <w:tcPr>
            <w:tcW w:w="1057" w:type="dxa"/>
            <w:tcBorders>
              <w:top w:val="nil"/>
              <w:left w:val="nil"/>
              <w:bottom w:val="nil"/>
              <w:right w:val="nil"/>
            </w:tcBorders>
            <w:shd w:val="clear" w:color="000000" w:fill="F2CEEF"/>
            <w:noWrap/>
            <w:vAlign w:val="center"/>
            <w:hideMark/>
          </w:tcPr>
          <w:p w14:paraId="21232C9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88%</w:t>
            </w:r>
          </w:p>
        </w:tc>
      </w:tr>
      <w:tr w:rsidR="00AC3674" w:rsidRPr="00F35EDF" w14:paraId="1462DBD9" w14:textId="77777777" w:rsidTr="00DE241B">
        <w:trPr>
          <w:trHeight w:val="300"/>
        </w:trPr>
        <w:tc>
          <w:tcPr>
            <w:tcW w:w="1563" w:type="dxa"/>
            <w:tcBorders>
              <w:top w:val="nil"/>
              <w:left w:val="nil"/>
              <w:bottom w:val="nil"/>
              <w:right w:val="nil"/>
            </w:tcBorders>
            <w:shd w:val="clear" w:color="000000" w:fill="FFFFFF"/>
            <w:noWrap/>
            <w:vAlign w:val="center"/>
            <w:hideMark/>
          </w:tcPr>
          <w:p w14:paraId="2747198A"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2023</w:t>
            </w:r>
          </w:p>
        </w:tc>
        <w:tc>
          <w:tcPr>
            <w:tcW w:w="1325" w:type="dxa"/>
            <w:tcBorders>
              <w:top w:val="nil"/>
              <w:left w:val="nil"/>
              <w:bottom w:val="nil"/>
              <w:right w:val="nil"/>
            </w:tcBorders>
            <w:shd w:val="clear" w:color="000000" w:fill="FFFFFF"/>
            <w:noWrap/>
            <w:vAlign w:val="center"/>
            <w:hideMark/>
          </w:tcPr>
          <w:p w14:paraId="6DAB97B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22</w:t>
            </w:r>
          </w:p>
        </w:tc>
        <w:tc>
          <w:tcPr>
            <w:tcW w:w="1223" w:type="dxa"/>
            <w:tcBorders>
              <w:top w:val="nil"/>
              <w:left w:val="nil"/>
              <w:bottom w:val="nil"/>
              <w:right w:val="nil"/>
            </w:tcBorders>
            <w:shd w:val="clear" w:color="000000" w:fill="FFFFFF"/>
            <w:noWrap/>
            <w:vAlign w:val="center"/>
            <w:hideMark/>
          </w:tcPr>
          <w:p w14:paraId="6AE8972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20.6</w:t>
            </w:r>
          </w:p>
        </w:tc>
        <w:tc>
          <w:tcPr>
            <w:tcW w:w="1276" w:type="dxa"/>
            <w:tcBorders>
              <w:top w:val="nil"/>
              <w:left w:val="nil"/>
              <w:bottom w:val="nil"/>
              <w:right w:val="nil"/>
            </w:tcBorders>
            <w:shd w:val="clear" w:color="000000" w:fill="FFFFFF"/>
            <w:noWrap/>
            <w:vAlign w:val="center"/>
            <w:hideMark/>
          </w:tcPr>
          <w:p w14:paraId="77FCAD07"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13.7</w:t>
            </w:r>
          </w:p>
        </w:tc>
        <w:tc>
          <w:tcPr>
            <w:tcW w:w="1276" w:type="dxa"/>
            <w:tcBorders>
              <w:top w:val="nil"/>
              <w:left w:val="nil"/>
              <w:bottom w:val="nil"/>
              <w:right w:val="nil"/>
            </w:tcBorders>
            <w:shd w:val="clear" w:color="000000" w:fill="FFFFFF"/>
            <w:noWrap/>
            <w:vAlign w:val="center"/>
            <w:hideMark/>
          </w:tcPr>
          <w:p w14:paraId="3386E65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67%</w:t>
            </w:r>
          </w:p>
        </w:tc>
        <w:tc>
          <w:tcPr>
            <w:tcW w:w="1136" w:type="dxa"/>
            <w:tcBorders>
              <w:top w:val="nil"/>
              <w:left w:val="nil"/>
              <w:bottom w:val="nil"/>
              <w:right w:val="nil"/>
            </w:tcBorders>
            <w:shd w:val="clear" w:color="000000" w:fill="FFFFFF"/>
            <w:noWrap/>
            <w:vAlign w:val="center"/>
            <w:hideMark/>
          </w:tcPr>
          <w:p w14:paraId="593FA119"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13.2</w:t>
            </w:r>
          </w:p>
        </w:tc>
        <w:tc>
          <w:tcPr>
            <w:tcW w:w="1057" w:type="dxa"/>
            <w:tcBorders>
              <w:top w:val="nil"/>
              <w:left w:val="nil"/>
              <w:bottom w:val="nil"/>
              <w:right w:val="nil"/>
            </w:tcBorders>
            <w:shd w:val="clear" w:color="000000" w:fill="FFFFFF"/>
            <w:noWrap/>
            <w:vAlign w:val="center"/>
            <w:hideMark/>
          </w:tcPr>
          <w:p w14:paraId="791421D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96%</w:t>
            </w:r>
          </w:p>
        </w:tc>
      </w:tr>
      <w:tr w:rsidR="00AC3674" w:rsidRPr="00F35EDF" w14:paraId="42B3EE20" w14:textId="77777777" w:rsidTr="00DE241B">
        <w:trPr>
          <w:trHeight w:val="300"/>
        </w:trPr>
        <w:tc>
          <w:tcPr>
            <w:tcW w:w="1563" w:type="dxa"/>
            <w:tcBorders>
              <w:top w:val="nil"/>
              <w:left w:val="nil"/>
              <w:bottom w:val="nil"/>
              <w:right w:val="nil"/>
            </w:tcBorders>
            <w:shd w:val="clear" w:color="000000" w:fill="F2CEEF"/>
            <w:noWrap/>
            <w:vAlign w:val="center"/>
            <w:hideMark/>
          </w:tcPr>
          <w:p w14:paraId="2F98C3DD"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2024</w:t>
            </w:r>
          </w:p>
        </w:tc>
        <w:tc>
          <w:tcPr>
            <w:tcW w:w="1325" w:type="dxa"/>
            <w:tcBorders>
              <w:top w:val="nil"/>
              <w:left w:val="nil"/>
              <w:bottom w:val="nil"/>
              <w:right w:val="nil"/>
            </w:tcBorders>
            <w:shd w:val="clear" w:color="000000" w:fill="F2CEEF"/>
            <w:noWrap/>
            <w:vAlign w:val="center"/>
            <w:hideMark/>
          </w:tcPr>
          <w:p w14:paraId="129EB953"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w:t>
            </w:r>
          </w:p>
        </w:tc>
        <w:tc>
          <w:tcPr>
            <w:tcW w:w="1223" w:type="dxa"/>
            <w:tcBorders>
              <w:top w:val="nil"/>
              <w:left w:val="nil"/>
              <w:bottom w:val="nil"/>
              <w:right w:val="nil"/>
            </w:tcBorders>
            <w:shd w:val="clear" w:color="000000" w:fill="F2CEEF"/>
            <w:noWrap/>
            <w:vAlign w:val="center"/>
            <w:hideMark/>
          </w:tcPr>
          <w:p w14:paraId="6E3855EE"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23.6</w:t>
            </w:r>
          </w:p>
        </w:tc>
        <w:tc>
          <w:tcPr>
            <w:tcW w:w="1276" w:type="dxa"/>
            <w:tcBorders>
              <w:top w:val="nil"/>
              <w:left w:val="nil"/>
              <w:bottom w:val="nil"/>
              <w:right w:val="nil"/>
            </w:tcBorders>
            <w:shd w:val="clear" w:color="000000" w:fill="F2CEEF"/>
            <w:noWrap/>
            <w:vAlign w:val="center"/>
            <w:hideMark/>
          </w:tcPr>
          <w:p w14:paraId="02456ED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22.7</w:t>
            </w:r>
          </w:p>
        </w:tc>
        <w:tc>
          <w:tcPr>
            <w:tcW w:w="1276" w:type="dxa"/>
            <w:tcBorders>
              <w:top w:val="nil"/>
              <w:left w:val="nil"/>
              <w:bottom w:val="nil"/>
              <w:right w:val="nil"/>
            </w:tcBorders>
            <w:shd w:val="clear" w:color="000000" w:fill="F2CEEF"/>
            <w:noWrap/>
            <w:vAlign w:val="center"/>
            <w:hideMark/>
          </w:tcPr>
          <w:p w14:paraId="3CB91C5F"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97%</w:t>
            </w:r>
          </w:p>
        </w:tc>
        <w:tc>
          <w:tcPr>
            <w:tcW w:w="1136" w:type="dxa"/>
            <w:tcBorders>
              <w:top w:val="nil"/>
              <w:left w:val="nil"/>
              <w:bottom w:val="nil"/>
              <w:right w:val="nil"/>
            </w:tcBorders>
            <w:shd w:val="clear" w:color="000000" w:fill="F2CEEF"/>
            <w:noWrap/>
            <w:vAlign w:val="center"/>
            <w:hideMark/>
          </w:tcPr>
          <w:p w14:paraId="2482373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22.7</w:t>
            </w:r>
          </w:p>
        </w:tc>
        <w:tc>
          <w:tcPr>
            <w:tcW w:w="1057" w:type="dxa"/>
            <w:tcBorders>
              <w:top w:val="nil"/>
              <w:left w:val="nil"/>
              <w:bottom w:val="nil"/>
              <w:right w:val="nil"/>
            </w:tcBorders>
            <w:shd w:val="clear" w:color="000000" w:fill="F2CEEF"/>
            <w:noWrap/>
            <w:vAlign w:val="center"/>
            <w:hideMark/>
          </w:tcPr>
          <w:p w14:paraId="328C12A4"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42BC2B91" w14:textId="77777777" w:rsidTr="00DE241B">
        <w:trPr>
          <w:trHeight w:val="315"/>
        </w:trPr>
        <w:tc>
          <w:tcPr>
            <w:tcW w:w="1563" w:type="dxa"/>
            <w:tcBorders>
              <w:top w:val="nil"/>
              <w:left w:val="nil"/>
              <w:bottom w:val="nil"/>
              <w:right w:val="nil"/>
            </w:tcBorders>
            <w:shd w:val="clear" w:color="000000" w:fill="FFFFFF"/>
            <w:noWrap/>
            <w:vAlign w:val="center"/>
            <w:hideMark/>
          </w:tcPr>
          <w:p w14:paraId="0BC32595" w14:textId="77777777" w:rsidR="00F35EDF" w:rsidRPr="00F35EDF" w:rsidRDefault="00F35EDF" w:rsidP="00F35EDF">
            <w:pPr>
              <w:spacing w:after="0" w:line="240" w:lineRule="auto"/>
              <w:ind w:firstLineChars="100" w:firstLine="220"/>
              <w:jc w:val="left"/>
              <w:rPr>
                <w:rFonts w:ascii="Aptos Narrow" w:hAnsi="Aptos Narrow"/>
                <w:noProof/>
                <w:color w:val="000000"/>
                <w:szCs w:val="22"/>
                <w:lang w:val="en-IE" w:eastAsia="en-IE"/>
              </w:rPr>
            </w:pPr>
            <w:r w:rsidRPr="00F35EDF">
              <w:rPr>
                <w:rFonts w:ascii="Aptos Narrow" w:hAnsi="Aptos Narrow"/>
                <w:noProof/>
                <w:color w:val="000000"/>
                <w:szCs w:val="22"/>
                <w:lang w:val="en-IE" w:eastAsia="en-IE"/>
              </w:rPr>
              <w:t>2025</w:t>
            </w:r>
          </w:p>
        </w:tc>
        <w:tc>
          <w:tcPr>
            <w:tcW w:w="1325" w:type="dxa"/>
            <w:tcBorders>
              <w:top w:val="nil"/>
              <w:left w:val="nil"/>
              <w:bottom w:val="nil"/>
              <w:right w:val="nil"/>
            </w:tcBorders>
            <w:shd w:val="clear" w:color="000000" w:fill="FFFFFF"/>
            <w:noWrap/>
            <w:vAlign w:val="center"/>
            <w:hideMark/>
          </w:tcPr>
          <w:p w14:paraId="58858471"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w:t>
            </w:r>
          </w:p>
        </w:tc>
        <w:tc>
          <w:tcPr>
            <w:tcW w:w="1223" w:type="dxa"/>
            <w:tcBorders>
              <w:top w:val="nil"/>
              <w:left w:val="nil"/>
              <w:bottom w:val="nil"/>
              <w:right w:val="nil"/>
            </w:tcBorders>
            <w:shd w:val="clear" w:color="000000" w:fill="FFFFFF"/>
            <w:noWrap/>
            <w:vAlign w:val="center"/>
            <w:hideMark/>
          </w:tcPr>
          <w:p w14:paraId="1536CF8D"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w:t>
            </w:r>
          </w:p>
        </w:tc>
        <w:tc>
          <w:tcPr>
            <w:tcW w:w="1276" w:type="dxa"/>
            <w:tcBorders>
              <w:top w:val="nil"/>
              <w:left w:val="nil"/>
              <w:bottom w:val="nil"/>
              <w:right w:val="nil"/>
            </w:tcBorders>
            <w:shd w:val="clear" w:color="000000" w:fill="FFFFFF"/>
            <w:noWrap/>
            <w:vAlign w:val="center"/>
            <w:hideMark/>
          </w:tcPr>
          <w:p w14:paraId="72C5084C"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w:t>
            </w:r>
          </w:p>
        </w:tc>
        <w:tc>
          <w:tcPr>
            <w:tcW w:w="1276" w:type="dxa"/>
            <w:tcBorders>
              <w:top w:val="nil"/>
              <w:left w:val="nil"/>
              <w:bottom w:val="nil"/>
              <w:right w:val="nil"/>
            </w:tcBorders>
            <w:shd w:val="clear" w:color="000000" w:fill="FFFFFF"/>
            <w:noWrap/>
            <w:vAlign w:val="center"/>
            <w:hideMark/>
          </w:tcPr>
          <w:p w14:paraId="0BDC2EAB"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c>
          <w:tcPr>
            <w:tcW w:w="1136" w:type="dxa"/>
            <w:tcBorders>
              <w:top w:val="nil"/>
              <w:left w:val="nil"/>
              <w:bottom w:val="nil"/>
              <w:right w:val="nil"/>
            </w:tcBorders>
            <w:shd w:val="clear" w:color="000000" w:fill="FFFFFF"/>
            <w:noWrap/>
            <w:vAlign w:val="center"/>
            <w:hideMark/>
          </w:tcPr>
          <w:p w14:paraId="18F70EB2"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w:t>
            </w:r>
          </w:p>
        </w:tc>
        <w:tc>
          <w:tcPr>
            <w:tcW w:w="1057" w:type="dxa"/>
            <w:tcBorders>
              <w:top w:val="nil"/>
              <w:left w:val="nil"/>
              <w:bottom w:val="nil"/>
              <w:right w:val="nil"/>
            </w:tcBorders>
            <w:shd w:val="clear" w:color="000000" w:fill="FFFFFF"/>
            <w:noWrap/>
            <w:vAlign w:val="center"/>
            <w:hideMark/>
          </w:tcPr>
          <w:p w14:paraId="58FB7B75" w14:textId="77777777" w:rsidR="00F35EDF" w:rsidRPr="00F35EDF" w:rsidRDefault="00F35EDF" w:rsidP="00F35EDF">
            <w:pPr>
              <w:spacing w:after="0" w:line="240" w:lineRule="auto"/>
              <w:jc w:val="right"/>
              <w:rPr>
                <w:rFonts w:ascii="Aptos Narrow" w:hAnsi="Aptos Narrow"/>
                <w:noProof/>
                <w:color w:val="000000"/>
                <w:szCs w:val="22"/>
                <w:lang w:val="en-IE" w:eastAsia="en-IE"/>
              </w:rPr>
            </w:pPr>
            <w:r w:rsidRPr="00F35EDF">
              <w:rPr>
                <w:rFonts w:ascii="Aptos Narrow" w:hAnsi="Aptos Narrow"/>
                <w:noProof/>
                <w:color w:val="000000"/>
                <w:szCs w:val="22"/>
                <w:lang w:val="en-IE" w:eastAsia="en-IE"/>
              </w:rPr>
              <w:t>100%</w:t>
            </w:r>
          </w:p>
        </w:tc>
      </w:tr>
      <w:tr w:rsidR="00AC3674" w:rsidRPr="00F35EDF" w14:paraId="01091355" w14:textId="77777777" w:rsidTr="00DE241B">
        <w:trPr>
          <w:trHeight w:val="735"/>
        </w:trPr>
        <w:tc>
          <w:tcPr>
            <w:tcW w:w="1563" w:type="dxa"/>
            <w:tcBorders>
              <w:top w:val="single" w:sz="8" w:space="0" w:color="44B3E1"/>
              <w:left w:val="nil"/>
              <w:bottom w:val="nil"/>
              <w:right w:val="nil"/>
            </w:tcBorders>
            <w:shd w:val="clear" w:color="000000" w:fill="782170"/>
            <w:vAlign w:val="center"/>
            <w:hideMark/>
          </w:tcPr>
          <w:p w14:paraId="47E04160" w14:textId="77777777" w:rsidR="00F35EDF" w:rsidRPr="00F35EDF" w:rsidRDefault="00F35EDF" w:rsidP="00F35EDF">
            <w:pPr>
              <w:spacing w:after="0" w:line="240" w:lineRule="auto"/>
              <w:jc w:val="left"/>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TOTAL (REVENUE + EXPENDITURE)</w:t>
            </w:r>
          </w:p>
        </w:tc>
        <w:tc>
          <w:tcPr>
            <w:tcW w:w="1325" w:type="dxa"/>
            <w:tcBorders>
              <w:top w:val="single" w:sz="8" w:space="0" w:color="44B3E1"/>
              <w:left w:val="nil"/>
              <w:bottom w:val="nil"/>
              <w:right w:val="nil"/>
            </w:tcBorders>
            <w:shd w:val="clear" w:color="000000" w:fill="782170"/>
            <w:noWrap/>
            <w:vAlign w:val="center"/>
            <w:hideMark/>
          </w:tcPr>
          <w:p w14:paraId="0138E8B4" w14:textId="77777777" w:rsidR="00F35EDF" w:rsidRPr="00F35EDF" w:rsidRDefault="00F35EDF" w:rsidP="00F35EDF">
            <w:pPr>
              <w:spacing w:after="0" w:line="240" w:lineRule="auto"/>
              <w:jc w:val="right"/>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1169</w:t>
            </w:r>
          </w:p>
        </w:tc>
        <w:tc>
          <w:tcPr>
            <w:tcW w:w="1223" w:type="dxa"/>
            <w:tcBorders>
              <w:top w:val="single" w:sz="8" w:space="0" w:color="44B3E1"/>
              <w:left w:val="nil"/>
              <w:bottom w:val="nil"/>
              <w:right w:val="nil"/>
            </w:tcBorders>
            <w:shd w:val="clear" w:color="000000" w:fill="782170"/>
            <w:noWrap/>
            <w:vAlign w:val="center"/>
            <w:hideMark/>
          </w:tcPr>
          <w:p w14:paraId="7F43F949" w14:textId="77777777" w:rsidR="00F35EDF" w:rsidRPr="00F35EDF" w:rsidRDefault="00F35EDF" w:rsidP="00F35EDF">
            <w:pPr>
              <w:spacing w:after="0" w:line="240" w:lineRule="auto"/>
              <w:jc w:val="right"/>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5 308.2</w:t>
            </w:r>
          </w:p>
        </w:tc>
        <w:tc>
          <w:tcPr>
            <w:tcW w:w="1276" w:type="dxa"/>
            <w:tcBorders>
              <w:top w:val="single" w:sz="8" w:space="0" w:color="44B3E1"/>
              <w:left w:val="nil"/>
              <w:bottom w:val="nil"/>
              <w:right w:val="nil"/>
            </w:tcBorders>
            <w:shd w:val="clear" w:color="000000" w:fill="782170"/>
            <w:noWrap/>
            <w:vAlign w:val="center"/>
            <w:hideMark/>
          </w:tcPr>
          <w:p w14:paraId="6DBF52B0" w14:textId="77777777" w:rsidR="00F35EDF" w:rsidRPr="00F35EDF" w:rsidRDefault="00F35EDF" w:rsidP="00F35EDF">
            <w:pPr>
              <w:spacing w:after="0" w:line="240" w:lineRule="auto"/>
              <w:jc w:val="right"/>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5 559.0</w:t>
            </w:r>
          </w:p>
        </w:tc>
        <w:tc>
          <w:tcPr>
            <w:tcW w:w="1276" w:type="dxa"/>
            <w:tcBorders>
              <w:top w:val="single" w:sz="8" w:space="0" w:color="44B3E1"/>
              <w:left w:val="nil"/>
              <w:bottom w:val="nil"/>
              <w:right w:val="nil"/>
            </w:tcBorders>
            <w:shd w:val="clear" w:color="000000" w:fill="782170"/>
            <w:noWrap/>
            <w:vAlign w:val="center"/>
            <w:hideMark/>
          </w:tcPr>
          <w:p w14:paraId="5FD42857" w14:textId="77777777" w:rsidR="00F35EDF" w:rsidRPr="00F35EDF" w:rsidRDefault="00F35EDF" w:rsidP="00F35EDF">
            <w:pPr>
              <w:spacing w:after="0" w:line="240" w:lineRule="auto"/>
              <w:jc w:val="right"/>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105%</w:t>
            </w:r>
          </w:p>
        </w:tc>
        <w:tc>
          <w:tcPr>
            <w:tcW w:w="1136" w:type="dxa"/>
            <w:tcBorders>
              <w:top w:val="single" w:sz="8" w:space="0" w:color="44B3E1"/>
              <w:left w:val="nil"/>
              <w:bottom w:val="nil"/>
              <w:right w:val="nil"/>
            </w:tcBorders>
            <w:shd w:val="clear" w:color="000000" w:fill="782170"/>
            <w:noWrap/>
            <w:vAlign w:val="center"/>
            <w:hideMark/>
          </w:tcPr>
          <w:p w14:paraId="691C7BED" w14:textId="77777777" w:rsidR="00F35EDF" w:rsidRPr="00F35EDF" w:rsidRDefault="00F35EDF" w:rsidP="00F35EDF">
            <w:pPr>
              <w:spacing w:after="0" w:line="240" w:lineRule="auto"/>
              <w:jc w:val="right"/>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5 359.4</w:t>
            </w:r>
          </w:p>
        </w:tc>
        <w:tc>
          <w:tcPr>
            <w:tcW w:w="1057" w:type="dxa"/>
            <w:tcBorders>
              <w:top w:val="single" w:sz="8" w:space="0" w:color="44B3E1"/>
              <w:left w:val="nil"/>
              <w:bottom w:val="nil"/>
              <w:right w:val="nil"/>
            </w:tcBorders>
            <w:shd w:val="clear" w:color="000000" w:fill="782170"/>
            <w:noWrap/>
            <w:vAlign w:val="center"/>
            <w:hideMark/>
          </w:tcPr>
          <w:p w14:paraId="04CB29A3" w14:textId="77777777" w:rsidR="00F35EDF" w:rsidRPr="00F35EDF" w:rsidRDefault="00F35EDF" w:rsidP="00F35EDF">
            <w:pPr>
              <w:spacing w:after="0" w:line="240" w:lineRule="auto"/>
              <w:jc w:val="right"/>
              <w:rPr>
                <w:rFonts w:ascii="Aptos Narrow" w:hAnsi="Aptos Narrow"/>
                <w:b/>
                <w:bCs/>
                <w:noProof/>
                <w:color w:val="FFFFFF"/>
                <w:szCs w:val="22"/>
                <w:lang w:val="en-IE" w:eastAsia="en-IE"/>
              </w:rPr>
            </w:pPr>
            <w:r w:rsidRPr="00F35EDF">
              <w:rPr>
                <w:rFonts w:ascii="Aptos Narrow" w:hAnsi="Aptos Narrow"/>
                <w:b/>
                <w:bCs/>
                <w:noProof/>
                <w:color w:val="FFFFFF"/>
                <w:szCs w:val="22"/>
                <w:lang w:val="en-IE" w:eastAsia="en-IE"/>
              </w:rPr>
              <w:t>96%</w:t>
            </w:r>
          </w:p>
        </w:tc>
      </w:tr>
    </w:tbl>
    <w:p w14:paraId="54E26E9F" w14:textId="77777777" w:rsidR="00A5148D" w:rsidRDefault="00A5148D" w:rsidP="044E42F4">
      <w:pPr>
        <w:rPr>
          <w:b/>
          <w:bCs/>
          <w:noProof/>
        </w:rPr>
      </w:pPr>
    </w:p>
    <w:p w14:paraId="090938CA" w14:textId="02860EE8" w:rsidR="004633A2" w:rsidRDefault="00677DDF" w:rsidP="044E42F4">
      <w:pPr>
        <w:rPr>
          <w:b/>
          <w:bCs/>
          <w:noProof/>
        </w:rPr>
      </w:pPr>
      <w:r>
        <w:rPr>
          <w:b/>
          <w:bCs/>
          <w:noProof/>
        </w:rPr>
        <w:t xml:space="preserve">Table 6: </w:t>
      </w:r>
      <w:r w:rsidR="00504C85" w:rsidRPr="00504C85">
        <w:rPr>
          <w:b/>
          <w:bCs/>
          <w:noProof/>
        </w:rPr>
        <w:t>Recommendations issued 2016-2025, by budget area</w:t>
      </w:r>
      <w:r w:rsidR="00504C85">
        <w:rPr>
          <w:b/>
          <w:bCs/>
          <w:noProof/>
        </w:rPr>
        <w:t xml:space="preserve"> – provisional results on ongoing cases</w:t>
      </w:r>
    </w:p>
    <w:tbl>
      <w:tblPr>
        <w:tblW w:w="9214" w:type="dxa"/>
        <w:tblLayout w:type="fixed"/>
        <w:tblLook w:val="04A0" w:firstRow="1" w:lastRow="0" w:firstColumn="1" w:lastColumn="0" w:noHBand="0" w:noVBand="1"/>
      </w:tblPr>
      <w:tblGrid>
        <w:gridCol w:w="1418"/>
        <w:gridCol w:w="1417"/>
        <w:gridCol w:w="1243"/>
        <w:gridCol w:w="1309"/>
        <w:gridCol w:w="1275"/>
        <w:gridCol w:w="1276"/>
        <w:gridCol w:w="1276"/>
      </w:tblGrid>
      <w:tr w:rsidR="00C93458" w:rsidRPr="00917004" w14:paraId="462CDF86" w14:textId="77777777" w:rsidTr="00917004">
        <w:trPr>
          <w:trHeight w:val="1200"/>
        </w:trPr>
        <w:tc>
          <w:tcPr>
            <w:tcW w:w="1418" w:type="dxa"/>
            <w:vMerge w:val="restart"/>
            <w:tcBorders>
              <w:top w:val="nil"/>
              <w:left w:val="nil"/>
              <w:bottom w:val="nil"/>
              <w:right w:val="nil"/>
            </w:tcBorders>
            <w:shd w:val="clear" w:color="000000" w:fill="782170"/>
            <w:noWrap/>
            <w:vAlign w:val="bottom"/>
            <w:hideMark/>
          </w:tcPr>
          <w:p w14:paraId="4D98554E" w14:textId="77777777" w:rsidR="007731C0" w:rsidRPr="00BD00D0" w:rsidRDefault="007731C0" w:rsidP="007731C0">
            <w:pPr>
              <w:spacing w:after="0" w:line="240" w:lineRule="auto"/>
              <w:jc w:val="left"/>
              <w:rPr>
                <w:rFonts w:ascii="Aptos Narrow" w:hAnsi="Aptos Narrow"/>
                <w:b/>
                <w:bCs/>
                <w:noProof/>
                <w:color w:val="FFFFFF"/>
                <w:szCs w:val="22"/>
                <w:lang w:val="en-IE" w:eastAsia="en-IE"/>
              </w:rPr>
            </w:pPr>
            <w:r w:rsidRPr="00BD00D0">
              <w:rPr>
                <w:rFonts w:ascii="Aptos Narrow" w:hAnsi="Aptos Narrow"/>
                <w:b/>
                <w:bCs/>
                <w:noProof/>
                <w:color w:val="FFFFFF"/>
                <w:szCs w:val="22"/>
                <w:lang w:val="en-IE" w:eastAsia="en-IE"/>
              </w:rPr>
              <w:t>BUDGETARY AREA</w:t>
            </w:r>
          </w:p>
        </w:tc>
        <w:tc>
          <w:tcPr>
            <w:tcW w:w="1417" w:type="dxa"/>
            <w:tcBorders>
              <w:top w:val="nil"/>
              <w:left w:val="nil"/>
              <w:bottom w:val="nil"/>
              <w:right w:val="nil"/>
            </w:tcBorders>
            <w:shd w:val="clear" w:color="000000" w:fill="782170"/>
            <w:vAlign w:val="center"/>
            <w:hideMark/>
          </w:tcPr>
          <w:p w14:paraId="680D6361" w14:textId="63E50FFD" w:rsidR="007731C0" w:rsidRPr="00BD00D0" w:rsidRDefault="007731C0" w:rsidP="007731C0">
            <w:pPr>
              <w:spacing w:after="0" w:line="240" w:lineRule="auto"/>
              <w:jc w:val="center"/>
              <w:rPr>
                <w:rFonts w:ascii="Aptos Narrow" w:hAnsi="Aptos Narrow"/>
                <w:b/>
                <w:bCs/>
                <w:noProof/>
                <w:color w:val="FFFFFF"/>
                <w:szCs w:val="22"/>
                <w:lang w:val="en-IE" w:eastAsia="en-IE"/>
              </w:rPr>
            </w:pPr>
            <w:r w:rsidRPr="00BD00D0">
              <w:rPr>
                <w:rFonts w:ascii="Aptos Narrow" w:hAnsi="Aptos Narrow"/>
                <w:b/>
                <w:bCs/>
                <w:noProof/>
                <w:color w:val="FFFFFF"/>
                <w:szCs w:val="22"/>
                <w:lang w:val="en-IE" w:eastAsia="en-IE"/>
              </w:rPr>
              <w:t>Number of recom-mendations</w:t>
            </w:r>
          </w:p>
        </w:tc>
        <w:tc>
          <w:tcPr>
            <w:tcW w:w="1243" w:type="dxa"/>
            <w:tcBorders>
              <w:top w:val="nil"/>
              <w:left w:val="nil"/>
              <w:bottom w:val="nil"/>
              <w:right w:val="nil"/>
            </w:tcBorders>
            <w:shd w:val="clear" w:color="000000" w:fill="782170"/>
            <w:vAlign w:val="center"/>
            <w:hideMark/>
          </w:tcPr>
          <w:p w14:paraId="64AA7C78" w14:textId="1BDBCB80" w:rsidR="007731C0" w:rsidRPr="00917004" w:rsidRDefault="007731C0" w:rsidP="007731C0">
            <w:pPr>
              <w:spacing w:after="0" w:line="240" w:lineRule="auto"/>
              <w:jc w:val="center"/>
              <w:rPr>
                <w:rFonts w:ascii="Aptos Narrow" w:hAnsi="Aptos Narrow"/>
                <w:b/>
                <w:bCs/>
                <w:noProof/>
                <w:color w:val="FFFFFF"/>
                <w:szCs w:val="22"/>
                <w:lang w:val="en-IE" w:eastAsia="en-IE"/>
              </w:rPr>
            </w:pPr>
            <w:r w:rsidRPr="00917004">
              <w:rPr>
                <w:rFonts w:ascii="Aptos Narrow" w:hAnsi="Aptos Narrow"/>
                <w:b/>
                <w:bCs/>
                <w:noProof/>
                <w:color w:val="FFFFFF"/>
                <w:szCs w:val="22"/>
                <w:lang w:val="en-IE" w:eastAsia="en-IE"/>
              </w:rPr>
              <w:t>Amount recom-mended for recovery</w:t>
            </w:r>
          </w:p>
        </w:tc>
        <w:tc>
          <w:tcPr>
            <w:tcW w:w="1309" w:type="dxa"/>
            <w:tcBorders>
              <w:top w:val="nil"/>
              <w:left w:val="nil"/>
              <w:bottom w:val="nil"/>
              <w:right w:val="nil"/>
            </w:tcBorders>
            <w:shd w:val="clear" w:color="000000" w:fill="782170"/>
            <w:vAlign w:val="center"/>
            <w:hideMark/>
          </w:tcPr>
          <w:p w14:paraId="7B75E793" w14:textId="77777777" w:rsidR="007731C0" w:rsidRPr="00917004" w:rsidRDefault="007731C0" w:rsidP="007731C0">
            <w:pPr>
              <w:spacing w:after="0" w:line="240" w:lineRule="auto"/>
              <w:jc w:val="center"/>
              <w:rPr>
                <w:rFonts w:ascii="Aptos Narrow" w:hAnsi="Aptos Narrow"/>
                <w:b/>
                <w:bCs/>
                <w:noProof/>
                <w:color w:val="FFFFFF"/>
                <w:szCs w:val="22"/>
                <w:lang w:val="en-IE" w:eastAsia="en-IE"/>
              </w:rPr>
            </w:pPr>
            <w:r w:rsidRPr="00917004">
              <w:rPr>
                <w:rFonts w:ascii="Aptos Narrow" w:hAnsi="Aptos Narrow"/>
                <w:b/>
                <w:bCs/>
                <w:noProof/>
                <w:color w:val="FFFFFF"/>
                <w:szCs w:val="22"/>
                <w:lang w:val="en-IE" w:eastAsia="en-IE"/>
              </w:rPr>
              <w:t>Amount established to be recovered (FAER)</w:t>
            </w:r>
          </w:p>
        </w:tc>
        <w:tc>
          <w:tcPr>
            <w:tcW w:w="1275" w:type="dxa"/>
            <w:tcBorders>
              <w:top w:val="nil"/>
              <w:left w:val="nil"/>
              <w:bottom w:val="nil"/>
              <w:right w:val="nil"/>
            </w:tcBorders>
            <w:shd w:val="clear" w:color="000000" w:fill="782170"/>
            <w:vAlign w:val="center"/>
            <w:hideMark/>
          </w:tcPr>
          <w:p w14:paraId="7541E663" w14:textId="77777777" w:rsidR="007731C0" w:rsidRPr="00917004" w:rsidRDefault="007731C0" w:rsidP="007731C0">
            <w:pPr>
              <w:spacing w:after="0" w:line="240" w:lineRule="auto"/>
              <w:jc w:val="center"/>
              <w:rPr>
                <w:rFonts w:ascii="Aptos Narrow" w:hAnsi="Aptos Narrow"/>
                <w:b/>
                <w:bCs/>
                <w:noProof/>
                <w:color w:val="FFFFFF"/>
                <w:szCs w:val="22"/>
                <w:lang w:val="en-IE" w:eastAsia="en-IE"/>
              </w:rPr>
            </w:pPr>
            <w:r w:rsidRPr="00917004">
              <w:rPr>
                <w:rFonts w:ascii="Aptos Narrow" w:hAnsi="Aptos Narrow"/>
                <w:b/>
                <w:bCs/>
                <w:noProof/>
                <w:color w:val="FFFFFF"/>
                <w:szCs w:val="22"/>
                <w:lang w:val="en-IE" w:eastAsia="en-IE"/>
              </w:rPr>
              <w:t>Amount recovered</w:t>
            </w:r>
          </w:p>
        </w:tc>
        <w:tc>
          <w:tcPr>
            <w:tcW w:w="1276" w:type="dxa"/>
            <w:tcBorders>
              <w:top w:val="nil"/>
              <w:left w:val="nil"/>
              <w:bottom w:val="nil"/>
              <w:right w:val="nil"/>
            </w:tcBorders>
            <w:shd w:val="clear" w:color="000000" w:fill="275317"/>
            <w:vAlign w:val="center"/>
            <w:hideMark/>
          </w:tcPr>
          <w:p w14:paraId="7C306B0F" w14:textId="39633BBD" w:rsidR="007731C0" w:rsidRPr="00917004" w:rsidRDefault="007731C0" w:rsidP="007731C0">
            <w:pPr>
              <w:spacing w:after="0" w:line="240" w:lineRule="auto"/>
              <w:jc w:val="center"/>
              <w:rPr>
                <w:rFonts w:ascii="Aptos Narrow" w:hAnsi="Aptos Narrow"/>
                <w:b/>
                <w:bCs/>
                <w:noProof/>
                <w:color w:val="FFFFFF"/>
                <w:szCs w:val="22"/>
                <w:lang w:val="en-IE" w:eastAsia="en-IE"/>
              </w:rPr>
            </w:pPr>
            <w:r w:rsidRPr="00917004">
              <w:rPr>
                <w:rFonts w:ascii="Aptos Narrow" w:hAnsi="Aptos Narrow"/>
                <w:b/>
                <w:bCs/>
                <w:noProof/>
                <w:color w:val="FFFFFF"/>
                <w:szCs w:val="22"/>
                <w:lang w:val="en-IE" w:eastAsia="en-IE"/>
              </w:rPr>
              <w:t>Amount recom-mended for prevention</w:t>
            </w:r>
          </w:p>
        </w:tc>
        <w:tc>
          <w:tcPr>
            <w:tcW w:w="1276" w:type="dxa"/>
            <w:tcBorders>
              <w:top w:val="nil"/>
              <w:left w:val="nil"/>
              <w:bottom w:val="nil"/>
              <w:right w:val="nil"/>
            </w:tcBorders>
            <w:shd w:val="clear" w:color="000000" w:fill="275317"/>
            <w:vAlign w:val="center"/>
            <w:hideMark/>
          </w:tcPr>
          <w:p w14:paraId="68880B78" w14:textId="77777777" w:rsidR="007731C0" w:rsidRPr="00917004" w:rsidRDefault="007731C0" w:rsidP="007731C0">
            <w:pPr>
              <w:spacing w:after="0" w:line="240" w:lineRule="auto"/>
              <w:jc w:val="center"/>
              <w:rPr>
                <w:rFonts w:ascii="Aptos Narrow" w:hAnsi="Aptos Narrow"/>
                <w:b/>
                <w:bCs/>
                <w:noProof/>
                <w:color w:val="FFFFFF"/>
                <w:szCs w:val="22"/>
                <w:lang w:val="en-IE" w:eastAsia="en-IE"/>
              </w:rPr>
            </w:pPr>
            <w:r w:rsidRPr="00917004">
              <w:rPr>
                <w:rFonts w:ascii="Aptos Narrow" w:hAnsi="Aptos Narrow"/>
                <w:b/>
                <w:bCs/>
                <w:noProof/>
                <w:color w:val="FFFFFF"/>
                <w:szCs w:val="22"/>
                <w:lang w:val="en-IE" w:eastAsia="en-IE"/>
              </w:rPr>
              <w:t>Amount prevented</w:t>
            </w:r>
          </w:p>
        </w:tc>
      </w:tr>
      <w:tr w:rsidR="00C93458" w:rsidRPr="00917004" w14:paraId="36589A8E" w14:textId="77777777" w:rsidTr="00917004">
        <w:trPr>
          <w:trHeight w:val="555"/>
        </w:trPr>
        <w:tc>
          <w:tcPr>
            <w:tcW w:w="1418" w:type="dxa"/>
            <w:vMerge/>
            <w:tcBorders>
              <w:top w:val="nil"/>
              <w:left w:val="nil"/>
              <w:bottom w:val="nil"/>
              <w:right w:val="nil"/>
            </w:tcBorders>
            <w:vAlign w:val="center"/>
            <w:hideMark/>
          </w:tcPr>
          <w:p w14:paraId="4287E4DB" w14:textId="77777777" w:rsidR="007731C0" w:rsidRPr="00DE241B" w:rsidRDefault="007731C0" w:rsidP="007731C0">
            <w:pPr>
              <w:spacing w:after="0" w:line="240" w:lineRule="auto"/>
              <w:jc w:val="left"/>
              <w:rPr>
                <w:rFonts w:ascii="Aptos Narrow" w:hAnsi="Aptos Narrow"/>
                <w:b/>
                <w:bCs/>
                <w:noProof/>
                <w:color w:val="FFFFFF"/>
                <w:szCs w:val="22"/>
                <w:lang w:val="en-IE" w:eastAsia="en-IE"/>
              </w:rPr>
            </w:pPr>
          </w:p>
        </w:tc>
        <w:tc>
          <w:tcPr>
            <w:tcW w:w="1417" w:type="dxa"/>
            <w:tcBorders>
              <w:top w:val="nil"/>
              <w:left w:val="nil"/>
              <w:bottom w:val="nil"/>
              <w:right w:val="nil"/>
            </w:tcBorders>
            <w:shd w:val="clear" w:color="000000" w:fill="D86DCD"/>
            <w:noWrap/>
            <w:vAlign w:val="bottom"/>
            <w:hideMark/>
          </w:tcPr>
          <w:p w14:paraId="726382D7" w14:textId="77777777" w:rsidR="007731C0" w:rsidRPr="00DE241B" w:rsidRDefault="007731C0" w:rsidP="007731C0">
            <w:pPr>
              <w:spacing w:after="0" w:line="240" w:lineRule="auto"/>
              <w:jc w:val="center"/>
              <w:rPr>
                <w:rFonts w:ascii="Aptos Narrow" w:hAnsi="Aptos Narrow"/>
                <w:b/>
                <w:bCs/>
                <w:noProof/>
                <w:color w:val="FFFFFF"/>
                <w:szCs w:val="22"/>
                <w:lang w:val="en-IE" w:eastAsia="en-IE"/>
              </w:rPr>
            </w:pPr>
            <w:r w:rsidRPr="00DE241B">
              <w:rPr>
                <w:rFonts w:ascii="Aptos Narrow" w:hAnsi="Aptos Narrow"/>
                <w:b/>
                <w:bCs/>
                <w:noProof/>
                <w:color w:val="FFFFFF"/>
                <w:szCs w:val="22"/>
                <w:lang w:val="en-IE" w:eastAsia="en-IE"/>
              </w:rPr>
              <w:t>N</w:t>
            </w:r>
          </w:p>
        </w:tc>
        <w:tc>
          <w:tcPr>
            <w:tcW w:w="1243" w:type="dxa"/>
            <w:tcBorders>
              <w:top w:val="nil"/>
              <w:left w:val="nil"/>
              <w:bottom w:val="nil"/>
              <w:right w:val="nil"/>
            </w:tcBorders>
            <w:shd w:val="clear" w:color="000000" w:fill="D86DCD"/>
            <w:vAlign w:val="center"/>
            <w:hideMark/>
          </w:tcPr>
          <w:p w14:paraId="6E9F77C6" w14:textId="77777777" w:rsidR="007731C0" w:rsidRPr="00DE241B" w:rsidRDefault="007731C0" w:rsidP="007731C0">
            <w:pPr>
              <w:spacing w:after="0" w:line="240" w:lineRule="auto"/>
              <w:jc w:val="center"/>
              <w:rPr>
                <w:rFonts w:ascii="Aptos Narrow" w:hAnsi="Aptos Narrow"/>
                <w:b/>
                <w:bCs/>
                <w:noProof/>
                <w:color w:val="FFFFFF"/>
                <w:szCs w:val="22"/>
                <w:lang w:val="en-IE" w:eastAsia="en-IE"/>
              </w:rPr>
            </w:pPr>
            <w:r w:rsidRPr="00DE241B">
              <w:rPr>
                <w:rFonts w:ascii="Aptos Narrow" w:hAnsi="Aptos Narrow"/>
                <w:b/>
                <w:bCs/>
                <w:noProof/>
                <w:color w:val="FFFFFF"/>
                <w:szCs w:val="22"/>
                <w:lang w:val="en-IE" w:eastAsia="en-IE"/>
              </w:rPr>
              <w:t>EUR million</w:t>
            </w:r>
          </w:p>
        </w:tc>
        <w:tc>
          <w:tcPr>
            <w:tcW w:w="1309" w:type="dxa"/>
            <w:tcBorders>
              <w:top w:val="nil"/>
              <w:left w:val="nil"/>
              <w:bottom w:val="nil"/>
              <w:right w:val="nil"/>
            </w:tcBorders>
            <w:shd w:val="clear" w:color="000000" w:fill="D86DCD"/>
            <w:vAlign w:val="center"/>
            <w:hideMark/>
          </w:tcPr>
          <w:p w14:paraId="76C2E8ED" w14:textId="77777777" w:rsidR="007731C0" w:rsidRPr="00DE241B" w:rsidRDefault="007731C0" w:rsidP="007731C0">
            <w:pPr>
              <w:spacing w:after="0" w:line="240" w:lineRule="auto"/>
              <w:jc w:val="center"/>
              <w:rPr>
                <w:rFonts w:ascii="Aptos Narrow" w:hAnsi="Aptos Narrow"/>
                <w:b/>
                <w:bCs/>
                <w:noProof/>
                <w:color w:val="FFFFFF"/>
                <w:szCs w:val="22"/>
                <w:lang w:val="en-IE" w:eastAsia="en-IE"/>
              </w:rPr>
            </w:pPr>
            <w:r w:rsidRPr="00DE241B">
              <w:rPr>
                <w:rFonts w:ascii="Aptos Narrow" w:hAnsi="Aptos Narrow"/>
                <w:b/>
                <w:bCs/>
                <w:noProof/>
                <w:color w:val="FFFFFF"/>
                <w:szCs w:val="22"/>
                <w:lang w:val="en-IE" w:eastAsia="en-IE"/>
              </w:rPr>
              <w:t>EUR million</w:t>
            </w:r>
          </w:p>
        </w:tc>
        <w:tc>
          <w:tcPr>
            <w:tcW w:w="1275" w:type="dxa"/>
            <w:tcBorders>
              <w:top w:val="nil"/>
              <w:left w:val="nil"/>
              <w:bottom w:val="nil"/>
              <w:right w:val="nil"/>
            </w:tcBorders>
            <w:shd w:val="clear" w:color="000000" w:fill="D86DCD"/>
            <w:vAlign w:val="center"/>
            <w:hideMark/>
          </w:tcPr>
          <w:p w14:paraId="2E6ED1FF" w14:textId="77777777" w:rsidR="007731C0" w:rsidRPr="00DE241B" w:rsidRDefault="007731C0" w:rsidP="007731C0">
            <w:pPr>
              <w:spacing w:after="0" w:line="240" w:lineRule="auto"/>
              <w:jc w:val="center"/>
              <w:rPr>
                <w:rFonts w:ascii="Aptos Narrow" w:hAnsi="Aptos Narrow"/>
                <w:b/>
                <w:bCs/>
                <w:noProof/>
                <w:color w:val="FFFFFF"/>
                <w:szCs w:val="22"/>
                <w:lang w:val="en-IE" w:eastAsia="en-IE"/>
              </w:rPr>
            </w:pPr>
            <w:r w:rsidRPr="00DE241B">
              <w:rPr>
                <w:rFonts w:ascii="Aptos Narrow" w:hAnsi="Aptos Narrow"/>
                <w:b/>
                <w:bCs/>
                <w:noProof/>
                <w:color w:val="FFFFFF"/>
                <w:szCs w:val="22"/>
                <w:lang w:val="en-IE" w:eastAsia="en-IE"/>
              </w:rPr>
              <w:t>EUR million</w:t>
            </w:r>
          </w:p>
        </w:tc>
        <w:tc>
          <w:tcPr>
            <w:tcW w:w="1276" w:type="dxa"/>
            <w:tcBorders>
              <w:top w:val="nil"/>
              <w:left w:val="nil"/>
              <w:bottom w:val="nil"/>
              <w:right w:val="nil"/>
            </w:tcBorders>
            <w:shd w:val="clear" w:color="000000" w:fill="3C7D22"/>
            <w:vAlign w:val="center"/>
            <w:hideMark/>
          </w:tcPr>
          <w:p w14:paraId="6C7AEDE3" w14:textId="77777777" w:rsidR="007731C0" w:rsidRPr="00DE241B" w:rsidRDefault="007731C0" w:rsidP="007731C0">
            <w:pPr>
              <w:spacing w:after="0" w:line="240" w:lineRule="auto"/>
              <w:jc w:val="center"/>
              <w:rPr>
                <w:rFonts w:ascii="Aptos Narrow" w:hAnsi="Aptos Narrow"/>
                <w:b/>
                <w:bCs/>
                <w:noProof/>
                <w:color w:val="FFFFFF"/>
                <w:szCs w:val="22"/>
                <w:lang w:val="en-IE" w:eastAsia="en-IE"/>
              </w:rPr>
            </w:pPr>
            <w:r w:rsidRPr="00DE241B">
              <w:rPr>
                <w:rFonts w:ascii="Aptos Narrow" w:hAnsi="Aptos Narrow"/>
                <w:b/>
                <w:bCs/>
                <w:noProof/>
                <w:color w:val="FFFFFF"/>
                <w:szCs w:val="22"/>
                <w:lang w:val="en-IE" w:eastAsia="en-IE"/>
              </w:rPr>
              <w:t>EUR million</w:t>
            </w:r>
          </w:p>
        </w:tc>
        <w:tc>
          <w:tcPr>
            <w:tcW w:w="1276" w:type="dxa"/>
            <w:tcBorders>
              <w:top w:val="nil"/>
              <w:left w:val="nil"/>
              <w:bottom w:val="nil"/>
              <w:right w:val="nil"/>
            </w:tcBorders>
            <w:shd w:val="clear" w:color="000000" w:fill="3C7D22"/>
            <w:vAlign w:val="center"/>
            <w:hideMark/>
          </w:tcPr>
          <w:p w14:paraId="43051DE4" w14:textId="77777777" w:rsidR="007731C0" w:rsidRPr="00DE241B" w:rsidRDefault="007731C0" w:rsidP="007731C0">
            <w:pPr>
              <w:spacing w:after="0" w:line="240" w:lineRule="auto"/>
              <w:jc w:val="center"/>
              <w:rPr>
                <w:rFonts w:ascii="Aptos Narrow" w:hAnsi="Aptos Narrow"/>
                <w:b/>
                <w:bCs/>
                <w:noProof/>
                <w:color w:val="FFFFFF"/>
                <w:szCs w:val="22"/>
                <w:lang w:val="en-IE" w:eastAsia="en-IE"/>
              </w:rPr>
            </w:pPr>
            <w:r w:rsidRPr="00DE241B">
              <w:rPr>
                <w:rFonts w:ascii="Aptos Narrow" w:hAnsi="Aptos Narrow"/>
                <w:b/>
                <w:bCs/>
                <w:noProof/>
                <w:color w:val="FFFFFF"/>
                <w:szCs w:val="22"/>
                <w:lang w:val="en-IE" w:eastAsia="en-IE"/>
              </w:rPr>
              <w:t>EUR million</w:t>
            </w:r>
          </w:p>
        </w:tc>
      </w:tr>
      <w:tr w:rsidR="007731C0" w:rsidRPr="00917004" w14:paraId="1AD451E6" w14:textId="77777777" w:rsidTr="00BD00D0">
        <w:trPr>
          <w:trHeight w:val="330"/>
        </w:trPr>
        <w:tc>
          <w:tcPr>
            <w:tcW w:w="1418" w:type="dxa"/>
            <w:tcBorders>
              <w:top w:val="nil"/>
              <w:left w:val="nil"/>
              <w:bottom w:val="nil"/>
              <w:right w:val="nil"/>
            </w:tcBorders>
            <w:shd w:val="clear" w:color="000000" w:fill="F2CEEF"/>
            <w:noWrap/>
            <w:vAlign w:val="bottom"/>
            <w:hideMark/>
          </w:tcPr>
          <w:p w14:paraId="002E148E" w14:textId="77777777" w:rsidR="007731C0" w:rsidRPr="00BD00D0" w:rsidRDefault="007731C0" w:rsidP="007731C0">
            <w:pPr>
              <w:spacing w:after="0" w:line="240" w:lineRule="auto"/>
              <w:jc w:val="lef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Revenue</w:t>
            </w:r>
          </w:p>
        </w:tc>
        <w:tc>
          <w:tcPr>
            <w:tcW w:w="1417" w:type="dxa"/>
            <w:tcBorders>
              <w:top w:val="nil"/>
              <w:left w:val="nil"/>
              <w:bottom w:val="nil"/>
              <w:right w:val="nil"/>
            </w:tcBorders>
            <w:shd w:val="clear" w:color="000000" w:fill="F2CEEF"/>
            <w:noWrap/>
            <w:vAlign w:val="bottom"/>
            <w:hideMark/>
          </w:tcPr>
          <w:p w14:paraId="02D72C55"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197</w:t>
            </w:r>
          </w:p>
        </w:tc>
        <w:tc>
          <w:tcPr>
            <w:tcW w:w="1243" w:type="dxa"/>
            <w:tcBorders>
              <w:top w:val="nil"/>
              <w:left w:val="nil"/>
              <w:bottom w:val="nil"/>
              <w:right w:val="nil"/>
            </w:tcBorders>
            <w:shd w:val="clear" w:color="000000" w:fill="F2CEEF"/>
            <w:vAlign w:val="center"/>
            <w:hideMark/>
          </w:tcPr>
          <w:p w14:paraId="13CC7AD2"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1 126.7</w:t>
            </w:r>
          </w:p>
        </w:tc>
        <w:tc>
          <w:tcPr>
            <w:tcW w:w="1309" w:type="dxa"/>
            <w:tcBorders>
              <w:top w:val="nil"/>
              <w:left w:val="nil"/>
              <w:bottom w:val="nil"/>
              <w:right w:val="nil"/>
            </w:tcBorders>
            <w:shd w:val="clear" w:color="000000" w:fill="F2CEEF"/>
            <w:vAlign w:val="center"/>
            <w:hideMark/>
          </w:tcPr>
          <w:p w14:paraId="26908626"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596.5</w:t>
            </w:r>
          </w:p>
        </w:tc>
        <w:tc>
          <w:tcPr>
            <w:tcW w:w="1275" w:type="dxa"/>
            <w:tcBorders>
              <w:top w:val="nil"/>
              <w:left w:val="nil"/>
              <w:bottom w:val="nil"/>
              <w:right w:val="nil"/>
            </w:tcBorders>
            <w:shd w:val="clear" w:color="000000" w:fill="F2CEEF"/>
            <w:vAlign w:val="center"/>
            <w:hideMark/>
          </w:tcPr>
          <w:p w14:paraId="1177186B"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402.5</w:t>
            </w:r>
          </w:p>
        </w:tc>
        <w:tc>
          <w:tcPr>
            <w:tcW w:w="1276" w:type="dxa"/>
            <w:tcBorders>
              <w:top w:val="nil"/>
              <w:left w:val="nil"/>
              <w:bottom w:val="nil"/>
              <w:right w:val="nil"/>
            </w:tcBorders>
            <w:shd w:val="clear" w:color="000000" w:fill="B5E6A2"/>
            <w:vAlign w:val="center"/>
            <w:hideMark/>
          </w:tcPr>
          <w:p w14:paraId="20F069F9"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N/A</w:t>
            </w:r>
          </w:p>
        </w:tc>
        <w:tc>
          <w:tcPr>
            <w:tcW w:w="1276" w:type="dxa"/>
            <w:tcBorders>
              <w:top w:val="nil"/>
              <w:left w:val="nil"/>
              <w:bottom w:val="nil"/>
              <w:right w:val="nil"/>
            </w:tcBorders>
            <w:shd w:val="clear" w:color="000000" w:fill="B5E6A2"/>
            <w:vAlign w:val="center"/>
            <w:hideMark/>
          </w:tcPr>
          <w:p w14:paraId="421E2DEA"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N/A</w:t>
            </w:r>
          </w:p>
        </w:tc>
      </w:tr>
      <w:tr w:rsidR="007731C0" w:rsidRPr="00917004" w14:paraId="01CBAD75" w14:textId="77777777" w:rsidTr="00BD00D0">
        <w:trPr>
          <w:trHeight w:val="330"/>
        </w:trPr>
        <w:tc>
          <w:tcPr>
            <w:tcW w:w="1418" w:type="dxa"/>
            <w:tcBorders>
              <w:top w:val="nil"/>
              <w:left w:val="nil"/>
              <w:bottom w:val="nil"/>
              <w:right w:val="nil"/>
            </w:tcBorders>
            <w:shd w:val="clear" w:color="000000" w:fill="E49EDD"/>
            <w:noWrap/>
            <w:vAlign w:val="bottom"/>
            <w:hideMark/>
          </w:tcPr>
          <w:p w14:paraId="5E56A54B" w14:textId="77777777" w:rsidR="007731C0" w:rsidRPr="00BD00D0" w:rsidRDefault="007731C0" w:rsidP="007731C0">
            <w:pPr>
              <w:spacing w:after="0" w:line="240" w:lineRule="auto"/>
              <w:jc w:val="lef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Expenditure</w:t>
            </w:r>
          </w:p>
        </w:tc>
        <w:tc>
          <w:tcPr>
            <w:tcW w:w="1417" w:type="dxa"/>
            <w:tcBorders>
              <w:top w:val="nil"/>
              <w:left w:val="nil"/>
              <w:bottom w:val="nil"/>
              <w:right w:val="nil"/>
            </w:tcBorders>
            <w:shd w:val="clear" w:color="000000" w:fill="E49EDD"/>
            <w:noWrap/>
            <w:vAlign w:val="bottom"/>
            <w:hideMark/>
          </w:tcPr>
          <w:p w14:paraId="3D1005B0"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442</w:t>
            </w:r>
          </w:p>
        </w:tc>
        <w:tc>
          <w:tcPr>
            <w:tcW w:w="1243" w:type="dxa"/>
            <w:tcBorders>
              <w:top w:val="nil"/>
              <w:left w:val="nil"/>
              <w:bottom w:val="nil"/>
              <w:right w:val="nil"/>
            </w:tcBorders>
            <w:shd w:val="clear" w:color="000000" w:fill="E49EDD"/>
            <w:vAlign w:val="center"/>
            <w:hideMark/>
          </w:tcPr>
          <w:p w14:paraId="2AB709CE"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1 917.8</w:t>
            </w:r>
          </w:p>
        </w:tc>
        <w:tc>
          <w:tcPr>
            <w:tcW w:w="1309" w:type="dxa"/>
            <w:tcBorders>
              <w:top w:val="nil"/>
              <w:left w:val="nil"/>
              <w:bottom w:val="nil"/>
              <w:right w:val="nil"/>
            </w:tcBorders>
            <w:shd w:val="clear" w:color="000000" w:fill="E49EDD"/>
            <w:vAlign w:val="center"/>
            <w:hideMark/>
          </w:tcPr>
          <w:p w14:paraId="4AFFE7A5"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628.1</w:t>
            </w:r>
          </w:p>
        </w:tc>
        <w:tc>
          <w:tcPr>
            <w:tcW w:w="1275" w:type="dxa"/>
            <w:tcBorders>
              <w:top w:val="nil"/>
              <w:left w:val="nil"/>
              <w:bottom w:val="nil"/>
              <w:right w:val="nil"/>
            </w:tcBorders>
            <w:shd w:val="clear" w:color="000000" w:fill="E49EDD"/>
            <w:vAlign w:val="center"/>
            <w:hideMark/>
          </w:tcPr>
          <w:p w14:paraId="56668D8A"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167.5</w:t>
            </w:r>
          </w:p>
        </w:tc>
        <w:tc>
          <w:tcPr>
            <w:tcW w:w="1276" w:type="dxa"/>
            <w:tcBorders>
              <w:top w:val="nil"/>
              <w:left w:val="nil"/>
              <w:bottom w:val="nil"/>
              <w:right w:val="nil"/>
            </w:tcBorders>
            <w:shd w:val="clear" w:color="000000" w:fill="8ED973"/>
            <w:vAlign w:val="center"/>
            <w:hideMark/>
          </w:tcPr>
          <w:p w14:paraId="3750D6DA"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283.2</w:t>
            </w:r>
          </w:p>
        </w:tc>
        <w:tc>
          <w:tcPr>
            <w:tcW w:w="1276" w:type="dxa"/>
            <w:tcBorders>
              <w:top w:val="nil"/>
              <w:left w:val="nil"/>
              <w:bottom w:val="nil"/>
              <w:right w:val="nil"/>
            </w:tcBorders>
            <w:shd w:val="clear" w:color="000000" w:fill="8ED973"/>
            <w:vAlign w:val="center"/>
            <w:hideMark/>
          </w:tcPr>
          <w:p w14:paraId="334F3C5E" w14:textId="77777777" w:rsidR="007731C0" w:rsidRPr="00BD00D0" w:rsidRDefault="007731C0" w:rsidP="007731C0">
            <w:pPr>
              <w:spacing w:after="0" w:line="240" w:lineRule="auto"/>
              <w:jc w:val="right"/>
              <w:rPr>
                <w:rFonts w:ascii="Aptos Narrow" w:hAnsi="Aptos Narrow"/>
                <w:b/>
                <w:bCs/>
                <w:noProof/>
                <w:color w:val="000000"/>
                <w:szCs w:val="22"/>
                <w:lang w:val="en-IE" w:eastAsia="en-IE"/>
              </w:rPr>
            </w:pPr>
            <w:r w:rsidRPr="00BD00D0">
              <w:rPr>
                <w:rFonts w:ascii="Aptos Narrow" w:hAnsi="Aptos Narrow"/>
                <w:b/>
                <w:bCs/>
                <w:noProof/>
                <w:color w:val="000000"/>
                <w:szCs w:val="22"/>
                <w:lang w:val="en-IE" w:eastAsia="en-IE"/>
              </w:rPr>
              <w:t>239.7</w:t>
            </w:r>
          </w:p>
        </w:tc>
      </w:tr>
      <w:tr w:rsidR="007731C0" w:rsidRPr="00917004" w14:paraId="4FFA8E09" w14:textId="77777777" w:rsidTr="00BD00D0">
        <w:trPr>
          <w:trHeight w:val="300"/>
        </w:trPr>
        <w:tc>
          <w:tcPr>
            <w:tcW w:w="1418" w:type="dxa"/>
            <w:tcBorders>
              <w:top w:val="nil"/>
              <w:left w:val="nil"/>
              <w:bottom w:val="nil"/>
              <w:right w:val="nil"/>
            </w:tcBorders>
            <w:shd w:val="clear" w:color="000000" w:fill="F2CEEF"/>
            <w:noWrap/>
            <w:vAlign w:val="bottom"/>
            <w:hideMark/>
          </w:tcPr>
          <w:p w14:paraId="7DCA03AB" w14:textId="77777777" w:rsidR="007731C0" w:rsidRPr="00917004" w:rsidRDefault="007731C0" w:rsidP="007731C0">
            <w:pPr>
              <w:spacing w:after="0" w:line="240" w:lineRule="auto"/>
              <w:ind w:firstLineChars="100" w:firstLine="220"/>
              <w:jc w:val="left"/>
              <w:rPr>
                <w:rFonts w:ascii="Aptos Narrow" w:hAnsi="Aptos Narrow"/>
                <w:i/>
                <w:iCs/>
                <w:noProof/>
                <w:color w:val="000000"/>
                <w:szCs w:val="22"/>
                <w:lang w:val="en-IE" w:eastAsia="en-IE"/>
              </w:rPr>
            </w:pPr>
            <w:r w:rsidRPr="00917004">
              <w:rPr>
                <w:rFonts w:ascii="Aptos Narrow" w:hAnsi="Aptos Narrow"/>
                <w:i/>
                <w:iCs/>
                <w:noProof/>
                <w:color w:val="000000"/>
                <w:szCs w:val="22"/>
                <w:lang w:val="en-IE" w:eastAsia="en-IE"/>
              </w:rPr>
              <w:t>Shared management</w:t>
            </w:r>
          </w:p>
        </w:tc>
        <w:tc>
          <w:tcPr>
            <w:tcW w:w="1417" w:type="dxa"/>
            <w:tcBorders>
              <w:top w:val="nil"/>
              <w:left w:val="nil"/>
              <w:bottom w:val="nil"/>
              <w:right w:val="nil"/>
            </w:tcBorders>
            <w:shd w:val="clear" w:color="000000" w:fill="F2CEEF"/>
            <w:noWrap/>
            <w:vAlign w:val="bottom"/>
            <w:hideMark/>
          </w:tcPr>
          <w:p w14:paraId="49FBB0BB" w14:textId="77777777" w:rsidR="007731C0" w:rsidRPr="00917004" w:rsidRDefault="007731C0" w:rsidP="007731C0">
            <w:pPr>
              <w:spacing w:after="0" w:line="240" w:lineRule="auto"/>
              <w:ind w:firstLineChars="100" w:firstLine="220"/>
              <w:jc w:val="right"/>
              <w:rPr>
                <w:rFonts w:ascii="Aptos Narrow" w:hAnsi="Aptos Narrow"/>
                <w:i/>
                <w:iCs/>
                <w:noProof/>
                <w:color w:val="000000"/>
                <w:szCs w:val="22"/>
                <w:lang w:val="en-IE" w:eastAsia="en-IE"/>
              </w:rPr>
            </w:pPr>
            <w:r w:rsidRPr="00917004">
              <w:rPr>
                <w:rFonts w:ascii="Aptos Narrow" w:hAnsi="Aptos Narrow"/>
                <w:i/>
                <w:iCs/>
                <w:noProof/>
                <w:color w:val="000000"/>
                <w:szCs w:val="22"/>
                <w:lang w:val="en-IE" w:eastAsia="en-IE"/>
              </w:rPr>
              <w:t>241</w:t>
            </w:r>
          </w:p>
        </w:tc>
        <w:tc>
          <w:tcPr>
            <w:tcW w:w="1243" w:type="dxa"/>
            <w:tcBorders>
              <w:top w:val="nil"/>
              <w:left w:val="nil"/>
              <w:bottom w:val="nil"/>
              <w:right w:val="nil"/>
            </w:tcBorders>
            <w:shd w:val="clear" w:color="000000" w:fill="F2CEEF"/>
            <w:noWrap/>
            <w:vAlign w:val="bottom"/>
            <w:hideMark/>
          </w:tcPr>
          <w:p w14:paraId="57B7DF35"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1 098.3</w:t>
            </w:r>
          </w:p>
        </w:tc>
        <w:tc>
          <w:tcPr>
            <w:tcW w:w="1309" w:type="dxa"/>
            <w:tcBorders>
              <w:top w:val="nil"/>
              <w:left w:val="nil"/>
              <w:bottom w:val="nil"/>
              <w:right w:val="nil"/>
            </w:tcBorders>
            <w:shd w:val="clear" w:color="000000" w:fill="F2CEEF"/>
            <w:noWrap/>
            <w:vAlign w:val="bottom"/>
            <w:hideMark/>
          </w:tcPr>
          <w:p w14:paraId="43FAD5F6"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390.2</w:t>
            </w:r>
          </w:p>
        </w:tc>
        <w:tc>
          <w:tcPr>
            <w:tcW w:w="1275" w:type="dxa"/>
            <w:tcBorders>
              <w:top w:val="nil"/>
              <w:left w:val="nil"/>
              <w:bottom w:val="nil"/>
              <w:right w:val="nil"/>
            </w:tcBorders>
            <w:shd w:val="clear" w:color="000000" w:fill="F2CEEF"/>
            <w:noWrap/>
            <w:vAlign w:val="bottom"/>
            <w:hideMark/>
          </w:tcPr>
          <w:p w14:paraId="08EF12D1"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94.4</w:t>
            </w:r>
          </w:p>
        </w:tc>
        <w:tc>
          <w:tcPr>
            <w:tcW w:w="1276" w:type="dxa"/>
            <w:tcBorders>
              <w:top w:val="nil"/>
              <w:left w:val="nil"/>
              <w:bottom w:val="nil"/>
              <w:right w:val="nil"/>
            </w:tcBorders>
            <w:shd w:val="clear" w:color="000000" w:fill="DAF2D0"/>
            <w:noWrap/>
            <w:vAlign w:val="bottom"/>
            <w:hideMark/>
          </w:tcPr>
          <w:p w14:paraId="56B1843C"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34.4</w:t>
            </w:r>
          </w:p>
        </w:tc>
        <w:tc>
          <w:tcPr>
            <w:tcW w:w="1276" w:type="dxa"/>
            <w:tcBorders>
              <w:top w:val="nil"/>
              <w:left w:val="nil"/>
              <w:bottom w:val="nil"/>
              <w:right w:val="nil"/>
            </w:tcBorders>
            <w:shd w:val="clear" w:color="000000" w:fill="DAF2D0"/>
            <w:noWrap/>
            <w:vAlign w:val="bottom"/>
            <w:hideMark/>
          </w:tcPr>
          <w:p w14:paraId="732AE75B"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0.0</w:t>
            </w:r>
          </w:p>
        </w:tc>
      </w:tr>
      <w:tr w:rsidR="007731C0" w:rsidRPr="00917004" w14:paraId="53F05C70" w14:textId="77777777" w:rsidTr="00BD00D0">
        <w:trPr>
          <w:trHeight w:val="300"/>
        </w:trPr>
        <w:tc>
          <w:tcPr>
            <w:tcW w:w="1418" w:type="dxa"/>
            <w:tcBorders>
              <w:top w:val="nil"/>
              <w:left w:val="nil"/>
              <w:bottom w:val="nil"/>
              <w:right w:val="nil"/>
            </w:tcBorders>
            <w:shd w:val="clear" w:color="000000" w:fill="FFFFFF"/>
            <w:noWrap/>
            <w:vAlign w:val="bottom"/>
            <w:hideMark/>
          </w:tcPr>
          <w:p w14:paraId="5A27D266" w14:textId="77777777" w:rsidR="007731C0" w:rsidRPr="00917004" w:rsidRDefault="007731C0" w:rsidP="007731C0">
            <w:pPr>
              <w:spacing w:after="0" w:line="240" w:lineRule="auto"/>
              <w:ind w:firstLineChars="100" w:firstLine="220"/>
              <w:jc w:val="left"/>
              <w:rPr>
                <w:rFonts w:ascii="Aptos Narrow" w:hAnsi="Aptos Narrow"/>
                <w:i/>
                <w:iCs/>
                <w:noProof/>
                <w:color w:val="000000"/>
                <w:szCs w:val="22"/>
                <w:lang w:val="en-IE" w:eastAsia="en-IE"/>
              </w:rPr>
            </w:pPr>
            <w:r w:rsidRPr="00917004">
              <w:rPr>
                <w:rFonts w:ascii="Aptos Narrow" w:hAnsi="Aptos Narrow"/>
                <w:i/>
                <w:iCs/>
                <w:noProof/>
                <w:color w:val="000000"/>
                <w:szCs w:val="22"/>
                <w:lang w:val="en-IE" w:eastAsia="en-IE"/>
              </w:rPr>
              <w:t>Indirect management</w:t>
            </w:r>
          </w:p>
        </w:tc>
        <w:tc>
          <w:tcPr>
            <w:tcW w:w="1417" w:type="dxa"/>
            <w:tcBorders>
              <w:top w:val="nil"/>
              <w:left w:val="nil"/>
              <w:bottom w:val="nil"/>
              <w:right w:val="nil"/>
            </w:tcBorders>
            <w:shd w:val="clear" w:color="000000" w:fill="FFFFFF"/>
            <w:noWrap/>
            <w:vAlign w:val="bottom"/>
            <w:hideMark/>
          </w:tcPr>
          <w:p w14:paraId="44BF78CF" w14:textId="77777777" w:rsidR="007731C0" w:rsidRPr="00917004" w:rsidRDefault="007731C0" w:rsidP="007731C0">
            <w:pPr>
              <w:spacing w:after="0" w:line="240" w:lineRule="auto"/>
              <w:ind w:firstLineChars="100" w:firstLine="220"/>
              <w:jc w:val="right"/>
              <w:rPr>
                <w:rFonts w:ascii="Aptos Narrow" w:hAnsi="Aptos Narrow"/>
                <w:i/>
                <w:iCs/>
                <w:noProof/>
                <w:color w:val="000000"/>
                <w:szCs w:val="22"/>
                <w:lang w:val="en-IE" w:eastAsia="en-IE"/>
              </w:rPr>
            </w:pPr>
            <w:r w:rsidRPr="00917004">
              <w:rPr>
                <w:rFonts w:ascii="Aptos Narrow" w:hAnsi="Aptos Narrow"/>
                <w:i/>
                <w:iCs/>
                <w:noProof/>
                <w:color w:val="000000"/>
                <w:szCs w:val="22"/>
                <w:lang w:val="en-IE" w:eastAsia="en-IE"/>
              </w:rPr>
              <w:t>48</w:t>
            </w:r>
          </w:p>
        </w:tc>
        <w:tc>
          <w:tcPr>
            <w:tcW w:w="1243" w:type="dxa"/>
            <w:tcBorders>
              <w:top w:val="nil"/>
              <w:left w:val="nil"/>
              <w:bottom w:val="nil"/>
              <w:right w:val="nil"/>
            </w:tcBorders>
            <w:shd w:val="clear" w:color="000000" w:fill="FFFFFF"/>
            <w:noWrap/>
            <w:vAlign w:val="bottom"/>
            <w:hideMark/>
          </w:tcPr>
          <w:p w14:paraId="008A6A4E"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98.7</w:t>
            </w:r>
          </w:p>
        </w:tc>
        <w:tc>
          <w:tcPr>
            <w:tcW w:w="1309" w:type="dxa"/>
            <w:tcBorders>
              <w:top w:val="nil"/>
              <w:left w:val="nil"/>
              <w:bottom w:val="nil"/>
              <w:right w:val="nil"/>
            </w:tcBorders>
            <w:shd w:val="clear" w:color="000000" w:fill="FFFFFF"/>
            <w:noWrap/>
            <w:vAlign w:val="bottom"/>
            <w:hideMark/>
          </w:tcPr>
          <w:p w14:paraId="591CE24A"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71.6</w:t>
            </w:r>
          </w:p>
        </w:tc>
        <w:tc>
          <w:tcPr>
            <w:tcW w:w="1275" w:type="dxa"/>
            <w:tcBorders>
              <w:top w:val="nil"/>
              <w:left w:val="nil"/>
              <w:bottom w:val="nil"/>
              <w:right w:val="nil"/>
            </w:tcBorders>
            <w:shd w:val="clear" w:color="000000" w:fill="FFFFFF"/>
            <w:noWrap/>
            <w:vAlign w:val="bottom"/>
            <w:hideMark/>
          </w:tcPr>
          <w:p w14:paraId="44221450"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6.1</w:t>
            </w:r>
          </w:p>
        </w:tc>
        <w:tc>
          <w:tcPr>
            <w:tcW w:w="1276" w:type="dxa"/>
            <w:tcBorders>
              <w:top w:val="nil"/>
              <w:left w:val="nil"/>
              <w:bottom w:val="nil"/>
              <w:right w:val="nil"/>
            </w:tcBorders>
            <w:shd w:val="clear" w:color="000000" w:fill="FFFFFF"/>
            <w:noWrap/>
            <w:vAlign w:val="bottom"/>
            <w:hideMark/>
          </w:tcPr>
          <w:p w14:paraId="6A7227C9"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113.4</w:t>
            </w:r>
          </w:p>
        </w:tc>
        <w:tc>
          <w:tcPr>
            <w:tcW w:w="1276" w:type="dxa"/>
            <w:tcBorders>
              <w:top w:val="nil"/>
              <w:left w:val="nil"/>
              <w:bottom w:val="nil"/>
              <w:right w:val="nil"/>
            </w:tcBorders>
            <w:shd w:val="clear" w:color="000000" w:fill="FFFFFF"/>
            <w:noWrap/>
            <w:vAlign w:val="bottom"/>
            <w:hideMark/>
          </w:tcPr>
          <w:p w14:paraId="386D4B59"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113.4</w:t>
            </w:r>
          </w:p>
        </w:tc>
      </w:tr>
      <w:tr w:rsidR="007731C0" w:rsidRPr="00917004" w14:paraId="45A165A4" w14:textId="77777777" w:rsidTr="00BD00D0">
        <w:trPr>
          <w:trHeight w:val="300"/>
        </w:trPr>
        <w:tc>
          <w:tcPr>
            <w:tcW w:w="1418" w:type="dxa"/>
            <w:tcBorders>
              <w:top w:val="nil"/>
              <w:left w:val="nil"/>
              <w:bottom w:val="nil"/>
              <w:right w:val="nil"/>
            </w:tcBorders>
            <w:shd w:val="clear" w:color="000000" w:fill="F2CEEF"/>
            <w:noWrap/>
            <w:vAlign w:val="bottom"/>
            <w:hideMark/>
          </w:tcPr>
          <w:p w14:paraId="47171CFD" w14:textId="77777777" w:rsidR="007731C0" w:rsidRPr="00917004" w:rsidRDefault="007731C0" w:rsidP="007731C0">
            <w:pPr>
              <w:spacing w:after="0" w:line="240" w:lineRule="auto"/>
              <w:ind w:firstLineChars="100" w:firstLine="220"/>
              <w:jc w:val="left"/>
              <w:rPr>
                <w:rFonts w:ascii="Aptos Narrow" w:hAnsi="Aptos Narrow"/>
                <w:i/>
                <w:iCs/>
                <w:noProof/>
                <w:color w:val="000000"/>
                <w:szCs w:val="22"/>
                <w:lang w:val="en-IE" w:eastAsia="en-IE"/>
              </w:rPr>
            </w:pPr>
            <w:r w:rsidRPr="00917004">
              <w:rPr>
                <w:rFonts w:ascii="Aptos Narrow" w:hAnsi="Aptos Narrow"/>
                <w:i/>
                <w:iCs/>
                <w:noProof/>
                <w:color w:val="000000"/>
                <w:szCs w:val="22"/>
                <w:lang w:val="en-IE" w:eastAsia="en-IE"/>
              </w:rPr>
              <w:t>Direct management</w:t>
            </w:r>
          </w:p>
        </w:tc>
        <w:tc>
          <w:tcPr>
            <w:tcW w:w="1417" w:type="dxa"/>
            <w:tcBorders>
              <w:top w:val="nil"/>
              <w:left w:val="nil"/>
              <w:bottom w:val="nil"/>
              <w:right w:val="nil"/>
            </w:tcBorders>
            <w:shd w:val="clear" w:color="000000" w:fill="F2CEEF"/>
            <w:noWrap/>
            <w:vAlign w:val="bottom"/>
            <w:hideMark/>
          </w:tcPr>
          <w:p w14:paraId="5CBFE9C1" w14:textId="77777777" w:rsidR="007731C0" w:rsidRPr="00917004" w:rsidRDefault="007731C0" w:rsidP="007731C0">
            <w:pPr>
              <w:spacing w:after="0" w:line="240" w:lineRule="auto"/>
              <w:ind w:firstLineChars="100" w:firstLine="220"/>
              <w:jc w:val="right"/>
              <w:rPr>
                <w:rFonts w:ascii="Aptos Narrow" w:hAnsi="Aptos Narrow"/>
                <w:i/>
                <w:iCs/>
                <w:noProof/>
                <w:color w:val="000000"/>
                <w:szCs w:val="22"/>
                <w:lang w:val="en-IE" w:eastAsia="en-IE"/>
              </w:rPr>
            </w:pPr>
            <w:r w:rsidRPr="00917004">
              <w:rPr>
                <w:rFonts w:ascii="Aptos Narrow" w:hAnsi="Aptos Narrow"/>
                <w:i/>
                <w:iCs/>
                <w:noProof/>
                <w:color w:val="000000"/>
                <w:szCs w:val="22"/>
                <w:lang w:val="en-IE" w:eastAsia="en-IE"/>
              </w:rPr>
              <w:t>153</w:t>
            </w:r>
          </w:p>
        </w:tc>
        <w:tc>
          <w:tcPr>
            <w:tcW w:w="1243" w:type="dxa"/>
            <w:tcBorders>
              <w:top w:val="nil"/>
              <w:left w:val="nil"/>
              <w:bottom w:val="nil"/>
              <w:right w:val="nil"/>
            </w:tcBorders>
            <w:shd w:val="clear" w:color="000000" w:fill="F2CEEF"/>
            <w:noWrap/>
            <w:vAlign w:val="bottom"/>
            <w:hideMark/>
          </w:tcPr>
          <w:p w14:paraId="497774C5"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720.8</w:t>
            </w:r>
          </w:p>
        </w:tc>
        <w:tc>
          <w:tcPr>
            <w:tcW w:w="1309" w:type="dxa"/>
            <w:tcBorders>
              <w:top w:val="nil"/>
              <w:left w:val="nil"/>
              <w:bottom w:val="nil"/>
              <w:right w:val="nil"/>
            </w:tcBorders>
            <w:shd w:val="clear" w:color="000000" w:fill="F2CEEF"/>
            <w:noWrap/>
            <w:vAlign w:val="bottom"/>
            <w:hideMark/>
          </w:tcPr>
          <w:p w14:paraId="06C77360"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166.3</w:t>
            </w:r>
          </w:p>
        </w:tc>
        <w:tc>
          <w:tcPr>
            <w:tcW w:w="1275" w:type="dxa"/>
            <w:tcBorders>
              <w:top w:val="nil"/>
              <w:left w:val="nil"/>
              <w:bottom w:val="nil"/>
              <w:right w:val="nil"/>
            </w:tcBorders>
            <w:shd w:val="clear" w:color="000000" w:fill="F2CEEF"/>
            <w:noWrap/>
            <w:vAlign w:val="bottom"/>
            <w:hideMark/>
          </w:tcPr>
          <w:p w14:paraId="2CA1DA21"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67.0</w:t>
            </w:r>
          </w:p>
        </w:tc>
        <w:tc>
          <w:tcPr>
            <w:tcW w:w="1276" w:type="dxa"/>
            <w:tcBorders>
              <w:top w:val="nil"/>
              <w:left w:val="nil"/>
              <w:bottom w:val="nil"/>
              <w:right w:val="nil"/>
            </w:tcBorders>
            <w:shd w:val="clear" w:color="000000" w:fill="DAF2D0"/>
            <w:noWrap/>
            <w:vAlign w:val="bottom"/>
            <w:hideMark/>
          </w:tcPr>
          <w:p w14:paraId="5839FCED"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135.4</w:t>
            </w:r>
          </w:p>
        </w:tc>
        <w:tc>
          <w:tcPr>
            <w:tcW w:w="1276" w:type="dxa"/>
            <w:tcBorders>
              <w:top w:val="nil"/>
              <w:left w:val="nil"/>
              <w:bottom w:val="nil"/>
              <w:right w:val="nil"/>
            </w:tcBorders>
            <w:shd w:val="clear" w:color="000000" w:fill="DAF2D0"/>
            <w:noWrap/>
            <w:vAlign w:val="bottom"/>
            <w:hideMark/>
          </w:tcPr>
          <w:p w14:paraId="43A9013D" w14:textId="77777777" w:rsidR="007731C0" w:rsidRPr="00BD00D0" w:rsidRDefault="007731C0" w:rsidP="007731C0">
            <w:pPr>
              <w:spacing w:after="0" w:line="240" w:lineRule="auto"/>
              <w:jc w:val="right"/>
              <w:rPr>
                <w:rFonts w:ascii="Aptos Narrow" w:hAnsi="Aptos Narrow"/>
                <w:i/>
                <w:iCs/>
                <w:noProof/>
                <w:color w:val="000000"/>
                <w:szCs w:val="22"/>
                <w:lang w:val="en-IE" w:eastAsia="en-IE"/>
              </w:rPr>
            </w:pPr>
            <w:r w:rsidRPr="00BD00D0">
              <w:rPr>
                <w:rFonts w:ascii="Aptos Narrow" w:hAnsi="Aptos Narrow"/>
                <w:i/>
                <w:iCs/>
                <w:noProof/>
                <w:color w:val="000000"/>
                <w:szCs w:val="22"/>
                <w:lang w:val="en-IE" w:eastAsia="en-IE"/>
              </w:rPr>
              <w:t>126.2</w:t>
            </w:r>
          </w:p>
        </w:tc>
      </w:tr>
    </w:tbl>
    <w:p w14:paraId="6C13A3E0" w14:textId="77777777" w:rsidR="00504C85" w:rsidRPr="00677DDF" w:rsidRDefault="00504C85" w:rsidP="044E42F4">
      <w:pPr>
        <w:rPr>
          <w:b/>
          <w:bCs/>
          <w:noProof/>
        </w:rPr>
      </w:pPr>
    </w:p>
    <w:sectPr w:rsidR="00504C85" w:rsidRPr="00677DDF" w:rsidSect="004739A2">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49312" w14:textId="77777777" w:rsidR="00EB1099" w:rsidRPr="00DE3A6F" w:rsidRDefault="00EB1099">
      <w:pPr>
        <w:spacing w:after="0" w:line="240" w:lineRule="auto"/>
      </w:pPr>
      <w:r w:rsidRPr="00DE3A6F">
        <w:separator/>
      </w:r>
    </w:p>
  </w:endnote>
  <w:endnote w:type="continuationSeparator" w:id="0">
    <w:p w14:paraId="56965E70" w14:textId="77777777" w:rsidR="00EB1099" w:rsidRPr="00CA1602" w:rsidRDefault="00EB1099">
      <w:pPr>
        <w:spacing w:after="0" w:line="240" w:lineRule="auto"/>
      </w:pPr>
      <w:r w:rsidRPr="00CA1602">
        <w:continuationSeparator/>
      </w:r>
    </w:p>
  </w:endnote>
  <w:endnote w:type="continuationNotice" w:id="1">
    <w:p w14:paraId="7B9A9DE5" w14:textId="77777777" w:rsidR="00EB1099" w:rsidRPr="00CA1602" w:rsidRDefault="00EB10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EC Square Sans Pro">
    <w:panose1 w:val="020B0506040000020004"/>
    <w:charset w:val="00"/>
    <w:family w:val="swiss"/>
    <w:pitch w:val="variable"/>
    <w:sig w:usb0="20000287"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8822" w14:textId="7F59EF82" w:rsidR="00753838" w:rsidRPr="00753838" w:rsidRDefault="00753838" w:rsidP="00753838">
    <w:pPr>
      <w:pStyle w:val="FooterCoverPage"/>
      <w:rPr>
        <w:rFonts w:ascii="Arial" w:hAnsi="Arial" w:cs="Arial"/>
        <w:b/>
        <w:sz w:val="48"/>
      </w:rPr>
    </w:pPr>
    <w:r w:rsidRPr="00753838">
      <w:rPr>
        <w:rFonts w:ascii="Arial" w:hAnsi="Arial" w:cs="Arial"/>
        <w:b/>
        <w:sz w:val="48"/>
      </w:rPr>
      <w:t>EN</w:t>
    </w:r>
    <w:r w:rsidRPr="00753838">
      <w:rPr>
        <w:rFonts w:ascii="Arial" w:hAnsi="Arial" w:cs="Arial"/>
        <w:b/>
        <w:sz w:val="48"/>
      </w:rPr>
      <w:tab/>
    </w:r>
    <w:r w:rsidRPr="00753838">
      <w:rPr>
        <w:rFonts w:ascii="Arial" w:hAnsi="Arial" w:cs="Arial"/>
        <w:b/>
        <w:sz w:val="48"/>
      </w:rPr>
      <w:tab/>
    </w:r>
    <w:r w:rsidRPr="00753838">
      <w:tab/>
    </w:r>
    <w:r w:rsidRPr="0075383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BA8AA" w14:textId="4FD42917" w:rsidR="00753838" w:rsidRPr="00753838" w:rsidRDefault="00753838" w:rsidP="00753838">
    <w:pPr>
      <w:pStyle w:val="FooterCoverPage"/>
      <w:rPr>
        <w:rFonts w:ascii="Arial" w:hAnsi="Arial" w:cs="Arial"/>
        <w:b/>
        <w:sz w:val="48"/>
      </w:rPr>
    </w:pPr>
    <w:r w:rsidRPr="00753838">
      <w:rPr>
        <w:rFonts w:ascii="Arial" w:hAnsi="Arial" w:cs="Arial"/>
        <w:b/>
        <w:sz w:val="48"/>
      </w:rPr>
      <w:t>EN</w:t>
    </w:r>
    <w:r w:rsidRPr="00753838">
      <w:rPr>
        <w:rFonts w:ascii="Arial" w:hAnsi="Arial" w:cs="Arial"/>
        <w:b/>
        <w:sz w:val="48"/>
      </w:rPr>
      <w:tab/>
    </w:r>
    <w:r w:rsidRPr="00753838">
      <w:rPr>
        <w:rFonts w:ascii="Arial" w:hAnsi="Arial" w:cs="Arial"/>
        <w:b/>
        <w:sz w:val="48"/>
      </w:rPr>
      <w:tab/>
    </w:r>
    <w:r w:rsidRPr="00753838">
      <w:tab/>
    </w:r>
    <w:r w:rsidRPr="0075383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7E9" w14:textId="77777777" w:rsidR="00753838" w:rsidRPr="00753838" w:rsidRDefault="00753838" w:rsidP="007538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4E53" w14:textId="77777777" w:rsidR="00E15719" w:rsidRPr="00CA1602" w:rsidRDefault="00E157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6CF6" w14:textId="77777777" w:rsidR="00E15719" w:rsidRPr="00DE3A6F" w:rsidRDefault="00E15719" w:rsidP="00301BBE">
    <w:pPr>
      <w:pStyle w:val="FooterCoverPage"/>
      <w:rPr>
        <w:rFonts w:ascii="Arial" w:hAnsi="Arial" w:cs="Arial"/>
        <w:b/>
        <w:sz w:val="48"/>
      </w:rPr>
    </w:pPr>
    <w:r w:rsidRPr="00DE3A6F">
      <w:rPr>
        <w:rFonts w:ascii="Arial" w:hAnsi="Arial" w:cs="Arial"/>
        <w:b/>
        <w:sz w:val="48"/>
      </w:rPr>
      <w:t>EN</w:t>
    </w:r>
    <w:r w:rsidRPr="00DE3A6F">
      <w:rPr>
        <w:rFonts w:ascii="Arial" w:hAnsi="Arial" w:cs="Arial"/>
        <w:b/>
        <w:sz w:val="48"/>
      </w:rPr>
      <w:tab/>
    </w:r>
    <w:r w:rsidRPr="00DE3A6F">
      <w:rPr>
        <w:rFonts w:ascii="Arial" w:hAnsi="Arial" w:cs="Arial"/>
        <w:b/>
        <w:sz w:val="48"/>
      </w:rPr>
      <w:tab/>
    </w:r>
    <w:r w:rsidRPr="00DE3A6F">
      <w:tab/>
    </w:r>
    <w:r w:rsidRPr="00DE3A6F">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D0D9" w14:textId="77777777" w:rsidR="00E15719" w:rsidRPr="00CA1602" w:rsidRDefault="00E157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3229" w14:textId="298DDD87" w:rsidR="00E15719" w:rsidRPr="00DE241B" w:rsidRDefault="00EB1099" w:rsidP="28D37C99">
    <w:pPr>
      <w:pStyle w:val="FooterLine"/>
    </w:pPr>
    <w:sdt>
      <w:sdtPr>
        <w:id w:val="-1772161552"/>
        <w:showingPlcHd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D26859">
          <w:t xml:space="preserve">     </w:t>
        </w:r>
      </w:sdtContent>
    </w:sdt>
    <w:r w:rsidR="28D37C99" w:rsidRPr="00DE241B">
      <w:t xml:space="preserve"> - </w:t>
    </w:r>
    <w:sdt>
      <w:sdtPr>
        <w:id w:val="1763878192"/>
        <w:dataBinding w:prefixMappings="xmlns:cp=&quot;http://schemas.openxmlformats.org/package/2006/metadata/core-properties&quot; xmlns:dc=&quot;http://purl.org/dc/elements/1.1/&quot; xmlns:dcterms=&quot;http://purl.org/dc/terms/&quot;" w:xpath="/cp:coreProperties[1]/dc:subject[1]" w:storeItemID="{6C3C8BC8-F283-45AE-878A-BAB7291924A1}"/>
        <w:text w:multiLine="1"/>
      </w:sdtPr>
      <w:sdtEndPr/>
      <w:sdtContent>
        <w:r w:rsidR="28D37C99" w:rsidRPr="00CA1602">
          <w:t>2021</w:t>
        </w:r>
      </w:sdtContent>
    </w:sdt>
    <w:r w:rsidR="00E15719" w:rsidRPr="00CA1602">
      <w:tab/>
    </w:r>
    <w:r w:rsidR="28D37C99" w:rsidRPr="00DE241B">
      <w:t xml:space="preserve">Page </w:t>
    </w:r>
    <w:r w:rsidR="00E15719" w:rsidRPr="00DE241B">
      <w:fldChar w:fldCharType="begin"/>
    </w:r>
    <w:r w:rsidR="00E15719" w:rsidRPr="00CA1602">
      <w:instrText>PAGE</w:instrText>
    </w:r>
    <w:r w:rsidR="00E15719" w:rsidRPr="00DE241B">
      <w:fldChar w:fldCharType="separate"/>
    </w:r>
    <w:r w:rsidR="28D37C99" w:rsidRPr="00DE241B">
      <w:t>3</w:t>
    </w:r>
    <w:r w:rsidR="00E15719" w:rsidRPr="00DE241B">
      <w:fldChar w:fldCharType="end"/>
    </w:r>
    <w:r w:rsidR="28D37C99" w:rsidRPr="00DE241B">
      <w:t xml:space="preserve"> / </w:t>
    </w:r>
    <w:r w:rsidR="00E15719" w:rsidRPr="00DE241B">
      <w:fldChar w:fldCharType="begin"/>
    </w:r>
    <w:r w:rsidR="00E15719" w:rsidRPr="00CA1602">
      <w:instrText>NUMPAGES</w:instrText>
    </w:r>
    <w:r w:rsidR="00E15719" w:rsidRPr="00DE241B">
      <w:fldChar w:fldCharType="separate"/>
    </w:r>
    <w:r w:rsidR="28D37C99" w:rsidRPr="00DE241B">
      <w:t>43</w:t>
    </w:r>
    <w:r w:rsidR="00E15719" w:rsidRPr="00DE241B">
      <w:fldChar w:fldCharType="end"/>
    </w:r>
  </w:p>
  <w:p w14:paraId="17833134" w14:textId="77777777" w:rsidR="00E15719" w:rsidRPr="00CA1602" w:rsidRDefault="00EB1099">
    <w:pPr>
      <w:pStyle w:val="Footer"/>
    </w:pPr>
    <w:sdt>
      <w:sdtPr>
        <w:id w:val="-2104712425"/>
        <w:dataBinding w:xpath="/Texts/TechFooterVersion" w:storeItemID="{4EF90DE6-88B6-4264-9629-4D8DFDFE87D2}"/>
        <w:text w:multiLine="1"/>
      </w:sdtPr>
      <w:sdtEndPr/>
      <w:sdtContent>
        <w:r w:rsidR="00E15719" w:rsidRPr="00CA1602">
          <w:t>Document Version</w:t>
        </w:r>
      </w:sdtContent>
    </w:sdt>
    <w:r w:rsidR="00E15719" w:rsidRPr="00CA1602">
      <w:t xml:space="preserve"> </w:t>
    </w:r>
    <w:sdt>
      <w:sdtPr>
        <w:alias w:val="Version"/>
        <w:id w:val="159893903"/>
        <w:dataBinding w:xpath="/EurolookProperties/DocumentVersion" w:storeItemID="{D3EA5527-7367-4268-9D83-5125C98D0ED2}"/>
        <w:text w:multiLine="1"/>
      </w:sdtPr>
      <w:sdtEndPr/>
      <w:sdtContent>
        <w:r w:rsidR="00E15719" w:rsidRPr="00CA1602">
          <w:t>1.1</w:t>
        </w:r>
      </w:sdtContent>
    </w:sdt>
    <w:r w:rsidR="00E15719" w:rsidRPr="00CA1602">
      <w:t xml:space="preserve"> </w:t>
    </w:r>
    <w:sdt>
      <w:sdtPr>
        <w:id w:val="-408147651"/>
        <w:dataBinding w:xpath="/Texts/TechFooterDated" w:storeItemID="{4EF90DE6-88B6-4264-9629-4D8DFDFE87D2}"/>
        <w:text w:multiLine="1"/>
      </w:sdtPr>
      <w:sdtEndPr/>
      <w:sdtContent>
        <w:r w:rsidR="00E15719" w:rsidRPr="00CA1602">
          <w:t>dated</w:t>
        </w:r>
      </w:sdtContent>
    </w:sdt>
    <w:r w:rsidR="00E15719" w:rsidRPr="00CA1602">
      <w:t xml:space="preserve"> </w:t>
    </w:r>
    <w:sdt>
      <w:sdtPr>
        <w:alias w:val=""/>
        <w:id w:val="1441789793"/>
        <w:dataBinding w:xpath="/EurolookProperties/DocumentDate" w:storeItemID="{D3EA5527-7367-4268-9D83-5125C98D0ED2}"/>
        <w:date w:fullDate="2022-06-20T00:00:00Z">
          <w:dateFormat w:val="dd/MM/yyyy"/>
          <w:lid w:val="en-GB"/>
          <w:storeMappedDataAs w:val="dateTime"/>
          <w:calendar w:val="gregorian"/>
        </w:date>
      </w:sdtPr>
      <w:sdtEndPr/>
      <w:sdtContent>
        <w:r w:rsidR="00E15719" w:rsidRPr="00CA1602">
          <w:t>20/06/2022</w:t>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1220" w14:textId="715759BC" w:rsidR="00E15719" w:rsidRPr="00DE3A6F" w:rsidRDefault="221E107C" w:rsidP="221E107C">
    <w:pPr>
      <w:pStyle w:val="FooterLine"/>
    </w:pPr>
    <w:r w:rsidRPr="00DE3A6F">
      <w:t xml:space="preserve">Page </w:t>
    </w:r>
    <w:r w:rsidR="00E15719" w:rsidRPr="00DE3A6F">
      <w:fldChar w:fldCharType="begin"/>
    </w:r>
    <w:r w:rsidR="00E15719" w:rsidRPr="00DE3A6F">
      <w:instrText>PAGE</w:instrText>
    </w:r>
    <w:r w:rsidR="00E15719" w:rsidRPr="00DE3A6F">
      <w:fldChar w:fldCharType="separate"/>
    </w:r>
    <w:r w:rsidR="00753838">
      <w:rPr>
        <w:noProof/>
      </w:rPr>
      <w:t>6</w:t>
    </w:r>
    <w:r w:rsidR="00E15719" w:rsidRPr="00DE3A6F">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940F" w14:textId="77777777" w:rsidR="00E15719" w:rsidRPr="00DE3A6F" w:rsidRDefault="00E15719" w:rsidP="00727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F76D6" w14:textId="77777777" w:rsidR="00EB1099" w:rsidRPr="00DE3A6F" w:rsidRDefault="00EB1099">
      <w:pPr>
        <w:spacing w:after="0" w:line="240" w:lineRule="auto"/>
      </w:pPr>
      <w:r w:rsidRPr="00DE3A6F">
        <w:separator/>
      </w:r>
    </w:p>
  </w:footnote>
  <w:footnote w:type="continuationSeparator" w:id="0">
    <w:p w14:paraId="179C4E26" w14:textId="77777777" w:rsidR="00EB1099" w:rsidRPr="00CA1602" w:rsidRDefault="00EB1099">
      <w:pPr>
        <w:spacing w:after="0" w:line="240" w:lineRule="auto"/>
      </w:pPr>
      <w:r w:rsidRPr="00CA1602">
        <w:continuationSeparator/>
      </w:r>
    </w:p>
  </w:footnote>
  <w:footnote w:type="continuationNotice" w:id="1">
    <w:p w14:paraId="5091829B" w14:textId="77777777" w:rsidR="00EB1099" w:rsidRPr="00DE3A6F" w:rsidRDefault="00EB1099">
      <w:pPr>
        <w:spacing w:after="0" w:line="240" w:lineRule="auto"/>
      </w:pPr>
    </w:p>
  </w:footnote>
  <w:footnote w:id="2">
    <w:p w14:paraId="7CA72BA4" w14:textId="523DD819" w:rsidR="00600CD6" w:rsidRPr="00DE3A6F" w:rsidRDefault="13F9CCF2">
      <w:pPr>
        <w:pStyle w:val="FootnoteText"/>
      </w:pPr>
      <w:r w:rsidRPr="00DE3A6F">
        <w:t>(</w:t>
      </w:r>
      <w:r w:rsidR="00600CD6" w:rsidRPr="00DE3A6F">
        <w:rPr>
          <w:rStyle w:val="FootnoteReference"/>
        </w:rPr>
        <w:footnoteRef/>
      </w:r>
      <w:r w:rsidRPr="00DE3A6F">
        <w:t>)</w:t>
      </w:r>
      <w:r w:rsidR="00600CD6" w:rsidRPr="00DE3A6F">
        <w:tab/>
      </w:r>
      <w:r w:rsidRPr="00DE3A6F">
        <w:t xml:space="preserve">Multiannual financial framework ceilings in million EUR, at current prices. Source: </w:t>
      </w:r>
      <w:r w:rsidRPr="00DE3A6F">
        <w:rPr>
          <w:i/>
          <w:iCs/>
        </w:rPr>
        <w:t xml:space="preserve"> </w:t>
      </w:r>
      <w:r w:rsidRPr="00DE3A6F">
        <w:t>OJ L, 2025/31, 27.2.2025</w:t>
      </w:r>
    </w:p>
  </w:footnote>
  <w:footnote w:id="3">
    <w:p w14:paraId="1B53CDD3" w14:textId="30B3E1AF" w:rsidR="003C4BB2" w:rsidRPr="00DE3A6F" w:rsidRDefault="00D33D16">
      <w:pPr>
        <w:pStyle w:val="FootnoteText"/>
      </w:pPr>
      <w:r w:rsidRPr="00DE3A6F">
        <w:t>(</w:t>
      </w:r>
      <w:r w:rsidR="003C4BB2" w:rsidRPr="00DE3A6F">
        <w:rPr>
          <w:rStyle w:val="FootnoteReference"/>
        </w:rPr>
        <w:footnoteRef/>
      </w:r>
      <w:r w:rsidRPr="00DE3A6F">
        <w:t>)</w:t>
      </w:r>
      <w:r w:rsidR="003C4BB2" w:rsidRPr="00DE3A6F">
        <w:t xml:space="preserve"> </w:t>
      </w:r>
      <w:r w:rsidR="003C4BB2" w:rsidRPr="00DE3A6F">
        <w:tab/>
        <w:t>In 2021 prices.</w:t>
      </w:r>
    </w:p>
  </w:footnote>
  <w:footnote w:id="4">
    <w:p w14:paraId="06721A33" w14:textId="77777777" w:rsidR="00E15719" w:rsidRPr="00DE3A6F" w:rsidRDefault="00E15719" w:rsidP="00DE46ED">
      <w:pPr>
        <w:pStyle w:val="FootnoteText"/>
        <w:rPr>
          <w:sz w:val="18"/>
        </w:rPr>
      </w:pPr>
      <w:r w:rsidRPr="00DE3A6F">
        <w:t>(</w:t>
      </w:r>
      <w:r w:rsidRPr="00DE3A6F">
        <w:rPr>
          <w:rStyle w:val="FootnoteReference"/>
          <w:sz w:val="18"/>
        </w:rPr>
        <w:footnoteRef/>
      </w:r>
      <w:r w:rsidRPr="00DE3A6F">
        <w:t xml:space="preserve">) </w:t>
      </w:r>
      <w:r w:rsidRPr="00DE3A6F">
        <w:tab/>
        <w:t>Article 310(6) TFEU.</w:t>
      </w:r>
    </w:p>
  </w:footnote>
  <w:footnote w:id="5">
    <w:p w14:paraId="6263BDA3" w14:textId="4BF988A1" w:rsidR="00E15719" w:rsidRPr="00DE3A6F" w:rsidRDefault="00E15719" w:rsidP="007868A2">
      <w:pPr>
        <w:pStyle w:val="FootnoteText"/>
        <w:rPr>
          <w:sz w:val="18"/>
        </w:rPr>
      </w:pPr>
      <w:r w:rsidRPr="00DE3A6F">
        <w:t>(</w:t>
      </w:r>
      <w:r w:rsidRPr="00DE3A6F">
        <w:rPr>
          <w:rStyle w:val="FootnoteReference"/>
          <w:sz w:val="18"/>
        </w:rPr>
        <w:footnoteRef/>
      </w:r>
      <w:r w:rsidRPr="00DE3A6F">
        <w:t xml:space="preserve">) </w:t>
      </w:r>
      <w:r w:rsidRPr="00DE3A6F">
        <w:tab/>
        <w:t>Th</w:t>
      </w:r>
      <w:r w:rsidR="00E070A6" w:rsidRPr="00DE3A6F">
        <w:t>e</w:t>
      </w:r>
      <w:r w:rsidRPr="00DE3A6F">
        <w:t xml:space="preserve"> seven Commission staff working documents</w:t>
      </w:r>
      <w:r w:rsidR="00E070A6" w:rsidRPr="00DE3A6F">
        <w:t xml:space="preserve"> are</w:t>
      </w:r>
      <w:r w:rsidRPr="00DE3A6F">
        <w:t>:</w:t>
      </w:r>
    </w:p>
    <w:p w14:paraId="276F0F60" w14:textId="024BBBE6" w:rsidR="00E15719" w:rsidRPr="00DE3A6F" w:rsidRDefault="00E15719" w:rsidP="00C84E03">
      <w:pPr>
        <w:pStyle w:val="FootnoteText"/>
        <w:numPr>
          <w:ilvl w:val="0"/>
          <w:numId w:val="19"/>
        </w:numPr>
        <w:spacing w:before="40" w:after="0" w:line="240" w:lineRule="auto"/>
        <w:jc w:val="left"/>
      </w:pPr>
      <w:r w:rsidRPr="00DE3A6F">
        <w:t xml:space="preserve">National anti-fraud strategies (NAFS) </w:t>
      </w:r>
      <w:r w:rsidR="0024342B" w:rsidRPr="00DE3A6F">
        <w:t xml:space="preserve">- </w:t>
      </w:r>
      <w:r w:rsidRPr="00DE3A6F">
        <w:t>state of play;</w:t>
      </w:r>
    </w:p>
    <w:p w14:paraId="6AADA4B3" w14:textId="02FCF413" w:rsidR="00E15719" w:rsidRPr="00DE3A6F" w:rsidRDefault="00E15719" w:rsidP="00C84E03">
      <w:pPr>
        <w:pStyle w:val="FootnoteText"/>
        <w:numPr>
          <w:ilvl w:val="0"/>
          <w:numId w:val="19"/>
        </w:numPr>
        <w:spacing w:before="40" w:after="0" w:line="240" w:lineRule="auto"/>
        <w:jc w:val="left"/>
      </w:pPr>
      <w:r w:rsidRPr="00DE3A6F">
        <w:t>Measures adopted by Member States to protect the EU’s financial interests</w:t>
      </w:r>
      <w:r w:rsidR="00B84F42" w:rsidRPr="00DE3A6F">
        <w:t>– Implementation of article 325 TFEU</w:t>
      </w:r>
      <w:r w:rsidRPr="00DE3A6F">
        <w:t>;</w:t>
      </w:r>
    </w:p>
    <w:p w14:paraId="2294442A" w14:textId="64206136" w:rsidR="00E15719" w:rsidRPr="00DE3A6F" w:rsidRDefault="00E15719" w:rsidP="00C84E03">
      <w:pPr>
        <w:pStyle w:val="FootnoteText"/>
        <w:numPr>
          <w:ilvl w:val="0"/>
          <w:numId w:val="19"/>
        </w:numPr>
        <w:spacing w:before="40" w:after="0" w:line="240" w:lineRule="auto"/>
        <w:jc w:val="left"/>
      </w:pPr>
      <w:r w:rsidRPr="00DE3A6F">
        <w:t xml:space="preserve">Follow-up </w:t>
      </w:r>
      <w:r w:rsidR="00732295" w:rsidRPr="00DE3A6F">
        <w:t>by</w:t>
      </w:r>
      <w:r w:rsidR="006C2B25" w:rsidRPr="00DE3A6F">
        <w:t xml:space="preserve"> Member States to the</w:t>
      </w:r>
      <w:r w:rsidRPr="00DE3A6F">
        <w:t xml:space="preserve"> recommendations </w:t>
      </w:r>
      <w:r w:rsidR="006C2B25" w:rsidRPr="00DE3A6F">
        <w:t>of the PIF Report</w:t>
      </w:r>
      <w:r w:rsidRPr="00DE3A6F">
        <w:t xml:space="preserve"> 202</w:t>
      </w:r>
      <w:r w:rsidR="00D6196D" w:rsidRPr="00DE3A6F">
        <w:t>4</w:t>
      </w:r>
      <w:r w:rsidRPr="00DE3A6F">
        <w:t>;</w:t>
      </w:r>
    </w:p>
    <w:p w14:paraId="2D07D0A2" w14:textId="68EC9C1A" w:rsidR="00E15719" w:rsidRPr="00DE3A6F" w:rsidRDefault="00E15719" w:rsidP="00C84E03">
      <w:pPr>
        <w:pStyle w:val="FootnoteText"/>
        <w:numPr>
          <w:ilvl w:val="0"/>
          <w:numId w:val="19"/>
        </w:numPr>
        <w:spacing w:before="40" w:after="0" w:line="240" w:lineRule="auto"/>
        <w:jc w:val="left"/>
      </w:pPr>
      <w:r w:rsidRPr="00DE3A6F">
        <w:t xml:space="preserve">Statistical evaluation of irregularities reported for own resources, </w:t>
      </w:r>
      <w:r w:rsidR="00841AFF" w:rsidRPr="00DE3A6F">
        <w:t>agriculture</w:t>
      </w:r>
      <w:r w:rsidRPr="00DE3A6F">
        <w:t xml:space="preserve">, cohesion </w:t>
      </w:r>
      <w:r w:rsidR="00655756" w:rsidRPr="00DE3A6F">
        <w:t xml:space="preserve">and </w:t>
      </w:r>
      <w:r w:rsidR="0036148D" w:rsidRPr="00DE3A6F">
        <w:t>fisheries</w:t>
      </w:r>
      <w:r w:rsidR="00655756" w:rsidRPr="00DE3A6F">
        <w:t xml:space="preserve"> </w:t>
      </w:r>
      <w:r w:rsidRPr="00DE3A6F">
        <w:t>polic</w:t>
      </w:r>
      <w:r w:rsidR="00655756" w:rsidRPr="00DE3A6F">
        <w:t>ies</w:t>
      </w:r>
      <w:r w:rsidRPr="00DE3A6F">
        <w:t>, pre-accession and direct expenditure;</w:t>
      </w:r>
    </w:p>
    <w:p w14:paraId="1FDB945F" w14:textId="1A967727" w:rsidR="00E15719" w:rsidRPr="00DE3A6F" w:rsidRDefault="00E15719" w:rsidP="00C84E03">
      <w:pPr>
        <w:pStyle w:val="FootnoteText"/>
        <w:numPr>
          <w:ilvl w:val="0"/>
          <w:numId w:val="19"/>
        </w:numPr>
        <w:spacing w:before="40" w:after="0" w:line="240" w:lineRule="auto"/>
        <w:jc w:val="left"/>
      </w:pPr>
      <w:r w:rsidRPr="00DE3A6F">
        <w:t xml:space="preserve">Commission </w:t>
      </w:r>
      <w:r w:rsidR="005279A4" w:rsidRPr="00DE3A6F">
        <w:t>anti-fraud s</w:t>
      </w:r>
      <w:r w:rsidRPr="00DE3A6F">
        <w:t>trategy (CAFS) action plan implementation monitoring: state-of-play 31 May 202</w:t>
      </w:r>
      <w:r w:rsidR="00D6196D" w:rsidRPr="00DE3A6F">
        <w:t>6</w:t>
      </w:r>
      <w:r w:rsidRPr="00DE3A6F">
        <w:t>;</w:t>
      </w:r>
    </w:p>
    <w:p w14:paraId="45D7B8DC" w14:textId="77777777" w:rsidR="00E15719" w:rsidRPr="00E65AA4" w:rsidRDefault="00E15719" w:rsidP="00C84E03">
      <w:pPr>
        <w:pStyle w:val="FootnoteText"/>
        <w:numPr>
          <w:ilvl w:val="0"/>
          <w:numId w:val="19"/>
        </w:numPr>
        <w:spacing w:before="40" w:after="0" w:line="240" w:lineRule="auto"/>
        <w:jc w:val="left"/>
      </w:pPr>
      <w:r w:rsidRPr="00E65AA4">
        <w:t>Early Detection and Exclusion System (EDES) – Panel referred to in Article 143 of the Financial Regulation;</w:t>
      </w:r>
    </w:p>
    <w:p w14:paraId="7FDB9A2C" w14:textId="6FE74098" w:rsidR="00E15719" w:rsidRPr="00DE3A6F" w:rsidRDefault="00E15719" w:rsidP="00C84E03">
      <w:pPr>
        <w:pStyle w:val="FootnoteText"/>
        <w:numPr>
          <w:ilvl w:val="0"/>
          <w:numId w:val="19"/>
        </w:numPr>
        <w:spacing w:before="40" w:after="0" w:line="240" w:lineRule="auto"/>
        <w:jc w:val="left"/>
      </w:pPr>
      <w:r w:rsidRPr="00DE3A6F">
        <w:t>Annual overview with information on the results of the Union anti-fraud programme in 202</w:t>
      </w:r>
      <w:r w:rsidR="00D6196D" w:rsidRPr="00DE3A6F">
        <w:t>5</w:t>
      </w:r>
      <w:r w:rsidRPr="00DE3A6F">
        <w:t>.</w:t>
      </w:r>
    </w:p>
  </w:footnote>
  <w:footnote w:id="6">
    <w:p w14:paraId="10D5499A" w14:textId="0198595E" w:rsidR="00E15719" w:rsidRPr="00DE3A6F" w:rsidRDefault="00E15719" w:rsidP="005F0550">
      <w:pPr>
        <w:pStyle w:val="FootnoteText"/>
      </w:pPr>
      <w:r w:rsidRPr="00DE3A6F">
        <w:t>(</w:t>
      </w:r>
      <w:r w:rsidRPr="00DE3A6F">
        <w:rPr>
          <w:rStyle w:val="FootnoteReference"/>
          <w:sz w:val="18"/>
        </w:rPr>
        <w:footnoteRef/>
      </w:r>
      <w:r w:rsidRPr="00DE3A6F">
        <w:t xml:space="preserve">) </w:t>
      </w:r>
      <w:r w:rsidRPr="00DE3A6F">
        <w:tab/>
        <w:t xml:space="preserve">Procedure file </w:t>
      </w:r>
      <w:hyperlink r:id="rId1" w:history="1">
        <w:r w:rsidRPr="00DE3A6F">
          <w:rPr>
            <w:rStyle w:val="Hyperlink"/>
          </w:rPr>
          <w:t>2024/2083(INI)</w:t>
        </w:r>
      </w:hyperlink>
      <w:r w:rsidRPr="00DE3A6F">
        <w:rPr>
          <w:rStyle w:val="Hyperlink"/>
          <w:u w:val="none"/>
        </w:rPr>
        <w:t>.</w:t>
      </w:r>
    </w:p>
  </w:footnote>
  <w:footnote w:id="7">
    <w:p w14:paraId="4C134B33" w14:textId="04417CF7" w:rsidR="00880372" w:rsidRPr="00DE3A6F" w:rsidRDefault="005855DC" w:rsidP="00880372">
      <w:pPr>
        <w:pStyle w:val="FootnoteText"/>
      </w:pPr>
      <w:r>
        <w:t>(</w:t>
      </w:r>
      <w:r w:rsidR="00880372" w:rsidRPr="00DE3A6F">
        <w:rPr>
          <w:rStyle w:val="FootnoteReference"/>
        </w:rPr>
        <w:footnoteRef/>
      </w:r>
      <w:r>
        <w:t>)</w:t>
      </w:r>
      <w:r w:rsidR="00880372" w:rsidRPr="00DE3A6F">
        <w:t xml:space="preserve"> </w:t>
      </w:r>
      <w:r w:rsidR="00880372" w:rsidRPr="00DE3A6F">
        <w:tab/>
        <w:t xml:space="preserve">See the staff working document accompanying this report, ‘Commission Anti-Fraud Strategy (CAFS) Action plan implementation monitoring: state of play </w:t>
      </w:r>
      <w:r w:rsidR="00880372" w:rsidRPr="00CA1602">
        <w:t>31 </w:t>
      </w:r>
      <w:r w:rsidR="00880372" w:rsidRPr="00DE3A6F">
        <w:t>May 2026</w:t>
      </w:r>
      <w:r w:rsidR="00880372" w:rsidRPr="00CA1602">
        <w:t>’</w:t>
      </w:r>
      <w:r w:rsidR="00880372" w:rsidRPr="00DE3A6F">
        <w:t>.</w:t>
      </w:r>
    </w:p>
  </w:footnote>
  <w:footnote w:id="8">
    <w:p w14:paraId="150C45BB" w14:textId="1078831C" w:rsidR="0090470D" w:rsidRPr="00DE3A6F" w:rsidRDefault="005855DC" w:rsidP="0090470D">
      <w:pPr>
        <w:pStyle w:val="FootnoteText"/>
      </w:pPr>
      <w:r>
        <w:t>(</w:t>
      </w:r>
      <w:r w:rsidR="0090470D" w:rsidRPr="00DE3A6F">
        <w:rPr>
          <w:rStyle w:val="FootnoteReference"/>
        </w:rPr>
        <w:footnoteRef/>
      </w:r>
      <w:r>
        <w:t>)</w:t>
      </w:r>
      <w:r w:rsidR="0090470D" w:rsidRPr="00DE3A6F">
        <w:t xml:space="preserve"> </w:t>
      </w:r>
      <w:r w:rsidR="0090470D" w:rsidRPr="00DE3A6F">
        <w:tab/>
        <w:t xml:space="preserve">See </w:t>
      </w:r>
      <w:r w:rsidR="001C276E" w:rsidRPr="00CA1602">
        <w:t>the SWD</w:t>
      </w:r>
      <w:r w:rsidR="00AF4EA2" w:rsidRPr="00CA1602">
        <w:t>s</w:t>
      </w:r>
      <w:r w:rsidR="0090470D" w:rsidRPr="00DE3A6F">
        <w:t xml:space="preserve"> accompanying this report ‘Measures adopted by the Member States to protect the EU’s financial interests’ and ‘Follow-up by Member States to the recommendations of the PIF Report 2024</w:t>
      </w:r>
      <w:r w:rsidR="00AF4EA2" w:rsidRPr="00DE3A6F">
        <w:t>’</w:t>
      </w:r>
      <w:r w:rsidR="0090470D" w:rsidRPr="00DE3A6F">
        <w:t>.</w:t>
      </w:r>
    </w:p>
  </w:footnote>
  <w:footnote w:id="9">
    <w:p w14:paraId="7365544E" w14:textId="1CD5ECBB" w:rsidR="00156E95" w:rsidRPr="00DE3A6F" w:rsidRDefault="005855DC" w:rsidP="00156E95">
      <w:pPr>
        <w:pStyle w:val="FootnoteText"/>
        <w:rPr>
          <w:highlight w:val="yellow"/>
        </w:rPr>
      </w:pPr>
      <w:r>
        <w:t>(</w:t>
      </w:r>
      <w:r w:rsidR="00156E95" w:rsidRPr="00DE3A6F">
        <w:rPr>
          <w:rStyle w:val="FootnoteReference"/>
        </w:rPr>
        <w:footnoteRef/>
      </w:r>
      <w:r>
        <w:t>)</w:t>
      </w:r>
      <w:r w:rsidR="00156E95" w:rsidRPr="00DE3A6F">
        <w:t xml:space="preserve"> </w:t>
      </w:r>
      <w:r w:rsidR="00156E95" w:rsidRPr="00DE3A6F">
        <w:tab/>
        <w:t xml:space="preserve">See </w:t>
      </w:r>
      <w:r w:rsidR="00AF4EA2" w:rsidRPr="00CA1602">
        <w:t xml:space="preserve">Section </w:t>
      </w:r>
      <w:hyperlink w:anchor="_Prevention_(early_detection)" w:history="1">
        <w:r w:rsidR="00156E95" w:rsidRPr="005855DC">
          <w:rPr>
            <w:rStyle w:val="Hyperlink"/>
          </w:rPr>
          <w:t>3.1.2</w:t>
        </w:r>
      </w:hyperlink>
      <w:r w:rsidR="00AF4EA2" w:rsidRPr="00DE3A6F">
        <w:t>.</w:t>
      </w:r>
    </w:p>
  </w:footnote>
  <w:footnote w:id="10">
    <w:p w14:paraId="43E8C4DF" w14:textId="1818A13F" w:rsidR="00E15719" w:rsidRPr="00DE3A6F" w:rsidRDefault="13F9CCF2">
      <w:pPr>
        <w:pStyle w:val="FootnoteText"/>
      </w:pPr>
      <w:r w:rsidRPr="00DE3A6F">
        <w:t>(</w:t>
      </w:r>
      <w:r w:rsidR="00E15719" w:rsidRPr="00DE3A6F">
        <w:rPr>
          <w:rStyle w:val="FootnoteReference"/>
        </w:rPr>
        <w:footnoteRef/>
      </w:r>
      <w:r w:rsidRPr="00DE3A6F">
        <w:t>)</w:t>
      </w:r>
      <w:r w:rsidR="00E15719" w:rsidRPr="00DE3A6F">
        <w:tab/>
      </w:r>
      <w:r w:rsidRPr="00DE3A6F">
        <w:t xml:space="preserve">The questionnaires </w:t>
      </w:r>
      <w:r w:rsidR="00A22C1A" w:rsidRPr="00CA1602">
        <w:t xml:space="preserve">are on </w:t>
      </w:r>
      <w:r w:rsidRPr="00DE3A6F">
        <w:t xml:space="preserve">the measures </w:t>
      </w:r>
      <w:r w:rsidR="00A22C1A" w:rsidRPr="00CA1602">
        <w:t xml:space="preserve">taken </w:t>
      </w:r>
      <w:r w:rsidRPr="00DE3A6F">
        <w:t xml:space="preserve">by the Member States to protect the EU’s financial interests and </w:t>
      </w:r>
      <w:r w:rsidR="00A22C1A" w:rsidRPr="00CA1602">
        <w:t xml:space="preserve">to </w:t>
      </w:r>
      <w:r w:rsidRPr="00DE3A6F">
        <w:t xml:space="preserve">follow-up the recommendations in the 2024 PIF report. </w:t>
      </w:r>
    </w:p>
  </w:footnote>
  <w:footnote w:id="11">
    <w:p w14:paraId="53D579F9" w14:textId="77777777" w:rsidR="00E15719" w:rsidRPr="00DE3A6F" w:rsidRDefault="00E15719" w:rsidP="00DE46ED">
      <w:pPr>
        <w:pStyle w:val="FootnoteText"/>
      </w:pPr>
      <w:r w:rsidRPr="00DE3A6F">
        <w:t>(</w:t>
      </w:r>
      <w:r w:rsidRPr="00DE3A6F">
        <w:rPr>
          <w:rStyle w:val="FootnoteReference"/>
        </w:rPr>
        <w:footnoteRef/>
      </w:r>
      <w:r w:rsidRPr="00DE3A6F">
        <w:t xml:space="preserve">) </w:t>
      </w:r>
      <w:r w:rsidRPr="00DE3A6F">
        <w:tab/>
        <w:t xml:space="preserve">See, in particular, Box 2 of the </w:t>
      </w:r>
      <w:hyperlink r:id="rId2" w:history="1">
        <w:r w:rsidRPr="00DE3A6F">
          <w:rPr>
            <w:rStyle w:val="Hyperlink"/>
          </w:rPr>
          <w:t>2021 PIF Report</w:t>
        </w:r>
      </w:hyperlink>
      <w:r w:rsidRPr="00DE3A6F">
        <w:t>, Section 6.1, p. 31.</w:t>
      </w:r>
    </w:p>
  </w:footnote>
  <w:footnote w:id="12">
    <w:p w14:paraId="3FB532ED" w14:textId="77777777" w:rsidR="00E15719" w:rsidRPr="00DE3A6F" w:rsidRDefault="00E15719" w:rsidP="00DE46ED">
      <w:pPr>
        <w:pStyle w:val="FootnoteText"/>
      </w:pPr>
      <w:r w:rsidRPr="00DE3A6F">
        <w:t>(</w:t>
      </w:r>
      <w:r w:rsidRPr="00DE3A6F">
        <w:rPr>
          <w:rStyle w:val="FootnoteReference"/>
        </w:rPr>
        <w:footnoteRef/>
      </w:r>
      <w:r w:rsidRPr="00DE3A6F">
        <w:t xml:space="preserve">) </w:t>
      </w:r>
      <w:r w:rsidRPr="00DE3A6F">
        <w:tab/>
        <w:t>Reported to the Commission via the Irregularity Management System (IMS).</w:t>
      </w:r>
    </w:p>
  </w:footnote>
  <w:footnote w:id="13">
    <w:p w14:paraId="5CE620B0" w14:textId="757A7567" w:rsidR="00FC4E80" w:rsidRPr="00DE3A6F" w:rsidRDefault="00FC4E80" w:rsidP="00DE46ED">
      <w:pPr>
        <w:pStyle w:val="FootnoteText"/>
      </w:pPr>
      <w:r w:rsidRPr="00DE3A6F">
        <w:t>(</w:t>
      </w:r>
      <w:r w:rsidRPr="00DE3A6F">
        <w:rPr>
          <w:rStyle w:val="FootnoteReference"/>
        </w:rPr>
        <w:footnoteRef/>
      </w:r>
      <w:r w:rsidRPr="00DE3A6F">
        <w:t xml:space="preserve">) </w:t>
      </w:r>
      <w:r w:rsidRPr="00DE3A6F">
        <w:tab/>
        <w:t xml:space="preserve">For a description of these limitations, see Box 3 in the </w:t>
      </w:r>
      <w:hyperlink r:id="rId3" w:history="1">
        <w:r w:rsidR="00747E9A" w:rsidRPr="00CA1602">
          <w:rPr>
            <w:rStyle w:val="Hyperlink"/>
          </w:rPr>
          <w:t>2021 PIF report</w:t>
        </w:r>
      </w:hyperlink>
      <w:r w:rsidRPr="00DE3A6F">
        <w:t>, Section 6.1, p</w:t>
      </w:r>
      <w:r w:rsidR="00747E9A" w:rsidRPr="00CA1602">
        <w:t>. </w:t>
      </w:r>
      <w:r w:rsidRPr="00DE3A6F">
        <w:t>32.</w:t>
      </w:r>
    </w:p>
  </w:footnote>
  <w:footnote w:id="14">
    <w:p w14:paraId="0380ECAA" w14:textId="75F6DC3D" w:rsidR="00FC4E80" w:rsidRPr="00DE3A6F" w:rsidRDefault="0A00D70D" w:rsidP="00BC3C4F">
      <w:pPr>
        <w:pStyle w:val="FootnoteText"/>
      </w:pPr>
      <w:r w:rsidRPr="00DE3A6F">
        <w:t>(</w:t>
      </w:r>
      <w:r w:rsidR="00FC4E80" w:rsidRPr="00DE3A6F">
        <w:rPr>
          <w:rStyle w:val="FootnoteReference"/>
        </w:rPr>
        <w:footnoteRef/>
      </w:r>
      <w:r w:rsidRPr="00DE3A6F">
        <w:t xml:space="preserve">) </w:t>
      </w:r>
      <w:r w:rsidR="00FC4E80" w:rsidRPr="00DE3A6F">
        <w:tab/>
      </w:r>
      <w:r w:rsidRPr="00DE3A6F">
        <w:t>‘Fraudulent irregularities’ are those the reporting country has classified as fraud in traditional own resources, suspected or established fraud in relation to funds managed under shared management and pre-accession instruments.</w:t>
      </w:r>
    </w:p>
  </w:footnote>
  <w:footnote w:id="15">
    <w:p w14:paraId="0403D861" w14:textId="1A6BF8B0" w:rsidR="00FC4E80" w:rsidRPr="00DE3A6F" w:rsidRDefault="00FC4E80" w:rsidP="00BC3C4F">
      <w:pPr>
        <w:pStyle w:val="FootnoteText"/>
      </w:pPr>
      <w:r w:rsidRPr="00DE3A6F">
        <w:t>(</w:t>
      </w:r>
      <w:r w:rsidRPr="00DE3A6F">
        <w:rPr>
          <w:rStyle w:val="FootnoteReference"/>
        </w:rPr>
        <w:footnoteRef/>
      </w:r>
      <w:r w:rsidRPr="00DE3A6F">
        <w:t xml:space="preserve">) </w:t>
      </w:r>
      <w:r w:rsidRPr="00DE3A6F">
        <w:tab/>
        <w:t xml:space="preserve">All irregularities that have not been classified as fraudulent are considered </w:t>
      </w:r>
      <w:r w:rsidR="009F26DF" w:rsidRPr="00DE3A6F">
        <w:t xml:space="preserve">to be </w:t>
      </w:r>
      <w:r w:rsidRPr="00DE3A6F">
        <w:t>non-fraudulent.</w:t>
      </w:r>
    </w:p>
  </w:footnote>
  <w:footnote w:id="16">
    <w:p w14:paraId="2290B192" w14:textId="7BCC9F3B" w:rsidR="00FC4E80" w:rsidRPr="00DE3A6F" w:rsidRDefault="00FC4E80" w:rsidP="00BC3C4F">
      <w:pPr>
        <w:pStyle w:val="FootnoteText"/>
      </w:pPr>
      <w:r w:rsidRPr="00DE3A6F">
        <w:t>(</w:t>
      </w:r>
      <w:r w:rsidRPr="00DE3A6F">
        <w:rPr>
          <w:rStyle w:val="FootnoteReference"/>
        </w:rPr>
        <w:footnoteRef/>
      </w:r>
      <w:r w:rsidRPr="00DE3A6F">
        <w:t xml:space="preserve">) </w:t>
      </w:r>
      <w:r w:rsidRPr="00DE3A6F">
        <w:tab/>
        <w:t xml:space="preserve">The </w:t>
      </w:r>
      <w:hyperlink r:id="rId4" w:history="1">
        <w:r w:rsidRPr="00DE3A6F">
          <w:rPr>
            <w:rStyle w:val="Hyperlink"/>
          </w:rPr>
          <w:t>OLAF 2025 annual report</w:t>
        </w:r>
      </w:hyperlink>
      <w:r w:rsidRPr="00DE3A6F">
        <w:t xml:space="preserve"> and the </w:t>
      </w:r>
      <w:hyperlink r:id="rId5" w:history="1">
        <w:r w:rsidRPr="00DE3A6F">
          <w:rPr>
            <w:rStyle w:val="Hyperlink"/>
          </w:rPr>
          <w:t>EPPO 2025 annual report</w:t>
        </w:r>
      </w:hyperlink>
      <w:r w:rsidRPr="00DE3A6F">
        <w:t xml:space="preserve"> </w:t>
      </w:r>
      <w:r w:rsidR="00792543" w:rsidRPr="00CA1602">
        <w:t xml:space="preserve">differ significantly </w:t>
      </w:r>
      <w:r w:rsidRPr="00DE3A6F">
        <w:t xml:space="preserve">in nature and scope </w:t>
      </w:r>
      <w:r w:rsidR="00792543" w:rsidRPr="00CA1602">
        <w:t xml:space="preserve">from </w:t>
      </w:r>
      <w:r w:rsidRPr="00DE3A6F">
        <w:t xml:space="preserve">the PIF report. These </w:t>
      </w:r>
      <w:r w:rsidR="00792543" w:rsidRPr="00CA1602">
        <w:t xml:space="preserve">differences were </w:t>
      </w:r>
      <w:r w:rsidRPr="00DE3A6F">
        <w:t xml:space="preserve">extensively explained in </w:t>
      </w:r>
      <w:hyperlink r:id="rId6" w:anchor="subchapter1-2" w:history="1">
        <w:r w:rsidRPr="00DE3A6F">
          <w:rPr>
            <w:rStyle w:val="Hyperlink"/>
          </w:rPr>
          <w:t>Section 1.2</w:t>
        </w:r>
      </w:hyperlink>
      <w:r w:rsidRPr="00DE3A6F">
        <w:t xml:space="preserve"> of the 2023 PIF report.</w:t>
      </w:r>
    </w:p>
  </w:footnote>
  <w:footnote w:id="17">
    <w:p w14:paraId="070400F7" w14:textId="1F43A114" w:rsidR="002D6F4B" w:rsidRPr="00DE3A6F" w:rsidRDefault="002D6F4B" w:rsidP="00FA7AF9">
      <w:pPr>
        <w:pStyle w:val="FootnoteText"/>
      </w:pPr>
      <w:r w:rsidRPr="00DE3A6F">
        <w:t>(</w:t>
      </w:r>
      <w:r w:rsidRPr="00DE3A6F">
        <w:rPr>
          <w:rStyle w:val="FootnoteReference"/>
        </w:rPr>
        <w:footnoteRef/>
      </w:r>
      <w:r w:rsidRPr="00DE3A6F">
        <w:t>)</w:t>
      </w:r>
      <w:r w:rsidRPr="00DE3A6F">
        <w:tab/>
      </w:r>
      <w:r w:rsidR="00FA7AF9" w:rsidRPr="00DE3A6F">
        <w:t>In such cases, the source is cited as: ‘Commission calculation based on data provided by OLAF/EPPO’.</w:t>
      </w:r>
    </w:p>
  </w:footnote>
  <w:footnote w:id="18">
    <w:p w14:paraId="23F8E796" w14:textId="53CEF59D" w:rsidR="00FC4E80" w:rsidRPr="00DE3A6F" w:rsidRDefault="00FC4E80" w:rsidP="00F60113">
      <w:pPr>
        <w:pStyle w:val="FootnoteText"/>
      </w:pPr>
      <w:r w:rsidRPr="00DE3A6F">
        <w:rPr>
          <w:sz w:val="18"/>
        </w:rPr>
        <w:t>(</w:t>
      </w:r>
      <w:r w:rsidRPr="00DE3A6F">
        <w:rPr>
          <w:rStyle w:val="FootnoteReference"/>
          <w:sz w:val="18"/>
        </w:rPr>
        <w:footnoteRef/>
      </w:r>
      <w:r w:rsidRPr="00DE3A6F">
        <w:rPr>
          <w:sz w:val="18"/>
        </w:rPr>
        <w:t xml:space="preserve">) </w:t>
      </w:r>
      <w:r w:rsidRPr="00DE3A6F">
        <w:rPr>
          <w:sz w:val="18"/>
        </w:rPr>
        <w:tab/>
      </w:r>
      <w:r w:rsidRPr="00DE3A6F">
        <w:t xml:space="preserve">The reporting workflow from the Member States and, ultimately, the availability of complete data to prepare this report depend heavily on information from the authorities detecting and investigating the irregularity or fraud. Reporting bodies in the Member States (mainly managing authorities or paying agencies </w:t>
      </w:r>
      <w:r w:rsidR="00702908" w:rsidRPr="00CA1602">
        <w:t xml:space="preserve">for </w:t>
      </w:r>
      <w:r w:rsidRPr="00DE3A6F">
        <w:t xml:space="preserve">shared management and customs authorities </w:t>
      </w:r>
      <w:r w:rsidR="00702908" w:rsidRPr="00CA1602">
        <w:t xml:space="preserve">for </w:t>
      </w:r>
      <w:r w:rsidRPr="00DE3A6F">
        <w:t xml:space="preserve">traditional own resources) </w:t>
      </w:r>
      <w:r w:rsidR="00A40208" w:rsidRPr="00CA1602">
        <w:t xml:space="preserve">can </w:t>
      </w:r>
      <w:r w:rsidRPr="00DE3A6F">
        <w:t xml:space="preserve">report on criminal investigations only when the relevant judicial or law enforcement authorities provide them with the authorisation and the necessary information. This </w:t>
      </w:r>
      <w:r w:rsidR="00A40208" w:rsidRPr="00CA1602">
        <w:t xml:space="preserve">means </w:t>
      </w:r>
      <w:r w:rsidRPr="00DE3A6F">
        <w:t>that</w:t>
      </w:r>
      <w:r w:rsidR="00A40208" w:rsidRPr="00CA1602">
        <w:t>,</w:t>
      </w:r>
      <w:r w:rsidRPr="00DE3A6F">
        <w:t xml:space="preserve"> while the EPPO, OLAF or national law enforcement are actively investigating a case, </w:t>
      </w:r>
      <w:r w:rsidR="00A40208" w:rsidRPr="00DE3A6F">
        <w:t xml:space="preserve">the </w:t>
      </w:r>
      <w:r w:rsidRPr="00DE3A6F">
        <w:t xml:space="preserve">bodies responsible for reporting irregularities and fraud to the Commission might not be able to do so in certain cases due to investigations possibly being confidential. In such cases, this information will only become available when the investigation is completed and will only be included in the PIF </w:t>
      </w:r>
      <w:r w:rsidR="003066BA" w:rsidRPr="00CA1602">
        <w:t>r</w:t>
      </w:r>
      <w:r w:rsidRPr="00DE3A6F">
        <w:t xml:space="preserve">eport once this has happened. </w:t>
      </w:r>
    </w:p>
  </w:footnote>
  <w:footnote w:id="19">
    <w:p w14:paraId="3CD62F71" w14:textId="4A65E3D1" w:rsidR="221E107C" w:rsidRPr="004A6088" w:rsidRDefault="00381A96" w:rsidP="221E107C">
      <w:r w:rsidRPr="00DE3A6F">
        <w:t>(</w:t>
      </w:r>
      <w:r w:rsidR="221E107C" w:rsidRPr="00DE3A6F">
        <w:rPr>
          <w:vertAlign w:val="superscript"/>
        </w:rPr>
        <w:footnoteRef/>
      </w:r>
      <w:r w:rsidRPr="00DE3A6F">
        <w:t>)</w:t>
      </w:r>
      <w:r w:rsidR="221E107C" w:rsidRPr="00DE3A6F">
        <w:t xml:space="preserve"> </w:t>
      </w:r>
      <w:r w:rsidR="221E107C" w:rsidRPr="004A6088">
        <w:rPr>
          <w:rFonts w:eastAsia="Cambria"/>
          <w:sz w:val="20"/>
        </w:rPr>
        <w:t>COM (2025) 546 final</w:t>
      </w:r>
      <w:r w:rsidR="004A6088" w:rsidRPr="008F49A6">
        <w:rPr>
          <w:rFonts w:eastAsia="Cambria"/>
          <w:noProof/>
          <w:color w:val="595959" w:themeColor="text1" w:themeTint="A6"/>
          <w:sz w:val="20"/>
          <w:lang w:val="en-US"/>
        </w:rPr>
        <w:t>, 16.07.2025</w:t>
      </w:r>
      <w:r w:rsidR="00B65A1F" w:rsidRPr="008F49A6">
        <w:rPr>
          <w:rFonts w:eastAsia="Cambria"/>
          <w:color w:val="595959" w:themeColor="text1" w:themeTint="A6"/>
          <w:sz w:val="20"/>
        </w:rPr>
        <w:t>.</w:t>
      </w:r>
    </w:p>
  </w:footnote>
  <w:footnote w:id="20">
    <w:p w14:paraId="01154B9F" w14:textId="29656065" w:rsidR="00B205B8" w:rsidRPr="00BD7EBD" w:rsidRDefault="00B205B8">
      <w:pPr>
        <w:pStyle w:val="FootnoteText"/>
      </w:pPr>
      <w:r w:rsidRPr="00DE3A6F">
        <w:t>(</w:t>
      </w:r>
      <w:r w:rsidRPr="00DE3A6F">
        <w:rPr>
          <w:rStyle w:val="FootnoteReference"/>
        </w:rPr>
        <w:footnoteRef/>
      </w:r>
      <w:r w:rsidRPr="00DE3A6F">
        <w:t>)</w:t>
      </w:r>
      <w:r w:rsidRPr="00DE3A6F">
        <w:tab/>
      </w:r>
      <w:r w:rsidR="002946A8" w:rsidRPr="00CA1602">
        <w:t>Regulation (EU) 2024/1620 of the European Parliament and of the Council of 31 May 2024 establishing the Authority for Anti-Money Laundering and Countering the Financing of Terrorism and amending Regulations (EU) No 1093/2010, (EU) No 1094/2010 and (EU) No 1095/2010,</w:t>
      </w:r>
      <w:r w:rsidR="002946A8" w:rsidRPr="00CA1602">
        <w:rPr>
          <w:b/>
          <w:bCs/>
        </w:rPr>
        <w:t xml:space="preserve"> </w:t>
      </w:r>
      <w:r w:rsidR="002946A8" w:rsidRPr="00CA1602">
        <w:rPr>
          <w:i/>
          <w:iCs/>
        </w:rPr>
        <w:t>OJ L, 2024/1620, 19.6.2024.</w:t>
      </w:r>
      <w:r w:rsidR="00BD7EBD">
        <w:rPr>
          <w:i/>
          <w:iCs/>
        </w:rPr>
        <w:t xml:space="preserve"> </w:t>
      </w:r>
      <w:r w:rsidR="00BD7EBD" w:rsidRPr="00F923F2">
        <w:t>Following the adoption of the AMLA’s regulation on 31 May 2024, the authority was legally established on 26 June 2024 and will be fully operational as of 1 January 2028</w:t>
      </w:r>
      <w:r w:rsidR="00BD7EBD">
        <w:t>.</w:t>
      </w:r>
    </w:p>
  </w:footnote>
  <w:footnote w:id="21">
    <w:p w14:paraId="41F57A4E" w14:textId="0E9288E0" w:rsidR="0045674B" w:rsidRPr="00DE3A6F" w:rsidRDefault="0045674B">
      <w:pPr>
        <w:pStyle w:val="FootnoteText"/>
      </w:pPr>
      <w:r w:rsidRPr="00DE3A6F">
        <w:t>(</w:t>
      </w:r>
      <w:r w:rsidRPr="00DE3A6F">
        <w:rPr>
          <w:rStyle w:val="FootnoteReference"/>
        </w:rPr>
        <w:footnoteRef/>
      </w:r>
      <w:r w:rsidRPr="00DE3A6F">
        <w:t>)</w:t>
      </w:r>
      <w:r w:rsidRPr="00DE3A6F">
        <w:tab/>
      </w:r>
      <w:r w:rsidRPr="00CA1602">
        <w:t>COM(2023) 258 final.</w:t>
      </w:r>
    </w:p>
  </w:footnote>
  <w:footnote w:id="22">
    <w:p w14:paraId="6EA1117D" w14:textId="2D02EF31" w:rsidR="00264973" w:rsidRPr="00DE3A6F" w:rsidRDefault="00264973">
      <w:pPr>
        <w:pStyle w:val="FootnoteText"/>
      </w:pPr>
      <w:r w:rsidRPr="00DE3A6F">
        <w:t>(</w:t>
      </w:r>
      <w:r w:rsidRPr="00DE3A6F">
        <w:rPr>
          <w:rStyle w:val="FootnoteReference"/>
        </w:rPr>
        <w:footnoteRef/>
      </w:r>
      <w:r w:rsidRPr="00DE3A6F">
        <w:t>)</w:t>
      </w:r>
      <w:r w:rsidRPr="00DE3A6F">
        <w:tab/>
      </w:r>
      <w:r w:rsidR="00A327D0" w:rsidRPr="00CA1602">
        <w:t>e</w:t>
      </w:r>
      <w:r w:rsidR="00094648" w:rsidRPr="00DE3A6F">
        <w:t xml:space="preserve">.g. </w:t>
      </w:r>
      <w:r w:rsidR="00E46272" w:rsidRPr="00DE3A6F">
        <w:t xml:space="preserve">the founding Regulations of the </w:t>
      </w:r>
      <w:r w:rsidR="00C748D9">
        <w:t>EPPO and OLAF</w:t>
      </w:r>
      <w:r w:rsidR="00A327D0" w:rsidRPr="00CA1602">
        <w:t xml:space="preserve"> and the PIF directive</w:t>
      </w:r>
      <w:r w:rsidR="00E46272" w:rsidRPr="00CA1602">
        <w:t>.</w:t>
      </w:r>
    </w:p>
  </w:footnote>
  <w:footnote w:id="23">
    <w:p w14:paraId="2C946129" w14:textId="4B4C5217" w:rsidR="00122439" w:rsidRPr="00DE3A6F" w:rsidRDefault="00122439">
      <w:pPr>
        <w:pStyle w:val="FootnoteText"/>
      </w:pPr>
      <w:r w:rsidRPr="00DE3A6F">
        <w:t>(</w:t>
      </w:r>
      <w:r w:rsidRPr="00DE3A6F">
        <w:rPr>
          <w:rStyle w:val="FootnoteReference"/>
        </w:rPr>
        <w:footnoteRef/>
      </w:r>
      <w:r w:rsidRPr="00DE3A6F">
        <w:t>)</w:t>
      </w:r>
      <w:r w:rsidRPr="00DE3A6F">
        <w:tab/>
        <w:t> </w:t>
      </w:r>
      <w:r w:rsidR="00267F42" w:rsidRPr="00CA1602">
        <w:t>e</w:t>
      </w:r>
      <w:r w:rsidRPr="00DE3A6F">
        <w:t xml:space="preserve">.g. Report on the protection of the EU’s financial interests – combating fraud – annual report 2023, 1 April 2025, European Parliament, Committee on Budgetary Control. </w:t>
      </w:r>
    </w:p>
  </w:footnote>
  <w:footnote w:id="24">
    <w:p w14:paraId="54200129" w14:textId="0799B3A6" w:rsidR="00B22536" w:rsidRPr="00DE3A6F" w:rsidRDefault="00B22536">
      <w:pPr>
        <w:pStyle w:val="FootnoteText"/>
      </w:pPr>
      <w:r w:rsidRPr="00DE3A6F">
        <w:t>(</w:t>
      </w:r>
      <w:r w:rsidRPr="00DE3A6F">
        <w:rPr>
          <w:rStyle w:val="FootnoteReference"/>
        </w:rPr>
        <w:footnoteRef/>
      </w:r>
      <w:r w:rsidRPr="00DE3A6F">
        <w:t>)</w:t>
      </w:r>
      <w:r w:rsidRPr="00DE3A6F">
        <w:tab/>
      </w:r>
      <w:r w:rsidR="00777B55" w:rsidRPr="00DE3A6F">
        <w:t> </w:t>
      </w:r>
      <w:r w:rsidR="00267F42" w:rsidRPr="00CA1602">
        <w:t>e</w:t>
      </w:r>
      <w:r w:rsidR="00094648" w:rsidRPr="00DE3A6F">
        <w:t>.g.</w:t>
      </w:r>
      <w:r w:rsidR="00777B55" w:rsidRPr="00DE3A6F">
        <w:t xml:space="preserve"> Special </w:t>
      </w:r>
      <w:r w:rsidR="00267F42" w:rsidRPr="00CA1602">
        <w:t xml:space="preserve">report </w:t>
      </w:r>
      <w:r w:rsidR="00777B55" w:rsidRPr="00DE3A6F">
        <w:t>7/2024 on the Commission’s systems for recovering irregular EU expenditure</w:t>
      </w:r>
      <w:r w:rsidR="00DF7075" w:rsidRPr="00DE3A6F">
        <w:t xml:space="preserve"> and </w:t>
      </w:r>
      <w:r w:rsidR="00267F42" w:rsidRPr="00CA1602">
        <w:t xml:space="preserve">special </w:t>
      </w:r>
      <w:r w:rsidR="00DF7075" w:rsidRPr="00DE3A6F">
        <w:t>report 26/2025</w:t>
      </w:r>
      <w:r w:rsidR="004F720B" w:rsidRPr="00DE3A6F">
        <w:t xml:space="preserve"> on </w:t>
      </w:r>
      <w:r w:rsidR="00DF7075" w:rsidRPr="00DE3A6F">
        <w:t>EU bodies fighting fraud</w:t>
      </w:r>
      <w:r w:rsidR="003C6BD9" w:rsidRPr="00CA1602">
        <w:t>.</w:t>
      </w:r>
    </w:p>
  </w:footnote>
  <w:footnote w:id="25">
    <w:p w14:paraId="6ABDB295" w14:textId="44D37A7B" w:rsidR="003C6BD9" w:rsidRPr="00FD3708" w:rsidRDefault="003C6BD9">
      <w:pPr>
        <w:pStyle w:val="FootnoteText"/>
        <w:rPr>
          <w:lang w:val="fr-BE"/>
        </w:rPr>
      </w:pPr>
      <w:r w:rsidRPr="00DE3A6F">
        <w:t>(</w:t>
      </w:r>
      <w:r w:rsidRPr="00DE3A6F">
        <w:rPr>
          <w:rStyle w:val="FootnoteReference"/>
        </w:rPr>
        <w:footnoteRef/>
      </w:r>
      <w:r w:rsidRPr="00DE3A6F">
        <w:t>)</w:t>
      </w:r>
      <w:r w:rsidRPr="00DE3A6F">
        <w:tab/>
      </w:r>
      <w:r w:rsidR="00077489" w:rsidRPr="00737CC7">
        <w:t>Directive (EU) 2026/1021 of the European Parliament and of the Council of 29 April 2026 on combatting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w:t>
      </w:r>
      <w:r w:rsidR="00077489" w:rsidRPr="00737CC7">
        <w:rPr>
          <w:b/>
          <w:bCs/>
        </w:rPr>
        <w:t xml:space="preserve"> </w:t>
      </w:r>
      <w:r w:rsidR="00077489" w:rsidRPr="00FD3708">
        <w:rPr>
          <w:i/>
          <w:iCs/>
          <w:lang w:val="fr-BE"/>
        </w:rPr>
        <w:t>OJ L, 2026/1021, 11.5.2026.</w:t>
      </w:r>
    </w:p>
  </w:footnote>
  <w:footnote w:id="26">
    <w:p w14:paraId="38D5989C" w14:textId="0B7D250E" w:rsidR="044E42F4" w:rsidRPr="00FD3708" w:rsidRDefault="00F63FB4" w:rsidP="003A6740">
      <w:pPr>
        <w:pStyle w:val="FootnoteText"/>
        <w:rPr>
          <w:lang w:val="fr-BE"/>
        </w:rPr>
      </w:pPr>
      <w:r w:rsidRPr="00FD3708">
        <w:rPr>
          <w:lang w:val="fr-BE"/>
        </w:rPr>
        <w:t>(</w:t>
      </w:r>
      <w:r w:rsidR="044E42F4" w:rsidRPr="00DE3A6F">
        <w:rPr>
          <w:vertAlign w:val="superscript"/>
        </w:rPr>
        <w:footnoteRef/>
      </w:r>
      <w:r w:rsidRPr="00FD3708">
        <w:rPr>
          <w:lang w:val="fr-BE"/>
        </w:rPr>
        <w:t>)</w:t>
      </w:r>
      <w:r w:rsidR="044E42F4" w:rsidRPr="00FD3708">
        <w:rPr>
          <w:lang w:val="fr-BE"/>
        </w:rPr>
        <w:t xml:space="preserve"> </w:t>
      </w:r>
      <w:r w:rsidR="003A6740" w:rsidRPr="00FD3708">
        <w:rPr>
          <w:lang w:val="fr-BE"/>
        </w:rPr>
        <w:tab/>
      </w:r>
      <w:r w:rsidR="044E42F4" w:rsidRPr="00FD3708">
        <w:rPr>
          <w:lang w:val="fr-BE"/>
        </w:rPr>
        <w:t>Directive (EU) 2017/1371</w:t>
      </w:r>
      <w:r w:rsidR="00271F79" w:rsidRPr="00FD3708">
        <w:rPr>
          <w:lang w:val="fr-BE"/>
        </w:rPr>
        <w:t>,</w:t>
      </w:r>
      <w:r w:rsidR="044E42F4" w:rsidRPr="00FD3708">
        <w:rPr>
          <w:lang w:val="fr-BE"/>
        </w:rPr>
        <w:t xml:space="preserve"> </w:t>
      </w:r>
      <w:r w:rsidR="044E42F4" w:rsidRPr="00FD3708">
        <w:rPr>
          <w:i/>
          <w:iCs/>
          <w:lang w:val="fr-BE"/>
        </w:rPr>
        <w:t>OJ L198/29</w:t>
      </w:r>
      <w:r w:rsidR="00271F79" w:rsidRPr="00FD3708">
        <w:rPr>
          <w:lang w:val="fr-BE"/>
        </w:rPr>
        <w:t>,</w:t>
      </w:r>
      <w:r w:rsidR="044E42F4" w:rsidRPr="00FD3708">
        <w:rPr>
          <w:lang w:val="fr-BE"/>
        </w:rPr>
        <w:t xml:space="preserve"> 28.7.2017.</w:t>
      </w:r>
    </w:p>
  </w:footnote>
  <w:footnote w:id="27">
    <w:p w14:paraId="4FE05F56" w14:textId="6C5C7C3A" w:rsidR="00F63FB4" w:rsidRPr="00FD3708" w:rsidRDefault="00F63FB4">
      <w:pPr>
        <w:pStyle w:val="FootnoteText"/>
        <w:rPr>
          <w:lang w:val="fr-BE"/>
        </w:rPr>
      </w:pPr>
      <w:r w:rsidRPr="00FD3708">
        <w:rPr>
          <w:lang w:val="fr-BE"/>
        </w:rPr>
        <w:t>(</w:t>
      </w:r>
      <w:r w:rsidRPr="00DE3A6F">
        <w:rPr>
          <w:rStyle w:val="FootnoteReference"/>
        </w:rPr>
        <w:footnoteRef/>
      </w:r>
      <w:r w:rsidRPr="00FD3708">
        <w:rPr>
          <w:lang w:val="fr-BE"/>
        </w:rPr>
        <w:t>)</w:t>
      </w:r>
      <w:r w:rsidRPr="00FD3708">
        <w:rPr>
          <w:lang w:val="fr-BE"/>
        </w:rPr>
        <w:tab/>
        <w:t>https://commission.europa.eu/strategy-and-policy/policies/justice-and-fundamental-rights/democracy-eu-citizenship-anti-corruption/anti-corruption/eu-network-against-corruption_en</w:t>
      </w:r>
      <w:r w:rsidR="00271F79" w:rsidRPr="00FD3708">
        <w:rPr>
          <w:lang w:val="fr-BE"/>
        </w:rPr>
        <w:t>.</w:t>
      </w:r>
    </w:p>
  </w:footnote>
  <w:footnote w:id="28">
    <w:p w14:paraId="0724CAB2" w14:textId="245DE602" w:rsidR="00A01F05" w:rsidRPr="00DE3A6F" w:rsidRDefault="13F9CCF2" w:rsidP="00A01F05">
      <w:pPr>
        <w:pStyle w:val="FootnoteText"/>
      </w:pPr>
      <w:r w:rsidRPr="00DE3A6F">
        <w:t>(</w:t>
      </w:r>
      <w:r w:rsidR="00A01F05" w:rsidRPr="00DE3A6F">
        <w:rPr>
          <w:rStyle w:val="FootnoteReference"/>
        </w:rPr>
        <w:footnoteRef/>
      </w:r>
      <w:r w:rsidRPr="00DE3A6F">
        <w:t>)</w:t>
      </w:r>
      <w:r w:rsidR="00A01F05" w:rsidRPr="00DE3A6F">
        <w:tab/>
      </w:r>
      <w:r w:rsidRPr="00DE3A6F">
        <w:t xml:space="preserve">For a description of the related measures, see Sections </w:t>
      </w:r>
      <w:r w:rsidRPr="00595452">
        <w:t>1.1</w:t>
      </w:r>
      <w:r w:rsidR="004B645B" w:rsidRPr="00595452">
        <w:t xml:space="preserve"> and</w:t>
      </w:r>
      <w:r w:rsidRPr="00595452">
        <w:t xml:space="preserve"> .1.3</w:t>
      </w:r>
      <w:r w:rsidRPr="00DE3A6F">
        <w:t xml:space="preserve"> of the</w:t>
      </w:r>
      <w:r w:rsidR="00DB45CD" w:rsidRPr="00DE3A6F">
        <w:t xml:space="preserve"> SWD</w:t>
      </w:r>
      <w:r w:rsidRPr="00DE3A6F">
        <w:t xml:space="preserve"> ‘Measures adopted by Member States to protect the EU’s financial interests </w:t>
      </w:r>
      <w:r w:rsidR="009F7132" w:rsidRPr="00DE3A6F">
        <w:t xml:space="preserve">- implementation of </w:t>
      </w:r>
      <w:r w:rsidR="009E5FB8" w:rsidRPr="00CA1602">
        <w:t>Article</w:t>
      </w:r>
      <w:r w:rsidR="00581333" w:rsidRPr="00CA1602">
        <w:t> </w:t>
      </w:r>
      <w:r w:rsidR="009F7132" w:rsidRPr="00DE3A6F">
        <w:t>325 TFEU</w:t>
      </w:r>
      <w:r w:rsidRPr="00DE3A6F">
        <w:t>’</w:t>
      </w:r>
      <w:r w:rsidR="00581333" w:rsidRPr="00CA1602">
        <w:t>,</w:t>
      </w:r>
      <w:r w:rsidRPr="00DE3A6F">
        <w:t xml:space="preserve"> accompanying this report.</w:t>
      </w:r>
    </w:p>
  </w:footnote>
  <w:footnote w:id="29">
    <w:p w14:paraId="4E81C074" w14:textId="19E8C195" w:rsidR="00685AAC" w:rsidRPr="00DE3A6F" w:rsidRDefault="401F6FD7" w:rsidP="001A4FE7">
      <w:pPr>
        <w:pStyle w:val="FootnoteText"/>
      </w:pPr>
      <w:r w:rsidRPr="00DE3A6F">
        <w:t>(</w:t>
      </w:r>
      <w:r w:rsidR="00685AAC" w:rsidRPr="00DE3A6F">
        <w:rPr>
          <w:rStyle w:val="FootnoteReference"/>
        </w:rPr>
        <w:footnoteRef/>
      </w:r>
      <w:r w:rsidRPr="00DE3A6F">
        <w:t>)</w:t>
      </w:r>
      <w:r w:rsidR="00FD7D1C">
        <w:tab/>
        <w:t>S</w:t>
      </w:r>
      <w:r w:rsidR="00685AAC" w:rsidRPr="00DE3A6F">
        <w:t xml:space="preserve">ee Section </w:t>
      </w:r>
      <w:r w:rsidR="00685AAC" w:rsidRPr="00595452">
        <w:t>1.</w:t>
      </w:r>
      <w:r w:rsidR="00591B39" w:rsidRPr="00595452">
        <w:t>2</w:t>
      </w:r>
      <w:r w:rsidR="00685AAC" w:rsidRPr="00DE3A6F">
        <w:t xml:space="preserve"> of the SWD ‘Measures adopted by Member States to protect the EU’s financial interests - implementation of </w:t>
      </w:r>
      <w:r w:rsidR="0021321F" w:rsidRPr="00CA1602">
        <w:t>Article </w:t>
      </w:r>
      <w:r w:rsidR="00685AAC" w:rsidRPr="00DE3A6F">
        <w:t>325 TFEU’</w:t>
      </w:r>
      <w:r w:rsidR="0021321F" w:rsidRPr="00CA1602">
        <w:t>,</w:t>
      </w:r>
      <w:r w:rsidR="00685AAC" w:rsidRPr="00DE3A6F">
        <w:t xml:space="preserve"> accompanying this report</w:t>
      </w:r>
      <w:r w:rsidR="00FD7D1C">
        <w:t>.</w:t>
      </w:r>
    </w:p>
  </w:footnote>
  <w:footnote w:id="30">
    <w:p w14:paraId="0376DA5D" w14:textId="784D6DE7" w:rsidR="007666AE" w:rsidRPr="00DE3A6F" w:rsidRDefault="00FB1985" w:rsidP="007666AE">
      <w:pPr>
        <w:pStyle w:val="FootnoteText"/>
      </w:pPr>
      <w:r w:rsidRPr="00DE3A6F">
        <w:t>(</w:t>
      </w:r>
      <w:r w:rsidR="007666AE" w:rsidRPr="00DE3A6F">
        <w:rPr>
          <w:rStyle w:val="FootnoteReference"/>
        </w:rPr>
        <w:footnoteRef/>
      </w:r>
      <w:r w:rsidRPr="00DE3A6F">
        <w:t>)</w:t>
      </w:r>
      <w:r w:rsidR="00FD7D1C">
        <w:tab/>
      </w:r>
      <w:r w:rsidR="007666AE" w:rsidRPr="00DE3A6F">
        <w:t xml:space="preserve">See the ‘Commission anti-fraud strategy (CAFS) action plan implementation monitoring: state-of-play </w:t>
      </w:r>
      <w:r w:rsidR="00581333" w:rsidRPr="00CA1602">
        <w:t>31 </w:t>
      </w:r>
      <w:r w:rsidR="007666AE" w:rsidRPr="00DE3A6F">
        <w:t>May 2026’</w:t>
      </w:r>
      <w:r w:rsidR="0021321F" w:rsidRPr="00CA1602">
        <w:t>,</w:t>
      </w:r>
      <w:r w:rsidR="00581333" w:rsidRPr="00CA1602">
        <w:t xml:space="preserve"> </w:t>
      </w:r>
      <w:r w:rsidR="007666AE" w:rsidRPr="00DE3A6F">
        <w:t>accompanying this report.</w:t>
      </w:r>
    </w:p>
  </w:footnote>
  <w:footnote w:id="31">
    <w:p w14:paraId="3640A3C1" w14:textId="69DC8F99" w:rsidR="006C5768" w:rsidRPr="00DE3A6F" w:rsidRDefault="006C5768">
      <w:pPr>
        <w:pStyle w:val="FootnoteText"/>
      </w:pPr>
      <w:r w:rsidRPr="00DE3A6F">
        <w:t>(</w:t>
      </w:r>
      <w:r w:rsidRPr="00DE3A6F">
        <w:rPr>
          <w:rStyle w:val="FootnoteReference"/>
        </w:rPr>
        <w:footnoteRef/>
      </w:r>
      <w:r w:rsidRPr="00DE3A6F">
        <w:t>)</w:t>
      </w:r>
      <w:r w:rsidRPr="00DE3A6F">
        <w:tab/>
      </w:r>
      <w:hyperlink r:id="rId7" w:history="1">
        <w:r w:rsidR="00F56DFF" w:rsidRPr="00DE3A6F">
          <w:rPr>
            <w:rStyle w:val="Hyperlink"/>
          </w:rPr>
          <w:t>COM(2025) 565 final</w:t>
        </w:r>
      </w:hyperlink>
      <w:r w:rsidR="00F56DFF" w:rsidRPr="00DE3A6F">
        <w:t xml:space="preserve">, </w:t>
      </w:r>
      <w:r w:rsidRPr="00DE3A6F">
        <w:t>Annex IV</w:t>
      </w:r>
      <w:r w:rsidR="00DF0F63">
        <w:t>.</w:t>
      </w:r>
      <w:r w:rsidRPr="00DE3A6F">
        <w:t xml:space="preserve"> </w:t>
      </w:r>
      <w:r w:rsidR="0035048F">
        <w:t>Last year’s report reiterated the recommendation to Member States to have in place NAFS.</w:t>
      </w:r>
    </w:p>
  </w:footnote>
  <w:footnote w:id="32">
    <w:p w14:paraId="254EEBF6" w14:textId="3B02C895" w:rsidR="221E107C" w:rsidRPr="00DE3A6F" w:rsidRDefault="00381A96" w:rsidP="00792670">
      <w:pPr>
        <w:pStyle w:val="FootnoteText"/>
        <w:rPr>
          <w:szCs w:val="22"/>
        </w:rPr>
      </w:pPr>
      <w:r w:rsidRPr="00DE3A6F">
        <w:t>(</w:t>
      </w:r>
      <w:r w:rsidR="221E107C" w:rsidRPr="00DE3A6F">
        <w:rPr>
          <w:vertAlign w:val="superscript"/>
        </w:rPr>
        <w:footnoteRef/>
      </w:r>
      <w:r w:rsidRPr="00DE3A6F">
        <w:t>)</w:t>
      </w:r>
      <w:r w:rsidR="00792670">
        <w:tab/>
      </w:r>
      <w:r w:rsidR="221E107C" w:rsidRPr="00DE3A6F">
        <w:t xml:space="preserve">These are the same NAFS reported in 2024, therefore the qualitative assessment in the 2024 PIF </w:t>
      </w:r>
      <w:r w:rsidR="00F226B3" w:rsidRPr="00CA1602">
        <w:t xml:space="preserve">report </w:t>
      </w:r>
      <w:r w:rsidR="221E107C" w:rsidRPr="00DE3A6F">
        <w:t>(SWD(2025)229 final) remains valid</w:t>
      </w:r>
      <w:r w:rsidR="00727A37" w:rsidRPr="00DE3A6F">
        <w:t>.</w:t>
      </w:r>
      <w:r w:rsidR="00FA0E18" w:rsidRPr="00CA1602">
        <w:t xml:space="preserve"> Cyprus adopted its NAFS on </w:t>
      </w:r>
      <w:r w:rsidR="00060F17" w:rsidRPr="00CA1602">
        <w:t>29 May 2026.</w:t>
      </w:r>
    </w:p>
  </w:footnote>
  <w:footnote w:id="33">
    <w:p w14:paraId="51CB1D2A" w14:textId="4449D7B1" w:rsidR="221E107C" w:rsidRPr="00DE3A6F" w:rsidRDefault="00381A96" w:rsidP="00792670">
      <w:pPr>
        <w:pStyle w:val="FootnoteText"/>
      </w:pPr>
      <w:r w:rsidRPr="00DE3A6F">
        <w:t>(</w:t>
      </w:r>
      <w:r w:rsidR="221E107C" w:rsidRPr="00DE3A6F">
        <w:rPr>
          <w:vertAlign w:val="superscript"/>
        </w:rPr>
        <w:footnoteRef/>
      </w:r>
      <w:r w:rsidRPr="00DE3A6F">
        <w:t>)</w:t>
      </w:r>
      <w:r w:rsidR="00792670">
        <w:tab/>
      </w:r>
      <w:r w:rsidR="221E107C" w:rsidRPr="00DE3A6F">
        <w:t xml:space="preserve">Belgium, Denmark, Germany, </w:t>
      </w:r>
      <w:r w:rsidR="00387518" w:rsidRPr="00DE3A6F">
        <w:t xml:space="preserve">Ireland, </w:t>
      </w:r>
      <w:r w:rsidR="00387518" w:rsidRPr="00CA1602">
        <w:t xml:space="preserve">Spain, </w:t>
      </w:r>
      <w:r w:rsidR="00653DF5" w:rsidRPr="00CA1602">
        <w:t xml:space="preserve">Cyprus, </w:t>
      </w:r>
      <w:r w:rsidR="221E107C" w:rsidRPr="00DE3A6F">
        <w:t>Luxembourg</w:t>
      </w:r>
      <w:r w:rsidR="00387518" w:rsidRPr="00CA1602">
        <w:t xml:space="preserve"> and</w:t>
      </w:r>
      <w:r w:rsidR="221E107C" w:rsidRPr="00DE3A6F">
        <w:t xml:space="preserve"> Netherlands</w:t>
      </w:r>
      <w:r w:rsidR="00727A37" w:rsidRPr="00DE3A6F">
        <w:t>.</w:t>
      </w:r>
      <w:r w:rsidR="00B25918" w:rsidRPr="00CA1602">
        <w:t xml:space="preserve"> Cyprus adopted its NAFS on 29 May 2026.</w:t>
      </w:r>
    </w:p>
  </w:footnote>
  <w:footnote w:id="34">
    <w:p w14:paraId="5071B116" w14:textId="385C5C0E" w:rsidR="221E107C" w:rsidRPr="00FD3708" w:rsidRDefault="00381A96" w:rsidP="00792670">
      <w:pPr>
        <w:pStyle w:val="FootnoteText"/>
        <w:rPr>
          <w:lang w:val="en-IE"/>
        </w:rPr>
      </w:pPr>
      <w:r w:rsidRPr="00FD3708">
        <w:rPr>
          <w:lang w:val="en-IE"/>
        </w:rPr>
        <w:t>(</w:t>
      </w:r>
      <w:r w:rsidR="221E107C" w:rsidRPr="00DE3A6F">
        <w:rPr>
          <w:vertAlign w:val="superscript"/>
        </w:rPr>
        <w:footnoteRef/>
      </w:r>
      <w:r w:rsidRPr="00FD3708">
        <w:rPr>
          <w:lang w:val="en-IE"/>
        </w:rPr>
        <w:t>)</w:t>
      </w:r>
      <w:r w:rsidR="00792670" w:rsidRPr="00FD3708">
        <w:rPr>
          <w:lang w:val="en-IE"/>
        </w:rPr>
        <w:tab/>
      </w:r>
      <w:r w:rsidR="007148A9" w:rsidRPr="00FD3708">
        <w:rPr>
          <w:lang w:val="en-IE"/>
        </w:rPr>
        <w:t xml:space="preserve">Estonia, </w:t>
      </w:r>
      <w:r w:rsidR="008258CC" w:rsidRPr="00FD3708">
        <w:rPr>
          <w:lang w:val="en-IE"/>
        </w:rPr>
        <w:t xml:space="preserve">Greece, </w:t>
      </w:r>
      <w:r w:rsidR="221E107C" w:rsidRPr="00FD3708">
        <w:rPr>
          <w:lang w:val="en-IE"/>
        </w:rPr>
        <w:t xml:space="preserve">Croatia, Lithuania, </w:t>
      </w:r>
      <w:r w:rsidR="007148A9" w:rsidRPr="00FD3708">
        <w:rPr>
          <w:lang w:val="en-IE"/>
        </w:rPr>
        <w:t xml:space="preserve">Austria, </w:t>
      </w:r>
      <w:r w:rsidR="221E107C" w:rsidRPr="00FD3708">
        <w:rPr>
          <w:lang w:val="en-IE"/>
        </w:rPr>
        <w:t xml:space="preserve">Poland, Slovenia, </w:t>
      </w:r>
      <w:r w:rsidR="008258CC" w:rsidRPr="00FD3708">
        <w:rPr>
          <w:lang w:val="en-IE"/>
        </w:rPr>
        <w:t xml:space="preserve">Finland and </w:t>
      </w:r>
      <w:r w:rsidR="221E107C" w:rsidRPr="00FD3708">
        <w:rPr>
          <w:lang w:val="en-IE"/>
        </w:rPr>
        <w:t>Sweden</w:t>
      </w:r>
      <w:r w:rsidR="00727A37" w:rsidRPr="00FD3708">
        <w:rPr>
          <w:lang w:val="en-IE"/>
        </w:rPr>
        <w:t>.</w:t>
      </w:r>
    </w:p>
  </w:footnote>
  <w:footnote w:id="35">
    <w:p w14:paraId="712C3BA1" w14:textId="4EC8F0E7" w:rsidR="221E107C" w:rsidRPr="00DE3A6F" w:rsidRDefault="00381A96" w:rsidP="004C2872">
      <w:pPr>
        <w:pStyle w:val="FootnoteText"/>
      </w:pPr>
      <w:r w:rsidRPr="00DE3A6F">
        <w:t>(</w:t>
      </w:r>
      <w:r w:rsidR="221E107C" w:rsidRPr="00DE3A6F">
        <w:rPr>
          <w:vertAlign w:val="superscript"/>
        </w:rPr>
        <w:footnoteRef/>
      </w:r>
      <w:r w:rsidRPr="00DE3A6F">
        <w:t>)</w:t>
      </w:r>
      <w:r w:rsidR="004C2872">
        <w:tab/>
      </w:r>
      <w:r w:rsidR="221E107C" w:rsidRPr="00DE3A6F">
        <w:t>The period covered by Malta</w:t>
      </w:r>
      <w:r w:rsidR="004B14E2" w:rsidRPr="00DE3A6F">
        <w:t>’ NAFS</w:t>
      </w:r>
      <w:r w:rsidR="221E107C" w:rsidRPr="00DE3A6F">
        <w:t xml:space="preserve"> </w:t>
      </w:r>
      <w:r w:rsidR="004B14E2" w:rsidRPr="00CA1602">
        <w:t xml:space="preserve">was </w:t>
      </w:r>
      <w:r w:rsidR="221E107C" w:rsidRPr="00DE3A6F">
        <w:t>extended to 2026. Slovakia is currently updating its NAFS, which was initially set up for the 2014-2020 period.</w:t>
      </w:r>
    </w:p>
  </w:footnote>
  <w:footnote w:id="36">
    <w:p w14:paraId="3C97A98D" w14:textId="4D14C2FE" w:rsidR="221E107C" w:rsidRPr="00DE3A6F" w:rsidRDefault="00381A96" w:rsidP="004C2872">
      <w:pPr>
        <w:pStyle w:val="FootnoteText"/>
      </w:pPr>
      <w:r w:rsidRPr="00DE3A6F">
        <w:t>(</w:t>
      </w:r>
      <w:r w:rsidR="221E107C" w:rsidRPr="00DE3A6F">
        <w:rPr>
          <w:vertAlign w:val="superscript"/>
        </w:rPr>
        <w:footnoteRef/>
      </w:r>
      <w:r w:rsidRPr="00DE3A6F">
        <w:t>)</w:t>
      </w:r>
      <w:r w:rsidR="004C2872">
        <w:tab/>
      </w:r>
      <w:r w:rsidR="221E107C" w:rsidRPr="00DE3A6F">
        <w:t>Lithuania</w:t>
      </w:r>
      <w:r w:rsidR="004C2872">
        <w:t xml:space="preserve"> and</w:t>
      </w:r>
      <w:r w:rsidR="004C2872" w:rsidRPr="00DE3A6F">
        <w:t xml:space="preserve"> </w:t>
      </w:r>
      <w:r w:rsidR="221E107C" w:rsidRPr="00DE3A6F">
        <w:t>Sweden</w:t>
      </w:r>
      <w:r w:rsidR="00727A37" w:rsidRPr="00DE3A6F">
        <w:t>.</w:t>
      </w:r>
    </w:p>
  </w:footnote>
  <w:footnote w:id="37">
    <w:p w14:paraId="56111985" w14:textId="30895FEB" w:rsidR="221E107C" w:rsidRPr="00DE3A6F" w:rsidRDefault="00381A96" w:rsidP="0002684C">
      <w:pPr>
        <w:pStyle w:val="FootnoteText"/>
      </w:pPr>
      <w:r w:rsidRPr="00DE3A6F">
        <w:t>(</w:t>
      </w:r>
      <w:r w:rsidR="221E107C" w:rsidRPr="00DE3A6F">
        <w:rPr>
          <w:vertAlign w:val="superscript"/>
        </w:rPr>
        <w:footnoteRef/>
      </w:r>
      <w:r w:rsidRPr="00DE3A6F">
        <w:t>)</w:t>
      </w:r>
      <w:r w:rsidR="0002684C">
        <w:tab/>
      </w:r>
      <w:r w:rsidR="221E107C" w:rsidRPr="00DE3A6F">
        <w:t>Hungary</w:t>
      </w:r>
      <w:r w:rsidR="00727A37" w:rsidRPr="00DE3A6F">
        <w:t>.</w:t>
      </w:r>
    </w:p>
  </w:footnote>
  <w:footnote w:id="38">
    <w:p w14:paraId="35574587" w14:textId="456A8BB1" w:rsidR="00712243" w:rsidRPr="00C20F1D" w:rsidRDefault="00712243">
      <w:pPr>
        <w:pStyle w:val="FootnoteText"/>
      </w:pPr>
      <w:r>
        <w:t>(</w:t>
      </w:r>
      <w:r>
        <w:rPr>
          <w:rStyle w:val="FootnoteReference"/>
        </w:rPr>
        <w:footnoteRef/>
      </w:r>
      <w:r>
        <w:t>)</w:t>
      </w:r>
      <w:r>
        <w:tab/>
      </w:r>
      <w:r w:rsidR="00931AC0">
        <w:t>Greece, Lithuania and Slovenia.</w:t>
      </w:r>
    </w:p>
  </w:footnote>
  <w:footnote w:id="39">
    <w:p w14:paraId="04FA3162" w14:textId="6CAF1703" w:rsidR="00931AC0" w:rsidRPr="00C20F1D" w:rsidRDefault="00931AC0">
      <w:pPr>
        <w:pStyle w:val="FootnoteText"/>
      </w:pPr>
      <w:r>
        <w:t>(</w:t>
      </w:r>
      <w:r>
        <w:rPr>
          <w:rStyle w:val="FootnoteReference"/>
        </w:rPr>
        <w:footnoteRef/>
      </w:r>
      <w:r>
        <w:t>)</w:t>
      </w:r>
      <w:r>
        <w:tab/>
        <w:t>Finland and Sweden.</w:t>
      </w:r>
    </w:p>
  </w:footnote>
  <w:footnote w:id="40">
    <w:p w14:paraId="7C042CE1" w14:textId="73A91CD1" w:rsidR="00931AC0" w:rsidRPr="00C20F1D" w:rsidRDefault="00931AC0">
      <w:pPr>
        <w:pStyle w:val="FootnoteText"/>
      </w:pPr>
      <w:r>
        <w:t>(</w:t>
      </w:r>
      <w:r>
        <w:rPr>
          <w:rStyle w:val="FootnoteReference"/>
        </w:rPr>
        <w:footnoteRef/>
      </w:r>
      <w:r>
        <w:t>)</w:t>
      </w:r>
      <w:r>
        <w:tab/>
      </w:r>
      <w:r w:rsidR="00C20F1D">
        <w:t>Slovenia.</w:t>
      </w:r>
    </w:p>
  </w:footnote>
  <w:footnote w:id="41">
    <w:p w14:paraId="34D99E88" w14:textId="03D966C5" w:rsidR="00196BBA" w:rsidRPr="00DE3A6F" w:rsidRDefault="00196BBA">
      <w:pPr>
        <w:pStyle w:val="FootnoteText"/>
      </w:pPr>
      <w:r w:rsidRPr="00DE3A6F">
        <w:t>(</w:t>
      </w:r>
      <w:r w:rsidRPr="00DE3A6F">
        <w:rPr>
          <w:rStyle w:val="FootnoteReference"/>
        </w:rPr>
        <w:footnoteRef/>
      </w:r>
      <w:r w:rsidRPr="00DE3A6F">
        <w:t>)</w:t>
      </w:r>
      <w:r w:rsidRPr="00DE3A6F">
        <w:tab/>
      </w:r>
      <w:r w:rsidR="00F032AD" w:rsidRPr="00DE3A6F">
        <w:t xml:space="preserve">See </w:t>
      </w:r>
      <w:hyperlink r:id="rId8" w:history="1">
        <w:r w:rsidR="00F032AD" w:rsidRPr="00DE3A6F">
          <w:rPr>
            <w:rStyle w:val="Hyperlink"/>
          </w:rPr>
          <w:t>2024 PIF report</w:t>
        </w:r>
      </w:hyperlink>
      <w:r w:rsidR="00F032AD" w:rsidRPr="00DE3A6F">
        <w:t xml:space="preserve">, </w:t>
      </w:r>
      <w:r w:rsidR="00635603" w:rsidRPr="00CA1602">
        <w:t xml:space="preserve">Section </w:t>
      </w:r>
      <w:r w:rsidR="00F032AD" w:rsidRPr="00DE3A6F">
        <w:t>5.</w:t>
      </w:r>
      <w:r w:rsidR="00D439C1" w:rsidRPr="00DE3A6F">
        <w:t xml:space="preserve"> The replies </w:t>
      </w:r>
      <w:r w:rsidR="00635603" w:rsidRPr="00CA1602">
        <w:t xml:space="preserve">from </w:t>
      </w:r>
      <w:r w:rsidR="00D439C1" w:rsidRPr="00DE3A6F">
        <w:t xml:space="preserve">Member States to recommendations 1, 2 and 4 </w:t>
      </w:r>
      <w:r w:rsidR="002D3B7C" w:rsidRPr="00DE3A6F">
        <w:t>are included in the SWD ‘Follow-up on recommendations to the Commission report on the protection of the EU’s financial interests and the fight against fraud – 2024</w:t>
      </w:r>
      <w:r w:rsidR="00A31D9F" w:rsidRPr="00DE3A6F">
        <w:t>’. The replies to recommendation 3 are included in the SWD ‘National anti-fraud strategies (NAFS) state of play and assessment’.</w:t>
      </w:r>
    </w:p>
  </w:footnote>
  <w:footnote w:id="42">
    <w:p w14:paraId="3C827390" w14:textId="15D5DF6F" w:rsidR="00FB1985" w:rsidRPr="00DE3A6F" w:rsidRDefault="00FB1985">
      <w:pPr>
        <w:pStyle w:val="FootnoteText"/>
      </w:pPr>
      <w:r w:rsidRPr="00DE3A6F">
        <w:t>(</w:t>
      </w:r>
      <w:r w:rsidRPr="00DE3A6F">
        <w:rPr>
          <w:rStyle w:val="FootnoteReference"/>
        </w:rPr>
        <w:footnoteRef/>
      </w:r>
      <w:r w:rsidRPr="00DE3A6F">
        <w:t>)</w:t>
      </w:r>
      <w:r w:rsidRPr="00DE3A6F">
        <w:tab/>
      </w:r>
      <w:r w:rsidRPr="00DE3A6F">
        <w:rPr>
          <w:sz w:val="18"/>
          <w:szCs w:val="18"/>
        </w:rPr>
        <w:t>Bulgaria, Denmark</w:t>
      </w:r>
      <w:r w:rsidR="005F3198" w:rsidRPr="00DE3A6F">
        <w:rPr>
          <w:sz w:val="18"/>
          <w:szCs w:val="18"/>
        </w:rPr>
        <w:t xml:space="preserve"> and</w:t>
      </w:r>
      <w:r w:rsidRPr="00DE3A6F">
        <w:rPr>
          <w:sz w:val="18"/>
          <w:szCs w:val="18"/>
        </w:rPr>
        <w:t xml:space="preserve"> Luxembourg</w:t>
      </w:r>
      <w:r w:rsidR="00A5106F">
        <w:rPr>
          <w:sz w:val="18"/>
          <w:szCs w:val="18"/>
        </w:rPr>
        <w:t>.</w:t>
      </w:r>
    </w:p>
  </w:footnote>
  <w:footnote w:id="43">
    <w:p w14:paraId="2FD90165" w14:textId="46484CD0" w:rsidR="00C347E3" w:rsidRPr="00DE3A6F" w:rsidRDefault="00C347E3">
      <w:pPr>
        <w:pStyle w:val="FootnoteText"/>
      </w:pPr>
      <w:r w:rsidRPr="00DE3A6F">
        <w:t>(</w:t>
      </w:r>
      <w:r w:rsidRPr="00DE3A6F">
        <w:rPr>
          <w:rStyle w:val="FootnoteReference"/>
        </w:rPr>
        <w:footnoteRef/>
      </w:r>
      <w:r w:rsidRPr="00DE3A6F">
        <w:t>)</w:t>
      </w:r>
      <w:r w:rsidRPr="00DE3A6F">
        <w:tab/>
      </w:r>
      <w:r w:rsidR="000509DF" w:rsidRPr="00DE3A6F">
        <w:t xml:space="preserve">Spain and </w:t>
      </w:r>
      <w:r w:rsidR="002A50AE" w:rsidRPr="00DE3A6F">
        <w:t>Cyprus</w:t>
      </w:r>
      <w:r w:rsidR="00026C83" w:rsidRPr="00DE3A6F">
        <w:t>.</w:t>
      </w:r>
    </w:p>
  </w:footnote>
  <w:footnote w:id="44">
    <w:p w14:paraId="4EB177C6" w14:textId="5EB798B5" w:rsidR="0060373F" w:rsidRPr="00DE3A6F" w:rsidRDefault="0060373F">
      <w:pPr>
        <w:pStyle w:val="FootnoteText"/>
      </w:pPr>
      <w:r w:rsidRPr="00DE3A6F">
        <w:t>(</w:t>
      </w:r>
      <w:r w:rsidRPr="00DE3A6F">
        <w:rPr>
          <w:rStyle w:val="FootnoteReference"/>
        </w:rPr>
        <w:footnoteRef/>
      </w:r>
      <w:r w:rsidRPr="00DE3A6F">
        <w:t>)</w:t>
      </w:r>
      <w:r w:rsidRPr="00DE3A6F">
        <w:tab/>
      </w:r>
      <w:r w:rsidR="002F6E92" w:rsidRPr="00DE3A6F">
        <w:t>Czechia, Italy</w:t>
      </w:r>
      <w:r w:rsidR="00171436" w:rsidRPr="00CA1602">
        <w:t xml:space="preserve"> and</w:t>
      </w:r>
      <w:r w:rsidR="002F6E92" w:rsidRPr="00DE3A6F">
        <w:t xml:space="preserve"> Portugal</w:t>
      </w:r>
      <w:r w:rsidR="00171436" w:rsidRPr="00DE3A6F">
        <w:t>.</w:t>
      </w:r>
    </w:p>
  </w:footnote>
  <w:footnote w:id="45">
    <w:p w14:paraId="581AFD1E" w14:textId="3D1C566E" w:rsidR="005F6AC4" w:rsidRPr="00DE3A6F" w:rsidRDefault="005F6AC4">
      <w:pPr>
        <w:pStyle w:val="FootnoteText"/>
      </w:pPr>
      <w:r w:rsidRPr="00DE3A6F">
        <w:t>(</w:t>
      </w:r>
      <w:r w:rsidRPr="00DE3A6F">
        <w:rPr>
          <w:rStyle w:val="FootnoteReference"/>
        </w:rPr>
        <w:footnoteRef/>
      </w:r>
      <w:r w:rsidRPr="00DE3A6F">
        <w:t>)</w:t>
      </w:r>
      <w:r w:rsidRPr="00DE3A6F">
        <w:tab/>
        <w:t xml:space="preserve">Belgium, Spain, France, </w:t>
      </w:r>
      <w:r w:rsidR="000527E9" w:rsidRPr="00DE3A6F">
        <w:t xml:space="preserve">Italy, </w:t>
      </w:r>
      <w:r w:rsidRPr="00DE3A6F">
        <w:t>Hungary</w:t>
      </w:r>
      <w:r w:rsidR="00171436" w:rsidRPr="00CA1602">
        <w:t xml:space="preserve"> and</w:t>
      </w:r>
      <w:r w:rsidRPr="00DE3A6F">
        <w:t xml:space="preserve"> Slovenia</w:t>
      </w:r>
      <w:r w:rsidR="00171436" w:rsidRPr="00DE3A6F">
        <w:t>.</w:t>
      </w:r>
    </w:p>
  </w:footnote>
  <w:footnote w:id="46">
    <w:p w14:paraId="700B58D1" w14:textId="032C8318" w:rsidR="007831C6" w:rsidRPr="00DE3A6F" w:rsidRDefault="007831C6">
      <w:pPr>
        <w:pStyle w:val="FootnoteText"/>
      </w:pPr>
      <w:r w:rsidRPr="00DE3A6F">
        <w:t>(</w:t>
      </w:r>
      <w:r w:rsidRPr="00DE3A6F">
        <w:rPr>
          <w:rStyle w:val="FootnoteReference"/>
        </w:rPr>
        <w:footnoteRef/>
      </w:r>
      <w:r w:rsidRPr="00DE3A6F">
        <w:t>)</w:t>
      </w:r>
      <w:r w:rsidRPr="00DE3A6F">
        <w:tab/>
      </w:r>
      <w:r w:rsidR="00513490" w:rsidRPr="00DE3A6F">
        <w:t>Czechia, Luxembourg</w:t>
      </w:r>
      <w:r w:rsidR="00171436" w:rsidRPr="00CA1602">
        <w:t xml:space="preserve"> and</w:t>
      </w:r>
      <w:r w:rsidR="00513490" w:rsidRPr="00DE3A6F">
        <w:t xml:space="preserve"> Sweden</w:t>
      </w:r>
      <w:r w:rsidR="00171436" w:rsidRPr="00DE3A6F">
        <w:t>.</w:t>
      </w:r>
    </w:p>
  </w:footnote>
  <w:footnote w:id="47">
    <w:p w14:paraId="247646E3" w14:textId="748FB436" w:rsidR="007B28CD" w:rsidRPr="00DE3A6F" w:rsidRDefault="007B28CD">
      <w:pPr>
        <w:pStyle w:val="FootnoteText"/>
      </w:pPr>
      <w:r w:rsidRPr="00DE3A6F">
        <w:t>(</w:t>
      </w:r>
      <w:r w:rsidRPr="00DE3A6F">
        <w:rPr>
          <w:rStyle w:val="FootnoteReference"/>
        </w:rPr>
        <w:footnoteRef/>
      </w:r>
      <w:r w:rsidRPr="00DE3A6F">
        <w:t>)</w:t>
      </w:r>
      <w:r w:rsidRPr="00DE3A6F">
        <w:tab/>
        <w:t xml:space="preserve">Belgium, Estonia, </w:t>
      </w:r>
      <w:r w:rsidR="00171436" w:rsidRPr="00DE3A6F">
        <w:t xml:space="preserve">Ireland, </w:t>
      </w:r>
      <w:r w:rsidRPr="00DE3A6F">
        <w:t xml:space="preserve">Spain, Latvia, Malta, </w:t>
      </w:r>
      <w:r w:rsidR="00171436" w:rsidRPr="00DE3A6F">
        <w:t>Austria</w:t>
      </w:r>
      <w:r w:rsidR="00171436" w:rsidRPr="00CA1602">
        <w:t xml:space="preserve"> and </w:t>
      </w:r>
      <w:r w:rsidRPr="00DE3A6F">
        <w:t>Slovakia</w:t>
      </w:r>
      <w:r w:rsidR="00171436" w:rsidRPr="00DE3A6F">
        <w:t>.</w:t>
      </w:r>
    </w:p>
  </w:footnote>
  <w:footnote w:id="48">
    <w:p w14:paraId="6E09A754" w14:textId="07BD37DC" w:rsidR="005F57EC" w:rsidRPr="00DE3A6F" w:rsidRDefault="005F57EC">
      <w:pPr>
        <w:pStyle w:val="FootnoteText"/>
      </w:pPr>
      <w:r w:rsidRPr="00DE3A6F">
        <w:t>(</w:t>
      </w:r>
      <w:r w:rsidRPr="00DE3A6F">
        <w:rPr>
          <w:rStyle w:val="FootnoteReference"/>
        </w:rPr>
        <w:footnoteRef/>
      </w:r>
      <w:r w:rsidRPr="00DE3A6F">
        <w:t>)</w:t>
      </w:r>
      <w:r w:rsidRPr="00DE3A6F">
        <w:tab/>
        <w:t>For a full description of the implementation of the UAFP in 2025 see SWD ‘</w:t>
      </w:r>
      <w:r w:rsidR="00476DF1" w:rsidRPr="00CA1602">
        <w:t>Annual overview with information on the results of the Union anti-fraud programme in 2025’.</w:t>
      </w:r>
    </w:p>
  </w:footnote>
  <w:footnote w:id="49">
    <w:p w14:paraId="5D3F443E" w14:textId="48018064" w:rsidR="00381A96" w:rsidRPr="00DE3A6F" w:rsidRDefault="0E7E2D8C">
      <w:pPr>
        <w:pStyle w:val="FootnoteText"/>
      </w:pPr>
      <w:r w:rsidRPr="00DE3A6F">
        <w:t>(</w:t>
      </w:r>
      <w:r w:rsidR="00381A96" w:rsidRPr="00DE3A6F">
        <w:rPr>
          <w:rStyle w:val="FootnoteReference"/>
        </w:rPr>
        <w:footnoteRef/>
      </w:r>
      <w:r w:rsidRPr="00DE3A6F">
        <w:t>)</w:t>
      </w:r>
      <w:r w:rsidR="00381A96" w:rsidRPr="00DE3A6F">
        <w:tab/>
      </w:r>
      <w:r w:rsidRPr="00DE3A6F">
        <w:t xml:space="preserve">The quoted text is from Annex XII of Regulation (EU) 2021/1060. Similar provisions are contained in the different sectoral regulations </w:t>
      </w:r>
      <w:r w:rsidR="001530C7" w:rsidRPr="00CA1602">
        <w:t xml:space="preserve">on </w:t>
      </w:r>
      <w:r w:rsidRPr="00DE3A6F">
        <w:t>the reporting of irregularities to the Commission.</w:t>
      </w:r>
    </w:p>
  </w:footnote>
  <w:footnote w:id="50">
    <w:p w14:paraId="2EC9DD3B" w14:textId="1635D339" w:rsidR="00D46182" w:rsidRPr="00DE3A6F" w:rsidRDefault="00D46182">
      <w:pPr>
        <w:pStyle w:val="FootnoteText"/>
      </w:pPr>
      <w:r w:rsidRPr="00DE3A6F">
        <w:t>(</w:t>
      </w:r>
      <w:r w:rsidRPr="00DE3A6F">
        <w:rPr>
          <w:rStyle w:val="FootnoteReference"/>
        </w:rPr>
        <w:footnoteRef/>
      </w:r>
      <w:r w:rsidRPr="00DE3A6F">
        <w:t>)</w:t>
      </w:r>
      <w:r w:rsidRPr="00DE3A6F">
        <w:tab/>
        <w:t xml:space="preserve">First of all, the threshold of EUR 10 000 of EU funds </w:t>
      </w:r>
      <w:r w:rsidR="00F46464" w:rsidRPr="00CA1602">
        <w:t>applies</w:t>
      </w:r>
      <w:r w:rsidRPr="00DE3A6F">
        <w:t xml:space="preserve">. Additional derogations </w:t>
      </w:r>
      <w:r w:rsidR="009D02CB" w:rsidRPr="00CA1602">
        <w:t xml:space="preserve">are </w:t>
      </w:r>
      <w:r w:rsidRPr="00DE3A6F">
        <w:t xml:space="preserve">presented in </w:t>
      </w:r>
      <w:r w:rsidRPr="00DE3A6F">
        <w:rPr>
          <w:b/>
          <w:bCs/>
        </w:rPr>
        <w:t>methodological note 3</w:t>
      </w:r>
      <w:r w:rsidRPr="00DE3A6F">
        <w:t>.</w:t>
      </w:r>
    </w:p>
  </w:footnote>
  <w:footnote w:id="51">
    <w:p w14:paraId="3C009C2A" w14:textId="2C8830EE" w:rsidR="00892F99" w:rsidRPr="00077AF8" w:rsidRDefault="00892F99">
      <w:pPr>
        <w:pStyle w:val="FootnoteText"/>
        <w:rPr>
          <w:lang w:val="en-IE"/>
        </w:rPr>
      </w:pPr>
      <w:r>
        <w:t>(</w:t>
      </w:r>
      <w:r>
        <w:rPr>
          <w:rStyle w:val="FootnoteReference"/>
        </w:rPr>
        <w:footnoteRef/>
      </w:r>
      <w:r>
        <w:t>)</w:t>
      </w:r>
      <w:r>
        <w:tab/>
      </w:r>
      <w:r w:rsidR="002E6D9F">
        <w:t>Member States remain under the obligation to report</w:t>
      </w:r>
      <w:r w:rsidR="008502FA">
        <w:t xml:space="preserve"> suspected fraud cases to the competent investigative authorities, such as the EPPO and OLAF and </w:t>
      </w:r>
      <w:r w:rsidR="00040BED">
        <w:t>to keep relevant records for five years, as per Article 11(1)(d) of the RRF financing agreement.</w:t>
      </w:r>
    </w:p>
  </w:footnote>
  <w:footnote w:id="52">
    <w:p w14:paraId="457061F2" w14:textId="6F372994" w:rsidR="00E15719" w:rsidRPr="00DE3A6F" w:rsidRDefault="0E7E2D8C">
      <w:pPr>
        <w:pStyle w:val="FootnoteText"/>
      </w:pPr>
      <w:r w:rsidRPr="00DE3A6F">
        <w:t>(</w:t>
      </w:r>
      <w:r w:rsidR="00E15719" w:rsidRPr="00DE3A6F">
        <w:rPr>
          <w:rStyle w:val="FootnoteReference"/>
        </w:rPr>
        <w:footnoteRef/>
      </w:r>
      <w:r w:rsidRPr="00DE3A6F">
        <w:t xml:space="preserve">) </w:t>
      </w:r>
      <w:r w:rsidR="00E15719" w:rsidRPr="00DE3A6F">
        <w:tab/>
      </w:r>
      <w:r w:rsidRPr="00DE3A6F">
        <w:t xml:space="preserve">Irregularities </w:t>
      </w:r>
      <w:r w:rsidR="009D02CB" w:rsidRPr="00DE3A6F">
        <w:t xml:space="preserve">relating to expenditure </w:t>
      </w:r>
      <w:r w:rsidRPr="00DE3A6F">
        <w:t xml:space="preserve">were reported by Member States and non-EU countries in IMS and </w:t>
      </w:r>
      <w:r w:rsidR="00246764" w:rsidRPr="00CA1602">
        <w:t xml:space="preserve">irregularities relating </w:t>
      </w:r>
      <w:r w:rsidRPr="00DE3A6F">
        <w:t>to traditional own resources</w:t>
      </w:r>
      <w:r w:rsidR="00246764" w:rsidRPr="00CA1602">
        <w:t xml:space="preserve"> in OWNRES</w:t>
      </w:r>
      <w:r w:rsidRPr="00DE3A6F">
        <w:t>. Irregularities related to direct management are extracted from the Commission’s accounting system.</w:t>
      </w:r>
    </w:p>
  </w:footnote>
  <w:footnote w:id="53">
    <w:p w14:paraId="036A64DF" w14:textId="4C196315" w:rsidR="00E15719" w:rsidRPr="00DE3A6F" w:rsidRDefault="00E15719">
      <w:pPr>
        <w:pStyle w:val="FootnoteText"/>
      </w:pPr>
      <w:r w:rsidRPr="00DE3A6F">
        <w:t>(</w:t>
      </w:r>
      <w:r w:rsidRPr="00DE3A6F">
        <w:rPr>
          <w:rStyle w:val="FootnoteReference"/>
        </w:rPr>
        <w:footnoteRef/>
      </w:r>
      <w:r w:rsidRPr="00DE3A6F">
        <w:t>)</w:t>
      </w:r>
      <w:r w:rsidRPr="00DE3A6F">
        <w:tab/>
        <w:t xml:space="preserve">This increase is </w:t>
      </w:r>
      <w:r w:rsidR="00E05F79" w:rsidRPr="00DE3A6F">
        <w:t xml:space="preserve">mainly </w:t>
      </w:r>
      <w:r w:rsidR="00281DC8" w:rsidRPr="00DE3A6F">
        <w:t xml:space="preserve">due to non-fraudulent irregularities reported in </w:t>
      </w:r>
      <w:r w:rsidR="000760E7" w:rsidRPr="00DE3A6F">
        <w:t>traditional own resources</w:t>
      </w:r>
      <w:r w:rsidR="007A03C6" w:rsidRPr="00DE3A6F">
        <w:t xml:space="preserve">. </w:t>
      </w:r>
      <w:r w:rsidR="006C3F63" w:rsidRPr="00DE3A6F">
        <w:t>For m</w:t>
      </w:r>
      <w:r w:rsidR="00E05F79" w:rsidRPr="00DE3A6F">
        <w:t xml:space="preserve">ost </w:t>
      </w:r>
      <w:r w:rsidR="007A03C6" w:rsidRPr="00DE3A6F">
        <w:t xml:space="preserve">expenditure sectors </w:t>
      </w:r>
      <w:r w:rsidR="006C3F63" w:rsidRPr="00DE3A6F">
        <w:t xml:space="preserve">there was a </w:t>
      </w:r>
      <w:r w:rsidR="007A03C6" w:rsidRPr="00DE3A6F">
        <w:t>decrease</w:t>
      </w:r>
      <w:r w:rsidR="006C3F63" w:rsidRPr="00DE3A6F">
        <w:t>, except agriculture and internal</w:t>
      </w:r>
      <w:r w:rsidR="009E4C3F" w:rsidRPr="00DE3A6F">
        <w:t xml:space="preserve"> policies</w:t>
      </w:r>
      <w:r w:rsidR="007A03C6" w:rsidRPr="00DE3A6F">
        <w:t xml:space="preserve">. </w:t>
      </w:r>
    </w:p>
  </w:footnote>
  <w:footnote w:id="54">
    <w:p w14:paraId="6CCFF8D4" w14:textId="77777777" w:rsidR="007E6E89" w:rsidRPr="00F401E9" w:rsidRDefault="007E6E89" w:rsidP="007E6E89">
      <w:pPr>
        <w:pStyle w:val="FootnoteText"/>
        <w:rPr>
          <w:lang w:val="en-IE"/>
        </w:rPr>
      </w:pPr>
      <w:r>
        <w:t>(</w:t>
      </w:r>
      <w:r>
        <w:rPr>
          <w:rStyle w:val="FootnoteReference"/>
        </w:rPr>
        <w:footnoteRef/>
      </w:r>
      <w:r>
        <w:t>)</w:t>
      </w:r>
      <w:r>
        <w:tab/>
        <w:t>For RRF, it does not exist for Member States the obligation to inform the Commission of detected irregularities and fraud, as in shared management. However, Member States remain under the obligation to report suspected fraud cases to the competent authorities, such as the EPPO and OLAF, and to keep records for five years, as per Article 11(1)(d) of the RRF financing agreement.</w:t>
      </w:r>
    </w:p>
  </w:footnote>
  <w:footnote w:id="55">
    <w:p w14:paraId="6645DA55" w14:textId="49DE1491" w:rsidR="007E6E89" w:rsidRPr="003A567C" w:rsidRDefault="007E6E89">
      <w:pPr>
        <w:pStyle w:val="FootnoteText"/>
        <w:rPr>
          <w:lang w:val="en-IE"/>
        </w:rPr>
      </w:pPr>
      <w:r>
        <w:t>(</w:t>
      </w:r>
      <w:r>
        <w:rPr>
          <w:rStyle w:val="FootnoteReference"/>
        </w:rPr>
        <w:footnoteRef/>
      </w:r>
      <w:r>
        <w:t>)</w:t>
      </w:r>
      <w:r>
        <w:tab/>
        <w:t>See footnote 5</w:t>
      </w:r>
      <w:r w:rsidR="0061228D">
        <w:t>3</w:t>
      </w:r>
      <w:r>
        <w:t>.</w:t>
      </w:r>
    </w:p>
  </w:footnote>
  <w:footnote w:id="56">
    <w:p w14:paraId="0FBD9667" w14:textId="6E5A9F78" w:rsidR="00DA5823" w:rsidRPr="00DE3A6F" w:rsidRDefault="00DA5823">
      <w:pPr>
        <w:pStyle w:val="FootnoteText"/>
      </w:pPr>
      <w:r w:rsidRPr="00DE3A6F">
        <w:t>(</w:t>
      </w:r>
      <w:r w:rsidRPr="00DE3A6F">
        <w:rPr>
          <w:rStyle w:val="FootnoteReference"/>
        </w:rPr>
        <w:footnoteRef/>
      </w:r>
      <w:r w:rsidRPr="00DE3A6F">
        <w:t>)</w:t>
      </w:r>
      <w:r w:rsidRPr="00DE3A6F">
        <w:tab/>
        <w:t xml:space="preserve">See also </w:t>
      </w:r>
      <w:r w:rsidR="00356B1B" w:rsidRPr="00CA1602">
        <w:t xml:space="preserve">Sections </w:t>
      </w:r>
      <w:hyperlink w:anchor="_Prevention" w:history="1">
        <w:r w:rsidR="00DE6B8F" w:rsidRPr="00CA1602">
          <w:rPr>
            <w:rStyle w:val="Hyperlink"/>
          </w:rPr>
          <w:t>1.2.</w:t>
        </w:r>
        <w:r w:rsidR="00356B1B" w:rsidRPr="00CA1602">
          <w:rPr>
            <w:rStyle w:val="Hyperlink"/>
          </w:rPr>
          <w:t>2</w:t>
        </w:r>
      </w:hyperlink>
      <w:r w:rsidR="00356B1B" w:rsidRPr="00DE3A6F">
        <w:t xml:space="preserve"> and</w:t>
      </w:r>
      <w:r w:rsidR="00DE6B8F" w:rsidRPr="00DE3A6F">
        <w:t xml:space="preserve"> </w:t>
      </w:r>
      <w:hyperlink w:anchor="_Data_sources_1" w:history="1">
        <w:r w:rsidR="00DE6B8F" w:rsidRPr="00CA1602">
          <w:rPr>
            <w:rStyle w:val="Hyperlink"/>
          </w:rPr>
          <w:t>1.3</w:t>
        </w:r>
      </w:hyperlink>
      <w:r w:rsidR="00DE6B8F" w:rsidRPr="00DE3A6F">
        <w:t xml:space="preserve"> and methodological note 1</w:t>
      </w:r>
      <w:r w:rsidR="00DB3A54" w:rsidRPr="00DE3A6F">
        <w:t xml:space="preserve">, </w:t>
      </w:r>
      <w:r w:rsidR="00356B1B" w:rsidRPr="00CA1602">
        <w:t xml:space="preserve">p. </w:t>
      </w:r>
      <w:r w:rsidR="00DB3A54" w:rsidRPr="00DE3A6F">
        <w:t>30.</w:t>
      </w:r>
    </w:p>
  </w:footnote>
  <w:footnote w:id="57">
    <w:p w14:paraId="3FAFC27D" w14:textId="25A4ABEB" w:rsidR="00EA0691" w:rsidRPr="00DE3A6F" w:rsidRDefault="00EA0691">
      <w:pPr>
        <w:pStyle w:val="FootnoteText"/>
      </w:pPr>
      <w:r w:rsidRPr="00DE3A6F">
        <w:t>(</w:t>
      </w:r>
      <w:r w:rsidRPr="00DE3A6F">
        <w:rPr>
          <w:rStyle w:val="FootnoteReference"/>
        </w:rPr>
        <w:footnoteRef/>
      </w:r>
      <w:r w:rsidRPr="00DE3A6F">
        <w:t>)</w:t>
      </w:r>
      <w:r w:rsidRPr="00DE3A6F">
        <w:tab/>
        <w:t xml:space="preserve">For information about funds prevented from being spent on the basis of </w:t>
      </w:r>
      <w:r w:rsidR="00AB312D">
        <w:t xml:space="preserve">the </w:t>
      </w:r>
      <w:r w:rsidRPr="00DE3A6F">
        <w:t xml:space="preserve">EPPO notifications to the Commission, see </w:t>
      </w:r>
      <w:r w:rsidR="008909FD" w:rsidRPr="00CA1602">
        <w:t xml:space="preserve">snapshot </w:t>
      </w:r>
      <w:r w:rsidRPr="00DE3A6F">
        <w:t>8.</w:t>
      </w:r>
    </w:p>
  </w:footnote>
  <w:footnote w:id="58">
    <w:p w14:paraId="4013B9AD" w14:textId="4DF19A78" w:rsidR="00DE24F8" w:rsidRPr="00DE3A6F" w:rsidRDefault="00DE24F8">
      <w:pPr>
        <w:pStyle w:val="FootnoteText"/>
      </w:pPr>
      <w:r w:rsidRPr="00DE3A6F">
        <w:t>(</w:t>
      </w:r>
      <w:r w:rsidRPr="00DE3A6F">
        <w:rPr>
          <w:rStyle w:val="FootnoteReference"/>
        </w:rPr>
        <w:footnoteRef/>
      </w:r>
      <w:r w:rsidRPr="00DE3A6F">
        <w:t>)</w:t>
      </w:r>
      <w:r w:rsidRPr="00DE3A6F">
        <w:tab/>
        <w:t xml:space="preserve">Since 2014 for the </w:t>
      </w:r>
      <w:r w:rsidR="008909FD" w:rsidRPr="00CA1602">
        <w:t xml:space="preserve">cohesion </w:t>
      </w:r>
      <w:r w:rsidRPr="00DE3A6F">
        <w:t xml:space="preserve">policy and since 2016 </w:t>
      </w:r>
      <w:r w:rsidR="008909FD" w:rsidRPr="00CA1602">
        <w:t xml:space="preserve">for </w:t>
      </w:r>
      <w:r w:rsidRPr="00DE3A6F">
        <w:t>agriculture</w:t>
      </w:r>
      <w:r w:rsidR="0085391D" w:rsidRPr="00DE3A6F">
        <w:t>.</w:t>
      </w:r>
    </w:p>
  </w:footnote>
  <w:footnote w:id="59">
    <w:p w14:paraId="03DDB26A" w14:textId="03E48628" w:rsidR="00881B0E" w:rsidRPr="00DE3A6F" w:rsidRDefault="00881B0E">
      <w:pPr>
        <w:pStyle w:val="FootnoteText"/>
      </w:pPr>
      <w:r w:rsidRPr="00DE3A6F">
        <w:t>(</w:t>
      </w:r>
      <w:r w:rsidRPr="00DE3A6F">
        <w:rPr>
          <w:rStyle w:val="FootnoteReference"/>
        </w:rPr>
        <w:footnoteRef/>
      </w:r>
      <w:r w:rsidRPr="00DE3A6F">
        <w:t>)</w:t>
      </w:r>
      <w:r w:rsidRPr="00DE3A6F">
        <w:tab/>
      </w:r>
      <w:r w:rsidR="00FB21B9" w:rsidRPr="00DE3A6F">
        <w:t>When referring to national authoriti</w:t>
      </w:r>
      <w:r w:rsidR="00276F72" w:rsidRPr="00DE3A6F">
        <w:t>e</w:t>
      </w:r>
      <w:r w:rsidR="00FB21B9" w:rsidRPr="00DE3A6F">
        <w:t xml:space="preserve">s, </w:t>
      </w:r>
      <w:r w:rsidR="001371AB" w:rsidRPr="00DE3A6F">
        <w:t xml:space="preserve">the </w:t>
      </w:r>
      <w:r w:rsidR="00FB21B9" w:rsidRPr="00DE3A6F">
        <w:t>d</w:t>
      </w:r>
      <w:r w:rsidRPr="00DE3A6F">
        <w:t xml:space="preserve">ata presented in </w:t>
      </w:r>
      <w:r w:rsidR="00FB21B9" w:rsidRPr="00DE3A6F">
        <w:t xml:space="preserve">Figure </w:t>
      </w:r>
      <w:r w:rsidR="001371AB" w:rsidRPr="00CA1602">
        <w:t xml:space="preserve">16 </w:t>
      </w:r>
      <w:r w:rsidR="00FB21B9" w:rsidRPr="00DE3A6F">
        <w:t xml:space="preserve">may also </w:t>
      </w:r>
      <w:r w:rsidR="004F3902" w:rsidRPr="00DE3A6F">
        <w:t xml:space="preserve">cover </w:t>
      </w:r>
      <w:r w:rsidR="00276F72" w:rsidRPr="00DE3A6F">
        <w:t xml:space="preserve">investigations by national authorities </w:t>
      </w:r>
      <w:r w:rsidR="004F3902" w:rsidRPr="00CA1602">
        <w:t xml:space="preserve">from </w:t>
      </w:r>
      <w:r w:rsidR="00276F72" w:rsidRPr="00DE3A6F">
        <w:t>third countries, like the United Kingdom (</w:t>
      </w:r>
      <w:r w:rsidR="004F3902" w:rsidRPr="00CA1602">
        <w:t xml:space="preserve">in </w:t>
      </w:r>
      <w:r w:rsidR="00276F72" w:rsidRPr="00DE3A6F">
        <w:t>both areas of customs and expenditure) and candidate countries (</w:t>
      </w:r>
      <w:r w:rsidR="00B92B78" w:rsidRPr="00DE3A6F">
        <w:t>for pre-accession).</w:t>
      </w:r>
      <w:r w:rsidR="00BE4D82" w:rsidRPr="00DE3A6F">
        <w:t xml:space="preserve"> However, these </w:t>
      </w:r>
      <w:r w:rsidR="000C0EA0" w:rsidRPr="00CA1602">
        <w:t xml:space="preserve">cases </w:t>
      </w:r>
      <w:r w:rsidR="00BE4D82" w:rsidRPr="00DE3A6F">
        <w:t xml:space="preserve">represent </w:t>
      </w:r>
      <w:r w:rsidR="00A00A5E" w:rsidRPr="00DE3A6F">
        <w:t>a very small percentage of the numbers presented.</w:t>
      </w:r>
    </w:p>
  </w:footnote>
  <w:footnote w:id="60">
    <w:p w14:paraId="3AD0CA82" w14:textId="70FB5B35" w:rsidR="00AE25EC" w:rsidRPr="00DE3A6F" w:rsidRDefault="00AE25EC">
      <w:pPr>
        <w:pStyle w:val="FootnoteText"/>
      </w:pPr>
      <w:r w:rsidRPr="00DE3A6F">
        <w:t>(</w:t>
      </w:r>
      <w:r w:rsidRPr="00DE3A6F">
        <w:rPr>
          <w:rStyle w:val="FootnoteReference"/>
        </w:rPr>
        <w:footnoteRef/>
      </w:r>
      <w:r w:rsidRPr="00DE3A6F">
        <w:t>)</w:t>
      </w:r>
      <w:r w:rsidRPr="00DE3A6F">
        <w:tab/>
        <w:t>Cases c</w:t>
      </w:r>
      <w:r w:rsidR="00A621A7" w:rsidRPr="00DE3A6F">
        <w:t>lassified</w:t>
      </w:r>
      <w:r w:rsidRPr="00DE3A6F">
        <w:t xml:space="preserve"> as ‘suspected fraud</w:t>
      </w:r>
      <w:r w:rsidR="00A621A7" w:rsidRPr="00DE3A6F">
        <w:t>’</w:t>
      </w:r>
      <w:r w:rsidRPr="00DE3A6F">
        <w:t xml:space="preserve"> (IRQ3)</w:t>
      </w:r>
      <w:r w:rsidR="00403595" w:rsidRPr="00DE3A6F">
        <w:t xml:space="preserve"> and with ‘OPEN’ </w:t>
      </w:r>
      <w:r w:rsidR="00B84EEE" w:rsidRPr="00DE3A6F">
        <w:t xml:space="preserve">status </w:t>
      </w:r>
      <w:r w:rsidR="00403595" w:rsidRPr="00DE3A6F">
        <w:t>in IMS.</w:t>
      </w:r>
    </w:p>
  </w:footnote>
  <w:footnote w:id="61">
    <w:p w14:paraId="542C12C5" w14:textId="66C85A5D" w:rsidR="00540C7A" w:rsidRPr="00DE3A6F" w:rsidRDefault="00540C7A">
      <w:pPr>
        <w:pStyle w:val="FootnoteText"/>
      </w:pPr>
      <w:r w:rsidRPr="00DE3A6F">
        <w:t>(</w:t>
      </w:r>
      <w:r w:rsidRPr="00DE3A6F">
        <w:rPr>
          <w:rStyle w:val="FootnoteReference"/>
        </w:rPr>
        <w:footnoteRef/>
      </w:r>
      <w:r w:rsidRPr="00DE3A6F">
        <w:t>)</w:t>
      </w:r>
      <w:r w:rsidRPr="00DE3A6F">
        <w:tab/>
        <w:t xml:space="preserve">For detailed data </w:t>
      </w:r>
      <w:r w:rsidR="00774046" w:rsidRPr="00CA1602">
        <w:t xml:space="preserve">on </w:t>
      </w:r>
      <w:r w:rsidRPr="00DE3A6F">
        <w:t xml:space="preserve">withdrawals and recoveries in shared management, </w:t>
      </w:r>
      <w:r w:rsidR="00774046" w:rsidRPr="00CA1602">
        <w:t>see Sections 3.5.1 and 4.5.1 of the</w:t>
      </w:r>
      <w:r w:rsidR="005B1912" w:rsidRPr="00DE3A6F">
        <w:t xml:space="preserve"> SWD ‘Statistical evaluation of irregularities reported by the Member States’</w:t>
      </w:r>
      <w:r w:rsidR="00FE2C52" w:rsidRPr="00CA1602">
        <w:t>,</w:t>
      </w:r>
      <w:r w:rsidR="005B1912" w:rsidRPr="00DE3A6F">
        <w:t xml:space="preserve"> accompanying this report</w:t>
      </w:r>
      <w:r w:rsidR="00B45553" w:rsidRPr="00DE3A6F">
        <w:t>.</w:t>
      </w:r>
    </w:p>
  </w:footnote>
  <w:footnote w:id="62">
    <w:p w14:paraId="47FDAF0A" w14:textId="36C8FD7F" w:rsidR="00D90887" w:rsidRPr="00DE3A6F" w:rsidRDefault="00D90887">
      <w:pPr>
        <w:pStyle w:val="FootnoteText"/>
      </w:pPr>
      <w:r w:rsidRPr="00DE3A6F">
        <w:t>(</w:t>
      </w:r>
      <w:r w:rsidRPr="00DE3A6F">
        <w:rPr>
          <w:rStyle w:val="FootnoteReference"/>
        </w:rPr>
        <w:footnoteRef/>
      </w:r>
      <w:r w:rsidRPr="00DE3A6F">
        <w:t>)</w:t>
      </w:r>
      <w:r w:rsidRPr="00DE3A6F">
        <w:tab/>
        <w:t xml:space="preserve">See </w:t>
      </w:r>
      <w:hyperlink w:anchor="_Organised_crime" w:history="1">
        <w:r w:rsidR="00B27E2F" w:rsidRPr="00CA1602">
          <w:rPr>
            <w:rStyle w:val="Hyperlink"/>
          </w:rPr>
          <w:t xml:space="preserve">Section </w:t>
        </w:r>
        <w:r w:rsidRPr="00CA1602">
          <w:rPr>
            <w:rStyle w:val="Hyperlink"/>
          </w:rPr>
          <w:t>3</w:t>
        </w:r>
        <w:r w:rsidR="00A84946" w:rsidRPr="00CA1602">
          <w:rPr>
            <w:rStyle w:val="Hyperlink"/>
          </w:rPr>
          <w:t>.3.</w:t>
        </w:r>
        <w:r w:rsidR="00B27E2F" w:rsidRPr="00CA1602">
          <w:rPr>
            <w:rStyle w:val="Hyperlink"/>
          </w:rPr>
          <w:t>1</w:t>
        </w:r>
      </w:hyperlink>
      <w:r w:rsidR="00A84946" w:rsidRPr="00DE3A6F">
        <w:t>.</w:t>
      </w:r>
    </w:p>
  </w:footnote>
  <w:footnote w:id="63">
    <w:p w14:paraId="10CB595A" w14:textId="77777777" w:rsidR="003E651F" w:rsidRPr="00DE3A6F" w:rsidRDefault="003E651F" w:rsidP="003E651F">
      <w:pPr>
        <w:pStyle w:val="FootnoteText"/>
        <w:rPr>
          <w:sz w:val="22"/>
          <w:szCs w:val="22"/>
        </w:rPr>
      </w:pPr>
      <w:r w:rsidRPr="00DE3A6F">
        <w:t>(</w:t>
      </w:r>
      <w:r w:rsidRPr="00DE3A6F">
        <w:rPr>
          <w:rStyle w:val="FootnoteReference"/>
          <w:sz w:val="18"/>
          <w:szCs w:val="18"/>
        </w:rPr>
        <w:footnoteRef/>
      </w:r>
      <w:r w:rsidRPr="00DE3A6F">
        <w:t xml:space="preserve">) </w:t>
      </w:r>
      <w:r w:rsidRPr="00DE3A6F">
        <w:tab/>
        <w:t xml:space="preserve">For a detailed analysis of irregularities reported by the Member States in relation to TOR, see Section </w:t>
      </w:r>
      <w:r>
        <w:t>2</w:t>
      </w:r>
      <w:r w:rsidRPr="00CA1602">
        <w:t xml:space="preserve"> of SWD </w:t>
      </w:r>
      <w:r w:rsidRPr="00DE3A6F">
        <w:t>‘Statistical evaluation of irregularities reported for own resources, natural resources, cohesion policy, pre-accession assistance and direct expenditure in 2025’</w:t>
      </w:r>
      <w:r w:rsidRPr="00CA1602">
        <w:t>,</w:t>
      </w:r>
      <w:r w:rsidRPr="00DE3A6F">
        <w:t xml:space="preserve"> accompanying this report.</w:t>
      </w:r>
    </w:p>
  </w:footnote>
  <w:footnote w:id="64">
    <w:p w14:paraId="334B88C7" w14:textId="5580024F" w:rsidR="005E0AB8" w:rsidRPr="00233032" w:rsidRDefault="005E0AB8">
      <w:pPr>
        <w:pStyle w:val="FootnoteText"/>
        <w:rPr>
          <w:lang w:val="en-IE"/>
        </w:rPr>
      </w:pPr>
      <w:r>
        <w:t>(</w:t>
      </w:r>
      <w:r>
        <w:rPr>
          <w:rStyle w:val="FootnoteReference"/>
        </w:rPr>
        <w:footnoteRef/>
      </w:r>
      <w:r>
        <w:t>)</w:t>
      </w:r>
      <w:r>
        <w:tab/>
      </w:r>
      <w:r w:rsidRPr="005E0AB8">
        <w:t xml:space="preserve">Member States report in OWNRES the reference of OLAF investigation to facilitate the identification of these cases. </w:t>
      </w:r>
      <w:r w:rsidR="003D4F8D" w:rsidRPr="005E0AB8">
        <w:t>Many of</w:t>
      </w:r>
      <w:r w:rsidRPr="005E0AB8">
        <w:t xml:space="preserve"> the amounts reported in OWNRES relate to OLAF investigations.</w:t>
      </w:r>
    </w:p>
  </w:footnote>
  <w:footnote w:id="65">
    <w:p w14:paraId="10EB13C8" w14:textId="47B4613A" w:rsidR="007958D2" w:rsidRPr="00DE241B" w:rsidRDefault="00FB1985" w:rsidP="007958D2">
      <w:pPr>
        <w:pStyle w:val="FootnoteText"/>
        <w:rPr>
          <w:lang w:val="it-IT"/>
        </w:rPr>
      </w:pPr>
      <w:r w:rsidRPr="00DE241B">
        <w:rPr>
          <w:lang w:val="it-IT"/>
        </w:rPr>
        <w:t>(</w:t>
      </w:r>
      <w:r w:rsidR="007958D2" w:rsidRPr="00DE3A6F">
        <w:rPr>
          <w:rStyle w:val="FootnoteReference"/>
        </w:rPr>
        <w:footnoteRef/>
      </w:r>
      <w:r w:rsidRPr="00DE241B">
        <w:rPr>
          <w:lang w:val="it-IT"/>
        </w:rPr>
        <w:t>)</w:t>
      </w:r>
      <w:r w:rsidR="00CA6005">
        <w:rPr>
          <w:lang w:val="it-IT"/>
        </w:rPr>
        <w:tab/>
      </w:r>
      <w:r w:rsidR="007958D2" w:rsidRPr="00DE241B">
        <w:rPr>
          <w:lang w:val="it-IT"/>
        </w:rPr>
        <w:t xml:space="preserve">Belgium, Bulgaria, Estonia, Greece, France, Croatia, Lithuania, Poland, and Romania.  </w:t>
      </w:r>
    </w:p>
  </w:footnote>
  <w:footnote w:id="66">
    <w:p w14:paraId="2562AC9C" w14:textId="6E02C9C8" w:rsidR="007958D2" w:rsidRPr="00DE3A6F" w:rsidRDefault="00FB1985" w:rsidP="007958D2">
      <w:pPr>
        <w:pStyle w:val="FootnoteText"/>
      </w:pPr>
      <w:r w:rsidRPr="00DE3A6F">
        <w:t>(</w:t>
      </w:r>
      <w:r w:rsidR="007958D2" w:rsidRPr="00DE3A6F">
        <w:rPr>
          <w:rStyle w:val="FootnoteReference"/>
        </w:rPr>
        <w:footnoteRef/>
      </w:r>
      <w:r w:rsidRPr="00DE3A6F">
        <w:t>)</w:t>
      </w:r>
      <w:r w:rsidR="00CA6005">
        <w:tab/>
      </w:r>
      <w:r w:rsidR="007958D2" w:rsidRPr="00DE3A6F">
        <w:t>Germany, Italy, Austria.</w:t>
      </w:r>
    </w:p>
  </w:footnote>
  <w:footnote w:id="67">
    <w:p w14:paraId="70ED7EA3" w14:textId="7C03E414" w:rsidR="00CC4121" w:rsidRPr="00DE3A6F" w:rsidRDefault="00FB1985" w:rsidP="00233032">
      <w:pPr>
        <w:pStyle w:val="FootnoteText"/>
      </w:pPr>
      <w:r w:rsidRPr="00DE3A6F">
        <w:t>(</w:t>
      </w:r>
      <w:r w:rsidR="00CC4121" w:rsidRPr="00DE3A6F">
        <w:rPr>
          <w:rStyle w:val="FootnoteReference"/>
        </w:rPr>
        <w:footnoteRef/>
      </w:r>
      <w:r w:rsidRPr="00DE3A6F">
        <w:t>)</w:t>
      </w:r>
      <w:r w:rsidR="00CA6005">
        <w:tab/>
      </w:r>
      <w:r w:rsidR="00CC4121" w:rsidRPr="00DE3A6F">
        <w:t>The recovery rate includes both amounts recovered from the economic operators and amounts funded by the Member States.</w:t>
      </w:r>
    </w:p>
  </w:footnote>
  <w:footnote w:id="68">
    <w:p w14:paraId="62203510" w14:textId="3C51DF28" w:rsidR="00CC4121" w:rsidRPr="00DE3A6F" w:rsidRDefault="00FB1985" w:rsidP="00CC4121">
      <w:pPr>
        <w:pStyle w:val="FootnoteText"/>
      </w:pPr>
      <w:r w:rsidRPr="00DE3A6F">
        <w:t>(</w:t>
      </w:r>
      <w:r w:rsidR="00CC4121" w:rsidRPr="00DE3A6F">
        <w:rPr>
          <w:rStyle w:val="FootnoteReference"/>
        </w:rPr>
        <w:footnoteRef/>
      </w:r>
      <w:r w:rsidRPr="00DE3A6F">
        <w:t>)</w:t>
      </w:r>
      <w:r w:rsidR="00233032">
        <w:tab/>
      </w:r>
      <w:r w:rsidR="00CC4121" w:rsidRPr="00DE3A6F">
        <w:t xml:space="preserve">Only closed cases are taken into account. Cases from 2023 </w:t>
      </w:r>
      <w:r w:rsidR="00CC4121" w:rsidRPr="003D0068">
        <w:t>onwards</w:t>
      </w:r>
      <w:r w:rsidR="00CC4121" w:rsidRPr="00DE3A6F">
        <w:t xml:space="preserve"> are excluded. </w:t>
      </w:r>
    </w:p>
  </w:footnote>
  <w:footnote w:id="69">
    <w:p w14:paraId="438B22D4" w14:textId="138A1369" w:rsidR="00962F5C" w:rsidRPr="00DE241B" w:rsidRDefault="00962F5C">
      <w:pPr>
        <w:pStyle w:val="FootnoteText"/>
        <w:rPr>
          <w:lang w:val="it-IT"/>
        </w:rPr>
      </w:pPr>
      <w:r w:rsidRPr="00DE241B">
        <w:rPr>
          <w:lang w:val="it-IT"/>
        </w:rPr>
        <w:t>(</w:t>
      </w:r>
      <w:r w:rsidRPr="00DE3A6F">
        <w:rPr>
          <w:rStyle w:val="FootnoteReference"/>
        </w:rPr>
        <w:footnoteRef/>
      </w:r>
      <w:r w:rsidRPr="00DE241B">
        <w:rPr>
          <w:lang w:val="it-IT"/>
        </w:rPr>
        <w:t>)</w:t>
      </w:r>
      <w:r w:rsidRPr="00DE241B">
        <w:rPr>
          <w:lang w:val="it-IT"/>
        </w:rPr>
        <w:tab/>
      </w:r>
      <w:r w:rsidR="001D6057" w:rsidRPr="00DE241B">
        <w:rPr>
          <w:lang w:val="it-IT"/>
        </w:rPr>
        <w:t>Romania, France, Estonia, Italy and Poland.</w:t>
      </w:r>
    </w:p>
  </w:footnote>
  <w:footnote w:id="70">
    <w:p w14:paraId="48A5B0D2" w14:textId="70722913" w:rsidR="001D6057" w:rsidRPr="00DE3A6F" w:rsidRDefault="001D6057">
      <w:pPr>
        <w:pStyle w:val="FootnoteText"/>
      </w:pPr>
      <w:r w:rsidRPr="00DE3A6F">
        <w:t>(</w:t>
      </w:r>
      <w:r w:rsidRPr="00DE3A6F">
        <w:rPr>
          <w:rStyle w:val="FootnoteReference"/>
        </w:rPr>
        <w:footnoteRef/>
      </w:r>
      <w:r w:rsidRPr="00DE3A6F">
        <w:t>)</w:t>
      </w:r>
      <w:r w:rsidRPr="00DE3A6F">
        <w:tab/>
      </w:r>
      <w:r w:rsidR="00F85312" w:rsidRPr="00DE3A6F">
        <w:t>Poland, Spain, Romania, Greece and Hungary.</w:t>
      </w:r>
    </w:p>
  </w:footnote>
  <w:footnote w:id="71">
    <w:p w14:paraId="45652DFF" w14:textId="2BEAE02B" w:rsidR="002473B4" w:rsidRPr="00DE3A6F" w:rsidRDefault="002473B4">
      <w:pPr>
        <w:pStyle w:val="FootnoteText"/>
      </w:pPr>
      <w:r w:rsidRPr="00DE3A6F">
        <w:t>(</w:t>
      </w:r>
      <w:r w:rsidRPr="00DE3A6F">
        <w:rPr>
          <w:rStyle w:val="FootnoteReference"/>
        </w:rPr>
        <w:footnoteRef/>
      </w:r>
      <w:r w:rsidRPr="00DE3A6F">
        <w:t>)</w:t>
      </w:r>
      <w:r w:rsidRPr="00DE3A6F">
        <w:tab/>
      </w:r>
      <w:r w:rsidR="0036148D" w:rsidRPr="00DE3A6F">
        <w:t>Highlighted</w:t>
      </w:r>
      <w:r w:rsidRPr="00DE3A6F">
        <w:t xml:space="preserve"> in previous PIF reports, see for exam</w:t>
      </w:r>
      <w:r w:rsidR="00554F02" w:rsidRPr="00DE3A6F">
        <w:t xml:space="preserve">ple </w:t>
      </w:r>
      <w:r w:rsidR="00D03A2B">
        <w:t xml:space="preserve">the </w:t>
      </w:r>
      <w:hyperlink r:id="rId9" w:history="1">
        <w:r w:rsidR="00D03A2B" w:rsidRPr="00E55E35">
          <w:rPr>
            <w:rStyle w:val="Hyperlink"/>
          </w:rPr>
          <w:t>2021 PIF report</w:t>
        </w:r>
      </w:hyperlink>
      <w:r w:rsidR="00D03A2B">
        <w:t>, Snapshot 17, p. 38</w:t>
      </w:r>
    </w:p>
  </w:footnote>
  <w:footnote w:id="72">
    <w:p w14:paraId="464CC67C" w14:textId="3E160A5F" w:rsidR="006825CD" w:rsidRPr="008124E9" w:rsidRDefault="006825CD">
      <w:pPr>
        <w:pStyle w:val="FootnoteText"/>
      </w:pPr>
      <w:r>
        <w:t>(</w:t>
      </w:r>
      <w:r>
        <w:rPr>
          <w:rStyle w:val="FootnoteReference"/>
        </w:rPr>
        <w:footnoteRef/>
      </w:r>
      <w:r>
        <w:t>)</w:t>
      </w:r>
      <w:r>
        <w:tab/>
      </w:r>
      <w:r w:rsidR="008124E9" w:rsidRPr="008124E9">
        <w:t>There are currently nine candidate countries for EU membership: Albania, Bosnia and Herzegovina, Georgia, Moldova, Montenegro, North Macedonia, Serbia, Türkiye, and Ukraine</w:t>
      </w:r>
      <w:r w:rsidR="008124E9">
        <w:t>.</w:t>
      </w:r>
      <w:r w:rsidR="008124E9" w:rsidRPr="008124E9">
        <w:t xml:space="preserve"> Kosovo </w:t>
      </w:r>
      <w:r w:rsidR="008124E9">
        <w:t xml:space="preserve">is </w:t>
      </w:r>
      <w:r w:rsidR="008124E9" w:rsidRPr="008124E9">
        <w:t>recogni</w:t>
      </w:r>
      <w:r w:rsidR="008124E9">
        <w:t>s</w:t>
      </w:r>
      <w:r w:rsidR="008124E9" w:rsidRPr="008124E9">
        <w:t>ed as a potential candidate.</w:t>
      </w:r>
    </w:p>
  </w:footnote>
  <w:footnote w:id="73">
    <w:p w14:paraId="66722FA2" w14:textId="34C3E726" w:rsidR="00622A00" w:rsidRPr="009C1AC6" w:rsidRDefault="00622A00">
      <w:pPr>
        <w:pStyle w:val="FootnoteText"/>
        <w:rPr>
          <w:lang w:val="en-IE"/>
        </w:rPr>
      </w:pPr>
      <w:r>
        <w:t>(</w:t>
      </w:r>
      <w:r>
        <w:rPr>
          <w:rStyle w:val="FootnoteReference"/>
        </w:rPr>
        <w:footnoteRef/>
      </w:r>
      <w:r>
        <w:t>)</w:t>
      </w:r>
      <w:r>
        <w:tab/>
        <w:t xml:space="preserve">The beneficiary countries of this facility </w:t>
      </w:r>
      <w:r w:rsidR="00CD5BC5">
        <w:t>are</w:t>
      </w:r>
      <w:r>
        <w:t xml:space="preserve"> </w:t>
      </w:r>
      <w:r w:rsidRPr="00622A00">
        <w:t>Albania, Bosnia and Herzegovina, Kosovo, Montenegro, North Macedonia and Serbia</w:t>
      </w:r>
      <w:r w:rsidR="00CD5BC5">
        <w:t>.</w:t>
      </w:r>
    </w:p>
  </w:footnote>
  <w:footnote w:id="74">
    <w:p w14:paraId="2A74835B" w14:textId="77777777" w:rsidR="008E4658" w:rsidRPr="0067128F" w:rsidRDefault="008E4658" w:rsidP="008E4658">
      <w:pPr>
        <w:pStyle w:val="FootnoteText"/>
      </w:pPr>
      <w:r>
        <w:t>(</w:t>
      </w:r>
      <w:r>
        <w:rPr>
          <w:rStyle w:val="FootnoteReference"/>
        </w:rPr>
        <w:footnoteRef/>
      </w:r>
      <w:r>
        <w:t>)</w:t>
      </w:r>
      <w:r>
        <w:tab/>
        <w:t>The difference between the number of ongoing investigations by the EPPO and the number of notifications sent to the Commission stems from the fact that it is the EPPO that decides when to inform the Commission about its cases. This is unlikely to happen in the early stages of its investigations. As indicated in the EPPO annual report, in 2025, 293 new investigations were related to the RRF (p. 70).</w:t>
      </w:r>
    </w:p>
  </w:footnote>
  <w:footnote w:id="75">
    <w:p w14:paraId="72CB390E" w14:textId="3852FB42" w:rsidR="00301CB6" w:rsidRPr="00054DAD" w:rsidRDefault="00301CB6">
      <w:pPr>
        <w:pStyle w:val="FootnoteText"/>
        <w:rPr>
          <w:lang w:val="en-IE"/>
        </w:rPr>
      </w:pPr>
      <w:r w:rsidRPr="009C1AC6">
        <w:rPr>
          <w:lang w:val="en-IE"/>
        </w:rPr>
        <w:t>(</w:t>
      </w:r>
      <w:r w:rsidRPr="00DE3A6F">
        <w:rPr>
          <w:rStyle w:val="FootnoteReference"/>
        </w:rPr>
        <w:footnoteRef/>
      </w:r>
      <w:r w:rsidRPr="00054DAD">
        <w:rPr>
          <w:lang w:val="en-IE"/>
        </w:rPr>
        <w:t>)</w:t>
      </w:r>
      <w:r w:rsidRPr="00054DAD">
        <w:rPr>
          <w:lang w:val="en-IE"/>
        </w:rPr>
        <w:tab/>
      </w:r>
      <w:hyperlink r:id="rId10" w:anchor="page=43&amp;zoom=100,0,0" w:history="1">
        <w:r w:rsidR="00F54A54" w:rsidRPr="00054DAD">
          <w:rPr>
            <w:rStyle w:val="Hyperlink"/>
            <w:lang w:val="en-IE"/>
          </w:rPr>
          <w:t xml:space="preserve">Europol, </w:t>
        </w:r>
        <w:r w:rsidR="00D117F5" w:rsidRPr="00DE3A6F">
          <w:t>Serious organised crime threat assessment, 2025</w:t>
        </w:r>
      </w:hyperlink>
      <w:r w:rsidR="00164BC7" w:rsidRPr="00054DAD">
        <w:rPr>
          <w:lang w:val="en-IE"/>
        </w:rPr>
        <w:t xml:space="preserve">. </w:t>
      </w:r>
    </w:p>
  </w:footnote>
  <w:footnote w:id="76">
    <w:p w14:paraId="5C188AF7" w14:textId="77777777" w:rsidR="007379AB" w:rsidRPr="00825482" w:rsidRDefault="007379AB" w:rsidP="007379AB">
      <w:pPr>
        <w:pStyle w:val="FootnoteText"/>
        <w:rPr>
          <w:lang w:val="en-IE"/>
        </w:rPr>
      </w:pPr>
      <w:r>
        <w:t>(</w:t>
      </w:r>
      <w:r>
        <w:rPr>
          <w:rStyle w:val="FootnoteReference"/>
        </w:rPr>
        <w:footnoteRef/>
      </w:r>
      <w:r>
        <w:t>)</w:t>
      </w:r>
      <w:r>
        <w:tab/>
        <w:t>Data provided by the EPPO.</w:t>
      </w:r>
    </w:p>
  </w:footnote>
  <w:footnote w:id="77">
    <w:p w14:paraId="2FD807B3" w14:textId="09A191BA" w:rsidR="004453B0" w:rsidRPr="007B00D9" w:rsidRDefault="004453B0">
      <w:pPr>
        <w:pStyle w:val="FootnoteText"/>
        <w:rPr>
          <w:i/>
          <w:iCs/>
          <w:lang w:val="en-IE"/>
        </w:rPr>
      </w:pPr>
      <w:r w:rsidRPr="00DE3A6F">
        <w:t>(</w:t>
      </w:r>
      <w:r w:rsidRPr="00DE3A6F">
        <w:rPr>
          <w:rStyle w:val="FootnoteReference"/>
        </w:rPr>
        <w:footnoteRef/>
      </w:r>
      <w:r w:rsidRPr="00DE3A6F">
        <w:t>)</w:t>
      </w:r>
      <w:r w:rsidRPr="00DE3A6F">
        <w:tab/>
      </w:r>
      <w:r w:rsidR="007B00D9" w:rsidRPr="00DE3A6F">
        <w:t>Europol, Serious organised crime threat assessment, 2025, c</w:t>
      </w:r>
      <w:r w:rsidR="007B00D9" w:rsidRPr="00DE3A6F">
        <w:rPr>
          <w:i/>
          <w:iCs/>
        </w:rPr>
        <w:t>it.</w:t>
      </w:r>
      <w:r w:rsidR="00191528" w:rsidRPr="00DE3A6F">
        <w:rPr>
          <w:i/>
          <w:iCs/>
        </w:rPr>
        <w:t xml:space="preserve"> </w:t>
      </w:r>
      <w:r w:rsidR="00191528" w:rsidRPr="00DE3A6F">
        <w:t>p.28</w:t>
      </w:r>
      <w:r w:rsidR="00191528" w:rsidRPr="00DE3A6F">
        <w:rPr>
          <w:i/>
          <w:iCs/>
        </w:rPr>
        <w:t>.</w:t>
      </w:r>
    </w:p>
  </w:footnote>
  <w:footnote w:id="78">
    <w:p w14:paraId="7745124A" w14:textId="4206A049" w:rsidR="005A578D" w:rsidRPr="00AA0E22" w:rsidRDefault="005A578D">
      <w:pPr>
        <w:pStyle w:val="FootnoteText"/>
        <w:rPr>
          <w:lang w:val="en-IE"/>
        </w:rPr>
      </w:pPr>
      <w:r>
        <w:t>(</w:t>
      </w:r>
      <w:r>
        <w:rPr>
          <w:rStyle w:val="FootnoteReference"/>
        </w:rPr>
        <w:footnoteRef/>
      </w:r>
      <w:r>
        <w:t>)</w:t>
      </w:r>
      <w:r>
        <w:tab/>
      </w:r>
      <w:r w:rsidR="00AA0E22" w:rsidRPr="00AA0E22">
        <w:t xml:space="preserve">Based on data in the Irregularity Management System (IMS) as of 8/3/2026 (for expenditure) and on data from the OWNRES </w:t>
      </w:r>
      <w:r w:rsidR="00064E87" w:rsidRPr="00AA0E22">
        <w:t>application</w:t>
      </w:r>
      <w:r w:rsidR="00AA0E22" w:rsidRPr="00AA0E22">
        <w:t xml:space="preserve"> as of 2/3/2026 (for revenue).</w:t>
      </w:r>
    </w:p>
  </w:footnote>
  <w:footnote w:id="79">
    <w:p w14:paraId="10A0E288" w14:textId="1E310662" w:rsidR="000930AF" w:rsidRPr="00E15BEB" w:rsidRDefault="000930AF">
      <w:pPr>
        <w:pStyle w:val="FootnoteText"/>
        <w:rPr>
          <w:lang w:val="en-IE"/>
        </w:rPr>
      </w:pPr>
      <w:r>
        <w:t>(</w:t>
      </w:r>
      <w:r>
        <w:rPr>
          <w:rStyle w:val="FootnoteReference"/>
        </w:rPr>
        <w:footnoteRef/>
      </w:r>
      <w:r>
        <w:t>)</w:t>
      </w:r>
      <w:r>
        <w:tab/>
      </w:r>
      <w:r w:rsidR="00E15BEB" w:rsidRPr="00E15BEB">
        <w:t xml:space="preserve">The irregularity reported by Romania is related </w:t>
      </w:r>
      <w:r w:rsidR="0030607A">
        <w:t xml:space="preserve">to </w:t>
      </w:r>
      <w:r w:rsidR="00E15BEB" w:rsidRPr="00E15BEB">
        <w:t>the European neighbourhood Instrument</w:t>
      </w:r>
      <w:r w:rsidR="00E15BEB">
        <w:t>.</w:t>
      </w:r>
    </w:p>
  </w:footnote>
  <w:footnote w:id="80">
    <w:p w14:paraId="53CEC708" w14:textId="5BE3211B" w:rsidR="00964164" w:rsidRPr="00964164" w:rsidRDefault="00964164">
      <w:pPr>
        <w:pStyle w:val="FootnoteText"/>
        <w:rPr>
          <w:lang w:val="en-IE"/>
        </w:rPr>
      </w:pPr>
      <w:r>
        <w:t>(</w:t>
      </w:r>
      <w:r>
        <w:rPr>
          <w:rStyle w:val="FootnoteReference"/>
        </w:rPr>
        <w:footnoteRef/>
      </w:r>
      <w:r>
        <w:t>)</w:t>
      </w:r>
      <w:r>
        <w:tab/>
      </w:r>
      <w:r w:rsidRPr="00964164">
        <w:t xml:space="preserve">Based on data in the Irregularity Management System (IMS) as of 8/3/2026 (for expenditure) and on data from the OWNRES </w:t>
      </w:r>
      <w:r w:rsidR="0023279F" w:rsidRPr="00964164">
        <w:t>application</w:t>
      </w:r>
      <w:r w:rsidRPr="00964164">
        <w:t xml:space="preserve"> as of 2/3/2026 (for revenue).</w:t>
      </w:r>
    </w:p>
  </w:footnote>
  <w:footnote w:id="81">
    <w:p w14:paraId="5A898515" w14:textId="62DF6AE9" w:rsidR="00F5772A" w:rsidRPr="00952008" w:rsidRDefault="00F5772A">
      <w:pPr>
        <w:pStyle w:val="FootnoteText"/>
        <w:rPr>
          <w:lang w:val="en-IE"/>
        </w:rPr>
      </w:pPr>
      <w:r>
        <w:t>(</w:t>
      </w:r>
      <w:r>
        <w:rPr>
          <w:rStyle w:val="FootnoteReference"/>
        </w:rPr>
        <w:footnoteRef/>
      </w:r>
      <w:r>
        <w:t>)</w:t>
      </w:r>
      <w:r>
        <w:tab/>
      </w:r>
      <w:r w:rsidR="00952008" w:rsidRPr="00952008">
        <w:t xml:space="preserve">Data in this column includes 4 irregularities (1 PL, 3 RO) related </w:t>
      </w:r>
      <w:r w:rsidR="0023279F">
        <w:t xml:space="preserve">to </w:t>
      </w:r>
      <w:r w:rsidR="00952008" w:rsidRPr="00952008">
        <w:t>the European neighbourhood Instrument</w:t>
      </w:r>
      <w:r w:rsidR="0095200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A540" w14:textId="77777777" w:rsidR="00753838" w:rsidRPr="00753838" w:rsidRDefault="00753838" w:rsidP="007538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5636" w14:textId="77777777" w:rsidR="00753838" w:rsidRPr="00753838" w:rsidRDefault="00753838" w:rsidP="007538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051E0" w14:textId="77777777" w:rsidR="00753838" w:rsidRPr="00753838" w:rsidRDefault="00753838" w:rsidP="007538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EE12A" w14:textId="77777777" w:rsidR="00E15719" w:rsidRPr="00CA1602" w:rsidRDefault="00E157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D74F" w14:textId="77777777" w:rsidR="00E15719" w:rsidRPr="00DE3A6F" w:rsidRDefault="00E157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5F12" w14:textId="77777777" w:rsidR="00E15719" w:rsidRPr="00CA1602" w:rsidRDefault="00E157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CDD7" w14:textId="77777777" w:rsidR="00E15719" w:rsidRPr="00CA1602" w:rsidRDefault="00E157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8349" w14:textId="77777777" w:rsidR="00E15719" w:rsidRPr="00DE3A6F" w:rsidRDefault="00E157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44E2" w14:textId="77777777" w:rsidR="00E15719" w:rsidRPr="00DE3A6F" w:rsidRDefault="00E15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FEC1A48"/>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A82E70A8"/>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2"/>
    <w:multiLevelType w:val="singleLevel"/>
    <w:tmpl w:val="B53C7698"/>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401602E4"/>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005A2EB8"/>
    <w:multiLevelType w:val="hybridMultilevel"/>
    <w:tmpl w:val="F19ECD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3296A8C"/>
    <w:multiLevelType w:val="hybridMultilevel"/>
    <w:tmpl w:val="B78CE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32A17DE"/>
    <w:multiLevelType w:val="multilevel"/>
    <w:tmpl w:val="9F6E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276E86"/>
    <w:multiLevelType w:val="multilevel"/>
    <w:tmpl w:val="8E18D24C"/>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pStyle w:val="ListBulletLevel2"/>
      <w:lvlText w:val=""/>
      <w:lvlJc w:val="left"/>
      <w:pPr>
        <w:tabs>
          <w:tab w:val="num" w:pos="907"/>
        </w:tabs>
        <w:ind w:left="907" w:hanging="453"/>
      </w:pPr>
      <w:rPr>
        <w:rFonts w:ascii="Symbol" w:hAnsi="Symbol"/>
      </w:rPr>
    </w:lvl>
    <w:lvl w:ilvl="2">
      <w:start w:val="1"/>
      <w:numFmt w:val="bullet"/>
      <w:pStyle w:val="ListBulletLevel3"/>
      <w:lvlText w:val=""/>
      <w:lvlJc w:val="left"/>
      <w:pPr>
        <w:tabs>
          <w:tab w:val="num" w:pos="1361"/>
        </w:tabs>
        <w:ind w:left="1361" w:hanging="454"/>
      </w:pPr>
      <w:rPr>
        <w:rFonts w:ascii="Symbol" w:hAnsi="Symbol"/>
      </w:rPr>
    </w:lvl>
    <w:lvl w:ilvl="3">
      <w:start w:val="1"/>
      <w:numFmt w:val="bullet"/>
      <w:pStyle w:val="ListBullet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463778C"/>
    <w:multiLevelType w:val="multilevel"/>
    <w:tmpl w:val="0C242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D591BE"/>
    <w:multiLevelType w:val="hybridMultilevel"/>
    <w:tmpl w:val="FFFFFFFF"/>
    <w:lvl w:ilvl="0" w:tplc="EDEC229E">
      <w:start w:val="1"/>
      <w:numFmt w:val="decimal"/>
      <w:lvlText w:val="%1."/>
      <w:lvlJc w:val="left"/>
      <w:pPr>
        <w:ind w:left="720" w:hanging="360"/>
      </w:pPr>
    </w:lvl>
    <w:lvl w:ilvl="1" w:tplc="6B3C5462">
      <w:start w:val="1"/>
      <w:numFmt w:val="lowerLetter"/>
      <w:lvlText w:val="%2."/>
      <w:lvlJc w:val="left"/>
      <w:pPr>
        <w:ind w:left="1440" w:hanging="360"/>
      </w:pPr>
    </w:lvl>
    <w:lvl w:ilvl="2" w:tplc="9C9226EE">
      <w:start w:val="1"/>
      <w:numFmt w:val="lowerRoman"/>
      <w:lvlText w:val="%3."/>
      <w:lvlJc w:val="right"/>
      <w:pPr>
        <w:ind w:left="2160" w:hanging="180"/>
      </w:pPr>
    </w:lvl>
    <w:lvl w:ilvl="3" w:tplc="E162FF3E">
      <w:start w:val="1"/>
      <w:numFmt w:val="decimal"/>
      <w:lvlText w:val="%4."/>
      <w:lvlJc w:val="left"/>
      <w:pPr>
        <w:ind w:left="2880" w:hanging="360"/>
      </w:pPr>
    </w:lvl>
    <w:lvl w:ilvl="4" w:tplc="B7CCB590">
      <w:start w:val="1"/>
      <w:numFmt w:val="lowerLetter"/>
      <w:lvlText w:val="%5."/>
      <w:lvlJc w:val="left"/>
      <w:pPr>
        <w:ind w:left="3600" w:hanging="360"/>
      </w:pPr>
    </w:lvl>
    <w:lvl w:ilvl="5" w:tplc="F02E93E4">
      <w:start w:val="1"/>
      <w:numFmt w:val="lowerRoman"/>
      <w:lvlText w:val="%6."/>
      <w:lvlJc w:val="right"/>
      <w:pPr>
        <w:ind w:left="4320" w:hanging="180"/>
      </w:pPr>
    </w:lvl>
    <w:lvl w:ilvl="6" w:tplc="FE1C091E">
      <w:start w:val="1"/>
      <w:numFmt w:val="decimal"/>
      <w:lvlText w:val="%7."/>
      <w:lvlJc w:val="left"/>
      <w:pPr>
        <w:ind w:left="5040" w:hanging="360"/>
      </w:pPr>
    </w:lvl>
    <w:lvl w:ilvl="7" w:tplc="FD321396">
      <w:start w:val="1"/>
      <w:numFmt w:val="lowerLetter"/>
      <w:lvlText w:val="%8."/>
      <w:lvlJc w:val="left"/>
      <w:pPr>
        <w:ind w:left="5760" w:hanging="360"/>
      </w:pPr>
    </w:lvl>
    <w:lvl w:ilvl="8" w:tplc="E5C42890">
      <w:start w:val="1"/>
      <w:numFmt w:val="lowerRoman"/>
      <w:lvlText w:val="%9."/>
      <w:lvlJc w:val="right"/>
      <w:pPr>
        <w:ind w:left="6480" w:hanging="180"/>
      </w:pPr>
    </w:lvl>
  </w:abstractNum>
  <w:abstractNum w:abstractNumId="11" w15:restartNumberingAfterBreak="0">
    <w:nsid w:val="0A0C11AC"/>
    <w:multiLevelType w:val="multilevel"/>
    <w:tmpl w:val="73D6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0B7201"/>
    <w:multiLevelType w:val="multilevel"/>
    <w:tmpl w:val="95541ED8"/>
    <w:name w:val="ListNumberNumbering"/>
    <w:lvl w:ilvl="0">
      <w:start w:val="1"/>
      <w:numFmt w:val="decimal"/>
      <w:lvlText w:val="(%1)"/>
      <w:lvlJc w:val="left"/>
      <w:pPr>
        <w:tabs>
          <w:tab w:val="num" w:pos="454"/>
        </w:tabs>
        <w:ind w:left="454" w:hanging="454"/>
      </w:pPr>
    </w:lvl>
    <w:lvl w:ilvl="1">
      <w:start w:val="1"/>
      <w:numFmt w:val="lowerLetter"/>
      <w:lvlText w:val="(%2)"/>
      <w:lvlJc w:val="left"/>
      <w:pPr>
        <w:tabs>
          <w:tab w:val="num" w:pos="907"/>
        </w:tabs>
        <w:ind w:left="907" w:hanging="453"/>
      </w:p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20B8345"/>
    <w:multiLevelType w:val="multilevel"/>
    <w:tmpl w:val="05B2BA7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5439134"/>
    <w:multiLevelType w:val="hybridMultilevel"/>
    <w:tmpl w:val="FFFFFFFF"/>
    <w:lvl w:ilvl="0" w:tplc="589001C0">
      <w:start w:val="1"/>
      <w:numFmt w:val="decimal"/>
      <w:lvlText w:val="%1."/>
      <w:lvlJc w:val="left"/>
      <w:pPr>
        <w:ind w:left="720" w:hanging="360"/>
      </w:pPr>
    </w:lvl>
    <w:lvl w:ilvl="1" w:tplc="979A7FBC">
      <w:start w:val="1"/>
      <w:numFmt w:val="lowerLetter"/>
      <w:lvlText w:val="%2."/>
      <w:lvlJc w:val="left"/>
      <w:pPr>
        <w:ind w:left="1440" w:hanging="360"/>
      </w:pPr>
    </w:lvl>
    <w:lvl w:ilvl="2" w:tplc="DBF4DA98">
      <w:start w:val="1"/>
      <w:numFmt w:val="lowerRoman"/>
      <w:lvlText w:val="%3."/>
      <w:lvlJc w:val="right"/>
      <w:pPr>
        <w:ind w:left="2160" w:hanging="180"/>
      </w:pPr>
    </w:lvl>
    <w:lvl w:ilvl="3" w:tplc="B1827BB0">
      <w:start w:val="1"/>
      <w:numFmt w:val="decimal"/>
      <w:lvlText w:val="%4."/>
      <w:lvlJc w:val="left"/>
      <w:pPr>
        <w:ind w:left="2880" w:hanging="360"/>
      </w:pPr>
    </w:lvl>
    <w:lvl w:ilvl="4" w:tplc="82F46C14">
      <w:start w:val="1"/>
      <w:numFmt w:val="lowerLetter"/>
      <w:lvlText w:val="%5."/>
      <w:lvlJc w:val="left"/>
      <w:pPr>
        <w:ind w:left="3600" w:hanging="360"/>
      </w:pPr>
    </w:lvl>
    <w:lvl w:ilvl="5" w:tplc="AF88785A">
      <w:start w:val="1"/>
      <w:numFmt w:val="lowerRoman"/>
      <w:lvlText w:val="%6."/>
      <w:lvlJc w:val="right"/>
      <w:pPr>
        <w:ind w:left="4320" w:hanging="180"/>
      </w:pPr>
    </w:lvl>
    <w:lvl w:ilvl="6" w:tplc="96E43210">
      <w:start w:val="1"/>
      <w:numFmt w:val="decimal"/>
      <w:lvlText w:val="%7."/>
      <w:lvlJc w:val="left"/>
      <w:pPr>
        <w:ind w:left="5040" w:hanging="360"/>
      </w:pPr>
    </w:lvl>
    <w:lvl w:ilvl="7" w:tplc="1FEC253A">
      <w:start w:val="1"/>
      <w:numFmt w:val="lowerLetter"/>
      <w:lvlText w:val="%8."/>
      <w:lvlJc w:val="left"/>
      <w:pPr>
        <w:ind w:left="5760" w:hanging="360"/>
      </w:pPr>
    </w:lvl>
    <w:lvl w:ilvl="8" w:tplc="A75E2C82">
      <w:start w:val="1"/>
      <w:numFmt w:val="lowerRoman"/>
      <w:lvlText w:val="%9."/>
      <w:lvlJc w:val="right"/>
      <w:pPr>
        <w:ind w:left="6480" w:hanging="180"/>
      </w:pPr>
    </w:lvl>
  </w:abstractNum>
  <w:abstractNum w:abstractNumId="15" w15:restartNumberingAfterBreak="0">
    <w:nsid w:val="16D92638"/>
    <w:multiLevelType w:val="hybridMultilevel"/>
    <w:tmpl w:val="78FAAA78"/>
    <w:lvl w:ilvl="0" w:tplc="48B8313C">
      <w:start w:val="1"/>
      <w:numFmt w:val="decimal"/>
      <w:pStyle w:val="Style2"/>
      <w:lvlText w:val="%1."/>
      <w:lvlJc w:val="left"/>
      <w:pPr>
        <w:ind w:left="720" w:hanging="360"/>
      </w:pPr>
    </w:lvl>
    <w:lvl w:ilvl="1" w:tplc="3ED253FE">
      <w:start w:val="1"/>
      <w:numFmt w:val="lowerLetter"/>
      <w:pStyle w:val="Style1"/>
      <w:lvlText w:val="%2."/>
      <w:lvlJc w:val="left"/>
      <w:pPr>
        <w:ind w:left="1440" w:hanging="360"/>
      </w:pPr>
      <w:rPr>
        <w:rFonts w:hint="default"/>
      </w:rPr>
    </w:lvl>
    <w:lvl w:ilvl="2" w:tplc="1809001B">
      <w:start w:val="1"/>
      <w:numFmt w:val="lowerRoman"/>
      <w:lvlText w:val="%3."/>
      <w:lvlJc w:val="right"/>
      <w:pPr>
        <w:ind w:left="2160" w:hanging="180"/>
      </w:pPr>
    </w:lvl>
    <w:lvl w:ilvl="3" w:tplc="ED2898A0">
      <w:start w:val="1"/>
      <w:numFmt w:val="lowerRoman"/>
      <w:lvlText w:val="(%4)"/>
      <w:lvlJc w:val="left"/>
      <w:pPr>
        <w:ind w:left="3240" w:hanging="72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BE169C"/>
    <w:multiLevelType w:val="multilevel"/>
    <w:tmpl w:val="039C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6B4899"/>
    <w:multiLevelType w:val="multilevel"/>
    <w:tmpl w:val="954C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037D98"/>
    <w:multiLevelType w:val="multilevel"/>
    <w:tmpl w:val="95541ED8"/>
    <w:name w:val="ListNumberNumbering2"/>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D481116"/>
    <w:multiLevelType w:val="multilevel"/>
    <w:tmpl w:val="7C2E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2D48BA"/>
    <w:multiLevelType w:val="multilevel"/>
    <w:tmpl w:val="AD40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FA6201"/>
    <w:multiLevelType w:val="multilevel"/>
    <w:tmpl w:val="0EBE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7C03CDD"/>
    <w:multiLevelType w:val="hybridMultilevel"/>
    <w:tmpl w:val="AC26C5DC"/>
    <w:lvl w:ilvl="0" w:tplc="46020C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BA7690D"/>
    <w:multiLevelType w:val="hybridMultilevel"/>
    <w:tmpl w:val="BC7EC4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293CE3"/>
    <w:multiLevelType w:val="multilevel"/>
    <w:tmpl w:val="F8BA989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25" w15:restartNumberingAfterBreak="0">
    <w:nsid w:val="2D293CF4"/>
    <w:multiLevelType w:val="multilevel"/>
    <w:tmpl w:val="B5DC329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26" w15:restartNumberingAfterBreak="0">
    <w:nsid w:val="2DAA0D4A"/>
    <w:multiLevelType w:val="multilevel"/>
    <w:tmpl w:val="2730D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A47190"/>
    <w:multiLevelType w:val="hybridMultilevel"/>
    <w:tmpl w:val="FB8CBE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FF054F3"/>
    <w:multiLevelType w:val="hybridMultilevel"/>
    <w:tmpl w:val="7AA0CC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34611BAE"/>
    <w:multiLevelType w:val="multilevel"/>
    <w:tmpl w:val="4692B0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4362F7"/>
    <w:multiLevelType w:val="hybridMultilevel"/>
    <w:tmpl w:val="BBE0E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1761FB2"/>
    <w:multiLevelType w:val="multilevel"/>
    <w:tmpl w:val="6BE6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AC39D8"/>
    <w:multiLevelType w:val="hybridMultilevel"/>
    <w:tmpl w:val="9D622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B360F1B"/>
    <w:multiLevelType w:val="multilevel"/>
    <w:tmpl w:val="61FC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1A63DF"/>
    <w:multiLevelType w:val="multilevel"/>
    <w:tmpl w:val="99640B2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4E1A982C"/>
    <w:multiLevelType w:val="multilevel"/>
    <w:tmpl w:val="8E18D24C"/>
    <w:name w:val="ListBulletNumbering"/>
    <w:lvl w:ilvl="0">
      <w:start w:val="1"/>
      <w:numFmt w:val="bullet"/>
      <w:lvlText w:val=""/>
      <w:lvlJc w:val="left"/>
      <w:pPr>
        <w:tabs>
          <w:tab w:val="num" w:pos="454"/>
        </w:tabs>
        <w:ind w:left="454" w:hanging="454"/>
      </w:pPr>
      <w:rPr>
        <w:rFonts w:ascii="Symbol" w:hAnsi="Symbol"/>
      </w:rPr>
    </w:lvl>
    <w:lvl w:ilvl="1">
      <w:start w:val="1"/>
      <w:numFmt w:val="bullet"/>
      <w:lvlText w:val=""/>
      <w:lvlJc w:val="left"/>
      <w:pPr>
        <w:tabs>
          <w:tab w:val="num" w:pos="907"/>
        </w:tabs>
        <w:ind w:left="907" w:hanging="453"/>
      </w:pPr>
      <w:rPr>
        <w:rFonts w:ascii="Symbol" w:hAnsi="Symbol"/>
      </w:rPr>
    </w:lvl>
    <w:lvl w:ilvl="2">
      <w:start w:val="1"/>
      <w:numFmt w:val="bullet"/>
      <w:lvlText w:val=""/>
      <w:lvlJc w:val="left"/>
      <w:pPr>
        <w:tabs>
          <w:tab w:val="num" w:pos="1361"/>
        </w:tabs>
        <w:ind w:left="1361" w:hanging="454"/>
      </w:pPr>
      <w:rPr>
        <w:rFonts w:ascii="Symbol" w:hAnsi="Symbol"/>
      </w:rPr>
    </w:lvl>
    <w:lvl w:ilvl="3">
      <w:start w:val="1"/>
      <w:numFmt w:val="bullet"/>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4EB07D5A"/>
    <w:multiLevelType w:val="multilevel"/>
    <w:tmpl w:val="7B70F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FDC1D06"/>
    <w:multiLevelType w:val="hybridMultilevel"/>
    <w:tmpl w:val="FFFFFFFF"/>
    <w:lvl w:ilvl="0" w:tplc="640EC696">
      <w:start w:val="1"/>
      <w:numFmt w:val="bullet"/>
      <w:lvlText w:val=""/>
      <w:lvlJc w:val="left"/>
      <w:pPr>
        <w:ind w:left="360" w:hanging="360"/>
      </w:pPr>
      <w:rPr>
        <w:rFonts w:ascii="Symbol" w:hAnsi="Symbol" w:hint="default"/>
      </w:rPr>
    </w:lvl>
    <w:lvl w:ilvl="1" w:tplc="FC8E6AAE">
      <w:start w:val="1"/>
      <w:numFmt w:val="bullet"/>
      <w:lvlText w:val="o"/>
      <w:lvlJc w:val="left"/>
      <w:pPr>
        <w:ind w:left="1080" w:hanging="360"/>
      </w:pPr>
      <w:rPr>
        <w:rFonts w:ascii="Courier New" w:hAnsi="Courier New" w:hint="default"/>
      </w:rPr>
    </w:lvl>
    <w:lvl w:ilvl="2" w:tplc="05A49FFC">
      <w:start w:val="1"/>
      <w:numFmt w:val="bullet"/>
      <w:lvlText w:val=""/>
      <w:lvlJc w:val="left"/>
      <w:pPr>
        <w:ind w:left="1800" w:hanging="360"/>
      </w:pPr>
      <w:rPr>
        <w:rFonts w:ascii="Wingdings" w:hAnsi="Wingdings" w:hint="default"/>
      </w:rPr>
    </w:lvl>
    <w:lvl w:ilvl="3" w:tplc="F34C5834">
      <w:start w:val="1"/>
      <w:numFmt w:val="bullet"/>
      <w:lvlText w:val=""/>
      <w:lvlJc w:val="left"/>
      <w:pPr>
        <w:ind w:left="2520" w:hanging="360"/>
      </w:pPr>
      <w:rPr>
        <w:rFonts w:ascii="Symbol" w:hAnsi="Symbol" w:hint="default"/>
      </w:rPr>
    </w:lvl>
    <w:lvl w:ilvl="4" w:tplc="4024FAF4">
      <w:start w:val="1"/>
      <w:numFmt w:val="bullet"/>
      <w:lvlText w:val="o"/>
      <w:lvlJc w:val="left"/>
      <w:pPr>
        <w:ind w:left="3240" w:hanging="360"/>
      </w:pPr>
      <w:rPr>
        <w:rFonts w:ascii="Courier New" w:hAnsi="Courier New" w:hint="default"/>
      </w:rPr>
    </w:lvl>
    <w:lvl w:ilvl="5" w:tplc="F94C7D64">
      <w:start w:val="1"/>
      <w:numFmt w:val="bullet"/>
      <w:lvlText w:val=""/>
      <w:lvlJc w:val="left"/>
      <w:pPr>
        <w:ind w:left="3960" w:hanging="360"/>
      </w:pPr>
      <w:rPr>
        <w:rFonts w:ascii="Wingdings" w:hAnsi="Wingdings" w:hint="default"/>
      </w:rPr>
    </w:lvl>
    <w:lvl w:ilvl="6" w:tplc="FEF0E270">
      <w:start w:val="1"/>
      <w:numFmt w:val="bullet"/>
      <w:lvlText w:val=""/>
      <w:lvlJc w:val="left"/>
      <w:pPr>
        <w:ind w:left="4680" w:hanging="360"/>
      </w:pPr>
      <w:rPr>
        <w:rFonts w:ascii="Symbol" w:hAnsi="Symbol" w:hint="default"/>
      </w:rPr>
    </w:lvl>
    <w:lvl w:ilvl="7" w:tplc="A77CC61E">
      <w:start w:val="1"/>
      <w:numFmt w:val="bullet"/>
      <w:lvlText w:val="o"/>
      <w:lvlJc w:val="left"/>
      <w:pPr>
        <w:ind w:left="5400" w:hanging="360"/>
      </w:pPr>
      <w:rPr>
        <w:rFonts w:ascii="Courier New" w:hAnsi="Courier New" w:hint="default"/>
      </w:rPr>
    </w:lvl>
    <w:lvl w:ilvl="8" w:tplc="F07441A2">
      <w:start w:val="1"/>
      <w:numFmt w:val="bullet"/>
      <w:lvlText w:val=""/>
      <w:lvlJc w:val="left"/>
      <w:pPr>
        <w:ind w:left="6120" w:hanging="360"/>
      </w:pPr>
      <w:rPr>
        <w:rFonts w:ascii="Wingdings" w:hAnsi="Wingdings" w:hint="default"/>
      </w:rPr>
    </w:lvl>
  </w:abstractNum>
  <w:abstractNum w:abstractNumId="38" w15:restartNumberingAfterBreak="0">
    <w:nsid w:val="5072619B"/>
    <w:multiLevelType w:val="multilevel"/>
    <w:tmpl w:val="8548BA90"/>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50729B52"/>
    <w:multiLevelType w:val="multilevel"/>
    <w:tmpl w:val="A74482D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514AC37D"/>
    <w:multiLevelType w:val="hybridMultilevel"/>
    <w:tmpl w:val="FFFFFFFF"/>
    <w:lvl w:ilvl="0" w:tplc="A9EA00A0">
      <w:start w:val="1"/>
      <w:numFmt w:val="bullet"/>
      <w:lvlText w:val=""/>
      <w:lvlJc w:val="left"/>
      <w:pPr>
        <w:ind w:left="720" w:hanging="360"/>
      </w:pPr>
      <w:rPr>
        <w:rFonts w:ascii="Symbol" w:hAnsi="Symbol" w:hint="default"/>
      </w:rPr>
    </w:lvl>
    <w:lvl w:ilvl="1" w:tplc="6510983C">
      <w:start w:val="1"/>
      <w:numFmt w:val="bullet"/>
      <w:lvlText w:val="o"/>
      <w:lvlJc w:val="left"/>
      <w:pPr>
        <w:ind w:left="1440" w:hanging="360"/>
      </w:pPr>
      <w:rPr>
        <w:rFonts w:ascii="Courier New" w:hAnsi="Courier New" w:hint="default"/>
      </w:rPr>
    </w:lvl>
    <w:lvl w:ilvl="2" w:tplc="DFE4F2E8">
      <w:start w:val="1"/>
      <w:numFmt w:val="bullet"/>
      <w:lvlText w:val=""/>
      <w:lvlJc w:val="left"/>
      <w:pPr>
        <w:ind w:left="2160" w:hanging="360"/>
      </w:pPr>
      <w:rPr>
        <w:rFonts w:ascii="Wingdings" w:hAnsi="Wingdings" w:hint="default"/>
      </w:rPr>
    </w:lvl>
    <w:lvl w:ilvl="3" w:tplc="6E02C1D4">
      <w:start w:val="1"/>
      <w:numFmt w:val="bullet"/>
      <w:lvlText w:val=""/>
      <w:lvlJc w:val="left"/>
      <w:pPr>
        <w:ind w:left="2880" w:hanging="360"/>
      </w:pPr>
      <w:rPr>
        <w:rFonts w:ascii="Symbol" w:hAnsi="Symbol" w:hint="default"/>
      </w:rPr>
    </w:lvl>
    <w:lvl w:ilvl="4" w:tplc="585C41BC">
      <w:start w:val="1"/>
      <w:numFmt w:val="bullet"/>
      <w:lvlText w:val="o"/>
      <w:lvlJc w:val="left"/>
      <w:pPr>
        <w:ind w:left="3600" w:hanging="360"/>
      </w:pPr>
      <w:rPr>
        <w:rFonts w:ascii="Courier New" w:hAnsi="Courier New" w:hint="default"/>
      </w:rPr>
    </w:lvl>
    <w:lvl w:ilvl="5" w:tplc="5C243126">
      <w:start w:val="1"/>
      <w:numFmt w:val="bullet"/>
      <w:lvlText w:val=""/>
      <w:lvlJc w:val="left"/>
      <w:pPr>
        <w:ind w:left="4320" w:hanging="360"/>
      </w:pPr>
      <w:rPr>
        <w:rFonts w:ascii="Wingdings" w:hAnsi="Wingdings" w:hint="default"/>
      </w:rPr>
    </w:lvl>
    <w:lvl w:ilvl="6" w:tplc="C85617F2">
      <w:start w:val="1"/>
      <w:numFmt w:val="bullet"/>
      <w:lvlText w:val=""/>
      <w:lvlJc w:val="left"/>
      <w:pPr>
        <w:ind w:left="5040" w:hanging="360"/>
      </w:pPr>
      <w:rPr>
        <w:rFonts w:ascii="Symbol" w:hAnsi="Symbol" w:hint="default"/>
      </w:rPr>
    </w:lvl>
    <w:lvl w:ilvl="7" w:tplc="0DBC3C4C">
      <w:start w:val="1"/>
      <w:numFmt w:val="bullet"/>
      <w:lvlText w:val="o"/>
      <w:lvlJc w:val="left"/>
      <w:pPr>
        <w:ind w:left="5760" w:hanging="360"/>
      </w:pPr>
      <w:rPr>
        <w:rFonts w:ascii="Courier New" w:hAnsi="Courier New" w:hint="default"/>
      </w:rPr>
    </w:lvl>
    <w:lvl w:ilvl="8" w:tplc="8DBCEBA6">
      <w:start w:val="1"/>
      <w:numFmt w:val="bullet"/>
      <w:lvlText w:val=""/>
      <w:lvlJc w:val="left"/>
      <w:pPr>
        <w:ind w:left="6480" w:hanging="360"/>
      </w:pPr>
      <w:rPr>
        <w:rFonts w:ascii="Wingdings" w:hAnsi="Wingdings" w:hint="default"/>
      </w:rPr>
    </w:lvl>
  </w:abstractNum>
  <w:abstractNum w:abstractNumId="41" w15:restartNumberingAfterBreak="0">
    <w:nsid w:val="52FA0227"/>
    <w:multiLevelType w:val="multilevel"/>
    <w:tmpl w:val="9854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FB5D2F"/>
    <w:multiLevelType w:val="hybridMultilevel"/>
    <w:tmpl w:val="290AF3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56233346"/>
    <w:multiLevelType w:val="hybridMultilevel"/>
    <w:tmpl w:val="8190E3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59B41D96"/>
    <w:multiLevelType w:val="multilevel"/>
    <w:tmpl w:val="91B09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AC16280"/>
    <w:multiLevelType w:val="hybridMultilevel"/>
    <w:tmpl w:val="147A06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5C07348A"/>
    <w:multiLevelType w:val="hybridMultilevel"/>
    <w:tmpl w:val="A8D470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5D874EBD"/>
    <w:multiLevelType w:val="multilevel"/>
    <w:tmpl w:val="B71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0E73B53"/>
    <w:multiLevelType w:val="multilevel"/>
    <w:tmpl w:val="3448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8833609"/>
    <w:multiLevelType w:val="hybridMultilevel"/>
    <w:tmpl w:val="8C1447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9EA77D8"/>
    <w:multiLevelType w:val="hybridMultilevel"/>
    <w:tmpl w:val="CA6065AA"/>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1" w15:restartNumberingAfterBreak="0">
    <w:nsid w:val="6F8B0A0C"/>
    <w:multiLevelType w:val="multilevel"/>
    <w:tmpl w:val="4DC2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D13304"/>
    <w:multiLevelType w:val="multilevel"/>
    <w:tmpl w:val="A230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C65145E"/>
    <w:multiLevelType w:val="multilevel"/>
    <w:tmpl w:val="E74E6020"/>
    <w:name w:val="EurolookHeading"/>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595"/>
        </w:tabs>
        <w:ind w:left="595" w:hanging="595"/>
      </w:pPr>
      <w:rPr>
        <w:rFonts w:hint="default"/>
      </w:rPr>
    </w:lvl>
    <w:lvl w:ilvl="2">
      <w:start w:val="1"/>
      <w:numFmt w:val="decimal"/>
      <w:pStyle w:val="Heading3"/>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5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695229511">
    <w:abstractNumId w:val="37"/>
  </w:num>
  <w:num w:numId="2" w16cid:durableId="385108513">
    <w:abstractNumId w:val="14"/>
  </w:num>
  <w:num w:numId="3" w16cid:durableId="1947538740">
    <w:abstractNumId w:val="10"/>
  </w:num>
  <w:num w:numId="4" w16cid:durableId="305470470">
    <w:abstractNumId w:val="40"/>
  </w:num>
  <w:num w:numId="5" w16cid:durableId="2086340863">
    <w:abstractNumId w:val="54"/>
  </w:num>
  <w:num w:numId="6" w16cid:durableId="489907262">
    <w:abstractNumId w:val="25"/>
  </w:num>
  <w:num w:numId="7" w16cid:durableId="1034844136">
    <w:abstractNumId w:val="24"/>
  </w:num>
  <w:num w:numId="8" w16cid:durableId="634334620">
    <w:abstractNumId w:val="13"/>
  </w:num>
  <w:num w:numId="9" w16cid:durableId="2056343478">
    <w:abstractNumId w:val="39"/>
  </w:num>
  <w:num w:numId="10" w16cid:durableId="1126394606">
    <w:abstractNumId w:val="34"/>
  </w:num>
  <w:num w:numId="11" w16cid:durableId="370039663">
    <w:abstractNumId w:val="38"/>
  </w:num>
  <w:num w:numId="12" w16cid:durableId="727919551">
    <w:abstractNumId w:val="53"/>
  </w:num>
  <w:num w:numId="13" w16cid:durableId="1193690037">
    <w:abstractNumId w:val="0"/>
  </w:num>
  <w:num w:numId="14" w16cid:durableId="595594865">
    <w:abstractNumId w:val="1"/>
  </w:num>
  <w:num w:numId="15" w16cid:durableId="875316525">
    <w:abstractNumId w:val="3"/>
  </w:num>
  <w:num w:numId="16" w16cid:durableId="1724475993">
    <w:abstractNumId w:val="4"/>
  </w:num>
  <w:num w:numId="17" w16cid:durableId="1420523755">
    <w:abstractNumId w:val="18"/>
  </w:num>
  <w:num w:numId="18" w16cid:durableId="1514371534">
    <w:abstractNumId w:val="8"/>
  </w:num>
  <w:num w:numId="19" w16cid:durableId="192883977">
    <w:abstractNumId w:val="22"/>
  </w:num>
  <w:num w:numId="20" w16cid:durableId="126707133">
    <w:abstractNumId w:val="2"/>
  </w:num>
  <w:num w:numId="21" w16cid:durableId="34963167">
    <w:abstractNumId w:val="15"/>
  </w:num>
  <w:num w:numId="22" w16cid:durableId="82844681">
    <w:abstractNumId w:val="6"/>
  </w:num>
  <w:num w:numId="23" w16cid:durableId="2038658678">
    <w:abstractNumId w:val="42"/>
  </w:num>
  <w:num w:numId="24" w16cid:durableId="1136483855">
    <w:abstractNumId w:val="28"/>
  </w:num>
  <w:num w:numId="25" w16cid:durableId="2040547663">
    <w:abstractNumId w:val="49"/>
  </w:num>
  <w:num w:numId="26" w16cid:durableId="130486129">
    <w:abstractNumId w:val="26"/>
  </w:num>
  <w:num w:numId="27" w16cid:durableId="259528105">
    <w:abstractNumId w:val="17"/>
  </w:num>
  <w:num w:numId="28" w16cid:durableId="313409357">
    <w:abstractNumId w:val="48"/>
  </w:num>
  <w:num w:numId="29" w16cid:durableId="1826432960">
    <w:abstractNumId w:val="7"/>
  </w:num>
  <w:num w:numId="30" w16cid:durableId="875511581">
    <w:abstractNumId w:val="19"/>
  </w:num>
  <w:num w:numId="31" w16cid:durableId="625695804">
    <w:abstractNumId w:val="21"/>
  </w:num>
  <w:num w:numId="32" w16cid:durableId="135538371">
    <w:abstractNumId w:val="47"/>
  </w:num>
  <w:num w:numId="33" w16cid:durableId="907572718">
    <w:abstractNumId w:val="31"/>
  </w:num>
  <w:num w:numId="34" w16cid:durableId="1065495781">
    <w:abstractNumId w:val="11"/>
  </w:num>
  <w:num w:numId="35" w16cid:durableId="2107387841">
    <w:abstractNumId w:val="44"/>
  </w:num>
  <w:num w:numId="36" w16cid:durableId="940912832">
    <w:abstractNumId w:val="52"/>
  </w:num>
  <w:num w:numId="37" w16cid:durableId="719985996">
    <w:abstractNumId w:val="33"/>
  </w:num>
  <w:num w:numId="38" w16cid:durableId="1706255259">
    <w:abstractNumId w:val="20"/>
  </w:num>
  <w:num w:numId="39" w16cid:durableId="1398163436">
    <w:abstractNumId w:val="29"/>
  </w:num>
  <w:num w:numId="40" w16cid:durableId="895624640">
    <w:abstractNumId w:val="53"/>
  </w:num>
  <w:num w:numId="41" w16cid:durableId="1084306010">
    <w:abstractNumId w:val="9"/>
  </w:num>
  <w:num w:numId="42" w16cid:durableId="360396635">
    <w:abstractNumId w:val="41"/>
  </w:num>
  <w:num w:numId="43" w16cid:durableId="1727486994">
    <w:abstractNumId w:val="53"/>
  </w:num>
  <w:num w:numId="44" w16cid:durableId="531118788">
    <w:abstractNumId w:val="16"/>
  </w:num>
  <w:num w:numId="45" w16cid:durableId="794833645">
    <w:abstractNumId w:val="51"/>
  </w:num>
  <w:num w:numId="46" w16cid:durableId="1997368611">
    <w:abstractNumId w:val="36"/>
  </w:num>
  <w:num w:numId="47" w16cid:durableId="760099392">
    <w:abstractNumId w:val="53"/>
  </w:num>
  <w:num w:numId="48" w16cid:durableId="503521648">
    <w:abstractNumId w:val="53"/>
  </w:num>
  <w:num w:numId="49" w16cid:durableId="303050420">
    <w:abstractNumId w:val="53"/>
  </w:num>
  <w:num w:numId="50" w16cid:durableId="161970178">
    <w:abstractNumId w:val="53"/>
  </w:num>
  <w:num w:numId="51" w16cid:durableId="21176114">
    <w:abstractNumId w:val="27"/>
  </w:num>
  <w:num w:numId="52" w16cid:durableId="1915846506">
    <w:abstractNumId w:val="50"/>
  </w:num>
  <w:num w:numId="53" w16cid:durableId="67920971">
    <w:abstractNumId w:val="53"/>
  </w:num>
  <w:num w:numId="54" w16cid:durableId="761949898">
    <w:abstractNumId w:val="53"/>
  </w:num>
  <w:num w:numId="55" w16cid:durableId="2095008516">
    <w:abstractNumId w:val="53"/>
  </w:num>
  <w:num w:numId="56" w16cid:durableId="854881494">
    <w:abstractNumId w:val="53"/>
  </w:num>
  <w:num w:numId="57" w16cid:durableId="577523811">
    <w:abstractNumId w:val="30"/>
  </w:num>
  <w:num w:numId="58" w16cid:durableId="1563326547">
    <w:abstractNumId w:val="53"/>
  </w:num>
  <w:num w:numId="59" w16cid:durableId="1661928161">
    <w:abstractNumId w:val="23"/>
  </w:num>
  <w:num w:numId="60" w16cid:durableId="294414722">
    <w:abstractNumId w:val="46"/>
  </w:num>
  <w:num w:numId="61" w16cid:durableId="1949728657">
    <w:abstractNumId w:val="32"/>
  </w:num>
  <w:num w:numId="62" w16cid:durableId="1699893397">
    <w:abstractNumId w:val="5"/>
  </w:num>
  <w:num w:numId="63" w16cid:durableId="360204742">
    <w:abstractNumId w:val="45"/>
  </w:num>
  <w:num w:numId="64" w16cid:durableId="1360543291">
    <w:abstractNumId w:val="53"/>
  </w:num>
  <w:num w:numId="65" w16cid:durableId="1306663346">
    <w:abstractNumId w:val="43"/>
  </w:num>
  <w:num w:numId="66" w16cid:durableId="1651324299">
    <w:abstractNumId w:val="5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t;UNUSED&gt;"/>
    <w:docVar w:name="LW_CORRIGENDUM" w:val="&lt;UNUSED&gt;"/>
    <w:docVar w:name="LW_COVERPAGE_EXISTS" w:val="True"/>
    <w:docVar w:name="LW_COVERPAGE_GUID" w:val="6FD63AC6-A7E4-4FF0-B632-5972331DBE89"/>
    <w:docVar w:name="LW_COVERPAGE_TYPE" w:val="1"/>
    <w:docVar w:name="LW_CROSSREFERENCE" w:val="{SWD(2026) 245 final} - {SWD(2026) 246 final} - {SWD(2026) 247 final} - {SWD(2026) 248 final} - {SWD(2026) 249 final} - {SWD(2026) 250 final} - {SWD(2026) 251 final}"/>
    <w:docVar w:name="LW_DATE.ADOPT.CP_ISODATE" w:val="&lt;EMPTY&gt;"/>
    <w:docVar w:name="LW_DocType" w:val="EUROLOOK"/>
    <w:docVar w:name="LW_EMISSION" w:val="28.7.2026"/>
    <w:docVar w:name="LW_EMISSION_ISODATE" w:val="2026-07-28"/>
    <w:docVar w:name="LW_EMISSION_LOCATION" w:val="BRX"/>
    <w:docVar w:name="LW_EMISSION_PREFIX" w:val="Brussels, "/>
    <w:docVar w:name="LW_EMISSION_SUFFIX" w:val=" "/>
    <w:docVar w:name="LW_ID_DOCTYPE_NONLW" w:val="CP-005"/>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1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37th Annual Report on the protection of the European Union\u8217?s financial interests and the fight against fraud \u8211? 2025"/>
    <w:docVar w:name="LW_TYPE.DOC.CP" w:val="REPORT FROM THE COMMISSION TO THE COUNCIL AND THE EUROPEAN PARLIAMENT"/>
    <w:docVar w:name="LW_TYPEACTEPRINCIPAL.CP" w:val="&lt;UNUSED&gt;"/>
    <w:docVar w:name="LwApiVersions" w:val="LW4CoDe 1.24.5.0; LW 9.2, Build 20251112"/>
  </w:docVars>
  <w:rsids>
    <w:rsidRoot w:val="0048430C"/>
    <w:rsid w:val="0000055F"/>
    <w:rsid w:val="000005EB"/>
    <w:rsid w:val="00000AC3"/>
    <w:rsid w:val="00000C60"/>
    <w:rsid w:val="00000F9C"/>
    <w:rsid w:val="00001067"/>
    <w:rsid w:val="000013D3"/>
    <w:rsid w:val="00001459"/>
    <w:rsid w:val="000014B1"/>
    <w:rsid w:val="00001E38"/>
    <w:rsid w:val="00001E5E"/>
    <w:rsid w:val="00001EC2"/>
    <w:rsid w:val="00001F93"/>
    <w:rsid w:val="000020B7"/>
    <w:rsid w:val="00002890"/>
    <w:rsid w:val="00002940"/>
    <w:rsid w:val="00002B27"/>
    <w:rsid w:val="00002D17"/>
    <w:rsid w:val="000034EB"/>
    <w:rsid w:val="00003B53"/>
    <w:rsid w:val="00003CCB"/>
    <w:rsid w:val="00003E62"/>
    <w:rsid w:val="00004447"/>
    <w:rsid w:val="00004526"/>
    <w:rsid w:val="000047E7"/>
    <w:rsid w:val="00004B5C"/>
    <w:rsid w:val="0000564F"/>
    <w:rsid w:val="00005A56"/>
    <w:rsid w:val="00005BED"/>
    <w:rsid w:val="00005D15"/>
    <w:rsid w:val="000060D9"/>
    <w:rsid w:val="0000639D"/>
    <w:rsid w:val="000064AA"/>
    <w:rsid w:val="000064D1"/>
    <w:rsid w:val="00006514"/>
    <w:rsid w:val="000066F6"/>
    <w:rsid w:val="00006B7C"/>
    <w:rsid w:val="00006DA0"/>
    <w:rsid w:val="0000762B"/>
    <w:rsid w:val="000076EB"/>
    <w:rsid w:val="00007A14"/>
    <w:rsid w:val="00007B7A"/>
    <w:rsid w:val="00007BA9"/>
    <w:rsid w:val="00007E52"/>
    <w:rsid w:val="00007EAE"/>
    <w:rsid w:val="00007FFE"/>
    <w:rsid w:val="0001002A"/>
    <w:rsid w:val="0001012C"/>
    <w:rsid w:val="0001037B"/>
    <w:rsid w:val="00010526"/>
    <w:rsid w:val="00010C6D"/>
    <w:rsid w:val="00010EA5"/>
    <w:rsid w:val="000112B2"/>
    <w:rsid w:val="000114A4"/>
    <w:rsid w:val="00011890"/>
    <w:rsid w:val="00011C90"/>
    <w:rsid w:val="00012785"/>
    <w:rsid w:val="00012817"/>
    <w:rsid w:val="000128E2"/>
    <w:rsid w:val="00012BAC"/>
    <w:rsid w:val="00012C4A"/>
    <w:rsid w:val="000133CE"/>
    <w:rsid w:val="0001370E"/>
    <w:rsid w:val="000139E7"/>
    <w:rsid w:val="00013C06"/>
    <w:rsid w:val="00013C9D"/>
    <w:rsid w:val="00014301"/>
    <w:rsid w:val="000145C2"/>
    <w:rsid w:val="000147A7"/>
    <w:rsid w:val="00014908"/>
    <w:rsid w:val="00014C50"/>
    <w:rsid w:val="00014CAB"/>
    <w:rsid w:val="00014E8E"/>
    <w:rsid w:val="00015035"/>
    <w:rsid w:val="00015159"/>
    <w:rsid w:val="000153DA"/>
    <w:rsid w:val="00015740"/>
    <w:rsid w:val="000159EF"/>
    <w:rsid w:val="00015B5F"/>
    <w:rsid w:val="00015C4B"/>
    <w:rsid w:val="00015D00"/>
    <w:rsid w:val="00015EB1"/>
    <w:rsid w:val="00016146"/>
    <w:rsid w:val="0001696D"/>
    <w:rsid w:val="00016C9C"/>
    <w:rsid w:val="0001727B"/>
    <w:rsid w:val="00017547"/>
    <w:rsid w:val="00017AED"/>
    <w:rsid w:val="0002001A"/>
    <w:rsid w:val="00020053"/>
    <w:rsid w:val="00020262"/>
    <w:rsid w:val="000202C4"/>
    <w:rsid w:val="000204AD"/>
    <w:rsid w:val="000207CC"/>
    <w:rsid w:val="00020883"/>
    <w:rsid w:val="000208D9"/>
    <w:rsid w:val="00020962"/>
    <w:rsid w:val="00020987"/>
    <w:rsid w:val="00020C3B"/>
    <w:rsid w:val="0002123B"/>
    <w:rsid w:val="00021290"/>
    <w:rsid w:val="000212F4"/>
    <w:rsid w:val="00021742"/>
    <w:rsid w:val="000217FF"/>
    <w:rsid w:val="00021860"/>
    <w:rsid w:val="00021BB4"/>
    <w:rsid w:val="00021DA9"/>
    <w:rsid w:val="00021EDE"/>
    <w:rsid w:val="00022070"/>
    <w:rsid w:val="00022077"/>
    <w:rsid w:val="00022622"/>
    <w:rsid w:val="00022EA6"/>
    <w:rsid w:val="00023111"/>
    <w:rsid w:val="000233A9"/>
    <w:rsid w:val="000240C2"/>
    <w:rsid w:val="00024314"/>
    <w:rsid w:val="00024453"/>
    <w:rsid w:val="00024493"/>
    <w:rsid w:val="0002459A"/>
    <w:rsid w:val="0002460E"/>
    <w:rsid w:val="00024629"/>
    <w:rsid w:val="0002463B"/>
    <w:rsid w:val="00024A79"/>
    <w:rsid w:val="00024E9A"/>
    <w:rsid w:val="00024E9F"/>
    <w:rsid w:val="00024F6C"/>
    <w:rsid w:val="00025C72"/>
    <w:rsid w:val="000264FC"/>
    <w:rsid w:val="0002684C"/>
    <w:rsid w:val="00026990"/>
    <w:rsid w:val="00026C83"/>
    <w:rsid w:val="00026CAB"/>
    <w:rsid w:val="00026DA3"/>
    <w:rsid w:val="00027025"/>
    <w:rsid w:val="0002752E"/>
    <w:rsid w:val="00027907"/>
    <w:rsid w:val="00027EB5"/>
    <w:rsid w:val="00030F3C"/>
    <w:rsid w:val="00031083"/>
    <w:rsid w:val="000313C7"/>
    <w:rsid w:val="000319CA"/>
    <w:rsid w:val="00031DBD"/>
    <w:rsid w:val="000321BE"/>
    <w:rsid w:val="000322ED"/>
    <w:rsid w:val="00032739"/>
    <w:rsid w:val="0003288D"/>
    <w:rsid w:val="00032923"/>
    <w:rsid w:val="00032ECA"/>
    <w:rsid w:val="00033001"/>
    <w:rsid w:val="000330B5"/>
    <w:rsid w:val="00033303"/>
    <w:rsid w:val="00033371"/>
    <w:rsid w:val="00033405"/>
    <w:rsid w:val="00033820"/>
    <w:rsid w:val="00033FA0"/>
    <w:rsid w:val="00034451"/>
    <w:rsid w:val="00034841"/>
    <w:rsid w:val="0003509F"/>
    <w:rsid w:val="0003537D"/>
    <w:rsid w:val="000353CA"/>
    <w:rsid w:val="000355BF"/>
    <w:rsid w:val="000355F2"/>
    <w:rsid w:val="00035693"/>
    <w:rsid w:val="000358F1"/>
    <w:rsid w:val="00035B6C"/>
    <w:rsid w:val="00035C35"/>
    <w:rsid w:val="00035D89"/>
    <w:rsid w:val="00035DD4"/>
    <w:rsid w:val="00036A83"/>
    <w:rsid w:val="00036AFE"/>
    <w:rsid w:val="00036B75"/>
    <w:rsid w:val="00036C73"/>
    <w:rsid w:val="00037560"/>
    <w:rsid w:val="00037D68"/>
    <w:rsid w:val="000404FF"/>
    <w:rsid w:val="00040A5E"/>
    <w:rsid w:val="00040BED"/>
    <w:rsid w:val="00041263"/>
    <w:rsid w:val="000419B9"/>
    <w:rsid w:val="0004212F"/>
    <w:rsid w:val="00042213"/>
    <w:rsid w:val="000424C7"/>
    <w:rsid w:val="00043336"/>
    <w:rsid w:val="0004345D"/>
    <w:rsid w:val="00043796"/>
    <w:rsid w:val="00043819"/>
    <w:rsid w:val="00043A19"/>
    <w:rsid w:val="00043D72"/>
    <w:rsid w:val="000440B2"/>
    <w:rsid w:val="0004433B"/>
    <w:rsid w:val="00044409"/>
    <w:rsid w:val="000444DD"/>
    <w:rsid w:val="000446A0"/>
    <w:rsid w:val="0004479F"/>
    <w:rsid w:val="00044C3E"/>
    <w:rsid w:val="00044E9A"/>
    <w:rsid w:val="00045046"/>
    <w:rsid w:val="000456CC"/>
    <w:rsid w:val="0004617C"/>
    <w:rsid w:val="00046379"/>
    <w:rsid w:val="000470D0"/>
    <w:rsid w:val="00047FC3"/>
    <w:rsid w:val="000500A7"/>
    <w:rsid w:val="00050193"/>
    <w:rsid w:val="000504A0"/>
    <w:rsid w:val="000509DF"/>
    <w:rsid w:val="00050C80"/>
    <w:rsid w:val="00050C87"/>
    <w:rsid w:val="00050F8C"/>
    <w:rsid w:val="00051043"/>
    <w:rsid w:val="00051511"/>
    <w:rsid w:val="0005164C"/>
    <w:rsid w:val="00051717"/>
    <w:rsid w:val="0005176F"/>
    <w:rsid w:val="00051B4A"/>
    <w:rsid w:val="00051D9E"/>
    <w:rsid w:val="00052405"/>
    <w:rsid w:val="000527E9"/>
    <w:rsid w:val="00052C28"/>
    <w:rsid w:val="00052CD2"/>
    <w:rsid w:val="00052F2B"/>
    <w:rsid w:val="000536E7"/>
    <w:rsid w:val="00053A12"/>
    <w:rsid w:val="00053C90"/>
    <w:rsid w:val="00053CB1"/>
    <w:rsid w:val="00053EF7"/>
    <w:rsid w:val="00054768"/>
    <w:rsid w:val="00054A5D"/>
    <w:rsid w:val="00054DAD"/>
    <w:rsid w:val="00055447"/>
    <w:rsid w:val="000558FD"/>
    <w:rsid w:val="00055B42"/>
    <w:rsid w:val="00055D47"/>
    <w:rsid w:val="00055F5E"/>
    <w:rsid w:val="000560EC"/>
    <w:rsid w:val="00056134"/>
    <w:rsid w:val="00056243"/>
    <w:rsid w:val="000562F9"/>
    <w:rsid w:val="00056C40"/>
    <w:rsid w:val="00056F33"/>
    <w:rsid w:val="00057162"/>
    <w:rsid w:val="000576C6"/>
    <w:rsid w:val="0005776B"/>
    <w:rsid w:val="000579D4"/>
    <w:rsid w:val="00057D89"/>
    <w:rsid w:val="00057D97"/>
    <w:rsid w:val="00057E98"/>
    <w:rsid w:val="00060060"/>
    <w:rsid w:val="00060A45"/>
    <w:rsid w:val="00060F17"/>
    <w:rsid w:val="00060F1F"/>
    <w:rsid w:val="000613F5"/>
    <w:rsid w:val="00061492"/>
    <w:rsid w:val="00061649"/>
    <w:rsid w:val="00061B15"/>
    <w:rsid w:val="00061E17"/>
    <w:rsid w:val="0006216A"/>
    <w:rsid w:val="00062393"/>
    <w:rsid w:val="00062B55"/>
    <w:rsid w:val="00062B5E"/>
    <w:rsid w:val="00062D92"/>
    <w:rsid w:val="00063AA3"/>
    <w:rsid w:val="00063FCB"/>
    <w:rsid w:val="000640CC"/>
    <w:rsid w:val="000641D9"/>
    <w:rsid w:val="000643C3"/>
    <w:rsid w:val="000644D4"/>
    <w:rsid w:val="0006466C"/>
    <w:rsid w:val="00064785"/>
    <w:rsid w:val="00064AA5"/>
    <w:rsid w:val="00064C03"/>
    <w:rsid w:val="00064C96"/>
    <w:rsid w:val="00064CA6"/>
    <w:rsid w:val="00064D73"/>
    <w:rsid w:val="00064E87"/>
    <w:rsid w:val="00065170"/>
    <w:rsid w:val="00065265"/>
    <w:rsid w:val="000653DB"/>
    <w:rsid w:val="000654C3"/>
    <w:rsid w:val="00065AC3"/>
    <w:rsid w:val="00065C2F"/>
    <w:rsid w:val="00065E9A"/>
    <w:rsid w:val="0006608C"/>
    <w:rsid w:val="000662AA"/>
    <w:rsid w:val="0006633D"/>
    <w:rsid w:val="000664B3"/>
    <w:rsid w:val="000665A6"/>
    <w:rsid w:val="000665BD"/>
    <w:rsid w:val="000666D6"/>
    <w:rsid w:val="00066AE1"/>
    <w:rsid w:val="00066BA4"/>
    <w:rsid w:val="00066C2D"/>
    <w:rsid w:val="0006728E"/>
    <w:rsid w:val="00067412"/>
    <w:rsid w:val="000674EF"/>
    <w:rsid w:val="00067531"/>
    <w:rsid w:val="000677DF"/>
    <w:rsid w:val="00070023"/>
    <w:rsid w:val="00070A28"/>
    <w:rsid w:val="00070C84"/>
    <w:rsid w:val="00071226"/>
    <w:rsid w:val="000716FD"/>
    <w:rsid w:val="00071923"/>
    <w:rsid w:val="00071CD2"/>
    <w:rsid w:val="00071FAB"/>
    <w:rsid w:val="000721C4"/>
    <w:rsid w:val="0007242B"/>
    <w:rsid w:val="0007288E"/>
    <w:rsid w:val="00073C20"/>
    <w:rsid w:val="00073E3E"/>
    <w:rsid w:val="000744E6"/>
    <w:rsid w:val="00074D46"/>
    <w:rsid w:val="00074FE0"/>
    <w:rsid w:val="000752AD"/>
    <w:rsid w:val="000756AC"/>
    <w:rsid w:val="00075985"/>
    <w:rsid w:val="000759DF"/>
    <w:rsid w:val="00075B8F"/>
    <w:rsid w:val="00075CAE"/>
    <w:rsid w:val="00075CEA"/>
    <w:rsid w:val="00075DEC"/>
    <w:rsid w:val="00075ED8"/>
    <w:rsid w:val="000760E7"/>
    <w:rsid w:val="0007683F"/>
    <w:rsid w:val="00076D14"/>
    <w:rsid w:val="00076D7F"/>
    <w:rsid w:val="00076E19"/>
    <w:rsid w:val="00076EF0"/>
    <w:rsid w:val="0007744E"/>
    <w:rsid w:val="00077489"/>
    <w:rsid w:val="000778DF"/>
    <w:rsid w:val="00077949"/>
    <w:rsid w:val="00077AF8"/>
    <w:rsid w:val="00077BF7"/>
    <w:rsid w:val="00077E5B"/>
    <w:rsid w:val="00080024"/>
    <w:rsid w:val="00080360"/>
    <w:rsid w:val="0008044D"/>
    <w:rsid w:val="0008067E"/>
    <w:rsid w:val="000809D7"/>
    <w:rsid w:val="00080A74"/>
    <w:rsid w:val="00080B76"/>
    <w:rsid w:val="00080BC7"/>
    <w:rsid w:val="00080DFA"/>
    <w:rsid w:val="00080E7B"/>
    <w:rsid w:val="00080F2A"/>
    <w:rsid w:val="000810E6"/>
    <w:rsid w:val="00081159"/>
    <w:rsid w:val="000813FB"/>
    <w:rsid w:val="000814BD"/>
    <w:rsid w:val="00081508"/>
    <w:rsid w:val="0008199C"/>
    <w:rsid w:val="00081CDC"/>
    <w:rsid w:val="00081DD6"/>
    <w:rsid w:val="000824E6"/>
    <w:rsid w:val="0008265F"/>
    <w:rsid w:val="00082816"/>
    <w:rsid w:val="00082AD8"/>
    <w:rsid w:val="00082B90"/>
    <w:rsid w:val="00083137"/>
    <w:rsid w:val="00083190"/>
    <w:rsid w:val="00083294"/>
    <w:rsid w:val="00083718"/>
    <w:rsid w:val="00083776"/>
    <w:rsid w:val="0008396A"/>
    <w:rsid w:val="000840A8"/>
    <w:rsid w:val="000842E0"/>
    <w:rsid w:val="0008494C"/>
    <w:rsid w:val="00084A57"/>
    <w:rsid w:val="00084F0D"/>
    <w:rsid w:val="000850A4"/>
    <w:rsid w:val="000851A7"/>
    <w:rsid w:val="000851B2"/>
    <w:rsid w:val="00085B53"/>
    <w:rsid w:val="00085D53"/>
    <w:rsid w:val="00085F35"/>
    <w:rsid w:val="0008612D"/>
    <w:rsid w:val="00086169"/>
    <w:rsid w:val="0008651F"/>
    <w:rsid w:val="0008657D"/>
    <w:rsid w:val="00086803"/>
    <w:rsid w:val="00086A54"/>
    <w:rsid w:val="00086DC2"/>
    <w:rsid w:val="00087A73"/>
    <w:rsid w:val="0009011B"/>
    <w:rsid w:val="000902B5"/>
    <w:rsid w:val="00090474"/>
    <w:rsid w:val="00090AF4"/>
    <w:rsid w:val="00090E06"/>
    <w:rsid w:val="00090E36"/>
    <w:rsid w:val="00090E87"/>
    <w:rsid w:val="00090FE0"/>
    <w:rsid w:val="0009125D"/>
    <w:rsid w:val="00091AE1"/>
    <w:rsid w:val="00091F13"/>
    <w:rsid w:val="00091F1E"/>
    <w:rsid w:val="00092180"/>
    <w:rsid w:val="000927CC"/>
    <w:rsid w:val="00092B20"/>
    <w:rsid w:val="00092D32"/>
    <w:rsid w:val="000930AF"/>
    <w:rsid w:val="000934B5"/>
    <w:rsid w:val="000937D0"/>
    <w:rsid w:val="00093879"/>
    <w:rsid w:val="00093AB1"/>
    <w:rsid w:val="00093B86"/>
    <w:rsid w:val="00093C2F"/>
    <w:rsid w:val="00094648"/>
    <w:rsid w:val="0009468A"/>
    <w:rsid w:val="000946F0"/>
    <w:rsid w:val="000947FF"/>
    <w:rsid w:val="000949A1"/>
    <w:rsid w:val="00094F84"/>
    <w:rsid w:val="000957CB"/>
    <w:rsid w:val="00095CBF"/>
    <w:rsid w:val="00096604"/>
    <w:rsid w:val="000966C7"/>
    <w:rsid w:val="00096B09"/>
    <w:rsid w:val="000976E3"/>
    <w:rsid w:val="0009789D"/>
    <w:rsid w:val="0009790B"/>
    <w:rsid w:val="00097A53"/>
    <w:rsid w:val="00097E1E"/>
    <w:rsid w:val="00097F74"/>
    <w:rsid w:val="000A0113"/>
    <w:rsid w:val="000A022B"/>
    <w:rsid w:val="000A06C5"/>
    <w:rsid w:val="000A08F3"/>
    <w:rsid w:val="000A1361"/>
    <w:rsid w:val="000A1491"/>
    <w:rsid w:val="000A1B35"/>
    <w:rsid w:val="000A2317"/>
    <w:rsid w:val="000A2CB4"/>
    <w:rsid w:val="000A2D5C"/>
    <w:rsid w:val="000A2ED7"/>
    <w:rsid w:val="000A2EEE"/>
    <w:rsid w:val="000A347C"/>
    <w:rsid w:val="000A3744"/>
    <w:rsid w:val="000A392E"/>
    <w:rsid w:val="000A3C81"/>
    <w:rsid w:val="000A3F8D"/>
    <w:rsid w:val="000A4142"/>
    <w:rsid w:val="000A48C2"/>
    <w:rsid w:val="000A4A0B"/>
    <w:rsid w:val="000A4C30"/>
    <w:rsid w:val="000A5052"/>
    <w:rsid w:val="000A56A3"/>
    <w:rsid w:val="000A5AB9"/>
    <w:rsid w:val="000A5F61"/>
    <w:rsid w:val="000A6206"/>
    <w:rsid w:val="000A689A"/>
    <w:rsid w:val="000A68BF"/>
    <w:rsid w:val="000A6BC9"/>
    <w:rsid w:val="000A6DE6"/>
    <w:rsid w:val="000A7092"/>
    <w:rsid w:val="000A76F6"/>
    <w:rsid w:val="000A78BC"/>
    <w:rsid w:val="000A7E9E"/>
    <w:rsid w:val="000A7F63"/>
    <w:rsid w:val="000B034F"/>
    <w:rsid w:val="000B0485"/>
    <w:rsid w:val="000B063D"/>
    <w:rsid w:val="000B083C"/>
    <w:rsid w:val="000B0C2D"/>
    <w:rsid w:val="000B133D"/>
    <w:rsid w:val="000B15AF"/>
    <w:rsid w:val="000B1AE7"/>
    <w:rsid w:val="000B1F7E"/>
    <w:rsid w:val="000B1FBC"/>
    <w:rsid w:val="000B223A"/>
    <w:rsid w:val="000B229B"/>
    <w:rsid w:val="000B240F"/>
    <w:rsid w:val="000B2615"/>
    <w:rsid w:val="000B27BF"/>
    <w:rsid w:val="000B297B"/>
    <w:rsid w:val="000B2DA5"/>
    <w:rsid w:val="000B2F1B"/>
    <w:rsid w:val="000B3358"/>
    <w:rsid w:val="000B3625"/>
    <w:rsid w:val="000B3669"/>
    <w:rsid w:val="000B39C2"/>
    <w:rsid w:val="000B3EFB"/>
    <w:rsid w:val="000B419F"/>
    <w:rsid w:val="000B430C"/>
    <w:rsid w:val="000B4345"/>
    <w:rsid w:val="000B452F"/>
    <w:rsid w:val="000B4605"/>
    <w:rsid w:val="000B4633"/>
    <w:rsid w:val="000B4921"/>
    <w:rsid w:val="000B4CAA"/>
    <w:rsid w:val="000B510C"/>
    <w:rsid w:val="000B53F9"/>
    <w:rsid w:val="000B54A0"/>
    <w:rsid w:val="000B5671"/>
    <w:rsid w:val="000B56BA"/>
    <w:rsid w:val="000B59B8"/>
    <w:rsid w:val="000B5B91"/>
    <w:rsid w:val="000B5E3D"/>
    <w:rsid w:val="000B61E2"/>
    <w:rsid w:val="000B6228"/>
    <w:rsid w:val="000B669F"/>
    <w:rsid w:val="000B66A2"/>
    <w:rsid w:val="000B6832"/>
    <w:rsid w:val="000B6A15"/>
    <w:rsid w:val="000B6B91"/>
    <w:rsid w:val="000B705E"/>
    <w:rsid w:val="000B71A8"/>
    <w:rsid w:val="000B7737"/>
    <w:rsid w:val="000B7C31"/>
    <w:rsid w:val="000B7E68"/>
    <w:rsid w:val="000C0A51"/>
    <w:rsid w:val="000C0C0D"/>
    <w:rsid w:val="000C0CE8"/>
    <w:rsid w:val="000C0D04"/>
    <w:rsid w:val="000C0E0D"/>
    <w:rsid w:val="000C0E5F"/>
    <w:rsid w:val="000C0EA0"/>
    <w:rsid w:val="000C1A38"/>
    <w:rsid w:val="000C1AE8"/>
    <w:rsid w:val="000C1C0D"/>
    <w:rsid w:val="000C1C85"/>
    <w:rsid w:val="000C1CC0"/>
    <w:rsid w:val="000C1ED8"/>
    <w:rsid w:val="000C2234"/>
    <w:rsid w:val="000C2747"/>
    <w:rsid w:val="000C2FD7"/>
    <w:rsid w:val="000C3074"/>
    <w:rsid w:val="000C307E"/>
    <w:rsid w:val="000C3509"/>
    <w:rsid w:val="000C3542"/>
    <w:rsid w:val="000C3AAB"/>
    <w:rsid w:val="000C3B40"/>
    <w:rsid w:val="000C3D0F"/>
    <w:rsid w:val="000C3F92"/>
    <w:rsid w:val="000C433A"/>
    <w:rsid w:val="000C437E"/>
    <w:rsid w:val="000C44C8"/>
    <w:rsid w:val="000C492E"/>
    <w:rsid w:val="000C4B37"/>
    <w:rsid w:val="000C4B8D"/>
    <w:rsid w:val="000C4C4F"/>
    <w:rsid w:val="000C5685"/>
    <w:rsid w:val="000C5C9D"/>
    <w:rsid w:val="000C5EE8"/>
    <w:rsid w:val="000C614B"/>
    <w:rsid w:val="000C6205"/>
    <w:rsid w:val="000C6225"/>
    <w:rsid w:val="000C64D8"/>
    <w:rsid w:val="000C6ABB"/>
    <w:rsid w:val="000C6BFC"/>
    <w:rsid w:val="000C6DBD"/>
    <w:rsid w:val="000C6E91"/>
    <w:rsid w:val="000C6EF4"/>
    <w:rsid w:val="000C7226"/>
    <w:rsid w:val="000C7343"/>
    <w:rsid w:val="000C76C7"/>
    <w:rsid w:val="000C79B2"/>
    <w:rsid w:val="000D0271"/>
    <w:rsid w:val="000D02AF"/>
    <w:rsid w:val="000D0569"/>
    <w:rsid w:val="000D0B84"/>
    <w:rsid w:val="000D0C87"/>
    <w:rsid w:val="000D0CC4"/>
    <w:rsid w:val="000D1263"/>
    <w:rsid w:val="000D15BE"/>
    <w:rsid w:val="000D1718"/>
    <w:rsid w:val="000D182F"/>
    <w:rsid w:val="000D2096"/>
    <w:rsid w:val="000D20B8"/>
    <w:rsid w:val="000D28D5"/>
    <w:rsid w:val="000D2911"/>
    <w:rsid w:val="000D2D3D"/>
    <w:rsid w:val="000D2D47"/>
    <w:rsid w:val="000D2E3E"/>
    <w:rsid w:val="000D324C"/>
    <w:rsid w:val="000D32CF"/>
    <w:rsid w:val="000D3CAE"/>
    <w:rsid w:val="000D3E75"/>
    <w:rsid w:val="000D4795"/>
    <w:rsid w:val="000D49B8"/>
    <w:rsid w:val="000D4C16"/>
    <w:rsid w:val="000D4C1F"/>
    <w:rsid w:val="000D509B"/>
    <w:rsid w:val="000D5438"/>
    <w:rsid w:val="000D5DF8"/>
    <w:rsid w:val="000D612D"/>
    <w:rsid w:val="000D6997"/>
    <w:rsid w:val="000D699F"/>
    <w:rsid w:val="000D6ADA"/>
    <w:rsid w:val="000D6BD7"/>
    <w:rsid w:val="000D6C01"/>
    <w:rsid w:val="000D6D9F"/>
    <w:rsid w:val="000D6EFA"/>
    <w:rsid w:val="000D7470"/>
    <w:rsid w:val="000D7474"/>
    <w:rsid w:val="000D75E6"/>
    <w:rsid w:val="000D78E2"/>
    <w:rsid w:val="000D7A30"/>
    <w:rsid w:val="000D7B0B"/>
    <w:rsid w:val="000D7EC4"/>
    <w:rsid w:val="000E0493"/>
    <w:rsid w:val="000E04A7"/>
    <w:rsid w:val="000E0E03"/>
    <w:rsid w:val="000E1211"/>
    <w:rsid w:val="000E1338"/>
    <w:rsid w:val="000E133A"/>
    <w:rsid w:val="000E1746"/>
    <w:rsid w:val="000E1AE9"/>
    <w:rsid w:val="000E1CEB"/>
    <w:rsid w:val="000E24DA"/>
    <w:rsid w:val="000E2826"/>
    <w:rsid w:val="000E2F3E"/>
    <w:rsid w:val="000E3162"/>
    <w:rsid w:val="000E3D22"/>
    <w:rsid w:val="000E3DA3"/>
    <w:rsid w:val="000E46C9"/>
    <w:rsid w:val="000E4ADF"/>
    <w:rsid w:val="000E4BD7"/>
    <w:rsid w:val="000E4DEF"/>
    <w:rsid w:val="000E4E59"/>
    <w:rsid w:val="000E4F07"/>
    <w:rsid w:val="000E5088"/>
    <w:rsid w:val="000E544E"/>
    <w:rsid w:val="000E5721"/>
    <w:rsid w:val="000E577E"/>
    <w:rsid w:val="000E5DE6"/>
    <w:rsid w:val="000E5FA3"/>
    <w:rsid w:val="000E615B"/>
    <w:rsid w:val="000E651E"/>
    <w:rsid w:val="000E66BD"/>
    <w:rsid w:val="000E6855"/>
    <w:rsid w:val="000E6A39"/>
    <w:rsid w:val="000E6CE4"/>
    <w:rsid w:val="000E6D04"/>
    <w:rsid w:val="000E6FE5"/>
    <w:rsid w:val="000E747A"/>
    <w:rsid w:val="000E7625"/>
    <w:rsid w:val="000E7B86"/>
    <w:rsid w:val="000E7CC8"/>
    <w:rsid w:val="000F021F"/>
    <w:rsid w:val="000F0594"/>
    <w:rsid w:val="000F0787"/>
    <w:rsid w:val="000F0FA3"/>
    <w:rsid w:val="000F13AA"/>
    <w:rsid w:val="000F15ED"/>
    <w:rsid w:val="000F1849"/>
    <w:rsid w:val="000F20FF"/>
    <w:rsid w:val="000F22E5"/>
    <w:rsid w:val="000F2861"/>
    <w:rsid w:val="000F2878"/>
    <w:rsid w:val="000F30BA"/>
    <w:rsid w:val="000F3137"/>
    <w:rsid w:val="000F3463"/>
    <w:rsid w:val="000F3A16"/>
    <w:rsid w:val="000F3ABE"/>
    <w:rsid w:val="000F3ADC"/>
    <w:rsid w:val="000F3B6F"/>
    <w:rsid w:val="000F3C76"/>
    <w:rsid w:val="000F3EAA"/>
    <w:rsid w:val="000F3F6C"/>
    <w:rsid w:val="000F4436"/>
    <w:rsid w:val="000F48CB"/>
    <w:rsid w:val="000F48EC"/>
    <w:rsid w:val="000F4FDA"/>
    <w:rsid w:val="000F504F"/>
    <w:rsid w:val="000F5BA7"/>
    <w:rsid w:val="000F5F17"/>
    <w:rsid w:val="000F605C"/>
    <w:rsid w:val="000F609F"/>
    <w:rsid w:val="000F63A3"/>
    <w:rsid w:val="000F6621"/>
    <w:rsid w:val="000F66F4"/>
    <w:rsid w:val="000F6B25"/>
    <w:rsid w:val="000F6ED9"/>
    <w:rsid w:val="000F6F6B"/>
    <w:rsid w:val="000F716D"/>
    <w:rsid w:val="000F7C77"/>
    <w:rsid w:val="001008D5"/>
    <w:rsid w:val="00100911"/>
    <w:rsid w:val="00100A81"/>
    <w:rsid w:val="00100A9D"/>
    <w:rsid w:val="00100B58"/>
    <w:rsid w:val="0010107D"/>
    <w:rsid w:val="00101099"/>
    <w:rsid w:val="00101193"/>
    <w:rsid w:val="001012E1"/>
    <w:rsid w:val="00101327"/>
    <w:rsid w:val="0010143F"/>
    <w:rsid w:val="001015D1"/>
    <w:rsid w:val="001016A5"/>
    <w:rsid w:val="001016B4"/>
    <w:rsid w:val="0010185E"/>
    <w:rsid w:val="0010198E"/>
    <w:rsid w:val="00101C01"/>
    <w:rsid w:val="00101C59"/>
    <w:rsid w:val="001020BF"/>
    <w:rsid w:val="001021FB"/>
    <w:rsid w:val="0010224F"/>
    <w:rsid w:val="0010227F"/>
    <w:rsid w:val="0010271E"/>
    <w:rsid w:val="001028BF"/>
    <w:rsid w:val="00102AE5"/>
    <w:rsid w:val="00102B98"/>
    <w:rsid w:val="00102E9C"/>
    <w:rsid w:val="00103032"/>
    <w:rsid w:val="00103F7E"/>
    <w:rsid w:val="00104913"/>
    <w:rsid w:val="00104B57"/>
    <w:rsid w:val="00104F26"/>
    <w:rsid w:val="00104F80"/>
    <w:rsid w:val="0010512B"/>
    <w:rsid w:val="001056D1"/>
    <w:rsid w:val="001057C4"/>
    <w:rsid w:val="00105E9B"/>
    <w:rsid w:val="0010609B"/>
    <w:rsid w:val="00106166"/>
    <w:rsid w:val="001063B3"/>
    <w:rsid w:val="001063CD"/>
    <w:rsid w:val="0010652C"/>
    <w:rsid w:val="00106B9D"/>
    <w:rsid w:val="00106BC0"/>
    <w:rsid w:val="00107012"/>
    <w:rsid w:val="001072E6"/>
    <w:rsid w:val="0010757F"/>
    <w:rsid w:val="00107787"/>
    <w:rsid w:val="00107AA0"/>
    <w:rsid w:val="00107D02"/>
    <w:rsid w:val="00107D69"/>
    <w:rsid w:val="001098D5"/>
    <w:rsid w:val="0011042B"/>
    <w:rsid w:val="0011085F"/>
    <w:rsid w:val="00110A80"/>
    <w:rsid w:val="00110B1D"/>
    <w:rsid w:val="00110D1A"/>
    <w:rsid w:val="00110F22"/>
    <w:rsid w:val="001112B1"/>
    <w:rsid w:val="0011166E"/>
    <w:rsid w:val="00111683"/>
    <w:rsid w:val="001122D7"/>
    <w:rsid w:val="0011257B"/>
    <w:rsid w:val="0011261B"/>
    <w:rsid w:val="001127F5"/>
    <w:rsid w:val="0011296A"/>
    <w:rsid w:val="00112BBB"/>
    <w:rsid w:val="00112CE2"/>
    <w:rsid w:val="00112F2D"/>
    <w:rsid w:val="00112FC8"/>
    <w:rsid w:val="0011328E"/>
    <w:rsid w:val="001133FA"/>
    <w:rsid w:val="001135A0"/>
    <w:rsid w:val="001139B1"/>
    <w:rsid w:val="00113A84"/>
    <w:rsid w:val="00113DF1"/>
    <w:rsid w:val="00114558"/>
    <w:rsid w:val="001147C0"/>
    <w:rsid w:val="0011493B"/>
    <w:rsid w:val="001149B4"/>
    <w:rsid w:val="00114B6D"/>
    <w:rsid w:val="00114B8E"/>
    <w:rsid w:val="001151BE"/>
    <w:rsid w:val="0011525A"/>
    <w:rsid w:val="00115664"/>
    <w:rsid w:val="00115776"/>
    <w:rsid w:val="001157CA"/>
    <w:rsid w:val="00115906"/>
    <w:rsid w:val="00115EA5"/>
    <w:rsid w:val="001161D4"/>
    <w:rsid w:val="00116238"/>
    <w:rsid w:val="00116906"/>
    <w:rsid w:val="00116A53"/>
    <w:rsid w:val="00116B65"/>
    <w:rsid w:val="001171CC"/>
    <w:rsid w:val="001172E4"/>
    <w:rsid w:val="001176F2"/>
    <w:rsid w:val="00117707"/>
    <w:rsid w:val="0011773A"/>
    <w:rsid w:val="00117B52"/>
    <w:rsid w:val="00117EDE"/>
    <w:rsid w:val="00117F6D"/>
    <w:rsid w:val="00117FCE"/>
    <w:rsid w:val="001201BE"/>
    <w:rsid w:val="001202C5"/>
    <w:rsid w:val="00120CAF"/>
    <w:rsid w:val="00120D9A"/>
    <w:rsid w:val="00120ECE"/>
    <w:rsid w:val="0012126A"/>
    <w:rsid w:val="00121A10"/>
    <w:rsid w:val="00121C8F"/>
    <w:rsid w:val="00122439"/>
    <w:rsid w:val="0012271A"/>
    <w:rsid w:val="001227A2"/>
    <w:rsid w:val="00122A72"/>
    <w:rsid w:val="00122D48"/>
    <w:rsid w:val="00123260"/>
    <w:rsid w:val="0012327A"/>
    <w:rsid w:val="001234D2"/>
    <w:rsid w:val="001234DB"/>
    <w:rsid w:val="001243B9"/>
    <w:rsid w:val="00124A71"/>
    <w:rsid w:val="00124C63"/>
    <w:rsid w:val="00124CAD"/>
    <w:rsid w:val="00124D3E"/>
    <w:rsid w:val="001255A0"/>
    <w:rsid w:val="001259B3"/>
    <w:rsid w:val="00125AC6"/>
    <w:rsid w:val="00125C36"/>
    <w:rsid w:val="001262CB"/>
    <w:rsid w:val="0012637C"/>
    <w:rsid w:val="00126503"/>
    <w:rsid w:val="00126696"/>
    <w:rsid w:val="00126814"/>
    <w:rsid w:val="001268EC"/>
    <w:rsid w:val="00127113"/>
    <w:rsid w:val="001278CD"/>
    <w:rsid w:val="00127F65"/>
    <w:rsid w:val="0013020D"/>
    <w:rsid w:val="00130547"/>
    <w:rsid w:val="00130A07"/>
    <w:rsid w:val="00130AA1"/>
    <w:rsid w:val="00130C18"/>
    <w:rsid w:val="00130F88"/>
    <w:rsid w:val="00131027"/>
    <w:rsid w:val="00131047"/>
    <w:rsid w:val="001313F8"/>
    <w:rsid w:val="00131B72"/>
    <w:rsid w:val="00131E17"/>
    <w:rsid w:val="00131F0C"/>
    <w:rsid w:val="001327B6"/>
    <w:rsid w:val="001329AB"/>
    <w:rsid w:val="00132C29"/>
    <w:rsid w:val="00132EC4"/>
    <w:rsid w:val="001330F1"/>
    <w:rsid w:val="0013312B"/>
    <w:rsid w:val="001336E9"/>
    <w:rsid w:val="00133735"/>
    <w:rsid w:val="00133A98"/>
    <w:rsid w:val="00133B36"/>
    <w:rsid w:val="00133D35"/>
    <w:rsid w:val="00133E42"/>
    <w:rsid w:val="00133FDE"/>
    <w:rsid w:val="00134143"/>
    <w:rsid w:val="00134283"/>
    <w:rsid w:val="00134320"/>
    <w:rsid w:val="00134422"/>
    <w:rsid w:val="001344D4"/>
    <w:rsid w:val="00134573"/>
    <w:rsid w:val="00134742"/>
    <w:rsid w:val="00134893"/>
    <w:rsid w:val="001349A3"/>
    <w:rsid w:val="00134B8F"/>
    <w:rsid w:val="0013511C"/>
    <w:rsid w:val="00135150"/>
    <w:rsid w:val="00135668"/>
    <w:rsid w:val="0013576B"/>
    <w:rsid w:val="00135F3C"/>
    <w:rsid w:val="00136036"/>
    <w:rsid w:val="00136438"/>
    <w:rsid w:val="001364C9"/>
    <w:rsid w:val="001369C3"/>
    <w:rsid w:val="00136BB2"/>
    <w:rsid w:val="00136C43"/>
    <w:rsid w:val="001371AB"/>
    <w:rsid w:val="001371B9"/>
    <w:rsid w:val="0013731E"/>
    <w:rsid w:val="00137C14"/>
    <w:rsid w:val="0014072B"/>
    <w:rsid w:val="00140C55"/>
    <w:rsid w:val="00140D93"/>
    <w:rsid w:val="00140F0C"/>
    <w:rsid w:val="00141173"/>
    <w:rsid w:val="00141588"/>
    <w:rsid w:val="00141E08"/>
    <w:rsid w:val="00141E78"/>
    <w:rsid w:val="00142028"/>
    <w:rsid w:val="001424CE"/>
    <w:rsid w:val="00143057"/>
    <w:rsid w:val="0014325F"/>
    <w:rsid w:val="00143FB2"/>
    <w:rsid w:val="00144592"/>
    <w:rsid w:val="001449AD"/>
    <w:rsid w:val="00144B36"/>
    <w:rsid w:val="00144C41"/>
    <w:rsid w:val="00145092"/>
    <w:rsid w:val="00145C9A"/>
    <w:rsid w:val="00145D54"/>
    <w:rsid w:val="00145F43"/>
    <w:rsid w:val="00146919"/>
    <w:rsid w:val="001470AA"/>
    <w:rsid w:val="001471A1"/>
    <w:rsid w:val="001474C3"/>
    <w:rsid w:val="00147914"/>
    <w:rsid w:val="00147A05"/>
    <w:rsid w:val="00147DAC"/>
    <w:rsid w:val="00147F55"/>
    <w:rsid w:val="00147F82"/>
    <w:rsid w:val="00150559"/>
    <w:rsid w:val="00150A56"/>
    <w:rsid w:val="00151208"/>
    <w:rsid w:val="001516CA"/>
    <w:rsid w:val="001518EF"/>
    <w:rsid w:val="00151B6D"/>
    <w:rsid w:val="00151C50"/>
    <w:rsid w:val="00151FFC"/>
    <w:rsid w:val="00152781"/>
    <w:rsid w:val="00153076"/>
    <w:rsid w:val="001530C7"/>
    <w:rsid w:val="00153135"/>
    <w:rsid w:val="001537C5"/>
    <w:rsid w:val="001538A6"/>
    <w:rsid w:val="0015399F"/>
    <w:rsid w:val="00153A79"/>
    <w:rsid w:val="00153B0F"/>
    <w:rsid w:val="00153C36"/>
    <w:rsid w:val="00153D40"/>
    <w:rsid w:val="00153DF3"/>
    <w:rsid w:val="00153F5A"/>
    <w:rsid w:val="00153F9B"/>
    <w:rsid w:val="0015454D"/>
    <w:rsid w:val="00154692"/>
    <w:rsid w:val="00154772"/>
    <w:rsid w:val="001549C3"/>
    <w:rsid w:val="00154AA7"/>
    <w:rsid w:val="00154DCB"/>
    <w:rsid w:val="001550AA"/>
    <w:rsid w:val="001555E5"/>
    <w:rsid w:val="00155925"/>
    <w:rsid w:val="00155FF6"/>
    <w:rsid w:val="001561C3"/>
    <w:rsid w:val="00156330"/>
    <w:rsid w:val="00156AC1"/>
    <w:rsid w:val="00156D35"/>
    <w:rsid w:val="00156D72"/>
    <w:rsid w:val="00156DA6"/>
    <w:rsid w:val="00156DEE"/>
    <w:rsid w:val="00156E95"/>
    <w:rsid w:val="00156F27"/>
    <w:rsid w:val="00156F34"/>
    <w:rsid w:val="00156FA4"/>
    <w:rsid w:val="001572F7"/>
    <w:rsid w:val="00157523"/>
    <w:rsid w:val="0015755A"/>
    <w:rsid w:val="0015763E"/>
    <w:rsid w:val="0015766D"/>
    <w:rsid w:val="001576E8"/>
    <w:rsid w:val="00157845"/>
    <w:rsid w:val="00157BAD"/>
    <w:rsid w:val="00157DB4"/>
    <w:rsid w:val="00160251"/>
    <w:rsid w:val="00160F70"/>
    <w:rsid w:val="00160FBD"/>
    <w:rsid w:val="00161016"/>
    <w:rsid w:val="0016124B"/>
    <w:rsid w:val="00161277"/>
    <w:rsid w:val="00161933"/>
    <w:rsid w:val="00161E58"/>
    <w:rsid w:val="00162277"/>
    <w:rsid w:val="001623A1"/>
    <w:rsid w:val="0016289B"/>
    <w:rsid w:val="0016294F"/>
    <w:rsid w:val="00162AA8"/>
    <w:rsid w:val="00162BF4"/>
    <w:rsid w:val="00162F9F"/>
    <w:rsid w:val="0016308F"/>
    <w:rsid w:val="001631E6"/>
    <w:rsid w:val="0016351B"/>
    <w:rsid w:val="00163645"/>
    <w:rsid w:val="00163DE9"/>
    <w:rsid w:val="00163F0F"/>
    <w:rsid w:val="00164166"/>
    <w:rsid w:val="00164176"/>
    <w:rsid w:val="001642E0"/>
    <w:rsid w:val="001646E9"/>
    <w:rsid w:val="00164BC7"/>
    <w:rsid w:val="001650FE"/>
    <w:rsid w:val="00165116"/>
    <w:rsid w:val="00165271"/>
    <w:rsid w:val="00165298"/>
    <w:rsid w:val="00165390"/>
    <w:rsid w:val="001653B6"/>
    <w:rsid w:val="0016548A"/>
    <w:rsid w:val="0016560C"/>
    <w:rsid w:val="00165D6D"/>
    <w:rsid w:val="00165D91"/>
    <w:rsid w:val="00166022"/>
    <w:rsid w:val="00166025"/>
    <w:rsid w:val="001660CB"/>
    <w:rsid w:val="00166188"/>
    <w:rsid w:val="001665E1"/>
    <w:rsid w:val="001667FA"/>
    <w:rsid w:val="00166925"/>
    <w:rsid w:val="00166E1C"/>
    <w:rsid w:val="00167262"/>
    <w:rsid w:val="0016746A"/>
    <w:rsid w:val="00167AE4"/>
    <w:rsid w:val="00167D54"/>
    <w:rsid w:val="001703F7"/>
    <w:rsid w:val="00170442"/>
    <w:rsid w:val="0017048A"/>
    <w:rsid w:val="001708D2"/>
    <w:rsid w:val="001709A2"/>
    <w:rsid w:val="00170DA8"/>
    <w:rsid w:val="00171436"/>
    <w:rsid w:val="0017144D"/>
    <w:rsid w:val="0017173F"/>
    <w:rsid w:val="001717F2"/>
    <w:rsid w:val="00171810"/>
    <w:rsid w:val="00171B0B"/>
    <w:rsid w:val="00171BA6"/>
    <w:rsid w:val="00171E4E"/>
    <w:rsid w:val="001721E8"/>
    <w:rsid w:val="0017243F"/>
    <w:rsid w:val="00172456"/>
    <w:rsid w:val="0017263F"/>
    <w:rsid w:val="001729F3"/>
    <w:rsid w:val="00172B08"/>
    <w:rsid w:val="00172EED"/>
    <w:rsid w:val="00173DFE"/>
    <w:rsid w:val="001741A9"/>
    <w:rsid w:val="00174246"/>
    <w:rsid w:val="00174307"/>
    <w:rsid w:val="00174473"/>
    <w:rsid w:val="0017450C"/>
    <w:rsid w:val="00174892"/>
    <w:rsid w:val="0017507E"/>
    <w:rsid w:val="001754CD"/>
    <w:rsid w:val="0017556D"/>
    <w:rsid w:val="00175B4F"/>
    <w:rsid w:val="00175B78"/>
    <w:rsid w:val="00175FEC"/>
    <w:rsid w:val="0017619B"/>
    <w:rsid w:val="001767E0"/>
    <w:rsid w:val="00176CFA"/>
    <w:rsid w:val="00176ED4"/>
    <w:rsid w:val="00177274"/>
    <w:rsid w:val="001775C8"/>
    <w:rsid w:val="001776C6"/>
    <w:rsid w:val="00177A07"/>
    <w:rsid w:val="00177B67"/>
    <w:rsid w:val="00177BBD"/>
    <w:rsid w:val="00177EA4"/>
    <w:rsid w:val="001800D1"/>
    <w:rsid w:val="0018066F"/>
    <w:rsid w:val="00180C62"/>
    <w:rsid w:val="001810BE"/>
    <w:rsid w:val="00181119"/>
    <w:rsid w:val="0018120D"/>
    <w:rsid w:val="0018121D"/>
    <w:rsid w:val="001814D7"/>
    <w:rsid w:val="00181B12"/>
    <w:rsid w:val="00181FEB"/>
    <w:rsid w:val="0018201D"/>
    <w:rsid w:val="00182056"/>
    <w:rsid w:val="00182088"/>
    <w:rsid w:val="00182C41"/>
    <w:rsid w:val="00183727"/>
    <w:rsid w:val="00183796"/>
    <w:rsid w:val="0018390D"/>
    <w:rsid w:val="00183951"/>
    <w:rsid w:val="00184188"/>
    <w:rsid w:val="00184380"/>
    <w:rsid w:val="00184513"/>
    <w:rsid w:val="00184993"/>
    <w:rsid w:val="00184DDA"/>
    <w:rsid w:val="00184E23"/>
    <w:rsid w:val="00184E2D"/>
    <w:rsid w:val="0018500E"/>
    <w:rsid w:val="0018527E"/>
    <w:rsid w:val="00185594"/>
    <w:rsid w:val="00185671"/>
    <w:rsid w:val="001856D0"/>
    <w:rsid w:val="00185D52"/>
    <w:rsid w:val="001860C8"/>
    <w:rsid w:val="00186227"/>
    <w:rsid w:val="0018624D"/>
    <w:rsid w:val="0018646F"/>
    <w:rsid w:val="00186959"/>
    <w:rsid w:val="00186CB7"/>
    <w:rsid w:val="00186CF7"/>
    <w:rsid w:val="00186E97"/>
    <w:rsid w:val="00186FF0"/>
    <w:rsid w:val="001870E9"/>
    <w:rsid w:val="0018782A"/>
    <w:rsid w:val="00187AE4"/>
    <w:rsid w:val="00190177"/>
    <w:rsid w:val="001907C7"/>
    <w:rsid w:val="00190A86"/>
    <w:rsid w:val="00191211"/>
    <w:rsid w:val="00191528"/>
    <w:rsid w:val="0019185C"/>
    <w:rsid w:val="00191873"/>
    <w:rsid w:val="00191EFE"/>
    <w:rsid w:val="0019241D"/>
    <w:rsid w:val="00192CAE"/>
    <w:rsid w:val="001930D4"/>
    <w:rsid w:val="00193298"/>
    <w:rsid w:val="0019347A"/>
    <w:rsid w:val="001938F5"/>
    <w:rsid w:val="00193CED"/>
    <w:rsid w:val="00193F57"/>
    <w:rsid w:val="00194867"/>
    <w:rsid w:val="00194A00"/>
    <w:rsid w:val="00194B58"/>
    <w:rsid w:val="00194E04"/>
    <w:rsid w:val="00194F94"/>
    <w:rsid w:val="0019500A"/>
    <w:rsid w:val="001950F8"/>
    <w:rsid w:val="00195342"/>
    <w:rsid w:val="00195653"/>
    <w:rsid w:val="00196187"/>
    <w:rsid w:val="00196581"/>
    <w:rsid w:val="001966A7"/>
    <w:rsid w:val="00196BBA"/>
    <w:rsid w:val="00196C45"/>
    <w:rsid w:val="001975BE"/>
    <w:rsid w:val="00197656"/>
    <w:rsid w:val="00197B0B"/>
    <w:rsid w:val="00197C25"/>
    <w:rsid w:val="001A0082"/>
    <w:rsid w:val="001A0177"/>
    <w:rsid w:val="001A01FB"/>
    <w:rsid w:val="001A022A"/>
    <w:rsid w:val="001A0260"/>
    <w:rsid w:val="001A043D"/>
    <w:rsid w:val="001A09BA"/>
    <w:rsid w:val="001A09DB"/>
    <w:rsid w:val="001A0D64"/>
    <w:rsid w:val="001A103C"/>
    <w:rsid w:val="001A15B2"/>
    <w:rsid w:val="001A1798"/>
    <w:rsid w:val="001A2189"/>
    <w:rsid w:val="001A2580"/>
    <w:rsid w:val="001A2746"/>
    <w:rsid w:val="001A2973"/>
    <w:rsid w:val="001A2BD7"/>
    <w:rsid w:val="001A321D"/>
    <w:rsid w:val="001A32EF"/>
    <w:rsid w:val="001A3492"/>
    <w:rsid w:val="001A3A38"/>
    <w:rsid w:val="001A3A62"/>
    <w:rsid w:val="001A3BBE"/>
    <w:rsid w:val="001A3DC8"/>
    <w:rsid w:val="001A401F"/>
    <w:rsid w:val="001A4223"/>
    <w:rsid w:val="001A4255"/>
    <w:rsid w:val="001A4FE7"/>
    <w:rsid w:val="001A5190"/>
    <w:rsid w:val="001A522C"/>
    <w:rsid w:val="001A5697"/>
    <w:rsid w:val="001A58E7"/>
    <w:rsid w:val="001A5CD4"/>
    <w:rsid w:val="001A5FAD"/>
    <w:rsid w:val="001A63AD"/>
    <w:rsid w:val="001A64E8"/>
    <w:rsid w:val="001A662A"/>
    <w:rsid w:val="001A67D2"/>
    <w:rsid w:val="001A6834"/>
    <w:rsid w:val="001A6C9B"/>
    <w:rsid w:val="001A6F91"/>
    <w:rsid w:val="001A7197"/>
    <w:rsid w:val="001A7798"/>
    <w:rsid w:val="001A79C5"/>
    <w:rsid w:val="001A7A3D"/>
    <w:rsid w:val="001A7AA9"/>
    <w:rsid w:val="001A7EF2"/>
    <w:rsid w:val="001B0338"/>
    <w:rsid w:val="001B044B"/>
    <w:rsid w:val="001B0483"/>
    <w:rsid w:val="001B0643"/>
    <w:rsid w:val="001B0AEE"/>
    <w:rsid w:val="001B0C43"/>
    <w:rsid w:val="001B0DF2"/>
    <w:rsid w:val="001B0F83"/>
    <w:rsid w:val="001B0FAF"/>
    <w:rsid w:val="001B1390"/>
    <w:rsid w:val="001B1743"/>
    <w:rsid w:val="001B1B4C"/>
    <w:rsid w:val="001B1DBF"/>
    <w:rsid w:val="001B228E"/>
    <w:rsid w:val="001B2437"/>
    <w:rsid w:val="001B2502"/>
    <w:rsid w:val="001B26A2"/>
    <w:rsid w:val="001B2E1C"/>
    <w:rsid w:val="001B313E"/>
    <w:rsid w:val="001B39BF"/>
    <w:rsid w:val="001B3B21"/>
    <w:rsid w:val="001B3C3C"/>
    <w:rsid w:val="001B42FC"/>
    <w:rsid w:val="001B43B7"/>
    <w:rsid w:val="001B4470"/>
    <w:rsid w:val="001B48DA"/>
    <w:rsid w:val="001B5525"/>
    <w:rsid w:val="001B552B"/>
    <w:rsid w:val="001B5AA4"/>
    <w:rsid w:val="001B5C3A"/>
    <w:rsid w:val="001B5E3C"/>
    <w:rsid w:val="001B5E7B"/>
    <w:rsid w:val="001B6012"/>
    <w:rsid w:val="001B655B"/>
    <w:rsid w:val="001B67F1"/>
    <w:rsid w:val="001B6C98"/>
    <w:rsid w:val="001B70BA"/>
    <w:rsid w:val="001B718D"/>
    <w:rsid w:val="001B7199"/>
    <w:rsid w:val="001B74AF"/>
    <w:rsid w:val="001B762C"/>
    <w:rsid w:val="001B76D3"/>
    <w:rsid w:val="001B785A"/>
    <w:rsid w:val="001B79F5"/>
    <w:rsid w:val="001B7DA5"/>
    <w:rsid w:val="001B7EC4"/>
    <w:rsid w:val="001C00EA"/>
    <w:rsid w:val="001C0369"/>
    <w:rsid w:val="001C0434"/>
    <w:rsid w:val="001C0C8F"/>
    <w:rsid w:val="001C0DF0"/>
    <w:rsid w:val="001C0EB1"/>
    <w:rsid w:val="001C1188"/>
    <w:rsid w:val="001C11AF"/>
    <w:rsid w:val="001C13EA"/>
    <w:rsid w:val="001C160C"/>
    <w:rsid w:val="001C16F8"/>
    <w:rsid w:val="001C1B1D"/>
    <w:rsid w:val="001C1B5D"/>
    <w:rsid w:val="001C1C5A"/>
    <w:rsid w:val="001C1C69"/>
    <w:rsid w:val="001C1E89"/>
    <w:rsid w:val="001C2022"/>
    <w:rsid w:val="001C276E"/>
    <w:rsid w:val="001C2CCC"/>
    <w:rsid w:val="001C2F67"/>
    <w:rsid w:val="001C2F7B"/>
    <w:rsid w:val="001C32D6"/>
    <w:rsid w:val="001C414C"/>
    <w:rsid w:val="001C41ED"/>
    <w:rsid w:val="001C4834"/>
    <w:rsid w:val="001C4E70"/>
    <w:rsid w:val="001C4F6B"/>
    <w:rsid w:val="001C4FE9"/>
    <w:rsid w:val="001C500B"/>
    <w:rsid w:val="001C50AD"/>
    <w:rsid w:val="001C556B"/>
    <w:rsid w:val="001C5633"/>
    <w:rsid w:val="001C5A83"/>
    <w:rsid w:val="001C6173"/>
    <w:rsid w:val="001C6639"/>
    <w:rsid w:val="001C6670"/>
    <w:rsid w:val="001C6873"/>
    <w:rsid w:val="001C7027"/>
    <w:rsid w:val="001C75C9"/>
    <w:rsid w:val="001C7816"/>
    <w:rsid w:val="001C79E3"/>
    <w:rsid w:val="001C7E3A"/>
    <w:rsid w:val="001D0007"/>
    <w:rsid w:val="001D0AB2"/>
    <w:rsid w:val="001D0C51"/>
    <w:rsid w:val="001D0E55"/>
    <w:rsid w:val="001D1135"/>
    <w:rsid w:val="001D155C"/>
    <w:rsid w:val="001D198C"/>
    <w:rsid w:val="001D1DD4"/>
    <w:rsid w:val="001D1F99"/>
    <w:rsid w:val="001D2448"/>
    <w:rsid w:val="001D2DCF"/>
    <w:rsid w:val="001D2E37"/>
    <w:rsid w:val="001D3564"/>
    <w:rsid w:val="001D383B"/>
    <w:rsid w:val="001D3BEC"/>
    <w:rsid w:val="001D3C7C"/>
    <w:rsid w:val="001D4002"/>
    <w:rsid w:val="001D4286"/>
    <w:rsid w:val="001D429C"/>
    <w:rsid w:val="001D4329"/>
    <w:rsid w:val="001D4598"/>
    <w:rsid w:val="001D49EA"/>
    <w:rsid w:val="001D4AF5"/>
    <w:rsid w:val="001D4CE3"/>
    <w:rsid w:val="001D4F2E"/>
    <w:rsid w:val="001D5510"/>
    <w:rsid w:val="001D55DA"/>
    <w:rsid w:val="001D57A9"/>
    <w:rsid w:val="001D5BB5"/>
    <w:rsid w:val="001D5D5C"/>
    <w:rsid w:val="001D5FD2"/>
    <w:rsid w:val="001D6057"/>
    <w:rsid w:val="001D6498"/>
    <w:rsid w:val="001D6557"/>
    <w:rsid w:val="001D69F5"/>
    <w:rsid w:val="001D6A31"/>
    <w:rsid w:val="001D7242"/>
    <w:rsid w:val="001D78ED"/>
    <w:rsid w:val="001D7986"/>
    <w:rsid w:val="001D7AC3"/>
    <w:rsid w:val="001D7B16"/>
    <w:rsid w:val="001D7BC2"/>
    <w:rsid w:val="001D7BDD"/>
    <w:rsid w:val="001D7C79"/>
    <w:rsid w:val="001D7FB5"/>
    <w:rsid w:val="001E0061"/>
    <w:rsid w:val="001E00E4"/>
    <w:rsid w:val="001E0212"/>
    <w:rsid w:val="001E04C5"/>
    <w:rsid w:val="001E06DE"/>
    <w:rsid w:val="001E0773"/>
    <w:rsid w:val="001E0D72"/>
    <w:rsid w:val="001E18A9"/>
    <w:rsid w:val="001E1A07"/>
    <w:rsid w:val="001E1B75"/>
    <w:rsid w:val="001E1BDF"/>
    <w:rsid w:val="001E21E1"/>
    <w:rsid w:val="001E21E5"/>
    <w:rsid w:val="001E2344"/>
    <w:rsid w:val="001E284B"/>
    <w:rsid w:val="001E2A09"/>
    <w:rsid w:val="001E2A80"/>
    <w:rsid w:val="001E2C16"/>
    <w:rsid w:val="001E2CD4"/>
    <w:rsid w:val="001E2DAE"/>
    <w:rsid w:val="001E3054"/>
    <w:rsid w:val="001E30D2"/>
    <w:rsid w:val="001E34EB"/>
    <w:rsid w:val="001E3661"/>
    <w:rsid w:val="001E3868"/>
    <w:rsid w:val="001E3BA6"/>
    <w:rsid w:val="001E3D73"/>
    <w:rsid w:val="001E3E3D"/>
    <w:rsid w:val="001E45C6"/>
    <w:rsid w:val="001E4C43"/>
    <w:rsid w:val="001E4F3F"/>
    <w:rsid w:val="001E5043"/>
    <w:rsid w:val="001E5249"/>
    <w:rsid w:val="001E57E0"/>
    <w:rsid w:val="001E588B"/>
    <w:rsid w:val="001E5956"/>
    <w:rsid w:val="001E5A42"/>
    <w:rsid w:val="001E5B53"/>
    <w:rsid w:val="001E5C92"/>
    <w:rsid w:val="001E5D97"/>
    <w:rsid w:val="001E5E73"/>
    <w:rsid w:val="001E5FDE"/>
    <w:rsid w:val="001E61E7"/>
    <w:rsid w:val="001E63F0"/>
    <w:rsid w:val="001E6857"/>
    <w:rsid w:val="001E6A55"/>
    <w:rsid w:val="001E6C41"/>
    <w:rsid w:val="001E7010"/>
    <w:rsid w:val="001E7095"/>
    <w:rsid w:val="001E7223"/>
    <w:rsid w:val="001E7389"/>
    <w:rsid w:val="001E7877"/>
    <w:rsid w:val="001F0254"/>
    <w:rsid w:val="001F0C1D"/>
    <w:rsid w:val="001F0D8D"/>
    <w:rsid w:val="001F0E7A"/>
    <w:rsid w:val="001F0EAA"/>
    <w:rsid w:val="001F0F0A"/>
    <w:rsid w:val="001F1421"/>
    <w:rsid w:val="001F1464"/>
    <w:rsid w:val="001F18A3"/>
    <w:rsid w:val="001F1B44"/>
    <w:rsid w:val="001F1E8A"/>
    <w:rsid w:val="001F20E7"/>
    <w:rsid w:val="001F20F8"/>
    <w:rsid w:val="001F2251"/>
    <w:rsid w:val="001F2849"/>
    <w:rsid w:val="001F2A91"/>
    <w:rsid w:val="001F2B32"/>
    <w:rsid w:val="001F2B9E"/>
    <w:rsid w:val="001F2CB4"/>
    <w:rsid w:val="001F2CD3"/>
    <w:rsid w:val="001F314E"/>
    <w:rsid w:val="001F3182"/>
    <w:rsid w:val="001F32B3"/>
    <w:rsid w:val="001F33B3"/>
    <w:rsid w:val="001F4147"/>
    <w:rsid w:val="001F41C9"/>
    <w:rsid w:val="001F4530"/>
    <w:rsid w:val="001F481A"/>
    <w:rsid w:val="001F4E08"/>
    <w:rsid w:val="001F539B"/>
    <w:rsid w:val="001F582C"/>
    <w:rsid w:val="001F58F4"/>
    <w:rsid w:val="001F5B4D"/>
    <w:rsid w:val="001F6669"/>
    <w:rsid w:val="001F6852"/>
    <w:rsid w:val="001F69EF"/>
    <w:rsid w:val="001F6DE4"/>
    <w:rsid w:val="001F747C"/>
    <w:rsid w:val="001F7577"/>
    <w:rsid w:val="001F76B3"/>
    <w:rsid w:val="001F7703"/>
    <w:rsid w:val="001F77E1"/>
    <w:rsid w:val="001F78AB"/>
    <w:rsid w:val="001F78AF"/>
    <w:rsid w:val="001F7952"/>
    <w:rsid w:val="00200417"/>
    <w:rsid w:val="002004F3"/>
    <w:rsid w:val="0020072C"/>
    <w:rsid w:val="002007F9"/>
    <w:rsid w:val="002009CB"/>
    <w:rsid w:val="00200CBB"/>
    <w:rsid w:val="00200D1D"/>
    <w:rsid w:val="00200D23"/>
    <w:rsid w:val="00200ED4"/>
    <w:rsid w:val="00200F02"/>
    <w:rsid w:val="002011F9"/>
    <w:rsid w:val="00201211"/>
    <w:rsid w:val="00201C2F"/>
    <w:rsid w:val="00202312"/>
    <w:rsid w:val="0020233D"/>
    <w:rsid w:val="00202589"/>
    <w:rsid w:val="00203106"/>
    <w:rsid w:val="002031F6"/>
    <w:rsid w:val="00203244"/>
    <w:rsid w:val="00203767"/>
    <w:rsid w:val="0020390D"/>
    <w:rsid w:val="00203BCD"/>
    <w:rsid w:val="00203D9C"/>
    <w:rsid w:val="00203ED1"/>
    <w:rsid w:val="002045E4"/>
    <w:rsid w:val="00204887"/>
    <w:rsid w:val="002048F5"/>
    <w:rsid w:val="00204FFC"/>
    <w:rsid w:val="002050CC"/>
    <w:rsid w:val="00205275"/>
    <w:rsid w:val="00205E52"/>
    <w:rsid w:val="00206770"/>
    <w:rsid w:val="00206BE3"/>
    <w:rsid w:val="00207020"/>
    <w:rsid w:val="0020722E"/>
    <w:rsid w:val="002072F7"/>
    <w:rsid w:val="0020736B"/>
    <w:rsid w:val="00207630"/>
    <w:rsid w:val="00207901"/>
    <w:rsid w:val="00207AE2"/>
    <w:rsid w:val="002100CE"/>
    <w:rsid w:val="0021032E"/>
    <w:rsid w:val="00210516"/>
    <w:rsid w:val="0021104D"/>
    <w:rsid w:val="00211282"/>
    <w:rsid w:val="002118BA"/>
    <w:rsid w:val="002118CE"/>
    <w:rsid w:val="00211B2F"/>
    <w:rsid w:val="00211DEF"/>
    <w:rsid w:val="00211E8B"/>
    <w:rsid w:val="00211FBA"/>
    <w:rsid w:val="0021263B"/>
    <w:rsid w:val="0021264F"/>
    <w:rsid w:val="00212720"/>
    <w:rsid w:val="002129AF"/>
    <w:rsid w:val="00213102"/>
    <w:rsid w:val="0021321F"/>
    <w:rsid w:val="00213A6A"/>
    <w:rsid w:val="00214039"/>
    <w:rsid w:val="00214074"/>
    <w:rsid w:val="002140D6"/>
    <w:rsid w:val="002147AE"/>
    <w:rsid w:val="002147EE"/>
    <w:rsid w:val="002151D6"/>
    <w:rsid w:val="0021553A"/>
    <w:rsid w:val="0021563F"/>
    <w:rsid w:val="0021586F"/>
    <w:rsid w:val="002158A0"/>
    <w:rsid w:val="00215A93"/>
    <w:rsid w:val="00215C33"/>
    <w:rsid w:val="00215DC5"/>
    <w:rsid w:val="00215F11"/>
    <w:rsid w:val="002162BA"/>
    <w:rsid w:val="00216384"/>
    <w:rsid w:val="002166CE"/>
    <w:rsid w:val="00216C43"/>
    <w:rsid w:val="00216CC1"/>
    <w:rsid w:val="00216D3A"/>
    <w:rsid w:val="002171FA"/>
    <w:rsid w:val="00217446"/>
    <w:rsid w:val="002174DB"/>
    <w:rsid w:val="002176B5"/>
    <w:rsid w:val="0021784F"/>
    <w:rsid w:val="00217A3A"/>
    <w:rsid w:val="00217D4D"/>
    <w:rsid w:val="00217DCF"/>
    <w:rsid w:val="00217FCB"/>
    <w:rsid w:val="00220015"/>
    <w:rsid w:val="002200DE"/>
    <w:rsid w:val="002202F6"/>
    <w:rsid w:val="00220588"/>
    <w:rsid w:val="00220D73"/>
    <w:rsid w:val="002215C2"/>
    <w:rsid w:val="0022199A"/>
    <w:rsid w:val="00221B38"/>
    <w:rsid w:val="00221CD0"/>
    <w:rsid w:val="00221EE2"/>
    <w:rsid w:val="002221B3"/>
    <w:rsid w:val="00222780"/>
    <w:rsid w:val="002227DB"/>
    <w:rsid w:val="002227F6"/>
    <w:rsid w:val="00222841"/>
    <w:rsid w:val="00222C97"/>
    <w:rsid w:val="00222DB6"/>
    <w:rsid w:val="00222F8C"/>
    <w:rsid w:val="002230FF"/>
    <w:rsid w:val="00223275"/>
    <w:rsid w:val="002233B0"/>
    <w:rsid w:val="0022348E"/>
    <w:rsid w:val="002234F1"/>
    <w:rsid w:val="00223B19"/>
    <w:rsid w:val="00224027"/>
    <w:rsid w:val="002242A4"/>
    <w:rsid w:val="002242C0"/>
    <w:rsid w:val="00224312"/>
    <w:rsid w:val="0022454C"/>
    <w:rsid w:val="002246F1"/>
    <w:rsid w:val="0022478E"/>
    <w:rsid w:val="0022495F"/>
    <w:rsid w:val="00224E69"/>
    <w:rsid w:val="00225137"/>
    <w:rsid w:val="0022519B"/>
    <w:rsid w:val="002252AD"/>
    <w:rsid w:val="002253E2"/>
    <w:rsid w:val="00225A0C"/>
    <w:rsid w:val="00225A3F"/>
    <w:rsid w:val="00225B20"/>
    <w:rsid w:val="00225B83"/>
    <w:rsid w:val="00225CD5"/>
    <w:rsid w:val="00226204"/>
    <w:rsid w:val="00226234"/>
    <w:rsid w:val="00226540"/>
    <w:rsid w:val="00226F26"/>
    <w:rsid w:val="00227132"/>
    <w:rsid w:val="00227311"/>
    <w:rsid w:val="00227328"/>
    <w:rsid w:val="002273F6"/>
    <w:rsid w:val="00227D5B"/>
    <w:rsid w:val="00227FB6"/>
    <w:rsid w:val="002303B4"/>
    <w:rsid w:val="002308C2"/>
    <w:rsid w:val="00231369"/>
    <w:rsid w:val="00231810"/>
    <w:rsid w:val="002318D5"/>
    <w:rsid w:val="00232054"/>
    <w:rsid w:val="002326B8"/>
    <w:rsid w:val="0023279F"/>
    <w:rsid w:val="00233032"/>
    <w:rsid w:val="00233228"/>
    <w:rsid w:val="0023345C"/>
    <w:rsid w:val="002336E5"/>
    <w:rsid w:val="00233792"/>
    <w:rsid w:val="00233DFB"/>
    <w:rsid w:val="00233FFA"/>
    <w:rsid w:val="002345F0"/>
    <w:rsid w:val="00234728"/>
    <w:rsid w:val="0023475D"/>
    <w:rsid w:val="00234A05"/>
    <w:rsid w:val="00234BEE"/>
    <w:rsid w:val="00234C03"/>
    <w:rsid w:val="002353DF"/>
    <w:rsid w:val="0023576A"/>
    <w:rsid w:val="00235D5B"/>
    <w:rsid w:val="002362AC"/>
    <w:rsid w:val="00236584"/>
    <w:rsid w:val="0023699A"/>
    <w:rsid w:val="002369AB"/>
    <w:rsid w:val="002369AF"/>
    <w:rsid w:val="00236ADE"/>
    <w:rsid w:val="0023794F"/>
    <w:rsid w:val="00240195"/>
    <w:rsid w:val="00240363"/>
    <w:rsid w:val="0024040A"/>
    <w:rsid w:val="002407B4"/>
    <w:rsid w:val="00240AED"/>
    <w:rsid w:val="00240B0A"/>
    <w:rsid w:val="002416A5"/>
    <w:rsid w:val="00241C32"/>
    <w:rsid w:val="00241CF8"/>
    <w:rsid w:val="00242095"/>
    <w:rsid w:val="00242356"/>
    <w:rsid w:val="00242925"/>
    <w:rsid w:val="00242D48"/>
    <w:rsid w:val="00242DEF"/>
    <w:rsid w:val="00242FD6"/>
    <w:rsid w:val="0024301C"/>
    <w:rsid w:val="002431AF"/>
    <w:rsid w:val="00243206"/>
    <w:rsid w:val="0024342B"/>
    <w:rsid w:val="002434CF"/>
    <w:rsid w:val="002436C2"/>
    <w:rsid w:val="0024395B"/>
    <w:rsid w:val="00244204"/>
    <w:rsid w:val="0024437D"/>
    <w:rsid w:val="00244788"/>
    <w:rsid w:val="0024484C"/>
    <w:rsid w:val="00244887"/>
    <w:rsid w:val="002449D0"/>
    <w:rsid w:val="00244E5A"/>
    <w:rsid w:val="0024535F"/>
    <w:rsid w:val="002453EA"/>
    <w:rsid w:val="00245A6E"/>
    <w:rsid w:val="00245C58"/>
    <w:rsid w:val="00245D2E"/>
    <w:rsid w:val="002461DE"/>
    <w:rsid w:val="002464BC"/>
    <w:rsid w:val="00246534"/>
    <w:rsid w:val="00246764"/>
    <w:rsid w:val="002468A7"/>
    <w:rsid w:val="00246984"/>
    <w:rsid w:val="002469CA"/>
    <w:rsid w:val="00246B02"/>
    <w:rsid w:val="00246C4C"/>
    <w:rsid w:val="00246F81"/>
    <w:rsid w:val="00247094"/>
    <w:rsid w:val="002473B4"/>
    <w:rsid w:val="00247712"/>
    <w:rsid w:val="002479F4"/>
    <w:rsid w:val="00250015"/>
    <w:rsid w:val="00250412"/>
    <w:rsid w:val="00250B2C"/>
    <w:rsid w:val="00250F95"/>
    <w:rsid w:val="0025177E"/>
    <w:rsid w:val="0025186D"/>
    <w:rsid w:val="002519EF"/>
    <w:rsid w:val="00251C02"/>
    <w:rsid w:val="00251FD2"/>
    <w:rsid w:val="0025212B"/>
    <w:rsid w:val="002525A8"/>
    <w:rsid w:val="00252860"/>
    <w:rsid w:val="00252E0F"/>
    <w:rsid w:val="00252F13"/>
    <w:rsid w:val="00252FB8"/>
    <w:rsid w:val="00253861"/>
    <w:rsid w:val="0025390C"/>
    <w:rsid w:val="00253FD5"/>
    <w:rsid w:val="002548FC"/>
    <w:rsid w:val="00254938"/>
    <w:rsid w:val="002549A2"/>
    <w:rsid w:val="00254D6C"/>
    <w:rsid w:val="00254F99"/>
    <w:rsid w:val="0025500E"/>
    <w:rsid w:val="00255404"/>
    <w:rsid w:val="00255A67"/>
    <w:rsid w:val="00255B87"/>
    <w:rsid w:val="00255E78"/>
    <w:rsid w:val="00256265"/>
    <w:rsid w:val="002563BE"/>
    <w:rsid w:val="002565E2"/>
    <w:rsid w:val="00257050"/>
    <w:rsid w:val="002571D1"/>
    <w:rsid w:val="0025727E"/>
    <w:rsid w:val="002574B3"/>
    <w:rsid w:val="00257A24"/>
    <w:rsid w:val="00257B88"/>
    <w:rsid w:val="00260749"/>
    <w:rsid w:val="00261358"/>
    <w:rsid w:val="0026138C"/>
    <w:rsid w:val="002614DE"/>
    <w:rsid w:val="00261512"/>
    <w:rsid w:val="002616ED"/>
    <w:rsid w:val="0026185E"/>
    <w:rsid w:val="00261A10"/>
    <w:rsid w:val="00261BA8"/>
    <w:rsid w:val="00261CD5"/>
    <w:rsid w:val="002620B8"/>
    <w:rsid w:val="002620FC"/>
    <w:rsid w:val="00262280"/>
    <w:rsid w:val="00262A80"/>
    <w:rsid w:val="00262D7E"/>
    <w:rsid w:val="00263516"/>
    <w:rsid w:val="002639CD"/>
    <w:rsid w:val="0026433B"/>
    <w:rsid w:val="0026445C"/>
    <w:rsid w:val="00264553"/>
    <w:rsid w:val="002646C5"/>
    <w:rsid w:val="00264973"/>
    <w:rsid w:val="00264992"/>
    <w:rsid w:val="002649C1"/>
    <w:rsid w:val="00264C06"/>
    <w:rsid w:val="00264C2B"/>
    <w:rsid w:val="00264CAC"/>
    <w:rsid w:val="00265047"/>
    <w:rsid w:val="002652D8"/>
    <w:rsid w:val="0026542F"/>
    <w:rsid w:val="002654B3"/>
    <w:rsid w:val="002659B0"/>
    <w:rsid w:val="00265D65"/>
    <w:rsid w:val="002662C1"/>
    <w:rsid w:val="002667A4"/>
    <w:rsid w:val="0026701D"/>
    <w:rsid w:val="00267020"/>
    <w:rsid w:val="0026719D"/>
    <w:rsid w:val="002673DF"/>
    <w:rsid w:val="00267CAC"/>
    <w:rsid w:val="00267F42"/>
    <w:rsid w:val="002705A4"/>
    <w:rsid w:val="00270D4B"/>
    <w:rsid w:val="00270FE2"/>
    <w:rsid w:val="002717E4"/>
    <w:rsid w:val="00271CFA"/>
    <w:rsid w:val="00271F79"/>
    <w:rsid w:val="00272541"/>
    <w:rsid w:val="002726EC"/>
    <w:rsid w:val="00272A36"/>
    <w:rsid w:val="00272EB6"/>
    <w:rsid w:val="00272F74"/>
    <w:rsid w:val="00272F7F"/>
    <w:rsid w:val="0027343D"/>
    <w:rsid w:val="002734D8"/>
    <w:rsid w:val="00273954"/>
    <w:rsid w:val="00273DEC"/>
    <w:rsid w:val="0027485E"/>
    <w:rsid w:val="002754D9"/>
    <w:rsid w:val="00275609"/>
    <w:rsid w:val="002756B9"/>
    <w:rsid w:val="002756D5"/>
    <w:rsid w:val="002758BA"/>
    <w:rsid w:val="00276171"/>
    <w:rsid w:val="0027629C"/>
    <w:rsid w:val="00276460"/>
    <w:rsid w:val="002764FC"/>
    <w:rsid w:val="0027656F"/>
    <w:rsid w:val="00276C4D"/>
    <w:rsid w:val="00276DC1"/>
    <w:rsid w:val="00276F72"/>
    <w:rsid w:val="002770D6"/>
    <w:rsid w:val="0027751E"/>
    <w:rsid w:val="00277B2D"/>
    <w:rsid w:val="00277B52"/>
    <w:rsid w:val="0028012E"/>
    <w:rsid w:val="002802EB"/>
    <w:rsid w:val="0028036D"/>
    <w:rsid w:val="002811CB"/>
    <w:rsid w:val="00281545"/>
    <w:rsid w:val="002817F9"/>
    <w:rsid w:val="00281813"/>
    <w:rsid w:val="00281A3B"/>
    <w:rsid w:val="00281A87"/>
    <w:rsid w:val="00281DC8"/>
    <w:rsid w:val="00281DE8"/>
    <w:rsid w:val="002827EB"/>
    <w:rsid w:val="002829F3"/>
    <w:rsid w:val="00282D64"/>
    <w:rsid w:val="002831A8"/>
    <w:rsid w:val="00283228"/>
    <w:rsid w:val="002832D0"/>
    <w:rsid w:val="002833FF"/>
    <w:rsid w:val="00283C70"/>
    <w:rsid w:val="00283D5D"/>
    <w:rsid w:val="00283EE7"/>
    <w:rsid w:val="002840E9"/>
    <w:rsid w:val="0028413C"/>
    <w:rsid w:val="00284344"/>
    <w:rsid w:val="0028453C"/>
    <w:rsid w:val="00284ABE"/>
    <w:rsid w:val="00284BC4"/>
    <w:rsid w:val="00284BDD"/>
    <w:rsid w:val="00284E61"/>
    <w:rsid w:val="002855CA"/>
    <w:rsid w:val="00285679"/>
    <w:rsid w:val="00285838"/>
    <w:rsid w:val="00285965"/>
    <w:rsid w:val="00285AFC"/>
    <w:rsid w:val="00285BDA"/>
    <w:rsid w:val="00285DAB"/>
    <w:rsid w:val="00285F1D"/>
    <w:rsid w:val="0028611D"/>
    <w:rsid w:val="00286168"/>
    <w:rsid w:val="00286280"/>
    <w:rsid w:val="002862C1"/>
    <w:rsid w:val="002862E1"/>
    <w:rsid w:val="00286A92"/>
    <w:rsid w:val="00286C7F"/>
    <w:rsid w:val="002871C5"/>
    <w:rsid w:val="0028738B"/>
    <w:rsid w:val="002875CF"/>
    <w:rsid w:val="002875E9"/>
    <w:rsid w:val="00287684"/>
    <w:rsid w:val="00287B53"/>
    <w:rsid w:val="00290241"/>
    <w:rsid w:val="0029024E"/>
    <w:rsid w:val="00290263"/>
    <w:rsid w:val="00290394"/>
    <w:rsid w:val="00290996"/>
    <w:rsid w:val="002911C2"/>
    <w:rsid w:val="00291608"/>
    <w:rsid w:val="00291ACF"/>
    <w:rsid w:val="002920EB"/>
    <w:rsid w:val="0029219E"/>
    <w:rsid w:val="00292206"/>
    <w:rsid w:val="0029221A"/>
    <w:rsid w:val="002923C2"/>
    <w:rsid w:val="00292801"/>
    <w:rsid w:val="00292C5C"/>
    <w:rsid w:val="002930B7"/>
    <w:rsid w:val="0029360F"/>
    <w:rsid w:val="00293689"/>
    <w:rsid w:val="0029370D"/>
    <w:rsid w:val="0029399C"/>
    <w:rsid w:val="00293C90"/>
    <w:rsid w:val="00293D65"/>
    <w:rsid w:val="002940C8"/>
    <w:rsid w:val="002946A8"/>
    <w:rsid w:val="00294C59"/>
    <w:rsid w:val="00294DCB"/>
    <w:rsid w:val="00295937"/>
    <w:rsid w:val="00295C8F"/>
    <w:rsid w:val="00295D72"/>
    <w:rsid w:val="00295F86"/>
    <w:rsid w:val="002962F6"/>
    <w:rsid w:val="00296A29"/>
    <w:rsid w:val="00296A4E"/>
    <w:rsid w:val="00296DF5"/>
    <w:rsid w:val="00296FB1"/>
    <w:rsid w:val="00297845"/>
    <w:rsid w:val="00297BF6"/>
    <w:rsid w:val="002A01E3"/>
    <w:rsid w:val="002A05DD"/>
    <w:rsid w:val="002A0AAD"/>
    <w:rsid w:val="002A0C6E"/>
    <w:rsid w:val="002A173F"/>
    <w:rsid w:val="002A1D7F"/>
    <w:rsid w:val="002A1DA2"/>
    <w:rsid w:val="002A20C3"/>
    <w:rsid w:val="002A242F"/>
    <w:rsid w:val="002A2EA0"/>
    <w:rsid w:val="002A3264"/>
    <w:rsid w:val="002A34F4"/>
    <w:rsid w:val="002A3599"/>
    <w:rsid w:val="002A3745"/>
    <w:rsid w:val="002A39FA"/>
    <w:rsid w:val="002A3DF2"/>
    <w:rsid w:val="002A40C6"/>
    <w:rsid w:val="002A4341"/>
    <w:rsid w:val="002A4350"/>
    <w:rsid w:val="002A44D7"/>
    <w:rsid w:val="002A44EC"/>
    <w:rsid w:val="002A4775"/>
    <w:rsid w:val="002A4A69"/>
    <w:rsid w:val="002A4C3C"/>
    <w:rsid w:val="002A4EC7"/>
    <w:rsid w:val="002A5060"/>
    <w:rsid w:val="002A50AE"/>
    <w:rsid w:val="002A52B2"/>
    <w:rsid w:val="002A5B9C"/>
    <w:rsid w:val="002A5D9D"/>
    <w:rsid w:val="002A5DB1"/>
    <w:rsid w:val="002A5F3C"/>
    <w:rsid w:val="002A670B"/>
    <w:rsid w:val="002A6BED"/>
    <w:rsid w:val="002A70AA"/>
    <w:rsid w:val="002A7282"/>
    <w:rsid w:val="002A7288"/>
    <w:rsid w:val="002A7B8F"/>
    <w:rsid w:val="002A7F35"/>
    <w:rsid w:val="002B05FA"/>
    <w:rsid w:val="002B0615"/>
    <w:rsid w:val="002B063E"/>
    <w:rsid w:val="002B07A8"/>
    <w:rsid w:val="002B134A"/>
    <w:rsid w:val="002B135B"/>
    <w:rsid w:val="002B16BF"/>
    <w:rsid w:val="002B1B19"/>
    <w:rsid w:val="002B1ED4"/>
    <w:rsid w:val="002B1F57"/>
    <w:rsid w:val="002B2011"/>
    <w:rsid w:val="002B22B6"/>
    <w:rsid w:val="002B245C"/>
    <w:rsid w:val="002B3844"/>
    <w:rsid w:val="002B4880"/>
    <w:rsid w:val="002B4EDC"/>
    <w:rsid w:val="002B5199"/>
    <w:rsid w:val="002B538D"/>
    <w:rsid w:val="002B5A2D"/>
    <w:rsid w:val="002B5FF1"/>
    <w:rsid w:val="002B6103"/>
    <w:rsid w:val="002B6224"/>
    <w:rsid w:val="002B638E"/>
    <w:rsid w:val="002B64EB"/>
    <w:rsid w:val="002B6690"/>
    <w:rsid w:val="002B66D6"/>
    <w:rsid w:val="002B676B"/>
    <w:rsid w:val="002B68AE"/>
    <w:rsid w:val="002B6B10"/>
    <w:rsid w:val="002B7218"/>
    <w:rsid w:val="002B725D"/>
    <w:rsid w:val="002B7267"/>
    <w:rsid w:val="002B75DC"/>
    <w:rsid w:val="002B7F01"/>
    <w:rsid w:val="002C0020"/>
    <w:rsid w:val="002C0296"/>
    <w:rsid w:val="002C05F4"/>
    <w:rsid w:val="002C0680"/>
    <w:rsid w:val="002C091D"/>
    <w:rsid w:val="002C0C3C"/>
    <w:rsid w:val="002C0CF1"/>
    <w:rsid w:val="002C12B4"/>
    <w:rsid w:val="002C12CC"/>
    <w:rsid w:val="002C12DE"/>
    <w:rsid w:val="002C17F0"/>
    <w:rsid w:val="002C1AF4"/>
    <w:rsid w:val="002C1C9B"/>
    <w:rsid w:val="002C22D6"/>
    <w:rsid w:val="002C2C05"/>
    <w:rsid w:val="002C4038"/>
    <w:rsid w:val="002C40AF"/>
    <w:rsid w:val="002C4126"/>
    <w:rsid w:val="002C43D1"/>
    <w:rsid w:val="002C48CF"/>
    <w:rsid w:val="002C49B8"/>
    <w:rsid w:val="002C4AF7"/>
    <w:rsid w:val="002C4C19"/>
    <w:rsid w:val="002C4C57"/>
    <w:rsid w:val="002C4DC8"/>
    <w:rsid w:val="002C508D"/>
    <w:rsid w:val="002C51B5"/>
    <w:rsid w:val="002C53CB"/>
    <w:rsid w:val="002C5947"/>
    <w:rsid w:val="002C5B6B"/>
    <w:rsid w:val="002C5DDC"/>
    <w:rsid w:val="002C630F"/>
    <w:rsid w:val="002C696F"/>
    <w:rsid w:val="002C6DA0"/>
    <w:rsid w:val="002C6FE9"/>
    <w:rsid w:val="002C710A"/>
    <w:rsid w:val="002C732A"/>
    <w:rsid w:val="002C748C"/>
    <w:rsid w:val="002C79DC"/>
    <w:rsid w:val="002C7A1D"/>
    <w:rsid w:val="002C7D72"/>
    <w:rsid w:val="002C7E4E"/>
    <w:rsid w:val="002C7EB5"/>
    <w:rsid w:val="002D02C2"/>
    <w:rsid w:val="002D0659"/>
    <w:rsid w:val="002D083B"/>
    <w:rsid w:val="002D090C"/>
    <w:rsid w:val="002D0F14"/>
    <w:rsid w:val="002D15FA"/>
    <w:rsid w:val="002D18FB"/>
    <w:rsid w:val="002D1D59"/>
    <w:rsid w:val="002D1F9D"/>
    <w:rsid w:val="002D1FAF"/>
    <w:rsid w:val="002D2638"/>
    <w:rsid w:val="002D2A7E"/>
    <w:rsid w:val="002D2BD7"/>
    <w:rsid w:val="002D346D"/>
    <w:rsid w:val="002D3485"/>
    <w:rsid w:val="002D3523"/>
    <w:rsid w:val="002D355A"/>
    <w:rsid w:val="002D3718"/>
    <w:rsid w:val="002D372A"/>
    <w:rsid w:val="002D3866"/>
    <w:rsid w:val="002D3B7C"/>
    <w:rsid w:val="002D3EEE"/>
    <w:rsid w:val="002D3F22"/>
    <w:rsid w:val="002D4000"/>
    <w:rsid w:val="002D40FE"/>
    <w:rsid w:val="002D44B2"/>
    <w:rsid w:val="002D49E3"/>
    <w:rsid w:val="002D49E9"/>
    <w:rsid w:val="002D4D91"/>
    <w:rsid w:val="002D54BE"/>
    <w:rsid w:val="002D5700"/>
    <w:rsid w:val="002D574F"/>
    <w:rsid w:val="002D5A2D"/>
    <w:rsid w:val="002D5ECB"/>
    <w:rsid w:val="002D63F4"/>
    <w:rsid w:val="002D682E"/>
    <w:rsid w:val="002D6A95"/>
    <w:rsid w:val="002D6EFC"/>
    <w:rsid w:val="002D6F4B"/>
    <w:rsid w:val="002D70E1"/>
    <w:rsid w:val="002D7544"/>
    <w:rsid w:val="002D7600"/>
    <w:rsid w:val="002D7AA5"/>
    <w:rsid w:val="002E0148"/>
    <w:rsid w:val="002E0238"/>
    <w:rsid w:val="002E0851"/>
    <w:rsid w:val="002E089A"/>
    <w:rsid w:val="002E0944"/>
    <w:rsid w:val="002E11F7"/>
    <w:rsid w:val="002E136D"/>
    <w:rsid w:val="002E1591"/>
    <w:rsid w:val="002E1A54"/>
    <w:rsid w:val="002E1ACC"/>
    <w:rsid w:val="002E1CF4"/>
    <w:rsid w:val="002E1D33"/>
    <w:rsid w:val="002E203F"/>
    <w:rsid w:val="002E2256"/>
    <w:rsid w:val="002E23A4"/>
    <w:rsid w:val="002E23A7"/>
    <w:rsid w:val="002E23D4"/>
    <w:rsid w:val="002E2630"/>
    <w:rsid w:val="002E2921"/>
    <w:rsid w:val="002E2B13"/>
    <w:rsid w:val="002E338F"/>
    <w:rsid w:val="002E35B2"/>
    <w:rsid w:val="002E36C4"/>
    <w:rsid w:val="002E36EB"/>
    <w:rsid w:val="002E3869"/>
    <w:rsid w:val="002E3A4D"/>
    <w:rsid w:val="002E3F78"/>
    <w:rsid w:val="002E41A7"/>
    <w:rsid w:val="002E4402"/>
    <w:rsid w:val="002E4484"/>
    <w:rsid w:val="002E44F8"/>
    <w:rsid w:val="002E4670"/>
    <w:rsid w:val="002E46AA"/>
    <w:rsid w:val="002E49D0"/>
    <w:rsid w:val="002E4C20"/>
    <w:rsid w:val="002E4C64"/>
    <w:rsid w:val="002E4CCF"/>
    <w:rsid w:val="002E4F6C"/>
    <w:rsid w:val="002E5309"/>
    <w:rsid w:val="002E5503"/>
    <w:rsid w:val="002E5660"/>
    <w:rsid w:val="002E57EA"/>
    <w:rsid w:val="002E5B23"/>
    <w:rsid w:val="002E5BAD"/>
    <w:rsid w:val="002E6207"/>
    <w:rsid w:val="002E63B7"/>
    <w:rsid w:val="002E63EE"/>
    <w:rsid w:val="002E67F1"/>
    <w:rsid w:val="002E68AE"/>
    <w:rsid w:val="002E6D9F"/>
    <w:rsid w:val="002E707B"/>
    <w:rsid w:val="002E7200"/>
    <w:rsid w:val="002E74E2"/>
    <w:rsid w:val="002E7CF0"/>
    <w:rsid w:val="002E7D4F"/>
    <w:rsid w:val="002F0397"/>
    <w:rsid w:val="002F04E2"/>
    <w:rsid w:val="002F0510"/>
    <w:rsid w:val="002F0663"/>
    <w:rsid w:val="002F094D"/>
    <w:rsid w:val="002F0C16"/>
    <w:rsid w:val="002F0F6A"/>
    <w:rsid w:val="002F1A7D"/>
    <w:rsid w:val="002F1C84"/>
    <w:rsid w:val="002F1E45"/>
    <w:rsid w:val="002F1F7B"/>
    <w:rsid w:val="002F24F1"/>
    <w:rsid w:val="002F2657"/>
    <w:rsid w:val="002F29CA"/>
    <w:rsid w:val="002F2C62"/>
    <w:rsid w:val="002F2DB6"/>
    <w:rsid w:val="002F2E84"/>
    <w:rsid w:val="002F38AD"/>
    <w:rsid w:val="002F38C4"/>
    <w:rsid w:val="002F3A1F"/>
    <w:rsid w:val="002F3DCD"/>
    <w:rsid w:val="002F3E51"/>
    <w:rsid w:val="002F43E5"/>
    <w:rsid w:val="002F46AE"/>
    <w:rsid w:val="002F485D"/>
    <w:rsid w:val="002F4B3A"/>
    <w:rsid w:val="002F4BC4"/>
    <w:rsid w:val="002F4F74"/>
    <w:rsid w:val="002F5456"/>
    <w:rsid w:val="002F5953"/>
    <w:rsid w:val="002F5DC1"/>
    <w:rsid w:val="002F61EF"/>
    <w:rsid w:val="002F6383"/>
    <w:rsid w:val="002F651F"/>
    <w:rsid w:val="002F6533"/>
    <w:rsid w:val="002F6AD7"/>
    <w:rsid w:val="002F6E60"/>
    <w:rsid w:val="002F6E92"/>
    <w:rsid w:val="002F6F9D"/>
    <w:rsid w:val="002F71B1"/>
    <w:rsid w:val="002F741A"/>
    <w:rsid w:val="002F7611"/>
    <w:rsid w:val="002F78AB"/>
    <w:rsid w:val="002F79A7"/>
    <w:rsid w:val="002F7EA4"/>
    <w:rsid w:val="00300202"/>
    <w:rsid w:val="003005F8"/>
    <w:rsid w:val="00300876"/>
    <w:rsid w:val="00300F18"/>
    <w:rsid w:val="00301688"/>
    <w:rsid w:val="0030176A"/>
    <w:rsid w:val="003018BD"/>
    <w:rsid w:val="0030196A"/>
    <w:rsid w:val="00301BBE"/>
    <w:rsid w:val="00301CB6"/>
    <w:rsid w:val="003022AB"/>
    <w:rsid w:val="003023EA"/>
    <w:rsid w:val="003027DF"/>
    <w:rsid w:val="00302889"/>
    <w:rsid w:val="00302E03"/>
    <w:rsid w:val="0030322A"/>
    <w:rsid w:val="0030334A"/>
    <w:rsid w:val="00303420"/>
    <w:rsid w:val="00303435"/>
    <w:rsid w:val="00303449"/>
    <w:rsid w:val="003037ED"/>
    <w:rsid w:val="00303947"/>
    <w:rsid w:val="003039E4"/>
    <w:rsid w:val="00303A4D"/>
    <w:rsid w:val="00303C1F"/>
    <w:rsid w:val="00303D81"/>
    <w:rsid w:val="00303DBA"/>
    <w:rsid w:val="00303E0B"/>
    <w:rsid w:val="00303F13"/>
    <w:rsid w:val="00303F60"/>
    <w:rsid w:val="003042FC"/>
    <w:rsid w:val="003043B4"/>
    <w:rsid w:val="003045EB"/>
    <w:rsid w:val="0030472D"/>
    <w:rsid w:val="003047E3"/>
    <w:rsid w:val="00304AE4"/>
    <w:rsid w:val="00304C76"/>
    <w:rsid w:val="00304DA3"/>
    <w:rsid w:val="0030506F"/>
    <w:rsid w:val="00305360"/>
    <w:rsid w:val="00305889"/>
    <w:rsid w:val="00305898"/>
    <w:rsid w:val="00305D81"/>
    <w:rsid w:val="0030607A"/>
    <w:rsid w:val="003064C6"/>
    <w:rsid w:val="00306548"/>
    <w:rsid w:val="003065A8"/>
    <w:rsid w:val="003066BA"/>
    <w:rsid w:val="003068D6"/>
    <w:rsid w:val="0030721B"/>
    <w:rsid w:val="003075C0"/>
    <w:rsid w:val="0030763E"/>
    <w:rsid w:val="00307941"/>
    <w:rsid w:val="00307B43"/>
    <w:rsid w:val="00307D1A"/>
    <w:rsid w:val="00307D8D"/>
    <w:rsid w:val="003100C0"/>
    <w:rsid w:val="0031054F"/>
    <w:rsid w:val="00310CE6"/>
    <w:rsid w:val="00310D57"/>
    <w:rsid w:val="00310ECC"/>
    <w:rsid w:val="00311190"/>
    <w:rsid w:val="003111EE"/>
    <w:rsid w:val="00311514"/>
    <w:rsid w:val="003116B9"/>
    <w:rsid w:val="00311FBC"/>
    <w:rsid w:val="00312225"/>
    <w:rsid w:val="003123B1"/>
    <w:rsid w:val="003126BD"/>
    <w:rsid w:val="0031317D"/>
    <w:rsid w:val="0031357D"/>
    <w:rsid w:val="0031391F"/>
    <w:rsid w:val="00313D55"/>
    <w:rsid w:val="00313E21"/>
    <w:rsid w:val="00314476"/>
    <w:rsid w:val="0031484C"/>
    <w:rsid w:val="00314F19"/>
    <w:rsid w:val="00315D5E"/>
    <w:rsid w:val="003161D4"/>
    <w:rsid w:val="003166C3"/>
    <w:rsid w:val="00316A2C"/>
    <w:rsid w:val="00316E71"/>
    <w:rsid w:val="00317335"/>
    <w:rsid w:val="00317BCF"/>
    <w:rsid w:val="00317E68"/>
    <w:rsid w:val="00317ED1"/>
    <w:rsid w:val="003200ED"/>
    <w:rsid w:val="00320496"/>
    <w:rsid w:val="0032074F"/>
    <w:rsid w:val="00320870"/>
    <w:rsid w:val="00320990"/>
    <w:rsid w:val="00321273"/>
    <w:rsid w:val="0032133D"/>
    <w:rsid w:val="003213EB"/>
    <w:rsid w:val="0032188D"/>
    <w:rsid w:val="00321A8F"/>
    <w:rsid w:val="00322192"/>
    <w:rsid w:val="0032281F"/>
    <w:rsid w:val="00322836"/>
    <w:rsid w:val="00322C79"/>
    <w:rsid w:val="00322DEB"/>
    <w:rsid w:val="00323865"/>
    <w:rsid w:val="00323A6D"/>
    <w:rsid w:val="00323C8F"/>
    <w:rsid w:val="00323F8B"/>
    <w:rsid w:val="003244A0"/>
    <w:rsid w:val="00324591"/>
    <w:rsid w:val="0032494D"/>
    <w:rsid w:val="00324A3D"/>
    <w:rsid w:val="00324AAC"/>
    <w:rsid w:val="00324AC2"/>
    <w:rsid w:val="00324E4A"/>
    <w:rsid w:val="00325D9C"/>
    <w:rsid w:val="00325FB6"/>
    <w:rsid w:val="003264D7"/>
    <w:rsid w:val="003264EE"/>
    <w:rsid w:val="0032656C"/>
    <w:rsid w:val="003267D0"/>
    <w:rsid w:val="003274E8"/>
    <w:rsid w:val="003276D6"/>
    <w:rsid w:val="0032778D"/>
    <w:rsid w:val="00327819"/>
    <w:rsid w:val="00327AD1"/>
    <w:rsid w:val="003302A3"/>
    <w:rsid w:val="0033030A"/>
    <w:rsid w:val="003304B1"/>
    <w:rsid w:val="00330BEB"/>
    <w:rsid w:val="00330E33"/>
    <w:rsid w:val="00330F39"/>
    <w:rsid w:val="00331089"/>
    <w:rsid w:val="003312BA"/>
    <w:rsid w:val="00332197"/>
    <w:rsid w:val="003322D9"/>
    <w:rsid w:val="00332405"/>
    <w:rsid w:val="00332549"/>
    <w:rsid w:val="00332984"/>
    <w:rsid w:val="00332B85"/>
    <w:rsid w:val="00332BCF"/>
    <w:rsid w:val="00332BEE"/>
    <w:rsid w:val="00332CB0"/>
    <w:rsid w:val="00332DE4"/>
    <w:rsid w:val="0033460B"/>
    <w:rsid w:val="00334E16"/>
    <w:rsid w:val="00334FFA"/>
    <w:rsid w:val="003353BC"/>
    <w:rsid w:val="00335574"/>
    <w:rsid w:val="00335898"/>
    <w:rsid w:val="003359E2"/>
    <w:rsid w:val="003359EC"/>
    <w:rsid w:val="00335D0E"/>
    <w:rsid w:val="0033616E"/>
    <w:rsid w:val="00336D95"/>
    <w:rsid w:val="00336DDA"/>
    <w:rsid w:val="00336E6B"/>
    <w:rsid w:val="00337460"/>
    <w:rsid w:val="0033759A"/>
    <w:rsid w:val="003376EE"/>
    <w:rsid w:val="00337D99"/>
    <w:rsid w:val="00337E4D"/>
    <w:rsid w:val="0034040B"/>
    <w:rsid w:val="0034064D"/>
    <w:rsid w:val="00340800"/>
    <w:rsid w:val="00340BED"/>
    <w:rsid w:val="00340C7F"/>
    <w:rsid w:val="00340DA4"/>
    <w:rsid w:val="003411AA"/>
    <w:rsid w:val="0034141F"/>
    <w:rsid w:val="0034145B"/>
    <w:rsid w:val="00341BA1"/>
    <w:rsid w:val="00342035"/>
    <w:rsid w:val="003423D1"/>
    <w:rsid w:val="003428B1"/>
    <w:rsid w:val="00342CFF"/>
    <w:rsid w:val="00342DB6"/>
    <w:rsid w:val="00342F23"/>
    <w:rsid w:val="00342F9F"/>
    <w:rsid w:val="003430C7"/>
    <w:rsid w:val="003430DC"/>
    <w:rsid w:val="00343467"/>
    <w:rsid w:val="003434E2"/>
    <w:rsid w:val="00343981"/>
    <w:rsid w:val="00343EBD"/>
    <w:rsid w:val="00343F81"/>
    <w:rsid w:val="00344364"/>
    <w:rsid w:val="003446E2"/>
    <w:rsid w:val="00344B72"/>
    <w:rsid w:val="00344BC4"/>
    <w:rsid w:val="00344FE4"/>
    <w:rsid w:val="00345252"/>
    <w:rsid w:val="00345265"/>
    <w:rsid w:val="003458DB"/>
    <w:rsid w:val="00345C20"/>
    <w:rsid w:val="00346244"/>
    <w:rsid w:val="003462B0"/>
    <w:rsid w:val="00346378"/>
    <w:rsid w:val="00346445"/>
    <w:rsid w:val="00346AD1"/>
    <w:rsid w:val="00346C1A"/>
    <w:rsid w:val="00346F7F"/>
    <w:rsid w:val="00347437"/>
    <w:rsid w:val="0034765E"/>
    <w:rsid w:val="00347A0B"/>
    <w:rsid w:val="00347C02"/>
    <w:rsid w:val="00347CC8"/>
    <w:rsid w:val="00350013"/>
    <w:rsid w:val="00350059"/>
    <w:rsid w:val="003500A8"/>
    <w:rsid w:val="0035048F"/>
    <w:rsid w:val="003506E3"/>
    <w:rsid w:val="00350BCD"/>
    <w:rsid w:val="003515D8"/>
    <w:rsid w:val="00351773"/>
    <w:rsid w:val="00351899"/>
    <w:rsid w:val="00351DA4"/>
    <w:rsid w:val="00351E9E"/>
    <w:rsid w:val="00351F0E"/>
    <w:rsid w:val="003523BD"/>
    <w:rsid w:val="00352842"/>
    <w:rsid w:val="00352C0E"/>
    <w:rsid w:val="00352C32"/>
    <w:rsid w:val="00352CCD"/>
    <w:rsid w:val="003536F9"/>
    <w:rsid w:val="0035387D"/>
    <w:rsid w:val="00353A39"/>
    <w:rsid w:val="00353D17"/>
    <w:rsid w:val="00354170"/>
    <w:rsid w:val="00354313"/>
    <w:rsid w:val="00354649"/>
    <w:rsid w:val="0035482A"/>
    <w:rsid w:val="00354B98"/>
    <w:rsid w:val="00354EF8"/>
    <w:rsid w:val="003554F7"/>
    <w:rsid w:val="0035557D"/>
    <w:rsid w:val="003555D9"/>
    <w:rsid w:val="0035567E"/>
    <w:rsid w:val="003556A7"/>
    <w:rsid w:val="003556F9"/>
    <w:rsid w:val="00355923"/>
    <w:rsid w:val="00355967"/>
    <w:rsid w:val="003559CE"/>
    <w:rsid w:val="00355A15"/>
    <w:rsid w:val="00355F9D"/>
    <w:rsid w:val="00355FB3"/>
    <w:rsid w:val="00356080"/>
    <w:rsid w:val="0035610F"/>
    <w:rsid w:val="00356B1B"/>
    <w:rsid w:val="00356B74"/>
    <w:rsid w:val="00356C63"/>
    <w:rsid w:val="00356D2A"/>
    <w:rsid w:val="003573FF"/>
    <w:rsid w:val="0035744A"/>
    <w:rsid w:val="003576BF"/>
    <w:rsid w:val="00357B54"/>
    <w:rsid w:val="00357CCF"/>
    <w:rsid w:val="00357F1D"/>
    <w:rsid w:val="003600FA"/>
    <w:rsid w:val="0036015D"/>
    <w:rsid w:val="003602ED"/>
    <w:rsid w:val="00360978"/>
    <w:rsid w:val="00360AE8"/>
    <w:rsid w:val="00360CE6"/>
    <w:rsid w:val="00360E1F"/>
    <w:rsid w:val="003610BA"/>
    <w:rsid w:val="003610BB"/>
    <w:rsid w:val="003612AD"/>
    <w:rsid w:val="003612CA"/>
    <w:rsid w:val="0036148D"/>
    <w:rsid w:val="003619F2"/>
    <w:rsid w:val="00361A7B"/>
    <w:rsid w:val="00361B29"/>
    <w:rsid w:val="0036226E"/>
    <w:rsid w:val="003622D2"/>
    <w:rsid w:val="00362316"/>
    <w:rsid w:val="00362707"/>
    <w:rsid w:val="003629F8"/>
    <w:rsid w:val="00362AF6"/>
    <w:rsid w:val="00362B58"/>
    <w:rsid w:val="00362F0D"/>
    <w:rsid w:val="00363877"/>
    <w:rsid w:val="00363B38"/>
    <w:rsid w:val="00363D35"/>
    <w:rsid w:val="0036425D"/>
    <w:rsid w:val="003647F1"/>
    <w:rsid w:val="00364AA4"/>
    <w:rsid w:val="00364D55"/>
    <w:rsid w:val="00365053"/>
    <w:rsid w:val="00366148"/>
    <w:rsid w:val="0036622F"/>
    <w:rsid w:val="003664F6"/>
    <w:rsid w:val="0036661A"/>
    <w:rsid w:val="00366EC0"/>
    <w:rsid w:val="003673E4"/>
    <w:rsid w:val="003676D1"/>
    <w:rsid w:val="00367822"/>
    <w:rsid w:val="003708E8"/>
    <w:rsid w:val="00370A5C"/>
    <w:rsid w:val="00370CD3"/>
    <w:rsid w:val="00370DAB"/>
    <w:rsid w:val="0037114F"/>
    <w:rsid w:val="00371167"/>
    <w:rsid w:val="00371564"/>
    <w:rsid w:val="003718B3"/>
    <w:rsid w:val="00371C1C"/>
    <w:rsid w:val="00371C48"/>
    <w:rsid w:val="00371C4E"/>
    <w:rsid w:val="00371CBE"/>
    <w:rsid w:val="00372010"/>
    <w:rsid w:val="003720C3"/>
    <w:rsid w:val="00372222"/>
    <w:rsid w:val="00372776"/>
    <w:rsid w:val="003727A3"/>
    <w:rsid w:val="00372AA7"/>
    <w:rsid w:val="00372B5B"/>
    <w:rsid w:val="0037310E"/>
    <w:rsid w:val="00373429"/>
    <w:rsid w:val="00373604"/>
    <w:rsid w:val="00373899"/>
    <w:rsid w:val="0037393C"/>
    <w:rsid w:val="003739AF"/>
    <w:rsid w:val="00373CEA"/>
    <w:rsid w:val="00374276"/>
    <w:rsid w:val="00374350"/>
    <w:rsid w:val="003744B8"/>
    <w:rsid w:val="0037452E"/>
    <w:rsid w:val="003748A4"/>
    <w:rsid w:val="00374916"/>
    <w:rsid w:val="00374AB1"/>
    <w:rsid w:val="00374AD8"/>
    <w:rsid w:val="00374EE7"/>
    <w:rsid w:val="003750D7"/>
    <w:rsid w:val="003751E4"/>
    <w:rsid w:val="0037526E"/>
    <w:rsid w:val="00375896"/>
    <w:rsid w:val="00375929"/>
    <w:rsid w:val="00375989"/>
    <w:rsid w:val="00375D9B"/>
    <w:rsid w:val="00375E68"/>
    <w:rsid w:val="00376324"/>
    <w:rsid w:val="0037635D"/>
    <w:rsid w:val="00376503"/>
    <w:rsid w:val="003765AC"/>
    <w:rsid w:val="00376A21"/>
    <w:rsid w:val="00376AE4"/>
    <w:rsid w:val="00376BF0"/>
    <w:rsid w:val="00376C18"/>
    <w:rsid w:val="0037717E"/>
    <w:rsid w:val="00377904"/>
    <w:rsid w:val="00377AB4"/>
    <w:rsid w:val="00377CE9"/>
    <w:rsid w:val="00377E11"/>
    <w:rsid w:val="00377E3B"/>
    <w:rsid w:val="003802F9"/>
    <w:rsid w:val="00380747"/>
    <w:rsid w:val="003808B5"/>
    <w:rsid w:val="00380A20"/>
    <w:rsid w:val="00380E56"/>
    <w:rsid w:val="00381382"/>
    <w:rsid w:val="0038144E"/>
    <w:rsid w:val="00381A96"/>
    <w:rsid w:val="00381AFA"/>
    <w:rsid w:val="00381B1D"/>
    <w:rsid w:val="00381B44"/>
    <w:rsid w:val="00381C79"/>
    <w:rsid w:val="00381DEE"/>
    <w:rsid w:val="00382089"/>
    <w:rsid w:val="003820D0"/>
    <w:rsid w:val="00382194"/>
    <w:rsid w:val="0038229B"/>
    <w:rsid w:val="00382E68"/>
    <w:rsid w:val="00382FEF"/>
    <w:rsid w:val="003830D6"/>
    <w:rsid w:val="003831E4"/>
    <w:rsid w:val="0038348A"/>
    <w:rsid w:val="00383708"/>
    <w:rsid w:val="003837B2"/>
    <w:rsid w:val="00383F29"/>
    <w:rsid w:val="00383FF3"/>
    <w:rsid w:val="0038425F"/>
    <w:rsid w:val="003844F9"/>
    <w:rsid w:val="003848D5"/>
    <w:rsid w:val="003849B5"/>
    <w:rsid w:val="00384A0A"/>
    <w:rsid w:val="00384AC2"/>
    <w:rsid w:val="00384B74"/>
    <w:rsid w:val="00384C7F"/>
    <w:rsid w:val="00384FF8"/>
    <w:rsid w:val="003857A2"/>
    <w:rsid w:val="00385DCE"/>
    <w:rsid w:val="003862BD"/>
    <w:rsid w:val="0038676A"/>
    <w:rsid w:val="0038694C"/>
    <w:rsid w:val="00386E7A"/>
    <w:rsid w:val="00386F27"/>
    <w:rsid w:val="00387197"/>
    <w:rsid w:val="003871BA"/>
    <w:rsid w:val="00387295"/>
    <w:rsid w:val="00387518"/>
    <w:rsid w:val="00387AF0"/>
    <w:rsid w:val="00387ED0"/>
    <w:rsid w:val="003902FF"/>
    <w:rsid w:val="00390306"/>
    <w:rsid w:val="00390371"/>
    <w:rsid w:val="00390539"/>
    <w:rsid w:val="00390721"/>
    <w:rsid w:val="0039081F"/>
    <w:rsid w:val="003913C6"/>
    <w:rsid w:val="00391985"/>
    <w:rsid w:val="00391B00"/>
    <w:rsid w:val="00392225"/>
    <w:rsid w:val="00392613"/>
    <w:rsid w:val="00392677"/>
    <w:rsid w:val="00392854"/>
    <w:rsid w:val="0039286E"/>
    <w:rsid w:val="0039291E"/>
    <w:rsid w:val="00392F39"/>
    <w:rsid w:val="003930D8"/>
    <w:rsid w:val="003931A2"/>
    <w:rsid w:val="0039361D"/>
    <w:rsid w:val="00393762"/>
    <w:rsid w:val="00393782"/>
    <w:rsid w:val="00393C52"/>
    <w:rsid w:val="00393DCC"/>
    <w:rsid w:val="00394180"/>
    <w:rsid w:val="00394729"/>
    <w:rsid w:val="00394EA0"/>
    <w:rsid w:val="003950F9"/>
    <w:rsid w:val="00395A75"/>
    <w:rsid w:val="00395C3B"/>
    <w:rsid w:val="00395FFA"/>
    <w:rsid w:val="003961D7"/>
    <w:rsid w:val="00396700"/>
    <w:rsid w:val="00396B23"/>
    <w:rsid w:val="00396C5E"/>
    <w:rsid w:val="003970D0"/>
    <w:rsid w:val="00397322"/>
    <w:rsid w:val="003973AA"/>
    <w:rsid w:val="003973EA"/>
    <w:rsid w:val="0039754D"/>
    <w:rsid w:val="0039795D"/>
    <w:rsid w:val="003979F5"/>
    <w:rsid w:val="00397A63"/>
    <w:rsid w:val="00397E05"/>
    <w:rsid w:val="00397E5E"/>
    <w:rsid w:val="00399AD3"/>
    <w:rsid w:val="003A0B26"/>
    <w:rsid w:val="003A0D01"/>
    <w:rsid w:val="003A0D42"/>
    <w:rsid w:val="003A0D69"/>
    <w:rsid w:val="003A0EA3"/>
    <w:rsid w:val="003A0F61"/>
    <w:rsid w:val="003A0FF8"/>
    <w:rsid w:val="003A1004"/>
    <w:rsid w:val="003A15AC"/>
    <w:rsid w:val="003A26EE"/>
    <w:rsid w:val="003A2781"/>
    <w:rsid w:val="003A27A1"/>
    <w:rsid w:val="003A2902"/>
    <w:rsid w:val="003A2B1D"/>
    <w:rsid w:val="003A2D08"/>
    <w:rsid w:val="003A2D24"/>
    <w:rsid w:val="003A3116"/>
    <w:rsid w:val="003A3482"/>
    <w:rsid w:val="003A34A4"/>
    <w:rsid w:val="003A3861"/>
    <w:rsid w:val="003A39F4"/>
    <w:rsid w:val="003A3B19"/>
    <w:rsid w:val="003A3B99"/>
    <w:rsid w:val="003A3C30"/>
    <w:rsid w:val="003A47A5"/>
    <w:rsid w:val="003A4A5C"/>
    <w:rsid w:val="003A518E"/>
    <w:rsid w:val="003A567C"/>
    <w:rsid w:val="003A5A23"/>
    <w:rsid w:val="003A5BE5"/>
    <w:rsid w:val="003A5D37"/>
    <w:rsid w:val="003A5FB1"/>
    <w:rsid w:val="003A62DC"/>
    <w:rsid w:val="003A6490"/>
    <w:rsid w:val="003A666C"/>
    <w:rsid w:val="003A6740"/>
    <w:rsid w:val="003A678E"/>
    <w:rsid w:val="003A6CEA"/>
    <w:rsid w:val="003A6FF0"/>
    <w:rsid w:val="003A70EE"/>
    <w:rsid w:val="003A741E"/>
    <w:rsid w:val="003A7A32"/>
    <w:rsid w:val="003B0563"/>
    <w:rsid w:val="003B073B"/>
    <w:rsid w:val="003B0A43"/>
    <w:rsid w:val="003B0E5D"/>
    <w:rsid w:val="003B0E70"/>
    <w:rsid w:val="003B0F97"/>
    <w:rsid w:val="003B12AB"/>
    <w:rsid w:val="003B13D6"/>
    <w:rsid w:val="003B154E"/>
    <w:rsid w:val="003B155F"/>
    <w:rsid w:val="003B1953"/>
    <w:rsid w:val="003B1DC8"/>
    <w:rsid w:val="003B1F05"/>
    <w:rsid w:val="003B22D6"/>
    <w:rsid w:val="003B23CF"/>
    <w:rsid w:val="003B24CC"/>
    <w:rsid w:val="003B2915"/>
    <w:rsid w:val="003B3450"/>
    <w:rsid w:val="003B3606"/>
    <w:rsid w:val="003B386B"/>
    <w:rsid w:val="003B40C5"/>
    <w:rsid w:val="003B4833"/>
    <w:rsid w:val="003B4B72"/>
    <w:rsid w:val="003B5009"/>
    <w:rsid w:val="003B5612"/>
    <w:rsid w:val="003B5803"/>
    <w:rsid w:val="003B5DC1"/>
    <w:rsid w:val="003B6BA5"/>
    <w:rsid w:val="003B731C"/>
    <w:rsid w:val="003B74C5"/>
    <w:rsid w:val="003B78CD"/>
    <w:rsid w:val="003B7A16"/>
    <w:rsid w:val="003B7D31"/>
    <w:rsid w:val="003C0023"/>
    <w:rsid w:val="003C0413"/>
    <w:rsid w:val="003C05B9"/>
    <w:rsid w:val="003C075E"/>
    <w:rsid w:val="003C0959"/>
    <w:rsid w:val="003C09DA"/>
    <w:rsid w:val="003C09F2"/>
    <w:rsid w:val="003C1776"/>
    <w:rsid w:val="003C18C2"/>
    <w:rsid w:val="003C21B1"/>
    <w:rsid w:val="003C2244"/>
    <w:rsid w:val="003C2425"/>
    <w:rsid w:val="003C26D3"/>
    <w:rsid w:val="003C2803"/>
    <w:rsid w:val="003C2AB9"/>
    <w:rsid w:val="003C2C40"/>
    <w:rsid w:val="003C2D6C"/>
    <w:rsid w:val="003C354F"/>
    <w:rsid w:val="003C3DB0"/>
    <w:rsid w:val="003C3DFA"/>
    <w:rsid w:val="003C3E4C"/>
    <w:rsid w:val="003C40FD"/>
    <w:rsid w:val="003C4133"/>
    <w:rsid w:val="003C48D3"/>
    <w:rsid w:val="003C499C"/>
    <w:rsid w:val="003C4A0D"/>
    <w:rsid w:val="003C4A7D"/>
    <w:rsid w:val="003C4BB2"/>
    <w:rsid w:val="003C4C13"/>
    <w:rsid w:val="003C4FB4"/>
    <w:rsid w:val="003C535A"/>
    <w:rsid w:val="003C5906"/>
    <w:rsid w:val="003C5D5C"/>
    <w:rsid w:val="003C62F8"/>
    <w:rsid w:val="003C6BD9"/>
    <w:rsid w:val="003C73B1"/>
    <w:rsid w:val="003C75A7"/>
    <w:rsid w:val="003C7B9C"/>
    <w:rsid w:val="003C7D3D"/>
    <w:rsid w:val="003C7DC1"/>
    <w:rsid w:val="003C7F20"/>
    <w:rsid w:val="003D0068"/>
    <w:rsid w:val="003D01FA"/>
    <w:rsid w:val="003D04B6"/>
    <w:rsid w:val="003D059D"/>
    <w:rsid w:val="003D0DF8"/>
    <w:rsid w:val="003D0EB8"/>
    <w:rsid w:val="003D10D0"/>
    <w:rsid w:val="003D12FF"/>
    <w:rsid w:val="003D1D43"/>
    <w:rsid w:val="003D2691"/>
    <w:rsid w:val="003D2DBB"/>
    <w:rsid w:val="003D30AA"/>
    <w:rsid w:val="003D31EC"/>
    <w:rsid w:val="003D3259"/>
    <w:rsid w:val="003D33EA"/>
    <w:rsid w:val="003D34E9"/>
    <w:rsid w:val="003D3580"/>
    <w:rsid w:val="003D3935"/>
    <w:rsid w:val="003D396D"/>
    <w:rsid w:val="003D3BB6"/>
    <w:rsid w:val="003D3DCF"/>
    <w:rsid w:val="003D4173"/>
    <w:rsid w:val="003D4297"/>
    <w:rsid w:val="003D44CE"/>
    <w:rsid w:val="003D486D"/>
    <w:rsid w:val="003D4A31"/>
    <w:rsid w:val="003D4A55"/>
    <w:rsid w:val="003D4B57"/>
    <w:rsid w:val="003D4C2B"/>
    <w:rsid w:val="003D4E0B"/>
    <w:rsid w:val="003D4F8D"/>
    <w:rsid w:val="003D5597"/>
    <w:rsid w:val="003D59C9"/>
    <w:rsid w:val="003D59E6"/>
    <w:rsid w:val="003D6217"/>
    <w:rsid w:val="003D637B"/>
    <w:rsid w:val="003D6423"/>
    <w:rsid w:val="003D6435"/>
    <w:rsid w:val="003D65B8"/>
    <w:rsid w:val="003D670F"/>
    <w:rsid w:val="003D6A4F"/>
    <w:rsid w:val="003D6E49"/>
    <w:rsid w:val="003D6EF6"/>
    <w:rsid w:val="003D6F4A"/>
    <w:rsid w:val="003D701B"/>
    <w:rsid w:val="003D7C60"/>
    <w:rsid w:val="003E0082"/>
    <w:rsid w:val="003E0197"/>
    <w:rsid w:val="003E01D7"/>
    <w:rsid w:val="003E08EC"/>
    <w:rsid w:val="003E0CCD"/>
    <w:rsid w:val="003E0D7A"/>
    <w:rsid w:val="003E122B"/>
    <w:rsid w:val="003E1250"/>
    <w:rsid w:val="003E12A2"/>
    <w:rsid w:val="003E132F"/>
    <w:rsid w:val="003E140A"/>
    <w:rsid w:val="003E16EC"/>
    <w:rsid w:val="003E18FD"/>
    <w:rsid w:val="003E1B87"/>
    <w:rsid w:val="003E1D90"/>
    <w:rsid w:val="003E1E43"/>
    <w:rsid w:val="003E2BAE"/>
    <w:rsid w:val="003E2E8B"/>
    <w:rsid w:val="003E2F7E"/>
    <w:rsid w:val="003E303F"/>
    <w:rsid w:val="003E307E"/>
    <w:rsid w:val="003E31F8"/>
    <w:rsid w:val="003E3442"/>
    <w:rsid w:val="003E3B28"/>
    <w:rsid w:val="003E3C49"/>
    <w:rsid w:val="003E3F53"/>
    <w:rsid w:val="003E4008"/>
    <w:rsid w:val="003E45BA"/>
    <w:rsid w:val="003E47D9"/>
    <w:rsid w:val="003E4BC6"/>
    <w:rsid w:val="003E4F16"/>
    <w:rsid w:val="003E53D3"/>
    <w:rsid w:val="003E5DFD"/>
    <w:rsid w:val="003E602B"/>
    <w:rsid w:val="003E61BC"/>
    <w:rsid w:val="003E6213"/>
    <w:rsid w:val="003E629E"/>
    <w:rsid w:val="003E62A3"/>
    <w:rsid w:val="003E6494"/>
    <w:rsid w:val="003E651F"/>
    <w:rsid w:val="003E6F18"/>
    <w:rsid w:val="003E742E"/>
    <w:rsid w:val="003E7A17"/>
    <w:rsid w:val="003F003A"/>
    <w:rsid w:val="003F00B9"/>
    <w:rsid w:val="003F026D"/>
    <w:rsid w:val="003F0901"/>
    <w:rsid w:val="003F0D81"/>
    <w:rsid w:val="003F1613"/>
    <w:rsid w:val="003F166D"/>
    <w:rsid w:val="003F16F9"/>
    <w:rsid w:val="003F1846"/>
    <w:rsid w:val="003F1A6E"/>
    <w:rsid w:val="003F1A81"/>
    <w:rsid w:val="003F1BCA"/>
    <w:rsid w:val="003F2008"/>
    <w:rsid w:val="003F238B"/>
    <w:rsid w:val="003F2896"/>
    <w:rsid w:val="003F289E"/>
    <w:rsid w:val="003F299F"/>
    <w:rsid w:val="003F3100"/>
    <w:rsid w:val="003F3217"/>
    <w:rsid w:val="003F33CE"/>
    <w:rsid w:val="003F4391"/>
    <w:rsid w:val="003F487E"/>
    <w:rsid w:val="003F4BF7"/>
    <w:rsid w:val="003F4E55"/>
    <w:rsid w:val="003F53CC"/>
    <w:rsid w:val="003F5E77"/>
    <w:rsid w:val="003F5EF1"/>
    <w:rsid w:val="003F5F60"/>
    <w:rsid w:val="003F6006"/>
    <w:rsid w:val="003F6187"/>
    <w:rsid w:val="003F6190"/>
    <w:rsid w:val="003F61E0"/>
    <w:rsid w:val="003F64AB"/>
    <w:rsid w:val="003F64E8"/>
    <w:rsid w:val="003F69F6"/>
    <w:rsid w:val="003F6A36"/>
    <w:rsid w:val="003F6D57"/>
    <w:rsid w:val="003F6F81"/>
    <w:rsid w:val="003F7090"/>
    <w:rsid w:val="003F7315"/>
    <w:rsid w:val="003F73C5"/>
    <w:rsid w:val="003F7418"/>
    <w:rsid w:val="003F7B3C"/>
    <w:rsid w:val="003F7D3E"/>
    <w:rsid w:val="003F7F93"/>
    <w:rsid w:val="00400194"/>
    <w:rsid w:val="00400C5E"/>
    <w:rsid w:val="00401023"/>
    <w:rsid w:val="004014A9"/>
    <w:rsid w:val="004019D2"/>
    <w:rsid w:val="00401DFC"/>
    <w:rsid w:val="00401EB3"/>
    <w:rsid w:val="00401F3D"/>
    <w:rsid w:val="0040223C"/>
    <w:rsid w:val="0040227F"/>
    <w:rsid w:val="00402352"/>
    <w:rsid w:val="00402BAE"/>
    <w:rsid w:val="00402C35"/>
    <w:rsid w:val="00402E83"/>
    <w:rsid w:val="00403595"/>
    <w:rsid w:val="00403A7C"/>
    <w:rsid w:val="00403AAE"/>
    <w:rsid w:val="00403CC9"/>
    <w:rsid w:val="00403FCF"/>
    <w:rsid w:val="004045E8"/>
    <w:rsid w:val="00405188"/>
    <w:rsid w:val="00405308"/>
    <w:rsid w:val="00405931"/>
    <w:rsid w:val="004067E5"/>
    <w:rsid w:val="00406FC9"/>
    <w:rsid w:val="0040768E"/>
    <w:rsid w:val="0040795D"/>
    <w:rsid w:val="00407A4E"/>
    <w:rsid w:val="004105BD"/>
    <w:rsid w:val="00410630"/>
    <w:rsid w:val="00410711"/>
    <w:rsid w:val="00410B2B"/>
    <w:rsid w:val="00410C3F"/>
    <w:rsid w:val="0041119B"/>
    <w:rsid w:val="004112BB"/>
    <w:rsid w:val="00411BD1"/>
    <w:rsid w:val="00411C9A"/>
    <w:rsid w:val="00412170"/>
    <w:rsid w:val="00412451"/>
    <w:rsid w:val="004124FD"/>
    <w:rsid w:val="00412A83"/>
    <w:rsid w:val="00412B7D"/>
    <w:rsid w:val="00412EB1"/>
    <w:rsid w:val="00412EEE"/>
    <w:rsid w:val="0041330B"/>
    <w:rsid w:val="00413689"/>
    <w:rsid w:val="00413F2A"/>
    <w:rsid w:val="00413FF7"/>
    <w:rsid w:val="004142B7"/>
    <w:rsid w:val="00414300"/>
    <w:rsid w:val="004143AF"/>
    <w:rsid w:val="004145AB"/>
    <w:rsid w:val="00414774"/>
    <w:rsid w:val="00414C92"/>
    <w:rsid w:val="00414F04"/>
    <w:rsid w:val="00414F89"/>
    <w:rsid w:val="0041520E"/>
    <w:rsid w:val="0041521C"/>
    <w:rsid w:val="0041566F"/>
    <w:rsid w:val="004156C6"/>
    <w:rsid w:val="00415AE0"/>
    <w:rsid w:val="00415BAD"/>
    <w:rsid w:val="00415C3A"/>
    <w:rsid w:val="00415C46"/>
    <w:rsid w:val="00415F3C"/>
    <w:rsid w:val="0041600C"/>
    <w:rsid w:val="004162B6"/>
    <w:rsid w:val="0041677B"/>
    <w:rsid w:val="0041699B"/>
    <w:rsid w:val="00416B61"/>
    <w:rsid w:val="00416D40"/>
    <w:rsid w:val="00417A49"/>
    <w:rsid w:val="00417A78"/>
    <w:rsid w:val="00417DBB"/>
    <w:rsid w:val="00420281"/>
    <w:rsid w:val="00420448"/>
    <w:rsid w:val="004204DC"/>
    <w:rsid w:val="0042151B"/>
    <w:rsid w:val="00421A78"/>
    <w:rsid w:val="00421B1A"/>
    <w:rsid w:val="00421B72"/>
    <w:rsid w:val="0042216B"/>
    <w:rsid w:val="004224B3"/>
    <w:rsid w:val="004226B0"/>
    <w:rsid w:val="00422C6A"/>
    <w:rsid w:val="0042346F"/>
    <w:rsid w:val="004236E3"/>
    <w:rsid w:val="004246DB"/>
    <w:rsid w:val="00424859"/>
    <w:rsid w:val="00424B9B"/>
    <w:rsid w:val="00424DAC"/>
    <w:rsid w:val="00424FDA"/>
    <w:rsid w:val="0042503A"/>
    <w:rsid w:val="00425075"/>
    <w:rsid w:val="00425275"/>
    <w:rsid w:val="0042561B"/>
    <w:rsid w:val="00425630"/>
    <w:rsid w:val="004259C1"/>
    <w:rsid w:val="00425C29"/>
    <w:rsid w:val="004264C2"/>
    <w:rsid w:val="00426557"/>
    <w:rsid w:val="00426618"/>
    <w:rsid w:val="00426647"/>
    <w:rsid w:val="00426C89"/>
    <w:rsid w:val="00426CCC"/>
    <w:rsid w:val="00426E48"/>
    <w:rsid w:val="00426FAD"/>
    <w:rsid w:val="004271F8"/>
    <w:rsid w:val="00427495"/>
    <w:rsid w:val="0042762C"/>
    <w:rsid w:val="00427730"/>
    <w:rsid w:val="004278D4"/>
    <w:rsid w:val="00427AFA"/>
    <w:rsid w:val="00427B23"/>
    <w:rsid w:val="004303E8"/>
    <w:rsid w:val="0043066A"/>
    <w:rsid w:val="004308D5"/>
    <w:rsid w:val="00430917"/>
    <w:rsid w:val="00430B20"/>
    <w:rsid w:val="0043101E"/>
    <w:rsid w:val="00431360"/>
    <w:rsid w:val="00431485"/>
    <w:rsid w:val="004314AF"/>
    <w:rsid w:val="00431B33"/>
    <w:rsid w:val="00431EBC"/>
    <w:rsid w:val="00431F4C"/>
    <w:rsid w:val="0043230E"/>
    <w:rsid w:val="00432876"/>
    <w:rsid w:val="004329B0"/>
    <w:rsid w:val="0043307E"/>
    <w:rsid w:val="004333F8"/>
    <w:rsid w:val="00433436"/>
    <w:rsid w:val="004335B5"/>
    <w:rsid w:val="004335C9"/>
    <w:rsid w:val="004340F7"/>
    <w:rsid w:val="00434155"/>
    <w:rsid w:val="00434332"/>
    <w:rsid w:val="00434750"/>
    <w:rsid w:val="004352A8"/>
    <w:rsid w:val="0043544B"/>
    <w:rsid w:val="004357DA"/>
    <w:rsid w:val="004357EE"/>
    <w:rsid w:val="00435CFE"/>
    <w:rsid w:val="004362AA"/>
    <w:rsid w:val="00436566"/>
    <w:rsid w:val="00436D20"/>
    <w:rsid w:val="00436F39"/>
    <w:rsid w:val="00437109"/>
    <w:rsid w:val="00437501"/>
    <w:rsid w:val="00437913"/>
    <w:rsid w:val="0043798B"/>
    <w:rsid w:val="00437BA3"/>
    <w:rsid w:val="00440D71"/>
    <w:rsid w:val="00440F24"/>
    <w:rsid w:val="004412B7"/>
    <w:rsid w:val="00441392"/>
    <w:rsid w:val="0044152F"/>
    <w:rsid w:val="0044187F"/>
    <w:rsid w:val="004418BD"/>
    <w:rsid w:val="0044205A"/>
    <w:rsid w:val="004425E6"/>
    <w:rsid w:val="004427E3"/>
    <w:rsid w:val="00442C1B"/>
    <w:rsid w:val="00442D67"/>
    <w:rsid w:val="00442E63"/>
    <w:rsid w:val="004431FB"/>
    <w:rsid w:val="004432BF"/>
    <w:rsid w:val="004433E9"/>
    <w:rsid w:val="004434D5"/>
    <w:rsid w:val="004440D0"/>
    <w:rsid w:val="004442D0"/>
    <w:rsid w:val="0044433F"/>
    <w:rsid w:val="004446CB"/>
    <w:rsid w:val="00444D0C"/>
    <w:rsid w:val="00444D84"/>
    <w:rsid w:val="00445277"/>
    <w:rsid w:val="004453B0"/>
    <w:rsid w:val="004457AF"/>
    <w:rsid w:val="0044595E"/>
    <w:rsid w:val="004459E7"/>
    <w:rsid w:val="00445D12"/>
    <w:rsid w:val="00445DC2"/>
    <w:rsid w:val="0044623F"/>
    <w:rsid w:val="00446E09"/>
    <w:rsid w:val="004470A0"/>
    <w:rsid w:val="004476A6"/>
    <w:rsid w:val="00447DB1"/>
    <w:rsid w:val="00450375"/>
    <w:rsid w:val="00450ADC"/>
    <w:rsid w:val="00451339"/>
    <w:rsid w:val="004513D3"/>
    <w:rsid w:val="00451C83"/>
    <w:rsid w:val="00451DCB"/>
    <w:rsid w:val="00451F59"/>
    <w:rsid w:val="00452524"/>
    <w:rsid w:val="004527D7"/>
    <w:rsid w:val="00452828"/>
    <w:rsid w:val="00452A6F"/>
    <w:rsid w:val="00452B27"/>
    <w:rsid w:val="00452B70"/>
    <w:rsid w:val="00452B8C"/>
    <w:rsid w:val="0045364D"/>
    <w:rsid w:val="00453695"/>
    <w:rsid w:val="004536ED"/>
    <w:rsid w:val="004539F7"/>
    <w:rsid w:val="00454066"/>
    <w:rsid w:val="00454235"/>
    <w:rsid w:val="004545C0"/>
    <w:rsid w:val="00454707"/>
    <w:rsid w:val="0045480B"/>
    <w:rsid w:val="004548D1"/>
    <w:rsid w:val="0045495C"/>
    <w:rsid w:val="00454BEF"/>
    <w:rsid w:val="00454C57"/>
    <w:rsid w:val="00455007"/>
    <w:rsid w:val="004552A9"/>
    <w:rsid w:val="004554A9"/>
    <w:rsid w:val="004557C7"/>
    <w:rsid w:val="00455988"/>
    <w:rsid w:val="00455A14"/>
    <w:rsid w:val="00455A7B"/>
    <w:rsid w:val="00455D67"/>
    <w:rsid w:val="00455FB1"/>
    <w:rsid w:val="00455FD0"/>
    <w:rsid w:val="00456116"/>
    <w:rsid w:val="004564E3"/>
    <w:rsid w:val="0045674B"/>
    <w:rsid w:val="00456EAE"/>
    <w:rsid w:val="00456FD0"/>
    <w:rsid w:val="00457D59"/>
    <w:rsid w:val="00457E8C"/>
    <w:rsid w:val="00460032"/>
    <w:rsid w:val="00460055"/>
    <w:rsid w:val="0046014C"/>
    <w:rsid w:val="0046014F"/>
    <w:rsid w:val="00460640"/>
    <w:rsid w:val="00460849"/>
    <w:rsid w:val="00460E33"/>
    <w:rsid w:val="00461003"/>
    <w:rsid w:val="0046135C"/>
    <w:rsid w:val="00461585"/>
    <w:rsid w:val="00461760"/>
    <w:rsid w:val="004617FC"/>
    <w:rsid w:val="00461830"/>
    <w:rsid w:val="00461E56"/>
    <w:rsid w:val="00461EA3"/>
    <w:rsid w:val="0046212A"/>
    <w:rsid w:val="0046214A"/>
    <w:rsid w:val="00462289"/>
    <w:rsid w:val="00462296"/>
    <w:rsid w:val="00462920"/>
    <w:rsid w:val="00462B58"/>
    <w:rsid w:val="00462D79"/>
    <w:rsid w:val="00462D8F"/>
    <w:rsid w:val="00462E25"/>
    <w:rsid w:val="00462F6A"/>
    <w:rsid w:val="0046304D"/>
    <w:rsid w:val="0046304E"/>
    <w:rsid w:val="004633A2"/>
    <w:rsid w:val="004635F1"/>
    <w:rsid w:val="004636D3"/>
    <w:rsid w:val="00463A77"/>
    <w:rsid w:val="00463B7B"/>
    <w:rsid w:val="00463C7A"/>
    <w:rsid w:val="00463CA5"/>
    <w:rsid w:val="00463E0B"/>
    <w:rsid w:val="0046443B"/>
    <w:rsid w:val="00464567"/>
    <w:rsid w:val="00465134"/>
    <w:rsid w:val="00465139"/>
    <w:rsid w:val="00465493"/>
    <w:rsid w:val="00465B64"/>
    <w:rsid w:val="00465B9A"/>
    <w:rsid w:val="0046686D"/>
    <w:rsid w:val="004668AF"/>
    <w:rsid w:val="0046698B"/>
    <w:rsid w:val="00466E86"/>
    <w:rsid w:val="004672A1"/>
    <w:rsid w:val="00467997"/>
    <w:rsid w:val="004679DA"/>
    <w:rsid w:val="00467ABB"/>
    <w:rsid w:val="00467C42"/>
    <w:rsid w:val="00467E69"/>
    <w:rsid w:val="00470173"/>
    <w:rsid w:val="00470C41"/>
    <w:rsid w:val="00470C4E"/>
    <w:rsid w:val="00470C6A"/>
    <w:rsid w:val="00470E22"/>
    <w:rsid w:val="00470F58"/>
    <w:rsid w:val="00470FFB"/>
    <w:rsid w:val="00471005"/>
    <w:rsid w:val="0047138D"/>
    <w:rsid w:val="004716E8"/>
    <w:rsid w:val="0047180A"/>
    <w:rsid w:val="00471A80"/>
    <w:rsid w:val="00471C30"/>
    <w:rsid w:val="00471DA6"/>
    <w:rsid w:val="00471E85"/>
    <w:rsid w:val="00472123"/>
    <w:rsid w:val="00472417"/>
    <w:rsid w:val="004725EA"/>
    <w:rsid w:val="0047267F"/>
    <w:rsid w:val="0047272E"/>
    <w:rsid w:val="004727B6"/>
    <w:rsid w:val="004729AC"/>
    <w:rsid w:val="00472E54"/>
    <w:rsid w:val="004732B5"/>
    <w:rsid w:val="00473582"/>
    <w:rsid w:val="004739A2"/>
    <w:rsid w:val="00474283"/>
    <w:rsid w:val="004742BC"/>
    <w:rsid w:val="00475063"/>
    <w:rsid w:val="00475496"/>
    <w:rsid w:val="0047551B"/>
    <w:rsid w:val="004756E8"/>
    <w:rsid w:val="004756FE"/>
    <w:rsid w:val="00475B81"/>
    <w:rsid w:val="00475BA3"/>
    <w:rsid w:val="00475CE4"/>
    <w:rsid w:val="00475E40"/>
    <w:rsid w:val="00476096"/>
    <w:rsid w:val="0047617B"/>
    <w:rsid w:val="00476DF1"/>
    <w:rsid w:val="00477030"/>
    <w:rsid w:val="004772D3"/>
    <w:rsid w:val="00477E5F"/>
    <w:rsid w:val="00480188"/>
    <w:rsid w:val="0048027D"/>
    <w:rsid w:val="004804E4"/>
    <w:rsid w:val="004805E3"/>
    <w:rsid w:val="004805F0"/>
    <w:rsid w:val="004808F5"/>
    <w:rsid w:val="00480C44"/>
    <w:rsid w:val="00480D6B"/>
    <w:rsid w:val="004818A8"/>
    <w:rsid w:val="0048209B"/>
    <w:rsid w:val="0048219C"/>
    <w:rsid w:val="004826ED"/>
    <w:rsid w:val="00482833"/>
    <w:rsid w:val="0048297D"/>
    <w:rsid w:val="00482DDF"/>
    <w:rsid w:val="00482F48"/>
    <w:rsid w:val="004831F7"/>
    <w:rsid w:val="0048355B"/>
    <w:rsid w:val="00483950"/>
    <w:rsid w:val="00483A00"/>
    <w:rsid w:val="00483A03"/>
    <w:rsid w:val="00483C82"/>
    <w:rsid w:val="00483CFA"/>
    <w:rsid w:val="004840B0"/>
    <w:rsid w:val="00484153"/>
    <w:rsid w:val="0048430C"/>
    <w:rsid w:val="004843E8"/>
    <w:rsid w:val="00484652"/>
    <w:rsid w:val="0048467D"/>
    <w:rsid w:val="004847B1"/>
    <w:rsid w:val="004848A0"/>
    <w:rsid w:val="004848B9"/>
    <w:rsid w:val="00484F61"/>
    <w:rsid w:val="00485185"/>
    <w:rsid w:val="0048578F"/>
    <w:rsid w:val="004863AF"/>
    <w:rsid w:val="00486936"/>
    <w:rsid w:val="00487218"/>
    <w:rsid w:val="004872A8"/>
    <w:rsid w:val="004873AC"/>
    <w:rsid w:val="004874FF"/>
    <w:rsid w:val="004879EE"/>
    <w:rsid w:val="00487B09"/>
    <w:rsid w:val="00490041"/>
    <w:rsid w:val="004901AA"/>
    <w:rsid w:val="004903C7"/>
    <w:rsid w:val="004907B1"/>
    <w:rsid w:val="00490854"/>
    <w:rsid w:val="0049093A"/>
    <w:rsid w:val="00490B68"/>
    <w:rsid w:val="00490BE7"/>
    <w:rsid w:val="00490BF7"/>
    <w:rsid w:val="00490D74"/>
    <w:rsid w:val="00490FC3"/>
    <w:rsid w:val="00490FFF"/>
    <w:rsid w:val="0049109A"/>
    <w:rsid w:val="00491114"/>
    <w:rsid w:val="00491A44"/>
    <w:rsid w:val="00491FC9"/>
    <w:rsid w:val="00492011"/>
    <w:rsid w:val="00492078"/>
    <w:rsid w:val="0049225E"/>
    <w:rsid w:val="004923C9"/>
    <w:rsid w:val="004924B3"/>
    <w:rsid w:val="004924F1"/>
    <w:rsid w:val="004928A8"/>
    <w:rsid w:val="004929D7"/>
    <w:rsid w:val="00492D0E"/>
    <w:rsid w:val="00492F2C"/>
    <w:rsid w:val="0049312B"/>
    <w:rsid w:val="004934E7"/>
    <w:rsid w:val="00493512"/>
    <w:rsid w:val="004939A0"/>
    <w:rsid w:val="004939FD"/>
    <w:rsid w:val="00493A96"/>
    <w:rsid w:val="00493E52"/>
    <w:rsid w:val="00494208"/>
    <w:rsid w:val="0049436A"/>
    <w:rsid w:val="004943A5"/>
    <w:rsid w:val="0049497D"/>
    <w:rsid w:val="00495107"/>
    <w:rsid w:val="004952FB"/>
    <w:rsid w:val="00495A55"/>
    <w:rsid w:val="00495AC8"/>
    <w:rsid w:val="00496146"/>
    <w:rsid w:val="004964E6"/>
    <w:rsid w:val="004964E9"/>
    <w:rsid w:val="0049652F"/>
    <w:rsid w:val="004965D6"/>
    <w:rsid w:val="004966D2"/>
    <w:rsid w:val="00496CDA"/>
    <w:rsid w:val="00496E78"/>
    <w:rsid w:val="00497009"/>
    <w:rsid w:val="00497133"/>
    <w:rsid w:val="00497D26"/>
    <w:rsid w:val="00497E73"/>
    <w:rsid w:val="004A04F9"/>
    <w:rsid w:val="004A0882"/>
    <w:rsid w:val="004A0A6F"/>
    <w:rsid w:val="004A0C76"/>
    <w:rsid w:val="004A11DC"/>
    <w:rsid w:val="004A13E4"/>
    <w:rsid w:val="004A1820"/>
    <w:rsid w:val="004A1A0D"/>
    <w:rsid w:val="004A1BEF"/>
    <w:rsid w:val="004A2521"/>
    <w:rsid w:val="004A28B9"/>
    <w:rsid w:val="004A2B19"/>
    <w:rsid w:val="004A30BE"/>
    <w:rsid w:val="004A30C2"/>
    <w:rsid w:val="004A381C"/>
    <w:rsid w:val="004A4123"/>
    <w:rsid w:val="004A4575"/>
    <w:rsid w:val="004A4A07"/>
    <w:rsid w:val="004A4B80"/>
    <w:rsid w:val="004A4CBD"/>
    <w:rsid w:val="004A4D01"/>
    <w:rsid w:val="004A4E30"/>
    <w:rsid w:val="004A502D"/>
    <w:rsid w:val="004A5071"/>
    <w:rsid w:val="004A5098"/>
    <w:rsid w:val="004A56C4"/>
    <w:rsid w:val="004A6088"/>
    <w:rsid w:val="004A64D2"/>
    <w:rsid w:val="004A6E18"/>
    <w:rsid w:val="004A6E61"/>
    <w:rsid w:val="004A7105"/>
    <w:rsid w:val="004A7289"/>
    <w:rsid w:val="004A757C"/>
    <w:rsid w:val="004A7AB4"/>
    <w:rsid w:val="004A7C67"/>
    <w:rsid w:val="004B0163"/>
    <w:rsid w:val="004B0499"/>
    <w:rsid w:val="004B0501"/>
    <w:rsid w:val="004B051F"/>
    <w:rsid w:val="004B058F"/>
    <w:rsid w:val="004B05E6"/>
    <w:rsid w:val="004B075B"/>
    <w:rsid w:val="004B0AB7"/>
    <w:rsid w:val="004B138B"/>
    <w:rsid w:val="004B14E2"/>
    <w:rsid w:val="004B17E4"/>
    <w:rsid w:val="004B1A63"/>
    <w:rsid w:val="004B22ED"/>
    <w:rsid w:val="004B294E"/>
    <w:rsid w:val="004B2A67"/>
    <w:rsid w:val="004B2A94"/>
    <w:rsid w:val="004B2BB7"/>
    <w:rsid w:val="004B2D0A"/>
    <w:rsid w:val="004B2D29"/>
    <w:rsid w:val="004B32AD"/>
    <w:rsid w:val="004B354D"/>
    <w:rsid w:val="004B3683"/>
    <w:rsid w:val="004B3721"/>
    <w:rsid w:val="004B3A49"/>
    <w:rsid w:val="004B3BBD"/>
    <w:rsid w:val="004B3DF8"/>
    <w:rsid w:val="004B3F49"/>
    <w:rsid w:val="004B4000"/>
    <w:rsid w:val="004B4184"/>
    <w:rsid w:val="004B418D"/>
    <w:rsid w:val="004B41E9"/>
    <w:rsid w:val="004B50E0"/>
    <w:rsid w:val="004B571A"/>
    <w:rsid w:val="004B5DEE"/>
    <w:rsid w:val="004B613E"/>
    <w:rsid w:val="004B636F"/>
    <w:rsid w:val="004B645B"/>
    <w:rsid w:val="004B65D2"/>
    <w:rsid w:val="004B65EF"/>
    <w:rsid w:val="004B67F2"/>
    <w:rsid w:val="004B6D05"/>
    <w:rsid w:val="004B6E43"/>
    <w:rsid w:val="004B6F16"/>
    <w:rsid w:val="004B7081"/>
    <w:rsid w:val="004B737D"/>
    <w:rsid w:val="004B7BA1"/>
    <w:rsid w:val="004C01A6"/>
    <w:rsid w:val="004C03AE"/>
    <w:rsid w:val="004C0558"/>
    <w:rsid w:val="004C0757"/>
    <w:rsid w:val="004C0923"/>
    <w:rsid w:val="004C0A47"/>
    <w:rsid w:val="004C0CDD"/>
    <w:rsid w:val="004C0D7B"/>
    <w:rsid w:val="004C0DC2"/>
    <w:rsid w:val="004C1A9A"/>
    <w:rsid w:val="004C1FAE"/>
    <w:rsid w:val="004C2053"/>
    <w:rsid w:val="004C2263"/>
    <w:rsid w:val="004C229F"/>
    <w:rsid w:val="004C24CA"/>
    <w:rsid w:val="004C270F"/>
    <w:rsid w:val="004C2872"/>
    <w:rsid w:val="004C2981"/>
    <w:rsid w:val="004C2A2B"/>
    <w:rsid w:val="004C301A"/>
    <w:rsid w:val="004C367D"/>
    <w:rsid w:val="004C3706"/>
    <w:rsid w:val="004C376E"/>
    <w:rsid w:val="004C3901"/>
    <w:rsid w:val="004C3C8F"/>
    <w:rsid w:val="004C433E"/>
    <w:rsid w:val="004C45AA"/>
    <w:rsid w:val="004C468B"/>
    <w:rsid w:val="004C471E"/>
    <w:rsid w:val="004C4936"/>
    <w:rsid w:val="004C498F"/>
    <w:rsid w:val="004C4ABF"/>
    <w:rsid w:val="004C50A9"/>
    <w:rsid w:val="004C51F4"/>
    <w:rsid w:val="004C55F3"/>
    <w:rsid w:val="004C5859"/>
    <w:rsid w:val="004C5957"/>
    <w:rsid w:val="004C5B6C"/>
    <w:rsid w:val="004C5B6E"/>
    <w:rsid w:val="004C5BF5"/>
    <w:rsid w:val="004C5D68"/>
    <w:rsid w:val="004C60C3"/>
    <w:rsid w:val="004C6129"/>
    <w:rsid w:val="004C66EB"/>
    <w:rsid w:val="004C6E38"/>
    <w:rsid w:val="004C7160"/>
    <w:rsid w:val="004C74A1"/>
    <w:rsid w:val="004C779D"/>
    <w:rsid w:val="004C7C12"/>
    <w:rsid w:val="004D0A64"/>
    <w:rsid w:val="004D0DE7"/>
    <w:rsid w:val="004D1664"/>
    <w:rsid w:val="004D17E6"/>
    <w:rsid w:val="004D1ADC"/>
    <w:rsid w:val="004D1C58"/>
    <w:rsid w:val="004D1DD5"/>
    <w:rsid w:val="004D1E26"/>
    <w:rsid w:val="004D21CA"/>
    <w:rsid w:val="004D26B6"/>
    <w:rsid w:val="004D27A8"/>
    <w:rsid w:val="004D27D3"/>
    <w:rsid w:val="004D2858"/>
    <w:rsid w:val="004D2B33"/>
    <w:rsid w:val="004D2CDB"/>
    <w:rsid w:val="004D2FD4"/>
    <w:rsid w:val="004D3DBA"/>
    <w:rsid w:val="004D3EA5"/>
    <w:rsid w:val="004D4293"/>
    <w:rsid w:val="004D46EA"/>
    <w:rsid w:val="004D4700"/>
    <w:rsid w:val="004D4797"/>
    <w:rsid w:val="004D4A4F"/>
    <w:rsid w:val="004D4AA4"/>
    <w:rsid w:val="004D4B0F"/>
    <w:rsid w:val="004D52BF"/>
    <w:rsid w:val="004D52F4"/>
    <w:rsid w:val="004D5391"/>
    <w:rsid w:val="004D5949"/>
    <w:rsid w:val="004D5ABC"/>
    <w:rsid w:val="004D5B03"/>
    <w:rsid w:val="004D5BC8"/>
    <w:rsid w:val="004D5EE0"/>
    <w:rsid w:val="004D5F23"/>
    <w:rsid w:val="004D604B"/>
    <w:rsid w:val="004D6064"/>
    <w:rsid w:val="004D621A"/>
    <w:rsid w:val="004D6520"/>
    <w:rsid w:val="004D653F"/>
    <w:rsid w:val="004D6561"/>
    <w:rsid w:val="004D6DBC"/>
    <w:rsid w:val="004D7022"/>
    <w:rsid w:val="004D72FB"/>
    <w:rsid w:val="004D7538"/>
    <w:rsid w:val="004D76BA"/>
    <w:rsid w:val="004D7A33"/>
    <w:rsid w:val="004D7D6D"/>
    <w:rsid w:val="004D7EBA"/>
    <w:rsid w:val="004E1077"/>
    <w:rsid w:val="004E10D0"/>
    <w:rsid w:val="004E10E3"/>
    <w:rsid w:val="004E12F7"/>
    <w:rsid w:val="004E1441"/>
    <w:rsid w:val="004E14E0"/>
    <w:rsid w:val="004E1595"/>
    <w:rsid w:val="004E1686"/>
    <w:rsid w:val="004E186E"/>
    <w:rsid w:val="004E1A0A"/>
    <w:rsid w:val="004E1BAC"/>
    <w:rsid w:val="004E1CCE"/>
    <w:rsid w:val="004E1CDD"/>
    <w:rsid w:val="004E1D08"/>
    <w:rsid w:val="004E1DCE"/>
    <w:rsid w:val="004E1E28"/>
    <w:rsid w:val="004E1EBA"/>
    <w:rsid w:val="004E1F20"/>
    <w:rsid w:val="004E1FEF"/>
    <w:rsid w:val="004E275E"/>
    <w:rsid w:val="004E2888"/>
    <w:rsid w:val="004E29D3"/>
    <w:rsid w:val="004E2A2E"/>
    <w:rsid w:val="004E2D05"/>
    <w:rsid w:val="004E3224"/>
    <w:rsid w:val="004E377D"/>
    <w:rsid w:val="004E382F"/>
    <w:rsid w:val="004E3903"/>
    <w:rsid w:val="004E3B28"/>
    <w:rsid w:val="004E3C1B"/>
    <w:rsid w:val="004E3F85"/>
    <w:rsid w:val="004E40F3"/>
    <w:rsid w:val="004E418E"/>
    <w:rsid w:val="004E4641"/>
    <w:rsid w:val="004E474C"/>
    <w:rsid w:val="004E4BCD"/>
    <w:rsid w:val="004E509E"/>
    <w:rsid w:val="004E51E6"/>
    <w:rsid w:val="004E5323"/>
    <w:rsid w:val="004E539A"/>
    <w:rsid w:val="004E54EA"/>
    <w:rsid w:val="004E56E0"/>
    <w:rsid w:val="004E57B8"/>
    <w:rsid w:val="004E5BD0"/>
    <w:rsid w:val="004E669E"/>
    <w:rsid w:val="004E69CB"/>
    <w:rsid w:val="004E7196"/>
    <w:rsid w:val="004E724E"/>
    <w:rsid w:val="004E72AC"/>
    <w:rsid w:val="004E77AD"/>
    <w:rsid w:val="004E77F4"/>
    <w:rsid w:val="004F041D"/>
    <w:rsid w:val="004F091D"/>
    <w:rsid w:val="004F0A44"/>
    <w:rsid w:val="004F0A6C"/>
    <w:rsid w:val="004F0BEE"/>
    <w:rsid w:val="004F0CB4"/>
    <w:rsid w:val="004F1017"/>
    <w:rsid w:val="004F101D"/>
    <w:rsid w:val="004F109F"/>
    <w:rsid w:val="004F11D9"/>
    <w:rsid w:val="004F15F4"/>
    <w:rsid w:val="004F1C50"/>
    <w:rsid w:val="004F1D6E"/>
    <w:rsid w:val="004F20D8"/>
    <w:rsid w:val="004F2BDA"/>
    <w:rsid w:val="004F355F"/>
    <w:rsid w:val="004F36C0"/>
    <w:rsid w:val="004F3902"/>
    <w:rsid w:val="004F394E"/>
    <w:rsid w:val="004F3C84"/>
    <w:rsid w:val="004F3C9E"/>
    <w:rsid w:val="004F3E80"/>
    <w:rsid w:val="004F4606"/>
    <w:rsid w:val="004F47ED"/>
    <w:rsid w:val="004F47F4"/>
    <w:rsid w:val="004F4F39"/>
    <w:rsid w:val="004F5047"/>
    <w:rsid w:val="004F5327"/>
    <w:rsid w:val="004F5402"/>
    <w:rsid w:val="004F56BE"/>
    <w:rsid w:val="004F5979"/>
    <w:rsid w:val="004F5A72"/>
    <w:rsid w:val="004F5BCB"/>
    <w:rsid w:val="004F60DF"/>
    <w:rsid w:val="004F68AE"/>
    <w:rsid w:val="004F6CC2"/>
    <w:rsid w:val="004F6EBA"/>
    <w:rsid w:val="004F6F3F"/>
    <w:rsid w:val="004F7200"/>
    <w:rsid w:val="004F720B"/>
    <w:rsid w:val="004F7416"/>
    <w:rsid w:val="004F7540"/>
    <w:rsid w:val="004F7867"/>
    <w:rsid w:val="004F786D"/>
    <w:rsid w:val="004F7905"/>
    <w:rsid w:val="004F7A4F"/>
    <w:rsid w:val="004F7E44"/>
    <w:rsid w:val="0050027A"/>
    <w:rsid w:val="00500362"/>
    <w:rsid w:val="005003BF"/>
    <w:rsid w:val="005006C4"/>
    <w:rsid w:val="005008E8"/>
    <w:rsid w:val="00500C58"/>
    <w:rsid w:val="00500D3B"/>
    <w:rsid w:val="005019AB"/>
    <w:rsid w:val="00501AD5"/>
    <w:rsid w:val="00501E7F"/>
    <w:rsid w:val="00502169"/>
    <w:rsid w:val="005021D1"/>
    <w:rsid w:val="00502284"/>
    <w:rsid w:val="005024F5"/>
    <w:rsid w:val="005027BB"/>
    <w:rsid w:val="005029F4"/>
    <w:rsid w:val="00503469"/>
    <w:rsid w:val="0050362B"/>
    <w:rsid w:val="00503779"/>
    <w:rsid w:val="005037C8"/>
    <w:rsid w:val="005038A3"/>
    <w:rsid w:val="0050391C"/>
    <w:rsid w:val="00503AB3"/>
    <w:rsid w:val="00503F64"/>
    <w:rsid w:val="0050435C"/>
    <w:rsid w:val="005043A2"/>
    <w:rsid w:val="0050446C"/>
    <w:rsid w:val="005047D9"/>
    <w:rsid w:val="0050483E"/>
    <w:rsid w:val="00504AEC"/>
    <w:rsid w:val="00504B58"/>
    <w:rsid w:val="00504BAA"/>
    <w:rsid w:val="00504C85"/>
    <w:rsid w:val="00504DAA"/>
    <w:rsid w:val="00504DD1"/>
    <w:rsid w:val="005050F1"/>
    <w:rsid w:val="00505383"/>
    <w:rsid w:val="005053CA"/>
    <w:rsid w:val="0050564E"/>
    <w:rsid w:val="00505DEA"/>
    <w:rsid w:val="00505EFF"/>
    <w:rsid w:val="00506097"/>
    <w:rsid w:val="00506519"/>
    <w:rsid w:val="00506727"/>
    <w:rsid w:val="0050687F"/>
    <w:rsid w:val="00507074"/>
    <w:rsid w:val="0050707D"/>
    <w:rsid w:val="00507622"/>
    <w:rsid w:val="0050776C"/>
    <w:rsid w:val="00507844"/>
    <w:rsid w:val="005079D9"/>
    <w:rsid w:val="00510127"/>
    <w:rsid w:val="00510331"/>
    <w:rsid w:val="00510665"/>
    <w:rsid w:val="0051098B"/>
    <w:rsid w:val="00510CBD"/>
    <w:rsid w:val="00511907"/>
    <w:rsid w:val="00511B85"/>
    <w:rsid w:val="005129B3"/>
    <w:rsid w:val="00512A74"/>
    <w:rsid w:val="00512AC8"/>
    <w:rsid w:val="00512C58"/>
    <w:rsid w:val="00512DA8"/>
    <w:rsid w:val="00513000"/>
    <w:rsid w:val="005132C2"/>
    <w:rsid w:val="00513355"/>
    <w:rsid w:val="00513373"/>
    <w:rsid w:val="0051344B"/>
    <w:rsid w:val="00513490"/>
    <w:rsid w:val="00513BA5"/>
    <w:rsid w:val="00513F66"/>
    <w:rsid w:val="0051406E"/>
    <w:rsid w:val="00515353"/>
    <w:rsid w:val="005153BD"/>
    <w:rsid w:val="005154EE"/>
    <w:rsid w:val="00516063"/>
    <w:rsid w:val="00516570"/>
    <w:rsid w:val="00516A5F"/>
    <w:rsid w:val="00516D49"/>
    <w:rsid w:val="00517689"/>
    <w:rsid w:val="00517A4D"/>
    <w:rsid w:val="00517AB2"/>
    <w:rsid w:val="00517C09"/>
    <w:rsid w:val="005202CD"/>
    <w:rsid w:val="00520502"/>
    <w:rsid w:val="005207AD"/>
    <w:rsid w:val="00520961"/>
    <w:rsid w:val="00520DCD"/>
    <w:rsid w:val="005214C5"/>
    <w:rsid w:val="00521603"/>
    <w:rsid w:val="00521AE4"/>
    <w:rsid w:val="0052274C"/>
    <w:rsid w:val="00522C2E"/>
    <w:rsid w:val="00523368"/>
    <w:rsid w:val="005234CD"/>
    <w:rsid w:val="00524283"/>
    <w:rsid w:val="005242C4"/>
    <w:rsid w:val="0052445C"/>
    <w:rsid w:val="00524698"/>
    <w:rsid w:val="0052479F"/>
    <w:rsid w:val="00524AA5"/>
    <w:rsid w:val="00524C66"/>
    <w:rsid w:val="0052530A"/>
    <w:rsid w:val="005253D8"/>
    <w:rsid w:val="0052544E"/>
    <w:rsid w:val="00525783"/>
    <w:rsid w:val="00525CFB"/>
    <w:rsid w:val="005262A5"/>
    <w:rsid w:val="00526486"/>
    <w:rsid w:val="005264E3"/>
    <w:rsid w:val="00526662"/>
    <w:rsid w:val="00526CF9"/>
    <w:rsid w:val="00526EE1"/>
    <w:rsid w:val="00526EEC"/>
    <w:rsid w:val="005271FD"/>
    <w:rsid w:val="0052741F"/>
    <w:rsid w:val="00527448"/>
    <w:rsid w:val="005274BC"/>
    <w:rsid w:val="00527523"/>
    <w:rsid w:val="00527573"/>
    <w:rsid w:val="0052795E"/>
    <w:rsid w:val="005279A4"/>
    <w:rsid w:val="00527A45"/>
    <w:rsid w:val="00527B16"/>
    <w:rsid w:val="00527F78"/>
    <w:rsid w:val="0053051D"/>
    <w:rsid w:val="00530A3C"/>
    <w:rsid w:val="00530C53"/>
    <w:rsid w:val="005316D5"/>
    <w:rsid w:val="005316EA"/>
    <w:rsid w:val="0053174E"/>
    <w:rsid w:val="00531890"/>
    <w:rsid w:val="00531A16"/>
    <w:rsid w:val="00531D8D"/>
    <w:rsid w:val="00531E4C"/>
    <w:rsid w:val="00531F13"/>
    <w:rsid w:val="00532249"/>
    <w:rsid w:val="005323B6"/>
    <w:rsid w:val="0053270E"/>
    <w:rsid w:val="005331CF"/>
    <w:rsid w:val="00533236"/>
    <w:rsid w:val="00533475"/>
    <w:rsid w:val="00533BDB"/>
    <w:rsid w:val="00533E3D"/>
    <w:rsid w:val="00534173"/>
    <w:rsid w:val="005341C4"/>
    <w:rsid w:val="005344B2"/>
    <w:rsid w:val="00534929"/>
    <w:rsid w:val="00534C3F"/>
    <w:rsid w:val="00534D83"/>
    <w:rsid w:val="005350A8"/>
    <w:rsid w:val="0053515C"/>
    <w:rsid w:val="005351BA"/>
    <w:rsid w:val="00535441"/>
    <w:rsid w:val="0053563A"/>
    <w:rsid w:val="00535950"/>
    <w:rsid w:val="00535D42"/>
    <w:rsid w:val="005364CD"/>
    <w:rsid w:val="005367A4"/>
    <w:rsid w:val="005367A9"/>
    <w:rsid w:val="00536F23"/>
    <w:rsid w:val="005370BC"/>
    <w:rsid w:val="0053769E"/>
    <w:rsid w:val="005376D0"/>
    <w:rsid w:val="00537BE3"/>
    <w:rsid w:val="00537C19"/>
    <w:rsid w:val="00537E85"/>
    <w:rsid w:val="00537EC2"/>
    <w:rsid w:val="00540768"/>
    <w:rsid w:val="00540A1F"/>
    <w:rsid w:val="00540C7A"/>
    <w:rsid w:val="00540CF0"/>
    <w:rsid w:val="00541186"/>
    <w:rsid w:val="00541439"/>
    <w:rsid w:val="005415F5"/>
    <w:rsid w:val="00541C55"/>
    <w:rsid w:val="00541D13"/>
    <w:rsid w:val="00542122"/>
    <w:rsid w:val="005421D7"/>
    <w:rsid w:val="0054242E"/>
    <w:rsid w:val="005426BF"/>
    <w:rsid w:val="00542781"/>
    <w:rsid w:val="005427FF"/>
    <w:rsid w:val="00542901"/>
    <w:rsid w:val="00542924"/>
    <w:rsid w:val="00543047"/>
    <w:rsid w:val="0054358F"/>
    <w:rsid w:val="005438E0"/>
    <w:rsid w:val="005439F2"/>
    <w:rsid w:val="00543C37"/>
    <w:rsid w:val="005440DB"/>
    <w:rsid w:val="005444BF"/>
    <w:rsid w:val="005446A6"/>
    <w:rsid w:val="00544A1D"/>
    <w:rsid w:val="00544BA4"/>
    <w:rsid w:val="0054537D"/>
    <w:rsid w:val="0054583C"/>
    <w:rsid w:val="00545AFF"/>
    <w:rsid w:val="00545B95"/>
    <w:rsid w:val="00546560"/>
    <w:rsid w:val="00546566"/>
    <w:rsid w:val="005467AC"/>
    <w:rsid w:val="00546A0A"/>
    <w:rsid w:val="00546CB1"/>
    <w:rsid w:val="00546CBC"/>
    <w:rsid w:val="00546E4F"/>
    <w:rsid w:val="00546FEF"/>
    <w:rsid w:val="0054703F"/>
    <w:rsid w:val="00547232"/>
    <w:rsid w:val="0054731A"/>
    <w:rsid w:val="0054782A"/>
    <w:rsid w:val="00547F1E"/>
    <w:rsid w:val="00550114"/>
    <w:rsid w:val="0055155F"/>
    <w:rsid w:val="00551D9E"/>
    <w:rsid w:val="00551E88"/>
    <w:rsid w:val="005527B0"/>
    <w:rsid w:val="00552829"/>
    <w:rsid w:val="005529C6"/>
    <w:rsid w:val="005529CE"/>
    <w:rsid w:val="005530E5"/>
    <w:rsid w:val="005533AE"/>
    <w:rsid w:val="00553DBD"/>
    <w:rsid w:val="0055435C"/>
    <w:rsid w:val="00554F02"/>
    <w:rsid w:val="0055558A"/>
    <w:rsid w:val="00555B98"/>
    <w:rsid w:val="00555EBE"/>
    <w:rsid w:val="00555EE5"/>
    <w:rsid w:val="00556995"/>
    <w:rsid w:val="00557169"/>
    <w:rsid w:val="0055738B"/>
    <w:rsid w:val="005602B8"/>
    <w:rsid w:val="005603EC"/>
    <w:rsid w:val="00560442"/>
    <w:rsid w:val="00560A95"/>
    <w:rsid w:val="005610FC"/>
    <w:rsid w:val="005613B3"/>
    <w:rsid w:val="0056188F"/>
    <w:rsid w:val="0056223A"/>
    <w:rsid w:val="00562706"/>
    <w:rsid w:val="00563BB1"/>
    <w:rsid w:val="00563CF5"/>
    <w:rsid w:val="00563E1A"/>
    <w:rsid w:val="0056407C"/>
    <w:rsid w:val="005643FC"/>
    <w:rsid w:val="00564629"/>
    <w:rsid w:val="00564707"/>
    <w:rsid w:val="00564C17"/>
    <w:rsid w:val="00564FA6"/>
    <w:rsid w:val="00565C35"/>
    <w:rsid w:val="00565EB3"/>
    <w:rsid w:val="005664B6"/>
    <w:rsid w:val="00566507"/>
    <w:rsid w:val="00566B1D"/>
    <w:rsid w:val="00566BA5"/>
    <w:rsid w:val="00566CC1"/>
    <w:rsid w:val="00566CCC"/>
    <w:rsid w:val="00566F25"/>
    <w:rsid w:val="00566F63"/>
    <w:rsid w:val="00567283"/>
    <w:rsid w:val="005673F3"/>
    <w:rsid w:val="005675BD"/>
    <w:rsid w:val="00567A0C"/>
    <w:rsid w:val="00567C03"/>
    <w:rsid w:val="00567C07"/>
    <w:rsid w:val="00567D30"/>
    <w:rsid w:val="00567EC0"/>
    <w:rsid w:val="00570B5C"/>
    <w:rsid w:val="00570C33"/>
    <w:rsid w:val="00570D15"/>
    <w:rsid w:val="00570E5D"/>
    <w:rsid w:val="005719B8"/>
    <w:rsid w:val="00571B30"/>
    <w:rsid w:val="00571D1B"/>
    <w:rsid w:val="00571E44"/>
    <w:rsid w:val="00571F39"/>
    <w:rsid w:val="00571F4C"/>
    <w:rsid w:val="005720D3"/>
    <w:rsid w:val="005727F6"/>
    <w:rsid w:val="00572C77"/>
    <w:rsid w:val="00572E36"/>
    <w:rsid w:val="00573804"/>
    <w:rsid w:val="00573A9E"/>
    <w:rsid w:val="00573B18"/>
    <w:rsid w:val="00573C30"/>
    <w:rsid w:val="0057462C"/>
    <w:rsid w:val="005749C1"/>
    <w:rsid w:val="00574C35"/>
    <w:rsid w:val="005757BC"/>
    <w:rsid w:val="005757EB"/>
    <w:rsid w:val="00575A5F"/>
    <w:rsid w:val="00575A67"/>
    <w:rsid w:val="00575F4F"/>
    <w:rsid w:val="00576173"/>
    <w:rsid w:val="005765AC"/>
    <w:rsid w:val="00576E25"/>
    <w:rsid w:val="005771D7"/>
    <w:rsid w:val="005778D8"/>
    <w:rsid w:val="00577F91"/>
    <w:rsid w:val="005800E2"/>
    <w:rsid w:val="00580246"/>
    <w:rsid w:val="00580368"/>
    <w:rsid w:val="0058058B"/>
    <w:rsid w:val="00580739"/>
    <w:rsid w:val="00580EF5"/>
    <w:rsid w:val="00580EF8"/>
    <w:rsid w:val="00580F84"/>
    <w:rsid w:val="00581042"/>
    <w:rsid w:val="00581067"/>
    <w:rsid w:val="00581333"/>
    <w:rsid w:val="00581A01"/>
    <w:rsid w:val="00581CF3"/>
    <w:rsid w:val="00581FFF"/>
    <w:rsid w:val="00582202"/>
    <w:rsid w:val="0058230B"/>
    <w:rsid w:val="00582448"/>
    <w:rsid w:val="005825FD"/>
    <w:rsid w:val="00582A16"/>
    <w:rsid w:val="00582C9D"/>
    <w:rsid w:val="00583367"/>
    <w:rsid w:val="00583637"/>
    <w:rsid w:val="005838FA"/>
    <w:rsid w:val="005843AC"/>
    <w:rsid w:val="0058488E"/>
    <w:rsid w:val="00584EE3"/>
    <w:rsid w:val="00585155"/>
    <w:rsid w:val="005855DC"/>
    <w:rsid w:val="00585C8A"/>
    <w:rsid w:val="00585DF3"/>
    <w:rsid w:val="00585EFB"/>
    <w:rsid w:val="00586067"/>
    <w:rsid w:val="0058615E"/>
    <w:rsid w:val="005863C3"/>
    <w:rsid w:val="00586B86"/>
    <w:rsid w:val="00586CDA"/>
    <w:rsid w:val="00586EB7"/>
    <w:rsid w:val="00587041"/>
    <w:rsid w:val="00587208"/>
    <w:rsid w:val="00587AEB"/>
    <w:rsid w:val="00587B2A"/>
    <w:rsid w:val="00587D94"/>
    <w:rsid w:val="005900BB"/>
    <w:rsid w:val="005904DD"/>
    <w:rsid w:val="0059056C"/>
    <w:rsid w:val="005906C5"/>
    <w:rsid w:val="005908D4"/>
    <w:rsid w:val="005910E2"/>
    <w:rsid w:val="005911D9"/>
    <w:rsid w:val="005914F5"/>
    <w:rsid w:val="00591659"/>
    <w:rsid w:val="00591759"/>
    <w:rsid w:val="00591763"/>
    <w:rsid w:val="005918D8"/>
    <w:rsid w:val="00591966"/>
    <w:rsid w:val="00591A2D"/>
    <w:rsid w:val="00591B39"/>
    <w:rsid w:val="00591DA5"/>
    <w:rsid w:val="00591E0D"/>
    <w:rsid w:val="00591F69"/>
    <w:rsid w:val="00592186"/>
    <w:rsid w:val="005924BF"/>
    <w:rsid w:val="005927A2"/>
    <w:rsid w:val="005928F1"/>
    <w:rsid w:val="00592A13"/>
    <w:rsid w:val="00592B2D"/>
    <w:rsid w:val="00592E80"/>
    <w:rsid w:val="00592F52"/>
    <w:rsid w:val="00593176"/>
    <w:rsid w:val="00593FF0"/>
    <w:rsid w:val="00594411"/>
    <w:rsid w:val="005949BE"/>
    <w:rsid w:val="00594B97"/>
    <w:rsid w:val="00594BB4"/>
    <w:rsid w:val="00594C5A"/>
    <w:rsid w:val="00595022"/>
    <w:rsid w:val="005950F1"/>
    <w:rsid w:val="00595205"/>
    <w:rsid w:val="00595452"/>
    <w:rsid w:val="005956FC"/>
    <w:rsid w:val="00595A54"/>
    <w:rsid w:val="00595DE3"/>
    <w:rsid w:val="0059604D"/>
    <w:rsid w:val="0059607A"/>
    <w:rsid w:val="005961EF"/>
    <w:rsid w:val="00596300"/>
    <w:rsid w:val="00596650"/>
    <w:rsid w:val="00596801"/>
    <w:rsid w:val="00596D48"/>
    <w:rsid w:val="00596DDD"/>
    <w:rsid w:val="00596ECE"/>
    <w:rsid w:val="005970B2"/>
    <w:rsid w:val="00597167"/>
    <w:rsid w:val="005973C9"/>
    <w:rsid w:val="0059772C"/>
    <w:rsid w:val="00597BD1"/>
    <w:rsid w:val="00597E09"/>
    <w:rsid w:val="005A00ED"/>
    <w:rsid w:val="005A033D"/>
    <w:rsid w:val="005A0464"/>
    <w:rsid w:val="005A05ED"/>
    <w:rsid w:val="005A060F"/>
    <w:rsid w:val="005A062F"/>
    <w:rsid w:val="005A09D1"/>
    <w:rsid w:val="005A0FF0"/>
    <w:rsid w:val="005A10C8"/>
    <w:rsid w:val="005A1422"/>
    <w:rsid w:val="005A178A"/>
    <w:rsid w:val="005A17DC"/>
    <w:rsid w:val="005A1C0D"/>
    <w:rsid w:val="005A1D58"/>
    <w:rsid w:val="005A1DCC"/>
    <w:rsid w:val="005A1EF4"/>
    <w:rsid w:val="005A25D1"/>
    <w:rsid w:val="005A27E9"/>
    <w:rsid w:val="005A2B8A"/>
    <w:rsid w:val="005A3374"/>
    <w:rsid w:val="005A361C"/>
    <w:rsid w:val="005A36AA"/>
    <w:rsid w:val="005A391D"/>
    <w:rsid w:val="005A3994"/>
    <w:rsid w:val="005A3A30"/>
    <w:rsid w:val="005A3A35"/>
    <w:rsid w:val="005A3C50"/>
    <w:rsid w:val="005A3D36"/>
    <w:rsid w:val="005A4DC5"/>
    <w:rsid w:val="005A567F"/>
    <w:rsid w:val="005A5764"/>
    <w:rsid w:val="005A578D"/>
    <w:rsid w:val="005A585D"/>
    <w:rsid w:val="005A5CC4"/>
    <w:rsid w:val="005A614B"/>
    <w:rsid w:val="005A61D7"/>
    <w:rsid w:val="005A667E"/>
    <w:rsid w:val="005A66B0"/>
    <w:rsid w:val="005A68C0"/>
    <w:rsid w:val="005A6B8A"/>
    <w:rsid w:val="005A776C"/>
    <w:rsid w:val="005A7FD3"/>
    <w:rsid w:val="005B0003"/>
    <w:rsid w:val="005B0064"/>
    <w:rsid w:val="005B01A2"/>
    <w:rsid w:val="005B0215"/>
    <w:rsid w:val="005B034F"/>
    <w:rsid w:val="005B037E"/>
    <w:rsid w:val="005B078C"/>
    <w:rsid w:val="005B0810"/>
    <w:rsid w:val="005B085B"/>
    <w:rsid w:val="005B0B81"/>
    <w:rsid w:val="005B0D19"/>
    <w:rsid w:val="005B0E93"/>
    <w:rsid w:val="005B1075"/>
    <w:rsid w:val="005B11EE"/>
    <w:rsid w:val="005B13D6"/>
    <w:rsid w:val="005B18CE"/>
    <w:rsid w:val="005B1912"/>
    <w:rsid w:val="005B196B"/>
    <w:rsid w:val="005B1B5F"/>
    <w:rsid w:val="005B1B90"/>
    <w:rsid w:val="005B2024"/>
    <w:rsid w:val="005B26C5"/>
    <w:rsid w:val="005B26FF"/>
    <w:rsid w:val="005B2A19"/>
    <w:rsid w:val="005B2C30"/>
    <w:rsid w:val="005B2CCF"/>
    <w:rsid w:val="005B2D6B"/>
    <w:rsid w:val="005B34FF"/>
    <w:rsid w:val="005B380D"/>
    <w:rsid w:val="005B3D22"/>
    <w:rsid w:val="005B40CF"/>
    <w:rsid w:val="005B46B9"/>
    <w:rsid w:val="005B4920"/>
    <w:rsid w:val="005B5065"/>
    <w:rsid w:val="005B5184"/>
    <w:rsid w:val="005B586E"/>
    <w:rsid w:val="005B58C7"/>
    <w:rsid w:val="005B5A5B"/>
    <w:rsid w:val="005B5E72"/>
    <w:rsid w:val="005B600F"/>
    <w:rsid w:val="005B60F1"/>
    <w:rsid w:val="005B60F2"/>
    <w:rsid w:val="005B6D30"/>
    <w:rsid w:val="005B751D"/>
    <w:rsid w:val="005B7BB0"/>
    <w:rsid w:val="005C02FA"/>
    <w:rsid w:val="005C03A5"/>
    <w:rsid w:val="005C05DB"/>
    <w:rsid w:val="005C0B91"/>
    <w:rsid w:val="005C0E9A"/>
    <w:rsid w:val="005C10B9"/>
    <w:rsid w:val="005C133C"/>
    <w:rsid w:val="005C1574"/>
    <w:rsid w:val="005C162C"/>
    <w:rsid w:val="005C1AE6"/>
    <w:rsid w:val="005C1AED"/>
    <w:rsid w:val="005C1E02"/>
    <w:rsid w:val="005C220F"/>
    <w:rsid w:val="005C244D"/>
    <w:rsid w:val="005C2808"/>
    <w:rsid w:val="005C294B"/>
    <w:rsid w:val="005C2D72"/>
    <w:rsid w:val="005C2F47"/>
    <w:rsid w:val="005C32E7"/>
    <w:rsid w:val="005C3537"/>
    <w:rsid w:val="005C35A2"/>
    <w:rsid w:val="005C375D"/>
    <w:rsid w:val="005C3A19"/>
    <w:rsid w:val="005C3C20"/>
    <w:rsid w:val="005C3E5E"/>
    <w:rsid w:val="005C4E46"/>
    <w:rsid w:val="005C4FEC"/>
    <w:rsid w:val="005C526A"/>
    <w:rsid w:val="005C5C64"/>
    <w:rsid w:val="005C5DEA"/>
    <w:rsid w:val="005C6A84"/>
    <w:rsid w:val="005C6B8B"/>
    <w:rsid w:val="005C6C5A"/>
    <w:rsid w:val="005C6CF4"/>
    <w:rsid w:val="005C6D8F"/>
    <w:rsid w:val="005C6FA9"/>
    <w:rsid w:val="005C70C3"/>
    <w:rsid w:val="005C742B"/>
    <w:rsid w:val="005C75EC"/>
    <w:rsid w:val="005C79C0"/>
    <w:rsid w:val="005C7B97"/>
    <w:rsid w:val="005D0015"/>
    <w:rsid w:val="005D0218"/>
    <w:rsid w:val="005D02B1"/>
    <w:rsid w:val="005D068A"/>
    <w:rsid w:val="005D06B1"/>
    <w:rsid w:val="005D1114"/>
    <w:rsid w:val="005D118B"/>
    <w:rsid w:val="005D17D7"/>
    <w:rsid w:val="005D180A"/>
    <w:rsid w:val="005D1B54"/>
    <w:rsid w:val="005D1C33"/>
    <w:rsid w:val="005D1FB5"/>
    <w:rsid w:val="005D221C"/>
    <w:rsid w:val="005D24D2"/>
    <w:rsid w:val="005D25F0"/>
    <w:rsid w:val="005D2748"/>
    <w:rsid w:val="005D27F6"/>
    <w:rsid w:val="005D2A6C"/>
    <w:rsid w:val="005D2AB9"/>
    <w:rsid w:val="005D2C79"/>
    <w:rsid w:val="005D2CAC"/>
    <w:rsid w:val="005D2D3A"/>
    <w:rsid w:val="005D340A"/>
    <w:rsid w:val="005D34D1"/>
    <w:rsid w:val="005D38E6"/>
    <w:rsid w:val="005D44E6"/>
    <w:rsid w:val="005D4771"/>
    <w:rsid w:val="005D481D"/>
    <w:rsid w:val="005D4849"/>
    <w:rsid w:val="005D4A46"/>
    <w:rsid w:val="005D4BF5"/>
    <w:rsid w:val="005D5089"/>
    <w:rsid w:val="005D534B"/>
    <w:rsid w:val="005D5A2C"/>
    <w:rsid w:val="005D5C87"/>
    <w:rsid w:val="005D5EA9"/>
    <w:rsid w:val="005D6173"/>
    <w:rsid w:val="005D625C"/>
    <w:rsid w:val="005D66B7"/>
    <w:rsid w:val="005D6716"/>
    <w:rsid w:val="005D69E3"/>
    <w:rsid w:val="005D6AC0"/>
    <w:rsid w:val="005D72A6"/>
    <w:rsid w:val="005D7A8D"/>
    <w:rsid w:val="005D7C3F"/>
    <w:rsid w:val="005D7F2A"/>
    <w:rsid w:val="005E05F9"/>
    <w:rsid w:val="005E089D"/>
    <w:rsid w:val="005E0907"/>
    <w:rsid w:val="005E094E"/>
    <w:rsid w:val="005E0AB8"/>
    <w:rsid w:val="005E1216"/>
    <w:rsid w:val="005E138E"/>
    <w:rsid w:val="005E1414"/>
    <w:rsid w:val="005E1439"/>
    <w:rsid w:val="005E1764"/>
    <w:rsid w:val="005E1819"/>
    <w:rsid w:val="005E1BD2"/>
    <w:rsid w:val="005E2127"/>
    <w:rsid w:val="005E2704"/>
    <w:rsid w:val="005E2836"/>
    <w:rsid w:val="005E2886"/>
    <w:rsid w:val="005E2A69"/>
    <w:rsid w:val="005E2BD1"/>
    <w:rsid w:val="005E2C94"/>
    <w:rsid w:val="005E2E8A"/>
    <w:rsid w:val="005E3014"/>
    <w:rsid w:val="005E30C0"/>
    <w:rsid w:val="005E3379"/>
    <w:rsid w:val="005E351F"/>
    <w:rsid w:val="005E4156"/>
    <w:rsid w:val="005E44F6"/>
    <w:rsid w:val="005E48D4"/>
    <w:rsid w:val="005E4A1B"/>
    <w:rsid w:val="005E4D27"/>
    <w:rsid w:val="005E4E16"/>
    <w:rsid w:val="005E4ECB"/>
    <w:rsid w:val="005E5265"/>
    <w:rsid w:val="005E5525"/>
    <w:rsid w:val="005E55BF"/>
    <w:rsid w:val="005E5C99"/>
    <w:rsid w:val="005E6CFB"/>
    <w:rsid w:val="005E6DBE"/>
    <w:rsid w:val="005E6E2E"/>
    <w:rsid w:val="005E6EB0"/>
    <w:rsid w:val="005E6F20"/>
    <w:rsid w:val="005E6F50"/>
    <w:rsid w:val="005E7175"/>
    <w:rsid w:val="005E717E"/>
    <w:rsid w:val="005E78DA"/>
    <w:rsid w:val="005E7A50"/>
    <w:rsid w:val="005F0246"/>
    <w:rsid w:val="005F0550"/>
    <w:rsid w:val="005F0924"/>
    <w:rsid w:val="005F0992"/>
    <w:rsid w:val="005F0BDC"/>
    <w:rsid w:val="005F0D4E"/>
    <w:rsid w:val="005F10B9"/>
    <w:rsid w:val="005F10D9"/>
    <w:rsid w:val="005F1626"/>
    <w:rsid w:val="005F1633"/>
    <w:rsid w:val="005F19E2"/>
    <w:rsid w:val="005F27C5"/>
    <w:rsid w:val="005F2939"/>
    <w:rsid w:val="005F2EC4"/>
    <w:rsid w:val="005F300B"/>
    <w:rsid w:val="005F3198"/>
    <w:rsid w:val="005F4008"/>
    <w:rsid w:val="005F4276"/>
    <w:rsid w:val="005F451C"/>
    <w:rsid w:val="005F464A"/>
    <w:rsid w:val="005F485A"/>
    <w:rsid w:val="005F4B1D"/>
    <w:rsid w:val="005F4DE0"/>
    <w:rsid w:val="005F502A"/>
    <w:rsid w:val="005F509D"/>
    <w:rsid w:val="005F555D"/>
    <w:rsid w:val="005F5659"/>
    <w:rsid w:val="005F57EC"/>
    <w:rsid w:val="005F5B11"/>
    <w:rsid w:val="005F5B2E"/>
    <w:rsid w:val="005F643D"/>
    <w:rsid w:val="005F66F3"/>
    <w:rsid w:val="005F6782"/>
    <w:rsid w:val="005F6A1C"/>
    <w:rsid w:val="005F6A46"/>
    <w:rsid w:val="005F6AC4"/>
    <w:rsid w:val="005F743D"/>
    <w:rsid w:val="005F78FB"/>
    <w:rsid w:val="005F7DFB"/>
    <w:rsid w:val="005F7EF9"/>
    <w:rsid w:val="005F7FF5"/>
    <w:rsid w:val="006000CB"/>
    <w:rsid w:val="006000DE"/>
    <w:rsid w:val="00600133"/>
    <w:rsid w:val="006002C8"/>
    <w:rsid w:val="00600627"/>
    <w:rsid w:val="00600CD6"/>
    <w:rsid w:val="00600D63"/>
    <w:rsid w:val="00600E3A"/>
    <w:rsid w:val="00600F94"/>
    <w:rsid w:val="00600F9A"/>
    <w:rsid w:val="006010C8"/>
    <w:rsid w:val="0060148B"/>
    <w:rsid w:val="0060169D"/>
    <w:rsid w:val="006016C8"/>
    <w:rsid w:val="0060183E"/>
    <w:rsid w:val="0060185B"/>
    <w:rsid w:val="00601E77"/>
    <w:rsid w:val="006020EA"/>
    <w:rsid w:val="00602423"/>
    <w:rsid w:val="00602538"/>
    <w:rsid w:val="006027D7"/>
    <w:rsid w:val="0060288E"/>
    <w:rsid w:val="006031B6"/>
    <w:rsid w:val="006032A0"/>
    <w:rsid w:val="0060343C"/>
    <w:rsid w:val="006034CC"/>
    <w:rsid w:val="0060352C"/>
    <w:rsid w:val="00603668"/>
    <w:rsid w:val="0060373F"/>
    <w:rsid w:val="0060375E"/>
    <w:rsid w:val="00603972"/>
    <w:rsid w:val="00603C42"/>
    <w:rsid w:val="00604248"/>
    <w:rsid w:val="00604A0C"/>
    <w:rsid w:val="00604CD2"/>
    <w:rsid w:val="00605327"/>
    <w:rsid w:val="006055A0"/>
    <w:rsid w:val="006055C7"/>
    <w:rsid w:val="00605AB9"/>
    <w:rsid w:val="00605B77"/>
    <w:rsid w:val="006062A6"/>
    <w:rsid w:val="006064B3"/>
    <w:rsid w:val="00606633"/>
    <w:rsid w:val="00606A35"/>
    <w:rsid w:val="00606C1E"/>
    <w:rsid w:val="00606E79"/>
    <w:rsid w:val="00607967"/>
    <w:rsid w:val="006079C9"/>
    <w:rsid w:val="00607B2A"/>
    <w:rsid w:val="00607CBA"/>
    <w:rsid w:val="0061007F"/>
    <w:rsid w:val="00610474"/>
    <w:rsid w:val="00610670"/>
    <w:rsid w:val="00610A47"/>
    <w:rsid w:val="00610B94"/>
    <w:rsid w:val="00610BDB"/>
    <w:rsid w:val="00610DAA"/>
    <w:rsid w:val="00610E67"/>
    <w:rsid w:val="00611026"/>
    <w:rsid w:val="00611030"/>
    <w:rsid w:val="00611428"/>
    <w:rsid w:val="0061150A"/>
    <w:rsid w:val="006117E5"/>
    <w:rsid w:val="00611C92"/>
    <w:rsid w:val="006121C2"/>
    <w:rsid w:val="0061228D"/>
    <w:rsid w:val="0061235D"/>
    <w:rsid w:val="00612927"/>
    <w:rsid w:val="006129F8"/>
    <w:rsid w:val="00612B29"/>
    <w:rsid w:val="006130DC"/>
    <w:rsid w:val="006136C5"/>
    <w:rsid w:val="00613824"/>
    <w:rsid w:val="00613BD7"/>
    <w:rsid w:val="00613E2D"/>
    <w:rsid w:val="00614663"/>
    <w:rsid w:val="00614795"/>
    <w:rsid w:val="00614A5F"/>
    <w:rsid w:val="00614A93"/>
    <w:rsid w:val="00614BBE"/>
    <w:rsid w:val="00614CBA"/>
    <w:rsid w:val="00615046"/>
    <w:rsid w:val="0061537D"/>
    <w:rsid w:val="006155DF"/>
    <w:rsid w:val="00615F41"/>
    <w:rsid w:val="0061605C"/>
    <w:rsid w:val="0061624C"/>
    <w:rsid w:val="00616535"/>
    <w:rsid w:val="006167E3"/>
    <w:rsid w:val="00616D9A"/>
    <w:rsid w:val="00616F01"/>
    <w:rsid w:val="0061708B"/>
    <w:rsid w:val="00620484"/>
    <w:rsid w:val="006207D5"/>
    <w:rsid w:val="006207FE"/>
    <w:rsid w:val="00620990"/>
    <w:rsid w:val="00620FB1"/>
    <w:rsid w:val="00621548"/>
    <w:rsid w:val="00621CB7"/>
    <w:rsid w:val="0062222E"/>
    <w:rsid w:val="00622248"/>
    <w:rsid w:val="0062284D"/>
    <w:rsid w:val="00622A00"/>
    <w:rsid w:val="00622AC8"/>
    <w:rsid w:val="00622D0B"/>
    <w:rsid w:val="00622EF3"/>
    <w:rsid w:val="006230FF"/>
    <w:rsid w:val="00623693"/>
    <w:rsid w:val="0062376F"/>
    <w:rsid w:val="0062395C"/>
    <w:rsid w:val="00623A30"/>
    <w:rsid w:val="00623A7D"/>
    <w:rsid w:val="00623B82"/>
    <w:rsid w:val="00623E8A"/>
    <w:rsid w:val="00624178"/>
    <w:rsid w:val="00624412"/>
    <w:rsid w:val="00624708"/>
    <w:rsid w:val="00624A0A"/>
    <w:rsid w:val="00624A3C"/>
    <w:rsid w:val="00624C25"/>
    <w:rsid w:val="00624CF6"/>
    <w:rsid w:val="00624DFA"/>
    <w:rsid w:val="00624F40"/>
    <w:rsid w:val="00625BA5"/>
    <w:rsid w:val="00625C6C"/>
    <w:rsid w:val="00625ED6"/>
    <w:rsid w:val="00625FB6"/>
    <w:rsid w:val="00625FCF"/>
    <w:rsid w:val="00626164"/>
    <w:rsid w:val="0062618D"/>
    <w:rsid w:val="00626829"/>
    <w:rsid w:val="0062703E"/>
    <w:rsid w:val="00627358"/>
    <w:rsid w:val="006277AB"/>
    <w:rsid w:val="00630985"/>
    <w:rsid w:val="00630A20"/>
    <w:rsid w:val="00630EEC"/>
    <w:rsid w:val="00631022"/>
    <w:rsid w:val="00631284"/>
    <w:rsid w:val="006313B9"/>
    <w:rsid w:val="0063175D"/>
    <w:rsid w:val="006320A3"/>
    <w:rsid w:val="00632427"/>
    <w:rsid w:val="006327A5"/>
    <w:rsid w:val="0063294D"/>
    <w:rsid w:val="00632CB2"/>
    <w:rsid w:val="00632D62"/>
    <w:rsid w:val="00632F36"/>
    <w:rsid w:val="00632FCA"/>
    <w:rsid w:val="00633365"/>
    <w:rsid w:val="00633B66"/>
    <w:rsid w:val="00633BA6"/>
    <w:rsid w:val="00633C84"/>
    <w:rsid w:val="00633E4F"/>
    <w:rsid w:val="00634651"/>
    <w:rsid w:val="00634E7C"/>
    <w:rsid w:val="00635290"/>
    <w:rsid w:val="00635603"/>
    <w:rsid w:val="006359C8"/>
    <w:rsid w:val="006359D5"/>
    <w:rsid w:val="00636072"/>
    <w:rsid w:val="00636168"/>
    <w:rsid w:val="0063684A"/>
    <w:rsid w:val="00636CAD"/>
    <w:rsid w:val="00636FD6"/>
    <w:rsid w:val="0063752D"/>
    <w:rsid w:val="00637992"/>
    <w:rsid w:val="00637ACE"/>
    <w:rsid w:val="00637D5E"/>
    <w:rsid w:val="00640312"/>
    <w:rsid w:val="006407CD"/>
    <w:rsid w:val="00640A59"/>
    <w:rsid w:val="00640BCC"/>
    <w:rsid w:val="00640FAD"/>
    <w:rsid w:val="006414DC"/>
    <w:rsid w:val="00641884"/>
    <w:rsid w:val="006418BA"/>
    <w:rsid w:val="00641D78"/>
    <w:rsid w:val="00641FE8"/>
    <w:rsid w:val="006426D0"/>
    <w:rsid w:val="0064278C"/>
    <w:rsid w:val="0064280F"/>
    <w:rsid w:val="0064283C"/>
    <w:rsid w:val="0064291C"/>
    <w:rsid w:val="006429D5"/>
    <w:rsid w:val="00642CE2"/>
    <w:rsid w:val="00642FF2"/>
    <w:rsid w:val="006431BB"/>
    <w:rsid w:val="00643381"/>
    <w:rsid w:val="006439B4"/>
    <w:rsid w:val="00643DE3"/>
    <w:rsid w:val="00643F5A"/>
    <w:rsid w:val="00643F5D"/>
    <w:rsid w:val="00643F9D"/>
    <w:rsid w:val="006441B0"/>
    <w:rsid w:val="006446DF"/>
    <w:rsid w:val="006446FB"/>
    <w:rsid w:val="00644B08"/>
    <w:rsid w:val="00644D21"/>
    <w:rsid w:val="00644E8F"/>
    <w:rsid w:val="00645321"/>
    <w:rsid w:val="00645654"/>
    <w:rsid w:val="00645719"/>
    <w:rsid w:val="00645E06"/>
    <w:rsid w:val="00646115"/>
    <w:rsid w:val="006462D4"/>
    <w:rsid w:val="00646533"/>
    <w:rsid w:val="00646ADB"/>
    <w:rsid w:val="00646DCE"/>
    <w:rsid w:val="00646E68"/>
    <w:rsid w:val="006473B1"/>
    <w:rsid w:val="006473CD"/>
    <w:rsid w:val="0064770D"/>
    <w:rsid w:val="00647CFD"/>
    <w:rsid w:val="006507FD"/>
    <w:rsid w:val="0065087E"/>
    <w:rsid w:val="00650EF6"/>
    <w:rsid w:val="006510DB"/>
    <w:rsid w:val="0065168D"/>
    <w:rsid w:val="0065189E"/>
    <w:rsid w:val="006519F6"/>
    <w:rsid w:val="00651B21"/>
    <w:rsid w:val="00652197"/>
    <w:rsid w:val="006521B4"/>
    <w:rsid w:val="006523B0"/>
    <w:rsid w:val="00652471"/>
    <w:rsid w:val="00652BE7"/>
    <w:rsid w:val="00652F0A"/>
    <w:rsid w:val="00652F34"/>
    <w:rsid w:val="0065361E"/>
    <w:rsid w:val="00653943"/>
    <w:rsid w:val="00653A3E"/>
    <w:rsid w:val="00653B36"/>
    <w:rsid w:val="00653DF5"/>
    <w:rsid w:val="00654318"/>
    <w:rsid w:val="00654394"/>
    <w:rsid w:val="00654400"/>
    <w:rsid w:val="00654713"/>
    <w:rsid w:val="00655029"/>
    <w:rsid w:val="00655756"/>
    <w:rsid w:val="00655784"/>
    <w:rsid w:val="00655896"/>
    <w:rsid w:val="00655A5D"/>
    <w:rsid w:val="00655E36"/>
    <w:rsid w:val="00655F51"/>
    <w:rsid w:val="006560C9"/>
    <w:rsid w:val="0065614A"/>
    <w:rsid w:val="0065627C"/>
    <w:rsid w:val="006563BD"/>
    <w:rsid w:val="00656472"/>
    <w:rsid w:val="006565AD"/>
    <w:rsid w:val="00656865"/>
    <w:rsid w:val="006569A8"/>
    <w:rsid w:val="00656B20"/>
    <w:rsid w:val="00656BC1"/>
    <w:rsid w:val="00656DDD"/>
    <w:rsid w:val="00656F27"/>
    <w:rsid w:val="00657024"/>
    <w:rsid w:val="0065713A"/>
    <w:rsid w:val="00657406"/>
    <w:rsid w:val="00657583"/>
    <w:rsid w:val="00657EDC"/>
    <w:rsid w:val="00657FFA"/>
    <w:rsid w:val="006601F6"/>
    <w:rsid w:val="006604DE"/>
    <w:rsid w:val="0066057E"/>
    <w:rsid w:val="00660C44"/>
    <w:rsid w:val="00660D93"/>
    <w:rsid w:val="00661094"/>
    <w:rsid w:val="00661674"/>
    <w:rsid w:val="00661936"/>
    <w:rsid w:val="00661946"/>
    <w:rsid w:val="00661977"/>
    <w:rsid w:val="00661AF9"/>
    <w:rsid w:val="00661D39"/>
    <w:rsid w:val="006620F9"/>
    <w:rsid w:val="006624B2"/>
    <w:rsid w:val="006629AC"/>
    <w:rsid w:val="00662DAA"/>
    <w:rsid w:val="00662E39"/>
    <w:rsid w:val="00662EE8"/>
    <w:rsid w:val="00662FAB"/>
    <w:rsid w:val="00663172"/>
    <w:rsid w:val="00663911"/>
    <w:rsid w:val="00663B98"/>
    <w:rsid w:val="00663CAA"/>
    <w:rsid w:val="0066408A"/>
    <w:rsid w:val="006640E7"/>
    <w:rsid w:val="00664696"/>
    <w:rsid w:val="00664CEF"/>
    <w:rsid w:val="00664EA0"/>
    <w:rsid w:val="00664F4A"/>
    <w:rsid w:val="00664FB1"/>
    <w:rsid w:val="00664FD0"/>
    <w:rsid w:val="00665041"/>
    <w:rsid w:val="00665939"/>
    <w:rsid w:val="0066664A"/>
    <w:rsid w:val="00666686"/>
    <w:rsid w:val="006666F0"/>
    <w:rsid w:val="00666777"/>
    <w:rsid w:val="00666871"/>
    <w:rsid w:val="0066690D"/>
    <w:rsid w:val="00666B44"/>
    <w:rsid w:val="00666C18"/>
    <w:rsid w:val="00666D68"/>
    <w:rsid w:val="00666E11"/>
    <w:rsid w:val="00666E75"/>
    <w:rsid w:val="00667255"/>
    <w:rsid w:val="00667576"/>
    <w:rsid w:val="006676E3"/>
    <w:rsid w:val="006678D8"/>
    <w:rsid w:val="00667C9A"/>
    <w:rsid w:val="00667D65"/>
    <w:rsid w:val="00667DBC"/>
    <w:rsid w:val="00667F03"/>
    <w:rsid w:val="00670274"/>
    <w:rsid w:val="00670431"/>
    <w:rsid w:val="00670D71"/>
    <w:rsid w:val="0067128F"/>
    <w:rsid w:val="00671291"/>
    <w:rsid w:val="00671A73"/>
    <w:rsid w:val="00671A92"/>
    <w:rsid w:val="00671AE7"/>
    <w:rsid w:val="00671B66"/>
    <w:rsid w:val="00671DAF"/>
    <w:rsid w:val="00671E40"/>
    <w:rsid w:val="00672087"/>
    <w:rsid w:val="0067232A"/>
    <w:rsid w:val="00672BFA"/>
    <w:rsid w:val="00673024"/>
    <w:rsid w:val="00673339"/>
    <w:rsid w:val="006733A7"/>
    <w:rsid w:val="006733E0"/>
    <w:rsid w:val="006738A1"/>
    <w:rsid w:val="00673ABF"/>
    <w:rsid w:val="00674150"/>
    <w:rsid w:val="00674352"/>
    <w:rsid w:val="0067453E"/>
    <w:rsid w:val="00674786"/>
    <w:rsid w:val="00674C6F"/>
    <w:rsid w:val="00674D5A"/>
    <w:rsid w:val="00675001"/>
    <w:rsid w:val="006750BB"/>
    <w:rsid w:val="006755B2"/>
    <w:rsid w:val="0067576F"/>
    <w:rsid w:val="00675CE0"/>
    <w:rsid w:val="00676140"/>
    <w:rsid w:val="006761FA"/>
    <w:rsid w:val="00676313"/>
    <w:rsid w:val="0067671E"/>
    <w:rsid w:val="006768BA"/>
    <w:rsid w:val="006769EF"/>
    <w:rsid w:val="00676C07"/>
    <w:rsid w:val="00677134"/>
    <w:rsid w:val="006772A4"/>
    <w:rsid w:val="00677892"/>
    <w:rsid w:val="00677A66"/>
    <w:rsid w:val="00677DD3"/>
    <w:rsid w:val="00677DDF"/>
    <w:rsid w:val="00677EFE"/>
    <w:rsid w:val="00677F67"/>
    <w:rsid w:val="00680035"/>
    <w:rsid w:val="00680B2C"/>
    <w:rsid w:val="00680F73"/>
    <w:rsid w:val="00681004"/>
    <w:rsid w:val="00681095"/>
    <w:rsid w:val="006811D0"/>
    <w:rsid w:val="006811EB"/>
    <w:rsid w:val="00681755"/>
    <w:rsid w:val="006818E7"/>
    <w:rsid w:val="006819D5"/>
    <w:rsid w:val="00681D12"/>
    <w:rsid w:val="00681D5A"/>
    <w:rsid w:val="006825CD"/>
    <w:rsid w:val="00682C9D"/>
    <w:rsid w:val="00682E53"/>
    <w:rsid w:val="00682E78"/>
    <w:rsid w:val="006832EC"/>
    <w:rsid w:val="00683512"/>
    <w:rsid w:val="00683714"/>
    <w:rsid w:val="006837E2"/>
    <w:rsid w:val="00683B3E"/>
    <w:rsid w:val="00683B56"/>
    <w:rsid w:val="00683CB6"/>
    <w:rsid w:val="00683CCB"/>
    <w:rsid w:val="00684C7E"/>
    <w:rsid w:val="00684E1A"/>
    <w:rsid w:val="00684FAD"/>
    <w:rsid w:val="006856D5"/>
    <w:rsid w:val="00685AAC"/>
    <w:rsid w:val="00685B75"/>
    <w:rsid w:val="00685C38"/>
    <w:rsid w:val="006860DF"/>
    <w:rsid w:val="00686160"/>
    <w:rsid w:val="006865E2"/>
    <w:rsid w:val="00686755"/>
    <w:rsid w:val="006868E0"/>
    <w:rsid w:val="0068692D"/>
    <w:rsid w:val="00686AC4"/>
    <w:rsid w:val="00686ACB"/>
    <w:rsid w:val="00686C57"/>
    <w:rsid w:val="00686E0E"/>
    <w:rsid w:val="0068711A"/>
    <w:rsid w:val="00687C03"/>
    <w:rsid w:val="00687ED0"/>
    <w:rsid w:val="00690B5A"/>
    <w:rsid w:val="00690D96"/>
    <w:rsid w:val="00690FB3"/>
    <w:rsid w:val="00691115"/>
    <w:rsid w:val="00691571"/>
    <w:rsid w:val="006917DC"/>
    <w:rsid w:val="00691B01"/>
    <w:rsid w:val="00691B1E"/>
    <w:rsid w:val="006921B8"/>
    <w:rsid w:val="0069243F"/>
    <w:rsid w:val="006927D6"/>
    <w:rsid w:val="00692B53"/>
    <w:rsid w:val="00692FE5"/>
    <w:rsid w:val="0069410C"/>
    <w:rsid w:val="00694843"/>
    <w:rsid w:val="0069536E"/>
    <w:rsid w:val="0069568B"/>
    <w:rsid w:val="00695730"/>
    <w:rsid w:val="00695E6A"/>
    <w:rsid w:val="00695F55"/>
    <w:rsid w:val="0069634A"/>
    <w:rsid w:val="006968F1"/>
    <w:rsid w:val="006969E9"/>
    <w:rsid w:val="00696DC0"/>
    <w:rsid w:val="00696F12"/>
    <w:rsid w:val="00696F15"/>
    <w:rsid w:val="00697245"/>
    <w:rsid w:val="006973CA"/>
    <w:rsid w:val="006974B4"/>
    <w:rsid w:val="0069758F"/>
    <w:rsid w:val="00697704"/>
    <w:rsid w:val="00697A96"/>
    <w:rsid w:val="00697BD0"/>
    <w:rsid w:val="00697DFB"/>
    <w:rsid w:val="006A0130"/>
    <w:rsid w:val="006A02E9"/>
    <w:rsid w:val="006A0C2C"/>
    <w:rsid w:val="006A0E60"/>
    <w:rsid w:val="006A0E9D"/>
    <w:rsid w:val="006A103D"/>
    <w:rsid w:val="006A1137"/>
    <w:rsid w:val="006A165D"/>
    <w:rsid w:val="006A1797"/>
    <w:rsid w:val="006A17D1"/>
    <w:rsid w:val="006A17ED"/>
    <w:rsid w:val="006A208C"/>
    <w:rsid w:val="006A2CA5"/>
    <w:rsid w:val="006A322F"/>
    <w:rsid w:val="006A329C"/>
    <w:rsid w:val="006A336C"/>
    <w:rsid w:val="006A3510"/>
    <w:rsid w:val="006A3626"/>
    <w:rsid w:val="006A38F1"/>
    <w:rsid w:val="006A3979"/>
    <w:rsid w:val="006A3A42"/>
    <w:rsid w:val="006A3CD1"/>
    <w:rsid w:val="006A3E79"/>
    <w:rsid w:val="006A3EF1"/>
    <w:rsid w:val="006A3F68"/>
    <w:rsid w:val="006A3F73"/>
    <w:rsid w:val="006A41A2"/>
    <w:rsid w:val="006A45E8"/>
    <w:rsid w:val="006A46A4"/>
    <w:rsid w:val="006A4819"/>
    <w:rsid w:val="006A4891"/>
    <w:rsid w:val="006A4E2A"/>
    <w:rsid w:val="006A528D"/>
    <w:rsid w:val="006A5341"/>
    <w:rsid w:val="006A53D6"/>
    <w:rsid w:val="006A5B96"/>
    <w:rsid w:val="006A5E4C"/>
    <w:rsid w:val="006A5ED4"/>
    <w:rsid w:val="006A63EB"/>
    <w:rsid w:val="006A68BC"/>
    <w:rsid w:val="006A69FF"/>
    <w:rsid w:val="006A6A52"/>
    <w:rsid w:val="006A6B06"/>
    <w:rsid w:val="006A6C4F"/>
    <w:rsid w:val="006A718D"/>
    <w:rsid w:val="006A751D"/>
    <w:rsid w:val="006A75C0"/>
    <w:rsid w:val="006A773A"/>
    <w:rsid w:val="006A79C2"/>
    <w:rsid w:val="006A79C7"/>
    <w:rsid w:val="006A7A4D"/>
    <w:rsid w:val="006A7D6B"/>
    <w:rsid w:val="006A7ED3"/>
    <w:rsid w:val="006A7F04"/>
    <w:rsid w:val="006B0322"/>
    <w:rsid w:val="006B0335"/>
    <w:rsid w:val="006B0413"/>
    <w:rsid w:val="006B0689"/>
    <w:rsid w:val="006B06A1"/>
    <w:rsid w:val="006B0986"/>
    <w:rsid w:val="006B0AE5"/>
    <w:rsid w:val="006B0EC2"/>
    <w:rsid w:val="006B1217"/>
    <w:rsid w:val="006B16B5"/>
    <w:rsid w:val="006B185F"/>
    <w:rsid w:val="006B195D"/>
    <w:rsid w:val="006B1B13"/>
    <w:rsid w:val="006B1B15"/>
    <w:rsid w:val="006B1D68"/>
    <w:rsid w:val="006B21FD"/>
    <w:rsid w:val="006B22CE"/>
    <w:rsid w:val="006B2447"/>
    <w:rsid w:val="006B2785"/>
    <w:rsid w:val="006B2A8B"/>
    <w:rsid w:val="006B34B9"/>
    <w:rsid w:val="006B34DC"/>
    <w:rsid w:val="006B3BBF"/>
    <w:rsid w:val="006B3CD9"/>
    <w:rsid w:val="006B3FD6"/>
    <w:rsid w:val="006B42E9"/>
    <w:rsid w:val="006B42F7"/>
    <w:rsid w:val="006B44C2"/>
    <w:rsid w:val="006B4526"/>
    <w:rsid w:val="006B4647"/>
    <w:rsid w:val="006B4CF8"/>
    <w:rsid w:val="006B509D"/>
    <w:rsid w:val="006B513C"/>
    <w:rsid w:val="006B528B"/>
    <w:rsid w:val="006B557F"/>
    <w:rsid w:val="006B5757"/>
    <w:rsid w:val="006B581A"/>
    <w:rsid w:val="006B5C7D"/>
    <w:rsid w:val="006B63D6"/>
    <w:rsid w:val="006B685B"/>
    <w:rsid w:val="006B687F"/>
    <w:rsid w:val="006B6917"/>
    <w:rsid w:val="006B6C93"/>
    <w:rsid w:val="006B6F62"/>
    <w:rsid w:val="006B74B6"/>
    <w:rsid w:val="006B79F6"/>
    <w:rsid w:val="006B7EF2"/>
    <w:rsid w:val="006C03F7"/>
    <w:rsid w:val="006C0D2F"/>
    <w:rsid w:val="006C1322"/>
    <w:rsid w:val="006C13F1"/>
    <w:rsid w:val="006C1AA7"/>
    <w:rsid w:val="006C1B98"/>
    <w:rsid w:val="006C1E6D"/>
    <w:rsid w:val="006C227F"/>
    <w:rsid w:val="006C2430"/>
    <w:rsid w:val="006C26C7"/>
    <w:rsid w:val="006C2761"/>
    <w:rsid w:val="006C29A1"/>
    <w:rsid w:val="006C2A54"/>
    <w:rsid w:val="006C2B25"/>
    <w:rsid w:val="006C31D8"/>
    <w:rsid w:val="006C3B87"/>
    <w:rsid w:val="006C3F63"/>
    <w:rsid w:val="006C4255"/>
    <w:rsid w:val="006C496F"/>
    <w:rsid w:val="006C499E"/>
    <w:rsid w:val="006C4B7F"/>
    <w:rsid w:val="006C501C"/>
    <w:rsid w:val="006C51E0"/>
    <w:rsid w:val="006C5768"/>
    <w:rsid w:val="006C5B49"/>
    <w:rsid w:val="006C5B51"/>
    <w:rsid w:val="006C6590"/>
    <w:rsid w:val="006C691D"/>
    <w:rsid w:val="006C6BEE"/>
    <w:rsid w:val="006C6DF1"/>
    <w:rsid w:val="006C6F00"/>
    <w:rsid w:val="006C70B0"/>
    <w:rsid w:val="006C74C3"/>
    <w:rsid w:val="006C7811"/>
    <w:rsid w:val="006C7D78"/>
    <w:rsid w:val="006C7E98"/>
    <w:rsid w:val="006C7EA3"/>
    <w:rsid w:val="006C7ED6"/>
    <w:rsid w:val="006D006A"/>
    <w:rsid w:val="006D04A2"/>
    <w:rsid w:val="006D078E"/>
    <w:rsid w:val="006D088F"/>
    <w:rsid w:val="006D0F74"/>
    <w:rsid w:val="006D112B"/>
    <w:rsid w:val="006D188A"/>
    <w:rsid w:val="006D1910"/>
    <w:rsid w:val="006D1BCD"/>
    <w:rsid w:val="006D1C17"/>
    <w:rsid w:val="006D1DD5"/>
    <w:rsid w:val="006D1E0E"/>
    <w:rsid w:val="006D1EBE"/>
    <w:rsid w:val="006D1F50"/>
    <w:rsid w:val="006D1F5F"/>
    <w:rsid w:val="006D2749"/>
    <w:rsid w:val="006D27AA"/>
    <w:rsid w:val="006D2A4A"/>
    <w:rsid w:val="006D2D0F"/>
    <w:rsid w:val="006D2D63"/>
    <w:rsid w:val="006D2FA7"/>
    <w:rsid w:val="006D359E"/>
    <w:rsid w:val="006D360B"/>
    <w:rsid w:val="006D3661"/>
    <w:rsid w:val="006D36F3"/>
    <w:rsid w:val="006D3818"/>
    <w:rsid w:val="006D3A92"/>
    <w:rsid w:val="006D3C2E"/>
    <w:rsid w:val="006D3D8E"/>
    <w:rsid w:val="006D3ECB"/>
    <w:rsid w:val="006D4F4D"/>
    <w:rsid w:val="006D50A6"/>
    <w:rsid w:val="006D5338"/>
    <w:rsid w:val="006D5369"/>
    <w:rsid w:val="006D53DD"/>
    <w:rsid w:val="006D54CB"/>
    <w:rsid w:val="006D57F7"/>
    <w:rsid w:val="006D5D24"/>
    <w:rsid w:val="006D63BF"/>
    <w:rsid w:val="006D6533"/>
    <w:rsid w:val="006D6617"/>
    <w:rsid w:val="006D6990"/>
    <w:rsid w:val="006D70DF"/>
    <w:rsid w:val="006D7177"/>
    <w:rsid w:val="006D769D"/>
    <w:rsid w:val="006D76D0"/>
    <w:rsid w:val="006D77B6"/>
    <w:rsid w:val="006D7824"/>
    <w:rsid w:val="006D7F59"/>
    <w:rsid w:val="006E0051"/>
    <w:rsid w:val="006E0446"/>
    <w:rsid w:val="006E0837"/>
    <w:rsid w:val="006E085F"/>
    <w:rsid w:val="006E08C2"/>
    <w:rsid w:val="006E093C"/>
    <w:rsid w:val="006E0A3E"/>
    <w:rsid w:val="006E0BF0"/>
    <w:rsid w:val="006E129C"/>
    <w:rsid w:val="006E19F1"/>
    <w:rsid w:val="006E1F69"/>
    <w:rsid w:val="006E236E"/>
    <w:rsid w:val="006E2377"/>
    <w:rsid w:val="006E264B"/>
    <w:rsid w:val="006E26C1"/>
    <w:rsid w:val="006E29B5"/>
    <w:rsid w:val="006E2F62"/>
    <w:rsid w:val="006E3304"/>
    <w:rsid w:val="006E3D62"/>
    <w:rsid w:val="006E3DD1"/>
    <w:rsid w:val="006E3F1D"/>
    <w:rsid w:val="006E42C8"/>
    <w:rsid w:val="006E4812"/>
    <w:rsid w:val="006E4FD6"/>
    <w:rsid w:val="006E5141"/>
    <w:rsid w:val="006E58AC"/>
    <w:rsid w:val="006E5A83"/>
    <w:rsid w:val="006E5AF6"/>
    <w:rsid w:val="006E5D67"/>
    <w:rsid w:val="006E5F92"/>
    <w:rsid w:val="006E603B"/>
    <w:rsid w:val="006E6102"/>
    <w:rsid w:val="006E66C0"/>
    <w:rsid w:val="006E66F6"/>
    <w:rsid w:val="006E6A73"/>
    <w:rsid w:val="006E70CF"/>
    <w:rsid w:val="006E7174"/>
    <w:rsid w:val="006E7280"/>
    <w:rsid w:val="006E7723"/>
    <w:rsid w:val="006E7EC5"/>
    <w:rsid w:val="006E7F9F"/>
    <w:rsid w:val="006F04A8"/>
    <w:rsid w:val="006F065C"/>
    <w:rsid w:val="006F09C4"/>
    <w:rsid w:val="006F0A0E"/>
    <w:rsid w:val="006F0A4F"/>
    <w:rsid w:val="006F0C23"/>
    <w:rsid w:val="006F0DE3"/>
    <w:rsid w:val="006F0F04"/>
    <w:rsid w:val="006F0FDD"/>
    <w:rsid w:val="006F1386"/>
    <w:rsid w:val="006F140B"/>
    <w:rsid w:val="006F14E7"/>
    <w:rsid w:val="006F1624"/>
    <w:rsid w:val="006F16DE"/>
    <w:rsid w:val="006F20F6"/>
    <w:rsid w:val="006F20FF"/>
    <w:rsid w:val="006F2414"/>
    <w:rsid w:val="006F2779"/>
    <w:rsid w:val="006F2915"/>
    <w:rsid w:val="006F2E2C"/>
    <w:rsid w:val="006F2F28"/>
    <w:rsid w:val="006F3159"/>
    <w:rsid w:val="006F3220"/>
    <w:rsid w:val="006F33C7"/>
    <w:rsid w:val="006F3A13"/>
    <w:rsid w:val="006F3E19"/>
    <w:rsid w:val="006F3F83"/>
    <w:rsid w:val="006F450B"/>
    <w:rsid w:val="006F4932"/>
    <w:rsid w:val="006F4A77"/>
    <w:rsid w:val="006F4D84"/>
    <w:rsid w:val="006F4E5A"/>
    <w:rsid w:val="006F4FC4"/>
    <w:rsid w:val="006F5128"/>
    <w:rsid w:val="006F56AE"/>
    <w:rsid w:val="006F5965"/>
    <w:rsid w:val="006F59BB"/>
    <w:rsid w:val="006F5D33"/>
    <w:rsid w:val="006F6088"/>
    <w:rsid w:val="006F6111"/>
    <w:rsid w:val="006F617D"/>
    <w:rsid w:val="006F6680"/>
    <w:rsid w:val="006F7454"/>
    <w:rsid w:val="006F765A"/>
    <w:rsid w:val="006F7680"/>
    <w:rsid w:val="006F7CFB"/>
    <w:rsid w:val="00700197"/>
    <w:rsid w:val="007004DA"/>
    <w:rsid w:val="00700588"/>
    <w:rsid w:val="007005C2"/>
    <w:rsid w:val="00700DC0"/>
    <w:rsid w:val="00701354"/>
    <w:rsid w:val="007015B2"/>
    <w:rsid w:val="0070195F"/>
    <w:rsid w:val="00701A01"/>
    <w:rsid w:val="00701B55"/>
    <w:rsid w:val="00702040"/>
    <w:rsid w:val="007020EC"/>
    <w:rsid w:val="007026D2"/>
    <w:rsid w:val="0070289A"/>
    <w:rsid w:val="00702908"/>
    <w:rsid w:val="00702FF6"/>
    <w:rsid w:val="00703A48"/>
    <w:rsid w:val="00703A93"/>
    <w:rsid w:val="00703ED5"/>
    <w:rsid w:val="00703F21"/>
    <w:rsid w:val="007045D7"/>
    <w:rsid w:val="007049D2"/>
    <w:rsid w:val="00704E33"/>
    <w:rsid w:val="00705266"/>
    <w:rsid w:val="0070544F"/>
    <w:rsid w:val="00706297"/>
    <w:rsid w:val="007064BF"/>
    <w:rsid w:val="0070654F"/>
    <w:rsid w:val="007066E8"/>
    <w:rsid w:val="00706A1F"/>
    <w:rsid w:val="00706A34"/>
    <w:rsid w:val="00706B84"/>
    <w:rsid w:val="00706EB4"/>
    <w:rsid w:val="00706EBF"/>
    <w:rsid w:val="00706FA7"/>
    <w:rsid w:val="0070729B"/>
    <w:rsid w:val="00707308"/>
    <w:rsid w:val="007073AC"/>
    <w:rsid w:val="007074A9"/>
    <w:rsid w:val="007075B5"/>
    <w:rsid w:val="00707861"/>
    <w:rsid w:val="00707AEA"/>
    <w:rsid w:val="00707E1E"/>
    <w:rsid w:val="007103A6"/>
    <w:rsid w:val="0071074C"/>
    <w:rsid w:val="007108A1"/>
    <w:rsid w:val="00710A4D"/>
    <w:rsid w:val="00710B71"/>
    <w:rsid w:val="00710C23"/>
    <w:rsid w:val="00710D79"/>
    <w:rsid w:val="0071128E"/>
    <w:rsid w:val="007115B3"/>
    <w:rsid w:val="00711637"/>
    <w:rsid w:val="00711703"/>
    <w:rsid w:val="00711CD4"/>
    <w:rsid w:val="0071205F"/>
    <w:rsid w:val="00712243"/>
    <w:rsid w:val="00712653"/>
    <w:rsid w:val="007129D7"/>
    <w:rsid w:val="00712A79"/>
    <w:rsid w:val="007134D0"/>
    <w:rsid w:val="00713593"/>
    <w:rsid w:val="0071377F"/>
    <w:rsid w:val="007138CD"/>
    <w:rsid w:val="00713DF9"/>
    <w:rsid w:val="00714103"/>
    <w:rsid w:val="007142DC"/>
    <w:rsid w:val="00714522"/>
    <w:rsid w:val="007146E0"/>
    <w:rsid w:val="007147BA"/>
    <w:rsid w:val="007148A9"/>
    <w:rsid w:val="00714A4D"/>
    <w:rsid w:val="00714D8F"/>
    <w:rsid w:val="00715584"/>
    <w:rsid w:val="00715764"/>
    <w:rsid w:val="007158FD"/>
    <w:rsid w:val="00715B67"/>
    <w:rsid w:val="007160FB"/>
    <w:rsid w:val="007163F9"/>
    <w:rsid w:val="00716652"/>
    <w:rsid w:val="00716995"/>
    <w:rsid w:val="00716DEB"/>
    <w:rsid w:val="00716E6F"/>
    <w:rsid w:val="00716F62"/>
    <w:rsid w:val="007172B8"/>
    <w:rsid w:val="00717376"/>
    <w:rsid w:val="00717401"/>
    <w:rsid w:val="007175BD"/>
    <w:rsid w:val="00717E33"/>
    <w:rsid w:val="00717F4D"/>
    <w:rsid w:val="00720199"/>
    <w:rsid w:val="0072054A"/>
    <w:rsid w:val="00720837"/>
    <w:rsid w:val="00720863"/>
    <w:rsid w:val="007210AB"/>
    <w:rsid w:val="0072111A"/>
    <w:rsid w:val="007215A5"/>
    <w:rsid w:val="007217D0"/>
    <w:rsid w:val="0072192D"/>
    <w:rsid w:val="007219AE"/>
    <w:rsid w:val="00721A59"/>
    <w:rsid w:val="00721D4B"/>
    <w:rsid w:val="00722EC6"/>
    <w:rsid w:val="007230C3"/>
    <w:rsid w:val="00723909"/>
    <w:rsid w:val="00723A59"/>
    <w:rsid w:val="00723E2D"/>
    <w:rsid w:val="00723E8C"/>
    <w:rsid w:val="007243B7"/>
    <w:rsid w:val="00724429"/>
    <w:rsid w:val="0072454B"/>
    <w:rsid w:val="007248EB"/>
    <w:rsid w:val="00724ACB"/>
    <w:rsid w:val="00724B1D"/>
    <w:rsid w:val="00724D9E"/>
    <w:rsid w:val="00724F91"/>
    <w:rsid w:val="007254A2"/>
    <w:rsid w:val="0072568E"/>
    <w:rsid w:val="00726003"/>
    <w:rsid w:val="007262DC"/>
    <w:rsid w:val="00726842"/>
    <w:rsid w:val="00726909"/>
    <w:rsid w:val="00726A46"/>
    <w:rsid w:val="0072729D"/>
    <w:rsid w:val="007274E2"/>
    <w:rsid w:val="00727A37"/>
    <w:rsid w:val="00727AB1"/>
    <w:rsid w:val="00727B9B"/>
    <w:rsid w:val="00727F7F"/>
    <w:rsid w:val="0073047F"/>
    <w:rsid w:val="0073077D"/>
    <w:rsid w:val="00730947"/>
    <w:rsid w:val="00730C8E"/>
    <w:rsid w:val="00730FF7"/>
    <w:rsid w:val="0073133C"/>
    <w:rsid w:val="00731D36"/>
    <w:rsid w:val="007320BD"/>
    <w:rsid w:val="00732295"/>
    <w:rsid w:val="007322E5"/>
    <w:rsid w:val="007324A9"/>
    <w:rsid w:val="00732867"/>
    <w:rsid w:val="00732952"/>
    <w:rsid w:val="00732CF5"/>
    <w:rsid w:val="007336AC"/>
    <w:rsid w:val="007338E2"/>
    <w:rsid w:val="0073396B"/>
    <w:rsid w:val="00733AD9"/>
    <w:rsid w:val="00733B28"/>
    <w:rsid w:val="00733F35"/>
    <w:rsid w:val="00733F9C"/>
    <w:rsid w:val="00733FC1"/>
    <w:rsid w:val="00733FD4"/>
    <w:rsid w:val="00734422"/>
    <w:rsid w:val="00734A17"/>
    <w:rsid w:val="00734E91"/>
    <w:rsid w:val="007352A4"/>
    <w:rsid w:val="007354E9"/>
    <w:rsid w:val="0073551C"/>
    <w:rsid w:val="00735B1B"/>
    <w:rsid w:val="00735B82"/>
    <w:rsid w:val="00735FB0"/>
    <w:rsid w:val="00736189"/>
    <w:rsid w:val="007365D6"/>
    <w:rsid w:val="00736711"/>
    <w:rsid w:val="007368B8"/>
    <w:rsid w:val="00736A0D"/>
    <w:rsid w:val="00736B7E"/>
    <w:rsid w:val="00736DCE"/>
    <w:rsid w:val="00736EF4"/>
    <w:rsid w:val="0073714E"/>
    <w:rsid w:val="007373FB"/>
    <w:rsid w:val="0073742E"/>
    <w:rsid w:val="00737722"/>
    <w:rsid w:val="007378AE"/>
    <w:rsid w:val="00737982"/>
    <w:rsid w:val="007379AB"/>
    <w:rsid w:val="00737B88"/>
    <w:rsid w:val="00737CC7"/>
    <w:rsid w:val="00737D58"/>
    <w:rsid w:val="00737E8A"/>
    <w:rsid w:val="0074016D"/>
    <w:rsid w:val="00740216"/>
    <w:rsid w:val="00740346"/>
    <w:rsid w:val="0074057D"/>
    <w:rsid w:val="00740813"/>
    <w:rsid w:val="007408BE"/>
    <w:rsid w:val="00741448"/>
    <w:rsid w:val="00741626"/>
    <w:rsid w:val="00741A91"/>
    <w:rsid w:val="00741B25"/>
    <w:rsid w:val="00741D2C"/>
    <w:rsid w:val="007420AB"/>
    <w:rsid w:val="007423FD"/>
    <w:rsid w:val="0074279C"/>
    <w:rsid w:val="007428AA"/>
    <w:rsid w:val="007429C1"/>
    <w:rsid w:val="00742A09"/>
    <w:rsid w:val="00742C0E"/>
    <w:rsid w:val="007430A6"/>
    <w:rsid w:val="007431EB"/>
    <w:rsid w:val="0074369D"/>
    <w:rsid w:val="00743AE3"/>
    <w:rsid w:val="00743C19"/>
    <w:rsid w:val="00743FE9"/>
    <w:rsid w:val="007444EC"/>
    <w:rsid w:val="007449EA"/>
    <w:rsid w:val="007449FE"/>
    <w:rsid w:val="00744B90"/>
    <w:rsid w:val="00744DC8"/>
    <w:rsid w:val="00744EBF"/>
    <w:rsid w:val="0074520A"/>
    <w:rsid w:val="0074577B"/>
    <w:rsid w:val="00745D00"/>
    <w:rsid w:val="00745DE6"/>
    <w:rsid w:val="00745FC5"/>
    <w:rsid w:val="0074626A"/>
    <w:rsid w:val="007469A9"/>
    <w:rsid w:val="00746C27"/>
    <w:rsid w:val="00746E88"/>
    <w:rsid w:val="00747340"/>
    <w:rsid w:val="0074764A"/>
    <w:rsid w:val="0074775A"/>
    <w:rsid w:val="00747817"/>
    <w:rsid w:val="00747E9A"/>
    <w:rsid w:val="00747F11"/>
    <w:rsid w:val="007506BD"/>
    <w:rsid w:val="00750968"/>
    <w:rsid w:val="0075106D"/>
    <w:rsid w:val="007514E8"/>
    <w:rsid w:val="0075155B"/>
    <w:rsid w:val="00751D4B"/>
    <w:rsid w:val="00751DE4"/>
    <w:rsid w:val="00751E70"/>
    <w:rsid w:val="0075266D"/>
    <w:rsid w:val="00752942"/>
    <w:rsid w:val="00752951"/>
    <w:rsid w:val="00752F55"/>
    <w:rsid w:val="00752FF5"/>
    <w:rsid w:val="00753108"/>
    <w:rsid w:val="0075323D"/>
    <w:rsid w:val="00753283"/>
    <w:rsid w:val="00753838"/>
    <w:rsid w:val="00753931"/>
    <w:rsid w:val="00753AB1"/>
    <w:rsid w:val="007540B4"/>
    <w:rsid w:val="007540E3"/>
    <w:rsid w:val="0075468F"/>
    <w:rsid w:val="0075473E"/>
    <w:rsid w:val="00754E80"/>
    <w:rsid w:val="00754E89"/>
    <w:rsid w:val="007550E6"/>
    <w:rsid w:val="007550FE"/>
    <w:rsid w:val="0075518F"/>
    <w:rsid w:val="007552D8"/>
    <w:rsid w:val="007555DA"/>
    <w:rsid w:val="00755734"/>
    <w:rsid w:val="007559A9"/>
    <w:rsid w:val="007559CC"/>
    <w:rsid w:val="00755A96"/>
    <w:rsid w:val="0075633C"/>
    <w:rsid w:val="007564A6"/>
    <w:rsid w:val="00756FF8"/>
    <w:rsid w:val="00757613"/>
    <w:rsid w:val="007578C3"/>
    <w:rsid w:val="00757956"/>
    <w:rsid w:val="00757ACC"/>
    <w:rsid w:val="00757DEC"/>
    <w:rsid w:val="007603A9"/>
    <w:rsid w:val="007605D1"/>
    <w:rsid w:val="00760DA3"/>
    <w:rsid w:val="00760EC6"/>
    <w:rsid w:val="007610E9"/>
    <w:rsid w:val="00761214"/>
    <w:rsid w:val="0076144A"/>
    <w:rsid w:val="00761972"/>
    <w:rsid w:val="00761985"/>
    <w:rsid w:val="007620A8"/>
    <w:rsid w:val="007624AB"/>
    <w:rsid w:val="00762783"/>
    <w:rsid w:val="00762AFF"/>
    <w:rsid w:val="00762B2A"/>
    <w:rsid w:val="00762B9D"/>
    <w:rsid w:val="00762BB0"/>
    <w:rsid w:val="00762EE4"/>
    <w:rsid w:val="0076311C"/>
    <w:rsid w:val="0076316B"/>
    <w:rsid w:val="007634E9"/>
    <w:rsid w:val="0076373E"/>
    <w:rsid w:val="007639A6"/>
    <w:rsid w:val="00763F63"/>
    <w:rsid w:val="007647B9"/>
    <w:rsid w:val="00764F61"/>
    <w:rsid w:val="0076511B"/>
    <w:rsid w:val="00765431"/>
    <w:rsid w:val="0076546F"/>
    <w:rsid w:val="007656DD"/>
    <w:rsid w:val="00765952"/>
    <w:rsid w:val="00765A16"/>
    <w:rsid w:val="00765E81"/>
    <w:rsid w:val="00766400"/>
    <w:rsid w:val="007666AE"/>
    <w:rsid w:val="00766A7B"/>
    <w:rsid w:val="007672FC"/>
    <w:rsid w:val="0076757E"/>
    <w:rsid w:val="00770402"/>
    <w:rsid w:val="007709AA"/>
    <w:rsid w:val="007709DE"/>
    <w:rsid w:val="00770B56"/>
    <w:rsid w:val="00770CDB"/>
    <w:rsid w:val="00770D56"/>
    <w:rsid w:val="0077133F"/>
    <w:rsid w:val="00771583"/>
    <w:rsid w:val="0077159F"/>
    <w:rsid w:val="00771758"/>
    <w:rsid w:val="00771842"/>
    <w:rsid w:val="00771D26"/>
    <w:rsid w:val="007720E7"/>
    <w:rsid w:val="007722D0"/>
    <w:rsid w:val="0077269A"/>
    <w:rsid w:val="00772B5F"/>
    <w:rsid w:val="00772CA3"/>
    <w:rsid w:val="00772F5F"/>
    <w:rsid w:val="0077317D"/>
    <w:rsid w:val="007731C0"/>
    <w:rsid w:val="007733D8"/>
    <w:rsid w:val="0077371A"/>
    <w:rsid w:val="007737BF"/>
    <w:rsid w:val="0077389C"/>
    <w:rsid w:val="00773BAC"/>
    <w:rsid w:val="00773E0A"/>
    <w:rsid w:val="00773E46"/>
    <w:rsid w:val="00773F49"/>
    <w:rsid w:val="00774046"/>
    <w:rsid w:val="00774AA3"/>
    <w:rsid w:val="00774D29"/>
    <w:rsid w:val="00774F70"/>
    <w:rsid w:val="00775026"/>
    <w:rsid w:val="00775361"/>
    <w:rsid w:val="00775403"/>
    <w:rsid w:val="0077544C"/>
    <w:rsid w:val="007756C6"/>
    <w:rsid w:val="00775D04"/>
    <w:rsid w:val="00775F49"/>
    <w:rsid w:val="00776986"/>
    <w:rsid w:val="007771DB"/>
    <w:rsid w:val="007772AC"/>
    <w:rsid w:val="00777B55"/>
    <w:rsid w:val="00777CEC"/>
    <w:rsid w:val="00777D1A"/>
    <w:rsid w:val="0078011F"/>
    <w:rsid w:val="0078068B"/>
    <w:rsid w:val="007806BB"/>
    <w:rsid w:val="00781CDB"/>
    <w:rsid w:val="007823B7"/>
    <w:rsid w:val="00782538"/>
    <w:rsid w:val="0078285F"/>
    <w:rsid w:val="007829BF"/>
    <w:rsid w:val="007829E9"/>
    <w:rsid w:val="00782BB9"/>
    <w:rsid w:val="00782BBE"/>
    <w:rsid w:val="00783105"/>
    <w:rsid w:val="007831C6"/>
    <w:rsid w:val="00783301"/>
    <w:rsid w:val="00783513"/>
    <w:rsid w:val="007835B0"/>
    <w:rsid w:val="00783699"/>
    <w:rsid w:val="00783782"/>
    <w:rsid w:val="00783C9F"/>
    <w:rsid w:val="00783CB6"/>
    <w:rsid w:val="00783D84"/>
    <w:rsid w:val="00783DB1"/>
    <w:rsid w:val="00783E47"/>
    <w:rsid w:val="007840A6"/>
    <w:rsid w:val="007845DE"/>
    <w:rsid w:val="00784961"/>
    <w:rsid w:val="00784A7D"/>
    <w:rsid w:val="00784CB7"/>
    <w:rsid w:val="00784D80"/>
    <w:rsid w:val="00784FAC"/>
    <w:rsid w:val="00785896"/>
    <w:rsid w:val="0078597D"/>
    <w:rsid w:val="00785DA9"/>
    <w:rsid w:val="00785E54"/>
    <w:rsid w:val="0078602E"/>
    <w:rsid w:val="00786481"/>
    <w:rsid w:val="007868A2"/>
    <w:rsid w:val="007868E4"/>
    <w:rsid w:val="00786939"/>
    <w:rsid w:val="00786978"/>
    <w:rsid w:val="007869E5"/>
    <w:rsid w:val="00786CEC"/>
    <w:rsid w:val="00786E15"/>
    <w:rsid w:val="007871BE"/>
    <w:rsid w:val="00787529"/>
    <w:rsid w:val="0078755A"/>
    <w:rsid w:val="007875F1"/>
    <w:rsid w:val="00787AF4"/>
    <w:rsid w:val="00787BF4"/>
    <w:rsid w:val="007904F4"/>
    <w:rsid w:val="00790506"/>
    <w:rsid w:val="00790728"/>
    <w:rsid w:val="00790731"/>
    <w:rsid w:val="00790B18"/>
    <w:rsid w:val="00790E6A"/>
    <w:rsid w:val="007919F3"/>
    <w:rsid w:val="00791AD2"/>
    <w:rsid w:val="00791CAF"/>
    <w:rsid w:val="00791CDA"/>
    <w:rsid w:val="00792295"/>
    <w:rsid w:val="007924DB"/>
    <w:rsid w:val="00792543"/>
    <w:rsid w:val="007925B0"/>
    <w:rsid w:val="00792670"/>
    <w:rsid w:val="0079268B"/>
    <w:rsid w:val="00792A5B"/>
    <w:rsid w:val="00792D92"/>
    <w:rsid w:val="00792FB3"/>
    <w:rsid w:val="007937C0"/>
    <w:rsid w:val="00793E0E"/>
    <w:rsid w:val="00793E9A"/>
    <w:rsid w:val="00793F5C"/>
    <w:rsid w:val="0079445C"/>
    <w:rsid w:val="007944E7"/>
    <w:rsid w:val="0079539C"/>
    <w:rsid w:val="00795416"/>
    <w:rsid w:val="0079548A"/>
    <w:rsid w:val="00795534"/>
    <w:rsid w:val="00795544"/>
    <w:rsid w:val="007957DE"/>
    <w:rsid w:val="007958D2"/>
    <w:rsid w:val="00795A83"/>
    <w:rsid w:val="00795C04"/>
    <w:rsid w:val="00796228"/>
    <w:rsid w:val="0079625A"/>
    <w:rsid w:val="0079627D"/>
    <w:rsid w:val="007964B5"/>
    <w:rsid w:val="00796903"/>
    <w:rsid w:val="00796A5F"/>
    <w:rsid w:val="00796B4E"/>
    <w:rsid w:val="00796B6C"/>
    <w:rsid w:val="00797045"/>
    <w:rsid w:val="007971E5"/>
    <w:rsid w:val="0079761F"/>
    <w:rsid w:val="00797CA2"/>
    <w:rsid w:val="00797F98"/>
    <w:rsid w:val="007A013A"/>
    <w:rsid w:val="007A02D7"/>
    <w:rsid w:val="007A02F1"/>
    <w:rsid w:val="007A03C6"/>
    <w:rsid w:val="007A0C04"/>
    <w:rsid w:val="007A0CE4"/>
    <w:rsid w:val="007A0DF7"/>
    <w:rsid w:val="007A11A8"/>
    <w:rsid w:val="007A12B5"/>
    <w:rsid w:val="007A15FF"/>
    <w:rsid w:val="007A1C2C"/>
    <w:rsid w:val="007A1CE4"/>
    <w:rsid w:val="007A1D27"/>
    <w:rsid w:val="007A1EE6"/>
    <w:rsid w:val="007A1FD9"/>
    <w:rsid w:val="007A2102"/>
    <w:rsid w:val="007A2119"/>
    <w:rsid w:val="007A27D9"/>
    <w:rsid w:val="007A2B2C"/>
    <w:rsid w:val="007A3042"/>
    <w:rsid w:val="007A3377"/>
    <w:rsid w:val="007A363B"/>
    <w:rsid w:val="007A3FFD"/>
    <w:rsid w:val="007A408C"/>
    <w:rsid w:val="007A41C8"/>
    <w:rsid w:val="007A43D5"/>
    <w:rsid w:val="007A4677"/>
    <w:rsid w:val="007A4AFC"/>
    <w:rsid w:val="007A4B40"/>
    <w:rsid w:val="007A5058"/>
    <w:rsid w:val="007A5289"/>
    <w:rsid w:val="007A562A"/>
    <w:rsid w:val="007A5795"/>
    <w:rsid w:val="007A5E66"/>
    <w:rsid w:val="007A6278"/>
    <w:rsid w:val="007A635E"/>
    <w:rsid w:val="007A649D"/>
    <w:rsid w:val="007A6C02"/>
    <w:rsid w:val="007A6F5C"/>
    <w:rsid w:val="007A70AB"/>
    <w:rsid w:val="007A73A5"/>
    <w:rsid w:val="007A74FF"/>
    <w:rsid w:val="007A7630"/>
    <w:rsid w:val="007A7705"/>
    <w:rsid w:val="007A781E"/>
    <w:rsid w:val="007A7977"/>
    <w:rsid w:val="007B00D9"/>
    <w:rsid w:val="007B034E"/>
    <w:rsid w:val="007B03BF"/>
    <w:rsid w:val="007B0844"/>
    <w:rsid w:val="007B08D2"/>
    <w:rsid w:val="007B0BE2"/>
    <w:rsid w:val="007B11C0"/>
    <w:rsid w:val="007B141D"/>
    <w:rsid w:val="007B1458"/>
    <w:rsid w:val="007B1552"/>
    <w:rsid w:val="007B171A"/>
    <w:rsid w:val="007B198F"/>
    <w:rsid w:val="007B1EAF"/>
    <w:rsid w:val="007B23F1"/>
    <w:rsid w:val="007B24EE"/>
    <w:rsid w:val="007B2776"/>
    <w:rsid w:val="007B28CD"/>
    <w:rsid w:val="007B2DA5"/>
    <w:rsid w:val="007B2F91"/>
    <w:rsid w:val="007B31BE"/>
    <w:rsid w:val="007B33EB"/>
    <w:rsid w:val="007B3AD0"/>
    <w:rsid w:val="007B3BAE"/>
    <w:rsid w:val="007B40BF"/>
    <w:rsid w:val="007B42D9"/>
    <w:rsid w:val="007B44DC"/>
    <w:rsid w:val="007B4790"/>
    <w:rsid w:val="007B4BB9"/>
    <w:rsid w:val="007B559F"/>
    <w:rsid w:val="007B5A0E"/>
    <w:rsid w:val="007B5ED0"/>
    <w:rsid w:val="007B60BD"/>
    <w:rsid w:val="007B63FD"/>
    <w:rsid w:val="007B65D5"/>
    <w:rsid w:val="007B65ED"/>
    <w:rsid w:val="007B66E7"/>
    <w:rsid w:val="007B6D9C"/>
    <w:rsid w:val="007B71FD"/>
    <w:rsid w:val="007B7442"/>
    <w:rsid w:val="007B749A"/>
    <w:rsid w:val="007B76AA"/>
    <w:rsid w:val="007B7A1E"/>
    <w:rsid w:val="007B7C5B"/>
    <w:rsid w:val="007B7CE4"/>
    <w:rsid w:val="007B7F1F"/>
    <w:rsid w:val="007C0183"/>
    <w:rsid w:val="007C01D8"/>
    <w:rsid w:val="007C03D3"/>
    <w:rsid w:val="007C048C"/>
    <w:rsid w:val="007C05DD"/>
    <w:rsid w:val="007C06B0"/>
    <w:rsid w:val="007C0888"/>
    <w:rsid w:val="007C0EE1"/>
    <w:rsid w:val="007C104B"/>
    <w:rsid w:val="007C147D"/>
    <w:rsid w:val="007C17A1"/>
    <w:rsid w:val="007C1987"/>
    <w:rsid w:val="007C19BE"/>
    <w:rsid w:val="007C1AA8"/>
    <w:rsid w:val="007C1AC9"/>
    <w:rsid w:val="007C1B58"/>
    <w:rsid w:val="007C1B5C"/>
    <w:rsid w:val="007C2028"/>
    <w:rsid w:val="007C2195"/>
    <w:rsid w:val="007C2235"/>
    <w:rsid w:val="007C24B2"/>
    <w:rsid w:val="007C2660"/>
    <w:rsid w:val="007C26DD"/>
    <w:rsid w:val="007C2F92"/>
    <w:rsid w:val="007C37CA"/>
    <w:rsid w:val="007C39E3"/>
    <w:rsid w:val="007C3A46"/>
    <w:rsid w:val="007C3A52"/>
    <w:rsid w:val="007C3BEA"/>
    <w:rsid w:val="007C3C40"/>
    <w:rsid w:val="007C3E46"/>
    <w:rsid w:val="007C3E5B"/>
    <w:rsid w:val="007C4019"/>
    <w:rsid w:val="007C4455"/>
    <w:rsid w:val="007C46D6"/>
    <w:rsid w:val="007C472E"/>
    <w:rsid w:val="007C4740"/>
    <w:rsid w:val="007C494C"/>
    <w:rsid w:val="007C4A4F"/>
    <w:rsid w:val="007C4C91"/>
    <w:rsid w:val="007C4F7B"/>
    <w:rsid w:val="007C503B"/>
    <w:rsid w:val="007C5065"/>
    <w:rsid w:val="007C507D"/>
    <w:rsid w:val="007C51BA"/>
    <w:rsid w:val="007C52B4"/>
    <w:rsid w:val="007C5414"/>
    <w:rsid w:val="007C5968"/>
    <w:rsid w:val="007C5B88"/>
    <w:rsid w:val="007C5FB0"/>
    <w:rsid w:val="007C6A8D"/>
    <w:rsid w:val="007C6AB4"/>
    <w:rsid w:val="007C6EEB"/>
    <w:rsid w:val="007C6EED"/>
    <w:rsid w:val="007C6FBB"/>
    <w:rsid w:val="007C7084"/>
    <w:rsid w:val="007C727A"/>
    <w:rsid w:val="007C77C5"/>
    <w:rsid w:val="007C7A4C"/>
    <w:rsid w:val="007C7BB1"/>
    <w:rsid w:val="007C7C5D"/>
    <w:rsid w:val="007C7CF5"/>
    <w:rsid w:val="007C7F3E"/>
    <w:rsid w:val="007D02AF"/>
    <w:rsid w:val="007D0547"/>
    <w:rsid w:val="007D064E"/>
    <w:rsid w:val="007D07F9"/>
    <w:rsid w:val="007D0883"/>
    <w:rsid w:val="007D0F2B"/>
    <w:rsid w:val="007D0FD6"/>
    <w:rsid w:val="007D1195"/>
    <w:rsid w:val="007D1D45"/>
    <w:rsid w:val="007D1DB2"/>
    <w:rsid w:val="007D206F"/>
    <w:rsid w:val="007D21EC"/>
    <w:rsid w:val="007D2555"/>
    <w:rsid w:val="007D2605"/>
    <w:rsid w:val="007D267E"/>
    <w:rsid w:val="007D2A5F"/>
    <w:rsid w:val="007D2B78"/>
    <w:rsid w:val="007D2C78"/>
    <w:rsid w:val="007D2D39"/>
    <w:rsid w:val="007D2F6D"/>
    <w:rsid w:val="007D316D"/>
    <w:rsid w:val="007D3D18"/>
    <w:rsid w:val="007D4061"/>
    <w:rsid w:val="007D460E"/>
    <w:rsid w:val="007D4ABE"/>
    <w:rsid w:val="007D4D03"/>
    <w:rsid w:val="007D52F9"/>
    <w:rsid w:val="007D5620"/>
    <w:rsid w:val="007D5AFE"/>
    <w:rsid w:val="007D5C04"/>
    <w:rsid w:val="007D5C95"/>
    <w:rsid w:val="007D5CF7"/>
    <w:rsid w:val="007D5DD5"/>
    <w:rsid w:val="007D6BF8"/>
    <w:rsid w:val="007D6C36"/>
    <w:rsid w:val="007D75D3"/>
    <w:rsid w:val="007D7709"/>
    <w:rsid w:val="007D7850"/>
    <w:rsid w:val="007D7A34"/>
    <w:rsid w:val="007D7A86"/>
    <w:rsid w:val="007D7FDB"/>
    <w:rsid w:val="007E0381"/>
    <w:rsid w:val="007E0556"/>
    <w:rsid w:val="007E0A05"/>
    <w:rsid w:val="007E0BF3"/>
    <w:rsid w:val="007E0D43"/>
    <w:rsid w:val="007E111B"/>
    <w:rsid w:val="007E12B9"/>
    <w:rsid w:val="007E1356"/>
    <w:rsid w:val="007E1814"/>
    <w:rsid w:val="007E1E6E"/>
    <w:rsid w:val="007E1ED5"/>
    <w:rsid w:val="007E21B8"/>
    <w:rsid w:val="007E26E6"/>
    <w:rsid w:val="007E27F8"/>
    <w:rsid w:val="007E28D1"/>
    <w:rsid w:val="007E2A55"/>
    <w:rsid w:val="007E2A90"/>
    <w:rsid w:val="007E2B13"/>
    <w:rsid w:val="007E2B77"/>
    <w:rsid w:val="007E2B97"/>
    <w:rsid w:val="007E3048"/>
    <w:rsid w:val="007E31AB"/>
    <w:rsid w:val="007E3222"/>
    <w:rsid w:val="007E3607"/>
    <w:rsid w:val="007E366E"/>
    <w:rsid w:val="007E3734"/>
    <w:rsid w:val="007E3B70"/>
    <w:rsid w:val="007E3BFE"/>
    <w:rsid w:val="007E3EA7"/>
    <w:rsid w:val="007E3F6C"/>
    <w:rsid w:val="007E40B8"/>
    <w:rsid w:val="007E4767"/>
    <w:rsid w:val="007E4818"/>
    <w:rsid w:val="007E4AE0"/>
    <w:rsid w:val="007E4F8E"/>
    <w:rsid w:val="007E50B6"/>
    <w:rsid w:val="007E524D"/>
    <w:rsid w:val="007E5685"/>
    <w:rsid w:val="007E5B4B"/>
    <w:rsid w:val="007E5BA2"/>
    <w:rsid w:val="007E6356"/>
    <w:rsid w:val="007E678F"/>
    <w:rsid w:val="007E6B8A"/>
    <w:rsid w:val="007E6E42"/>
    <w:rsid w:val="007E6E89"/>
    <w:rsid w:val="007E6F70"/>
    <w:rsid w:val="007E6F99"/>
    <w:rsid w:val="007E76A3"/>
    <w:rsid w:val="007E7DD2"/>
    <w:rsid w:val="007F00AA"/>
    <w:rsid w:val="007F02A4"/>
    <w:rsid w:val="007F036C"/>
    <w:rsid w:val="007F04D6"/>
    <w:rsid w:val="007F06F4"/>
    <w:rsid w:val="007F0912"/>
    <w:rsid w:val="007F0F1C"/>
    <w:rsid w:val="007F1690"/>
    <w:rsid w:val="007F174C"/>
    <w:rsid w:val="007F19A1"/>
    <w:rsid w:val="007F1AD1"/>
    <w:rsid w:val="007F1B1A"/>
    <w:rsid w:val="007F28EF"/>
    <w:rsid w:val="007F2973"/>
    <w:rsid w:val="007F2AD9"/>
    <w:rsid w:val="007F30FF"/>
    <w:rsid w:val="007F310D"/>
    <w:rsid w:val="007F3509"/>
    <w:rsid w:val="007F3632"/>
    <w:rsid w:val="007F363C"/>
    <w:rsid w:val="007F3B23"/>
    <w:rsid w:val="007F3F20"/>
    <w:rsid w:val="007F4185"/>
    <w:rsid w:val="007F4638"/>
    <w:rsid w:val="007F4AD2"/>
    <w:rsid w:val="007F4B8D"/>
    <w:rsid w:val="007F6168"/>
    <w:rsid w:val="007F6193"/>
    <w:rsid w:val="007F61C6"/>
    <w:rsid w:val="007F61C9"/>
    <w:rsid w:val="007F62BF"/>
    <w:rsid w:val="007F678A"/>
    <w:rsid w:val="007F6817"/>
    <w:rsid w:val="007F6BD6"/>
    <w:rsid w:val="007F6DC3"/>
    <w:rsid w:val="007F6E69"/>
    <w:rsid w:val="007F6F6A"/>
    <w:rsid w:val="007F7005"/>
    <w:rsid w:val="007F738F"/>
    <w:rsid w:val="007F7497"/>
    <w:rsid w:val="007F77A4"/>
    <w:rsid w:val="007F78CA"/>
    <w:rsid w:val="007F7BC2"/>
    <w:rsid w:val="00800010"/>
    <w:rsid w:val="0080025E"/>
    <w:rsid w:val="00800F1D"/>
    <w:rsid w:val="00801381"/>
    <w:rsid w:val="008015A2"/>
    <w:rsid w:val="00801C1B"/>
    <w:rsid w:val="00801CC7"/>
    <w:rsid w:val="00802509"/>
    <w:rsid w:val="0080289B"/>
    <w:rsid w:val="00802A7B"/>
    <w:rsid w:val="0080341C"/>
    <w:rsid w:val="00803D15"/>
    <w:rsid w:val="008040C1"/>
    <w:rsid w:val="008045B1"/>
    <w:rsid w:val="00804679"/>
    <w:rsid w:val="00804A4F"/>
    <w:rsid w:val="00804B53"/>
    <w:rsid w:val="00804D82"/>
    <w:rsid w:val="00804F60"/>
    <w:rsid w:val="00805819"/>
    <w:rsid w:val="00805A87"/>
    <w:rsid w:val="00805B14"/>
    <w:rsid w:val="00805C91"/>
    <w:rsid w:val="00805EA4"/>
    <w:rsid w:val="0080624B"/>
    <w:rsid w:val="008062EA"/>
    <w:rsid w:val="008063FE"/>
    <w:rsid w:val="0080644D"/>
    <w:rsid w:val="00806467"/>
    <w:rsid w:val="008064F0"/>
    <w:rsid w:val="008068E5"/>
    <w:rsid w:val="00806CB2"/>
    <w:rsid w:val="00806D19"/>
    <w:rsid w:val="00806D89"/>
    <w:rsid w:val="008072CF"/>
    <w:rsid w:val="00807369"/>
    <w:rsid w:val="008073ED"/>
    <w:rsid w:val="00807633"/>
    <w:rsid w:val="00807846"/>
    <w:rsid w:val="00807916"/>
    <w:rsid w:val="00807C3A"/>
    <w:rsid w:val="0081013B"/>
    <w:rsid w:val="00810277"/>
    <w:rsid w:val="0081035C"/>
    <w:rsid w:val="00810512"/>
    <w:rsid w:val="00810FF3"/>
    <w:rsid w:val="00811599"/>
    <w:rsid w:val="00811842"/>
    <w:rsid w:val="00811EF4"/>
    <w:rsid w:val="008122ED"/>
    <w:rsid w:val="008124E9"/>
    <w:rsid w:val="0081282E"/>
    <w:rsid w:val="00812843"/>
    <w:rsid w:val="00812A8C"/>
    <w:rsid w:val="00812D80"/>
    <w:rsid w:val="00813077"/>
    <w:rsid w:val="008134B4"/>
    <w:rsid w:val="00813559"/>
    <w:rsid w:val="008136EE"/>
    <w:rsid w:val="00813799"/>
    <w:rsid w:val="00813F4C"/>
    <w:rsid w:val="0081428C"/>
    <w:rsid w:val="008144E6"/>
    <w:rsid w:val="0081455C"/>
    <w:rsid w:val="0081459E"/>
    <w:rsid w:val="00814A78"/>
    <w:rsid w:val="00814B72"/>
    <w:rsid w:val="00814E1B"/>
    <w:rsid w:val="00815217"/>
    <w:rsid w:val="00815780"/>
    <w:rsid w:val="008159C6"/>
    <w:rsid w:val="00815D19"/>
    <w:rsid w:val="00815D66"/>
    <w:rsid w:val="00815FA9"/>
    <w:rsid w:val="0081624F"/>
    <w:rsid w:val="00816329"/>
    <w:rsid w:val="008166EF"/>
    <w:rsid w:val="008167CF"/>
    <w:rsid w:val="008168C7"/>
    <w:rsid w:val="00816BB8"/>
    <w:rsid w:val="0081742A"/>
    <w:rsid w:val="00817B4F"/>
    <w:rsid w:val="00817C51"/>
    <w:rsid w:val="00817D19"/>
    <w:rsid w:val="00817F8D"/>
    <w:rsid w:val="008201CF"/>
    <w:rsid w:val="00820225"/>
    <w:rsid w:val="008203B6"/>
    <w:rsid w:val="00820425"/>
    <w:rsid w:val="00820A07"/>
    <w:rsid w:val="00821075"/>
    <w:rsid w:val="00821187"/>
    <w:rsid w:val="00821F62"/>
    <w:rsid w:val="00822075"/>
    <w:rsid w:val="00822288"/>
    <w:rsid w:val="00822642"/>
    <w:rsid w:val="0082265E"/>
    <w:rsid w:val="008226AF"/>
    <w:rsid w:val="00822DA8"/>
    <w:rsid w:val="00823079"/>
    <w:rsid w:val="00823421"/>
    <w:rsid w:val="0082347D"/>
    <w:rsid w:val="00823B80"/>
    <w:rsid w:val="008241AE"/>
    <w:rsid w:val="0082431C"/>
    <w:rsid w:val="0082438B"/>
    <w:rsid w:val="008244CD"/>
    <w:rsid w:val="00824546"/>
    <w:rsid w:val="00824628"/>
    <w:rsid w:val="00824638"/>
    <w:rsid w:val="00824AEA"/>
    <w:rsid w:val="00824BAD"/>
    <w:rsid w:val="00824D45"/>
    <w:rsid w:val="00824E0C"/>
    <w:rsid w:val="00825257"/>
    <w:rsid w:val="00825482"/>
    <w:rsid w:val="008256FD"/>
    <w:rsid w:val="008258CC"/>
    <w:rsid w:val="00825908"/>
    <w:rsid w:val="00825AF2"/>
    <w:rsid w:val="00825B18"/>
    <w:rsid w:val="00825B52"/>
    <w:rsid w:val="00825E4C"/>
    <w:rsid w:val="0082637E"/>
    <w:rsid w:val="00826935"/>
    <w:rsid w:val="00826A34"/>
    <w:rsid w:val="00826AD7"/>
    <w:rsid w:val="0082719C"/>
    <w:rsid w:val="008271D8"/>
    <w:rsid w:val="00827229"/>
    <w:rsid w:val="0082743B"/>
    <w:rsid w:val="008277FE"/>
    <w:rsid w:val="00830A0E"/>
    <w:rsid w:val="00830B7A"/>
    <w:rsid w:val="0083111A"/>
    <w:rsid w:val="00831EDA"/>
    <w:rsid w:val="00831F5E"/>
    <w:rsid w:val="008320E1"/>
    <w:rsid w:val="008324C8"/>
    <w:rsid w:val="00832807"/>
    <w:rsid w:val="00832ED8"/>
    <w:rsid w:val="008331FA"/>
    <w:rsid w:val="0083342F"/>
    <w:rsid w:val="0083360A"/>
    <w:rsid w:val="00833996"/>
    <w:rsid w:val="00834228"/>
    <w:rsid w:val="008345EB"/>
    <w:rsid w:val="00834619"/>
    <w:rsid w:val="0083485D"/>
    <w:rsid w:val="00835788"/>
    <w:rsid w:val="0083586B"/>
    <w:rsid w:val="00835BC4"/>
    <w:rsid w:val="00835F3C"/>
    <w:rsid w:val="008364AB"/>
    <w:rsid w:val="0083695F"/>
    <w:rsid w:val="00836CBC"/>
    <w:rsid w:val="00836CFA"/>
    <w:rsid w:val="0083712E"/>
    <w:rsid w:val="00837D01"/>
    <w:rsid w:val="00837FD3"/>
    <w:rsid w:val="00840A58"/>
    <w:rsid w:val="00840AE1"/>
    <w:rsid w:val="00840AF2"/>
    <w:rsid w:val="00840DCF"/>
    <w:rsid w:val="00840FCC"/>
    <w:rsid w:val="00841431"/>
    <w:rsid w:val="0084143E"/>
    <w:rsid w:val="008414E3"/>
    <w:rsid w:val="00841AFF"/>
    <w:rsid w:val="00841B74"/>
    <w:rsid w:val="008420B1"/>
    <w:rsid w:val="0084212C"/>
    <w:rsid w:val="00842296"/>
    <w:rsid w:val="0084252A"/>
    <w:rsid w:val="0084255A"/>
    <w:rsid w:val="008425D8"/>
    <w:rsid w:val="00842C5E"/>
    <w:rsid w:val="00842E30"/>
    <w:rsid w:val="008431F2"/>
    <w:rsid w:val="00843368"/>
    <w:rsid w:val="008435CC"/>
    <w:rsid w:val="008436D4"/>
    <w:rsid w:val="008437A2"/>
    <w:rsid w:val="00843A97"/>
    <w:rsid w:val="00843CC4"/>
    <w:rsid w:val="00843DE9"/>
    <w:rsid w:val="00844131"/>
    <w:rsid w:val="0084422F"/>
    <w:rsid w:val="0084426C"/>
    <w:rsid w:val="008449A4"/>
    <w:rsid w:val="00844B93"/>
    <w:rsid w:val="00844D67"/>
    <w:rsid w:val="00844F69"/>
    <w:rsid w:val="00845017"/>
    <w:rsid w:val="008451D5"/>
    <w:rsid w:val="00845611"/>
    <w:rsid w:val="00845B10"/>
    <w:rsid w:val="0084627F"/>
    <w:rsid w:val="00846300"/>
    <w:rsid w:val="008469AC"/>
    <w:rsid w:val="00846A31"/>
    <w:rsid w:val="00846B97"/>
    <w:rsid w:val="00846DDB"/>
    <w:rsid w:val="00847058"/>
    <w:rsid w:val="0084720B"/>
    <w:rsid w:val="0084772E"/>
    <w:rsid w:val="0084779E"/>
    <w:rsid w:val="00847C15"/>
    <w:rsid w:val="00847C48"/>
    <w:rsid w:val="00847CDC"/>
    <w:rsid w:val="00847D67"/>
    <w:rsid w:val="00847E4D"/>
    <w:rsid w:val="00850210"/>
    <w:rsid w:val="008502FA"/>
    <w:rsid w:val="00850401"/>
    <w:rsid w:val="00850441"/>
    <w:rsid w:val="0085062D"/>
    <w:rsid w:val="00850638"/>
    <w:rsid w:val="008507AF"/>
    <w:rsid w:val="008508F6"/>
    <w:rsid w:val="00850969"/>
    <w:rsid w:val="008509C6"/>
    <w:rsid w:val="00850C71"/>
    <w:rsid w:val="00851381"/>
    <w:rsid w:val="00851473"/>
    <w:rsid w:val="00852456"/>
    <w:rsid w:val="008528BC"/>
    <w:rsid w:val="00852B7E"/>
    <w:rsid w:val="00852F28"/>
    <w:rsid w:val="0085351D"/>
    <w:rsid w:val="00853615"/>
    <w:rsid w:val="008538FC"/>
    <w:rsid w:val="0085391D"/>
    <w:rsid w:val="00853BB8"/>
    <w:rsid w:val="00853D16"/>
    <w:rsid w:val="00853E97"/>
    <w:rsid w:val="00853FD8"/>
    <w:rsid w:val="00854068"/>
    <w:rsid w:val="0085421D"/>
    <w:rsid w:val="008542D5"/>
    <w:rsid w:val="00854467"/>
    <w:rsid w:val="0085472E"/>
    <w:rsid w:val="008549A0"/>
    <w:rsid w:val="00854BA5"/>
    <w:rsid w:val="00854CD6"/>
    <w:rsid w:val="00854D29"/>
    <w:rsid w:val="00855732"/>
    <w:rsid w:val="0085597A"/>
    <w:rsid w:val="00855A94"/>
    <w:rsid w:val="008560AF"/>
    <w:rsid w:val="00856494"/>
    <w:rsid w:val="008564C2"/>
    <w:rsid w:val="00856B42"/>
    <w:rsid w:val="00856B87"/>
    <w:rsid w:val="00856D9E"/>
    <w:rsid w:val="00856E29"/>
    <w:rsid w:val="00856F37"/>
    <w:rsid w:val="00856FD1"/>
    <w:rsid w:val="00856FDE"/>
    <w:rsid w:val="0085726B"/>
    <w:rsid w:val="00857313"/>
    <w:rsid w:val="00857562"/>
    <w:rsid w:val="00857655"/>
    <w:rsid w:val="008579B4"/>
    <w:rsid w:val="00857E55"/>
    <w:rsid w:val="00860401"/>
    <w:rsid w:val="0086050C"/>
    <w:rsid w:val="008605D4"/>
    <w:rsid w:val="008607DB"/>
    <w:rsid w:val="00860822"/>
    <w:rsid w:val="00860B13"/>
    <w:rsid w:val="00861471"/>
    <w:rsid w:val="008616FD"/>
    <w:rsid w:val="00861843"/>
    <w:rsid w:val="008618A6"/>
    <w:rsid w:val="00861B36"/>
    <w:rsid w:val="00861BCA"/>
    <w:rsid w:val="00862036"/>
    <w:rsid w:val="008622B8"/>
    <w:rsid w:val="008622FA"/>
    <w:rsid w:val="00862648"/>
    <w:rsid w:val="00862A46"/>
    <w:rsid w:val="00862CC1"/>
    <w:rsid w:val="00862D72"/>
    <w:rsid w:val="008636C1"/>
    <w:rsid w:val="00863ACB"/>
    <w:rsid w:val="00863C21"/>
    <w:rsid w:val="00863CF1"/>
    <w:rsid w:val="00864427"/>
    <w:rsid w:val="00864448"/>
    <w:rsid w:val="00864950"/>
    <w:rsid w:val="008654D8"/>
    <w:rsid w:val="00865600"/>
    <w:rsid w:val="00865694"/>
    <w:rsid w:val="008658EC"/>
    <w:rsid w:val="00865903"/>
    <w:rsid w:val="0086591E"/>
    <w:rsid w:val="00865B48"/>
    <w:rsid w:val="00866130"/>
    <w:rsid w:val="00866239"/>
    <w:rsid w:val="00866442"/>
    <w:rsid w:val="00866622"/>
    <w:rsid w:val="00866868"/>
    <w:rsid w:val="008668D0"/>
    <w:rsid w:val="00866DCC"/>
    <w:rsid w:val="00866E90"/>
    <w:rsid w:val="008673D9"/>
    <w:rsid w:val="00867C88"/>
    <w:rsid w:val="00867EC7"/>
    <w:rsid w:val="00870030"/>
    <w:rsid w:val="008700F8"/>
    <w:rsid w:val="00870117"/>
    <w:rsid w:val="00870344"/>
    <w:rsid w:val="00870457"/>
    <w:rsid w:val="008706A3"/>
    <w:rsid w:val="00870C52"/>
    <w:rsid w:val="00870D64"/>
    <w:rsid w:val="00871058"/>
    <w:rsid w:val="008712B2"/>
    <w:rsid w:val="0087182C"/>
    <w:rsid w:val="00871874"/>
    <w:rsid w:val="00871DFD"/>
    <w:rsid w:val="008721E6"/>
    <w:rsid w:val="008722A9"/>
    <w:rsid w:val="00872506"/>
    <w:rsid w:val="00872565"/>
    <w:rsid w:val="00872B47"/>
    <w:rsid w:val="00872C71"/>
    <w:rsid w:val="008730C4"/>
    <w:rsid w:val="008731FE"/>
    <w:rsid w:val="008733C2"/>
    <w:rsid w:val="00873938"/>
    <w:rsid w:val="00873A0C"/>
    <w:rsid w:val="00873CF0"/>
    <w:rsid w:val="00873D50"/>
    <w:rsid w:val="00873DEC"/>
    <w:rsid w:val="00873F42"/>
    <w:rsid w:val="008743D2"/>
    <w:rsid w:val="0087475D"/>
    <w:rsid w:val="00874BFD"/>
    <w:rsid w:val="00874FA5"/>
    <w:rsid w:val="008753AC"/>
    <w:rsid w:val="008756CA"/>
    <w:rsid w:val="00875A60"/>
    <w:rsid w:val="00875AA0"/>
    <w:rsid w:val="00875EA8"/>
    <w:rsid w:val="00876805"/>
    <w:rsid w:val="00876AC8"/>
    <w:rsid w:val="00876AD8"/>
    <w:rsid w:val="00876B93"/>
    <w:rsid w:val="00876F62"/>
    <w:rsid w:val="00876FFF"/>
    <w:rsid w:val="0087732E"/>
    <w:rsid w:val="008773BD"/>
    <w:rsid w:val="008776AE"/>
    <w:rsid w:val="0088010E"/>
    <w:rsid w:val="00880232"/>
    <w:rsid w:val="00880302"/>
    <w:rsid w:val="00880372"/>
    <w:rsid w:val="0088068F"/>
    <w:rsid w:val="008806A3"/>
    <w:rsid w:val="008806C7"/>
    <w:rsid w:val="008806FC"/>
    <w:rsid w:val="00880C80"/>
    <w:rsid w:val="00880E62"/>
    <w:rsid w:val="00880FC2"/>
    <w:rsid w:val="00881001"/>
    <w:rsid w:val="00881B0E"/>
    <w:rsid w:val="00881E6E"/>
    <w:rsid w:val="00882261"/>
    <w:rsid w:val="0088257C"/>
    <w:rsid w:val="008826D5"/>
    <w:rsid w:val="00882A30"/>
    <w:rsid w:val="00882BC5"/>
    <w:rsid w:val="00882F31"/>
    <w:rsid w:val="00883216"/>
    <w:rsid w:val="00883300"/>
    <w:rsid w:val="0088338A"/>
    <w:rsid w:val="00883671"/>
    <w:rsid w:val="00883795"/>
    <w:rsid w:val="008838BB"/>
    <w:rsid w:val="00883AA1"/>
    <w:rsid w:val="0088404A"/>
    <w:rsid w:val="00884494"/>
    <w:rsid w:val="00884569"/>
    <w:rsid w:val="00884925"/>
    <w:rsid w:val="00884AAC"/>
    <w:rsid w:val="00884DAE"/>
    <w:rsid w:val="008859FD"/>
    <w:rsid w:val="00885BEB"/>
    <w:rsid w:val="00885EBA"/>
    <w:rsid w:val="00885ED2"/>
    <w:rsid w:val="008860D7"/>
    <w:rsid w:val="0088633D"/>
    <w:rsid w:val="0088672E"/>
    <w:rsid w:val="00886915"/>
    <w:rsid w:val="00886B3F"/>
    <w:rsid w:val="00886BD6"/>
    <w:rsid w:val="00886C2F"/>
    <w:rsid w:val="00886E50"/>
    <w:rsid w:val="00887208"/>
    <w:rsid w:val="0088721C"/>
    <w:rsid w:val="008872C9"/>
    <w:rsid w:val="008872EE"/>
    <w:rsid w:val="00887394"/>
    <w:rsid w:val="00887480"/>
    <w:rsid w:val="0088750E"/>
    <w:rsid w:val="00887942"/>
    <w:rsid w:val="00887C1F"/>
    <w:rsid w:val="00887C34"/>
    <w:rsid w:val="00890019"/>
    <w:rsid w:val="0089041A"/>
    <w:rsid w:val="008904C8"/>
    <w:rsid w:val="00890860"/>
    <w:rsid w:val="00890948"/>
    <w:rsid w:val="008909FD"/>
    <w:rsid w:val="00890A95"/>
    <w:rsid w:val="00890F2B"/>
    <w:rsid w:val="0089148D"/>
    <w:rsid w:val="00891733"/>
    <w:rsid w:val="00891742"/>
    <w:rsid w:val="0089191A"/>
    <w:rsid w:val="00892A26"/>
    <w:rsid w:val="00892CE7"/>
    <w:rsid w:val="00892D21"/>
    <w:rsid w:val="00892D37"/>
    <w:rsid w:val="00892F99"/>
    <w:rsid w:val="008934C8"/>
    <w:rsid w:val="00893B95"/>
    <w:rsid w:val="00893D29"/>
    <w:rsid w:val="00893D3D"/>
    <w:rsid w:val="00893DD9"/>
    <w:rsid w:val="00893FFF"/>
    <w:rsid w:val="0089400F"/>
    <w:rsid w:val="00894163"/>
    <w:rsid w:val="0089485F"/>
    <w:rsid w:val="0089491A"/>
    <w:rsid w:val="00894E86"/>
    <w:rsid w:val="008955D6"/>
    <w:rsid w:val="0089574A"/>
    <w:rsid w:val="008959D1"/>
    <w:rsid w:val="00895C2D"/>
    <w:rsid w:val="00895D64"/>
    <w:rsid w:val="00895DC0"/>
    <w:rsid w:val="0089613B"/>
    <w:rsid w:val="0089635F"/>
    <w:rsid w:val="00896881"/>
    <w:rsid w:val="00896E7D"/>
    <w:rsid w:val="00896FDF"/>
    <w:rsid w:val="00897184"/>
    <w:rsid w:val="008971AA"/>
    <w:rsid w:val="00897236"/>
    <w:rsid w:val="00897264"/>
    <w:rsid w:val="0089737B"/>
    <w:rsid w:val="008976C0"/>
    <w:rsid w:val="008978E8"/>
    <w:rsid w:val="00897E43"/>
    <w:rsid w:val="008A001C"/>
    <w:rsid w:val="008A0082"/>
    <w:rsid w:val="008A11D0"/>
    <w:rsid w:val="008A17E3"/>
    <w:rsid w:val="008A187B"/>
    <w:rsid w:val="008A18FD"/>
    <w:rsid w:val="008A1C48"/>
    <w:rsid w:val="008A1E60"/>
    <w:rsid w:val="008A1FC7"/>
    <w:rsid w:val="008A2431"/>
    <w:rsid w:val="008A2565"/>
    <w:rsid w:val="008A261E"/>
    <w:rsid w:val="008A28B2"/>
    <w:rsid w:val="008A2FBD"/>
    <w:rsid w:val="008A300F"/>
    <w:rsid w:val="008A3179"/>
    <w:rsid w:val="008A3394"/>
    <w:rsid w:val="008A381E"/>
    <w:rsid w:val="008A3C62"/>
    <w:rsid w:val="008A3E04"/>
    <w:rsid w:val="008A3E7E"/>
    <w:rsid w:val="008A3E8F"/>
    <w:rsid w:val="008A4005"/>
    <w:rsid w:val="008A4181"/>
    <w:rsid w:val="008A4504"/>
    <w:rsid w:val="008A48B1"/>
    <w:rsid w:val="008A4E1B"/>
    <w:rsid w:val="008A4E23"/>
    <w:rsid w:val="008A5138"/>
    <w:rsid w:val="008A54DF"/>
    <w:rsid w:val="008A5537"/>
    <w:rsid w:val="008A5618"/>
    <w:rsid w:val="008A5C15"/>
    <w:rsid w:val="008A621B"/>
    <w:rsid w:val="008A630F"/>
    <w:rsid w:val="008A6400"/>
    <w:rsid w:val="008A67A6"/>
    <w:rsid w:val="008A6AFF"/>
    <w:rsid w:val="008A6DCE"/>
    <w:rsid w:val="008A6DEC"/>
    <w:rsid w:val="008A6F36"/>
    <w:rsid w:val="008A6F93"/>
    <w:rsid w:val="008A70D2"/>
    <w:rsid w:val="008A7679"/>
    <w:rsid w:val="008A7CAA"/>
    <w:rsid w:val="008B0015"/>
    <w:rsid w:val="008B05A4"/>
    <w:rsid w:val="008B09F1"/>
    <w:rsid w:val="008B0A53"/>
    <w:rsid w:val="008B0B3D"/>
    <w:rsid w:val="008B0B92"/>
    <w:rsid w:val="008B0DBC"/>
    <w:rsid w:val="008B10B3"/>
    <w:rsid w:val="008B1260"/>
    <w:rsid w:val="008B1296"/>
    <w:rsid w:val="008B144C"/>
    <w:rsid w:val="008B1852"/>
    <w:rsid w:val="008B1935"/>
    <w:rsid w:val="008B1BF9"/>
    <w:rsid w:val="008B1E02"/>
    <w:rsid w:val="008B206C"/>
    <w:rsid w:val="008B2352"/>
    <w:rsid w:val="008B27C5"/>
    <w:rsid w:val="008B28F1"/>
    <w:rsid w:val="008B2F5E"/>
    <w:rsid w:val="008B3575"/>
    <w:rsid w:val="008B3693"/>
    <w:rsid w:val="008B3AD5"/>
    <w:rsid w:val="008B4117"/>
    <w:rsid w:val="008B454B"/>
    <w:rsid w:val="008B4550"/>
    <w:rsid w:val="008B4755"/>
    <w:rsid w:val="008B4804"/>
    <w:rsid w:val="008B4EED"/>
    <w:rsid w:val="008B546C"/>
    <w:rsid w:val="008B5860"/>
    <w:rsid w:val="008B5C7E"/>
    <w:rsid w:val="008B5EA6"/>
    <w:rsid w:val="008B5F38"/>
    <w:rsid w:val="008B6005"/>
    <w:rsid w:val="008B60CA"/>
    <w:rsid w:val="008B676E"/>
    <w:rsid w:val="008B6A7C"/>
    <w:rsid w:val="008B6BB5"/>
    <w:rsid w:val="008B6DF9"/>
    <w:rsid w:val="008B7074"/>
    <w:rsid w:val="008B7571"/>
    <w:rsid w:val="008B75B2"/>
    <w:rsid w:val="008B75CB"/>
    <w:rsid w:val="008B76F9"/>
    <w:rsid w:val="008B7A0B"/>
    <w:rsid w:val="008B7BA6"/>
    <w:rsid w:val="008C049E"/>
    <w:rsid w:val="008C0775"/>
    <w:rsid w:val="008C08C4"/>
    <w:rsid w:val="008C1433"/>
    <w:rsid w:val="008C1541"/>
    <w:rsid w:val="008C1804"/>
    <w:rsid w:val="008C1846"/>
    <w:rsid w:val="008C1EE8"/>
    <w:rsid w:val="008C1F89"/>
    <w:rsid w:val="008C1FD5"/>
    <w:rsid w:val="008C21C0"/>
    <w:rsid w:val="008C2828"/>
    <w:rsid w:val="008C291C"/>
    <w:rsid w:val="008C32AB"/>
    <w:rsid w:val="008C38D2"/>
    <w:rsid w:val="008C397A"/>
    <w:rsid w:val="008C3BA3"/>
    <w:rsid w:val="008C3FA2"/>
    <w:rsid w:val="008C42EB"/>
    <w:rsid w:val="008C4554"/>
    <w:rsid w:val="008C4590"/>
    <w:rsid w:val="008C469A"/>
    <w:rsid w:val="008C48FD"/>
    <w:rsid w:val="008C4A5F"/>
    <w:rsid w:val="008C4DFD"/>
    <w:rsid w:val="008C4F6A"/>
    <w:rsid w:val="008C51BF"/>
    <w:rsid w:val="008C5408"/>
    <w:rsid w:val="008C588C"/>
    <w:rsid w:val="008C5C94"/>
    <w:rsid w:val="008C5CBB"/>
    <w:rsid w:val="008C6118"/>
    <w:rsid w:val="008C64D5"/>
    <w:rsid w:val="008C6921"/>
    <w:rsid w:val="008C6A2F"/>
    <w:rsid w:val="008C6A98"/>
    <w:rsid w:val="008C6F85"/>
    <w:rsid w:val="008C72E5"/>
    <w:rsid w:val="008C7556"/>
    <w:rsid w:val="008C75A9"/>
    <w:rsid w:val="008C7725"/>
    <w:rsid w:val="008C7C14"/>
    <w:rsid w:val="008D00A8"/>
    <w:rsid w:val="008D0328"/>
    <w:rsid w:val="008D0573"/>
    <w:rsid w:val="008D094F"/>
    <w:rsid w:val="008D0D29"/>
    <w:rsid w:val="008D0E5E"/>
    <w:rsid w:val="008D0EC6"/>
    <w:rsid w:val="008D105E"/>
    <w:rsid w:val="008D138F"/>
    <w:rsid w:val="008D153D"/>
    <w:rsid w:val="008D17E4"/>
    <w:rsid w:val="008D2045"/>
    <w:rsid w:val="008D22D7"/>
    <w:rsid w:val="008D250D"/>
    <w:rsid w:val="008D2608"/>
    <w:rsid w:val="008D2DC9"/>
    <w:rsid w:val="008D2FCE"/>
    <w:rsid w:val="008D303D"/>
    <w:rsid w:val="008D319E"/>
    <w:rsid w:val="008D3247"/>
    <w:rsid w:val="008D3293"/>
    <w:rsid w:val="008D32F5"/>
    <w:rsid w:val="008D357B"/>
    <w:rsid w:val="008D3608"/>
    <w:rsid w:val="008D394A"/>
    <w:rsid w:val="008D3A69"/>
    <w:rsid w:val="008D3E07"/>
    <w:rsid w:val="008D3E24"/>
    <w:rsid w:val="008D4343"/>
    <w:rsid w:val="008D4493"/>
    <w:rsid w:val="008D4639"/>
    <w:rsid w:val="008D50F1"/>
    <w:rsid w:val="008D530C"/>
    <w:rsid w:val="008D532C"/>
    <w:rsid w:val="008D5485"/>
    <w:rsid w:val="008D56E8"/>
    <w:rsid w:val="008D5709"/>
    <w:rsid w:val="008D58D4"/>
    <w:rsid w:val="008D59E9"/>
    <w:rsid w:val="008D5ABC"/>
    <w:rsid w:val="008D5EE0"/>
    <w:rsid w:val="008D6245"/>
    <w:rsid w:val="008D6590"/>
    <w:rsid w:val="008D6601"/>
    <w:rsid w:val="008D6792"/>
    <w:rsid w:val="008D6ACB"/>
    <w:rsid w:val="008D6D64"/>
    <w:rsid w:val="008D6EE1"/>
    <w:rsid w:val="008D7726"/>
    <w:rsid w:val="008D7D66"/>
    <w:rsid w:val="008E001C"/>
    <w:rsid w:val="008E00E2"/>
    <w:rsid w:val="008E0183"/>
    <w:rsid w:val="008E0AFE"/>
    <w:rsid w:val="008E0F37"/>
    <w:rsid w:val="008E10E9"/>
    <w:rsid w:val="008E1329"/>
    <w:rsid w:val="008E1510"/>
    <w:rsid w:val="008E158F"/>
    <w:rsid w:val="008E1618"/>
    <w:rsid w:val="008E1E89"/>
    <w:rsid w:val="008E1F3D"/>
    <w:rsid w:val="008E24EB"/>
    <w:rsid w:val="008E251E"/>
    <w:rsid w:val="008E25FC"/>
    <w:rsid w:val="008E2B3D"/>
    <w:rsid w:val="008E3185"/>
    <w:rsid w:val="008E36DC"/>
    <w:rsid w:val="008E397A"/>
    <w:rsid w:val="008E397E"/>
    <w:rsid w:val="008E39DF"/>
    <w:rsid w:val="008E4441"/>
    <w:rsid w:val="008E4558"/>
    <w:rsid w:val="008E4600"/>
    <w:rsid w:val="008E4658"/>
    <w:rsid w:val="008E4941"/>
    <w:rsid w:val="008E4FFD"/>
    <w:rsid w:val="008E5CCD"/>
    <w:rsid w:val="008E5DAA"/>
    <w:rsid w:val="008E6556"/>
    <w:rsid w:val="008E65AC"/>
    <w:rsid w:val="008E6751"/>
    <w:rsid w:val="008E6B5A"/>
    <w:rsid w:val="008E6C69"/>
    <w:rsid w:val="008E6F92"/>
    <w:rsid w:val="008E702E"/>
    <w:rsid w:val="008E731C"/>
    <w:rsid w:val="008E74FC"/>
    <w:rsid w:val="008E75F8"/>
    <w:rsid w:val="008E7A84"/>
    <w:rsid w:val="008E7B8F"/>
    <w:rsid w:val="008E7BEB"/>
    <w:rsid w:val="008F0795"/>
    <w:rsid w:val="008F08BF"/>
    <w:rsid w:val="008F09B0"/>
    <w:rsid w:val="008F0E84"/>
    <w:rsid w:val="008F1149"/>
    <w:rsid w:val="008F1406"/>
    <w:rsid w:val="008F168B"/>
    <w:rsid w:val="008F17D1"/>
    <w:rsid w:val="008F1DBF"/>
    <w:rsid w:val="008F1E0A"/>
    <w:rsid w:val="008F1FEA"/>
    <w:rsid w:val="008F27C3"/>
    <w:rsid w:val="008F2872"/>
    <w:rsid w:val="008F2BCB"/>
    <w:rsid w:val="008F2CCB"/>
    <w:rsid w:val="008F31E4"/>
    <w:rsid w:val="008F3240"/>
    <w:rsid w:val="008F345B"/>
    <w:rsid w:val="008F345C"/>
    <w:rsid w:val="008F3A0E"/>
    <w:rsid w:val="008F3C18"/>
    <w:rsid w:val="008F40E2"/>
    <w:rsid w:val="008F47A0"/>
    <w:rsid w:val="008F4843"/>
    <w:rsid w:val="008F4993"/>
    <w:rsid w:val="008F49A6"/>
    <w:rsid w:val="008F4D93"/>
    <w:rsid w:val="008F4E2F"/>
    <w:rsid w:val="008F5154"/>
    <w:rsid w:val="008F5459"/>
    <w:rsid w:val="008F58FC"/>
    <w:rsid w:val="008F5C71"/>
    <w:rsid w:val="008F61BD"/>
    <w:rsid w:val="008F624D"/>
    <w:rsid w:val="008F6819"/>
    <w:rsid w:val="008F6AD8"/>
    <w:rsid w:val="008F6CE7"/>
    <w:rsid w:val="008F6FFE"/>
    <w:rsid w:val="008F7018"/>
    <w:rsid w:val="008F7083"/>
    <w:rsid w:val="008F70EC"/>
    <w:rsid w:val="008F767C"/>
    <w:rsid w:val="008F7E16"/>
    <w:rsid w:val="00900012"/>
    <w:rsid w:val="00900ADB"/>
    <w:rsid w:val="00900C3B"/>
    <w:rsid w:val="00900D0D"/>
    <w:rsid w:val="0090109B"/>
    <w:rsid w:val="009017FB"/>
    <w:rsid w:val="00901BCB"/>
    <w:rsid w:val="00902163"/>
    <w:rsid w:val="0090231F"/>
    <w:rsid w:val="00902694"/>
    <w:rsid w:val="00902893"/>
    <w:rsid w:val="00902ADA"/>
    <w:rsid w:val="00902B8A"/>
    <w:rsid w:val="00902C1A"/>
    <w:rsid w:val="00902C51"/>
    <w:rsid w:val="00902EB3"/>
    <w:rsid w:val="00902FB4"/>
    <w:rsid w:val="00902FC2"/>
    <w:rsid w:val="0090357C"/>
    <w:rsid w:val="0090399F"/>
    <w:rsid w:val="00903EA3"/>
    <w:rsid w:val="0090443B"/>
    <w:rsid w:val="0090470D"/>
    <w:rsid w:val="009047B7"/>
    <w:rsid w:val="00904C88"/>
    <w:rsid w:val="00905478"/>
    <w:rsid w:val="00905556"/>
    <w:rsid w:val="0090566D"/>
    <w:rsid w:val="0090574B"/>
    <w:rsid w:val="00905E28"/>
    <w:rsid w:val="0090631E"/>
    <w:rsid w:val="009066A5"/>
    <w:rsid w:val="00906EC5"/>
    <w:rsid w:val="00906F39"/>
    <w:rsid w:val="0090765F"/>
    <w:rsid w:val="00907907"/>
    <w:rsid w:val="00907D55"/>
    <w:rsid w:val="009106F4"/>
    <w:rsid w:val="0091088D"/>
    <w:rsid w:val="0091089B"/>
    <w:rsid w:val="009108FE"/>
    <w:rsid w:val="00910C1E"/>
    <w:rsid w:val="0091121E"/>
    <w:rsid w:val="009114C0"/>
    <w:rsid w:val="009115FB"/>
    <w:rsid w:val="00911810"/>
    <w:rsid w:val="00911929"/>
    <w:rsid w:val="0091197D"/>
    <w:rsid w:val="00911B75"/>
    <w:rsid w:val="00911B81"/>
    <w:rsid w:val="009123DF"/>
    <w:rsid w:val="009127D1"/>
    <w:rsid w:val="00912C37"/>
    <w:rsid w:val="00912D02"/>
    <w:rsid w:val="00912E57"/>
    <w:rsid w:val="009134BB"/>
    <w:rsid w:val="009136CC"/>
    <w:rsid w:val="009136EB"/>
    <w:rsid w:val="00913940"/>
    <w:rsid w:val="00913C97"/>
    <w:rsid w:val="00913D96"/>
    <w:rsid w:val="009142C9"/>
    <w:rsid w:val="009142E0"/>
    <w:rsid w:val="009143F4"/>
    <w:rsid w:val="00914C59"/>
    <w:rsid w:val="00914CAD"/>
    <w:rsid w:val="00915381"/>
    <w:rsid w:val="009155CC"/>
    <w:rsid w:val="009156F8"/>
    <w:rsid w:val="00915C6E"/>
    <w:rsid w:val="009160AF"/>
    <w:rsid w:val="009162EA"/>
    <w:rsid w:val="00916427"/>
    <w:rsid w:val="009164CE"/>
    <w:rsid w:val="00916970"/>
    <w:rsid w:val="00916AE2"/>
    <w:rsid w:val="00916DE3"/>
    <w:rsid w:val="00916FBB"/>
    <w:rsid w:val="00917004"/>
    <w:rsid w:val="0091708F"/>
    <w:rsid w:val="009173E5"/>
    <w:rsid w:val="009174A5"/>
    <w:rsid w:val="009175CB"/>
    <w:rsid w:val="009203F8"/>
    <w:rsid w:val="0092055A"/>
    <w:rsid w:val="00920D24"/>
    <w:rsid w:val="00921016"/>
    <w:rsid w:val="0092108A"/>
    <w:rsid w:val="009210BB"/>
    <w:rsid w:val="0092150B"/>
    <w:rsid w:val="00921B85"/>
    <w:rsid w:val="00922244"/>
    <w:rsid w:val="009226FF"/>
    <w:rsid w:val="00922819"/>
    <w:rsid w:val="00922AD4"/>
    <w:rsid w:val="00923341"/>
    <w:rsid w:val="00923458"/>
    <w:rsid w:val="009235B3"/>
    <w:rsid w:val="009235DD"/>
    <w:rsid w:val="009237A7"/>
    <w:rsid w:val="00923A25"/>
    <w:rsid w:val="00923ED7"/>
    <w:rsid w:val="00923FBF"/>
    <w:rsid w:val="009240B8"/>
    <w:rsid w:val="00924171"/>
    <w:rsid w:val="00924838"/>
    <w:rsid w:val="00924B91"/>
    <w:rsid w:val="00924C2E"/>
    <w:rsid w:val="00924DFB"/>
    <w:rsid w:val="00925048"/>
    <w:rsid w:val="00925257"/>
    <w:rsid w:val="00925475"/>
    <w:rsid w:val="009258AB"/>
    <w:rsid w:val="00925B7F"/>
    <w:rsid w:val="00925E88"/>
    <w:rsid w:val="00925F6A"/>
    <w:rsid w:val="009265CD"/>
    <w:rsid w:val="00926647"/>
    <w:rsid w:val="009266B1"/>
    <w:rsid w:val="00926A71"/>
    <w:rsid w:val="00926D16"/>
    <w:rsid w:val="00926DF5"/>
    <w:rsid w:val="00926E40"/>
    <w:rsid w:val="00926E55"/>
    <w:rsid w:val="00926F0C"/>
    <w:rsid w:val="0092763F"/>
    <w:rsid w:val="009276D1"/>
    <w:rsid w:val="00927911"/>
    <w:rsid w:val="00927A48"/>
    <w:rsid w:val="00927D72"/>
    <w:rsid w:val="00927E6C"/>
    <w:rsid w:val="00927F03"/>
    <w:rsid w:val="009303BC"/>
    <w:rsid w:val="0093055E"/>
    <w:rsid w:val="009308A8"/>
    <w:rsid w:val="009308CB"/>
    <w:rsid w:val="009308DB"/>
    <w:rsid w:val="00930914"/>
    <w:rsid w:val="00930A3A"/>
    <w:rsid w:val="00930B0F"/>
    <w:rsid w:val="00931391"/>
    <w:rsid w:val="0093150A"/>
    <w:rsid w:val="00931AC0"/>
    <w:rsid w:val="00931C8E"/>
    <w:rsid w:val="00932228"/>
    <w:rsid w:val="009322D1"/>
    <w:rsid w:val="00932304"/>
    <w:rsid w:val="00933395"/>
    <w:rsid w:val="009334E5"/>
    <w:rsid w:val="00933533"/>
    <w:rsid w:val="0093378F"/>
    <w:rsid w:val="00933A47"/>
    <w:rsid w:val="00933C22"/>
    <w:rsid w:val="0093407A"/>
    <w:rsid w:val="00934265"/>
    <w:rsid w:val="00934377"/>
    <w:rsid w:val="0093444E"/>
    <w:rsid w:val="009345DC"/>
    <w:rsid w:val="00934817"/>
    <w:rsid w:val="009349D5"/>
    <w:rsid w:val="00934BD8"/>
    <w:rsid w:val="00934CB2"/>
    <w:rsid w:val="00935047"/>
    <w:rsid w:val="0093546B"/>
    <w:rsid w:val="00935546"/>
    <w:rsid w:val="009355AB"/>
    <w:rsid w:val="00935E05"/>
    <w:rsid w:val="009361C9"/>
    <w:rsid w:val="0093623D"/>
    <w:rsid w:val="009366F8"/>
    <w:rsid w:val="00936B21"/>
    <w:rsid w:val="00936DA3"/>
    <w:rsid w:val="0093726B"/>
    <w:rsid w:val="00937468"/>
    <w:rsid w:val="009374E6"/>
    <w:rsid w:val="0094006F"/>
    <w:rsid w:val="009402AE"/>
    <w:rsid w:val="00940A8F"/>
    <w:rsid w:val="00940C61"/>
    <w:rsid w:val="00940EBA"/>
    <w:rsid w:val="00941001"/>
    <w:rsid w:val="00941605"/>
    <w:rsid w:val="00941839"/>
    <w:rsid w:val="00941943"/>
    <w:rsid w:val="00941A11"/>
    <w:rsid w:val="00941F7C"/>
    <w:rsid w:val="009421B4"/>
    <w:rsid w:val="0094226F"/>
    <w:rsid w:val="0094256C"/>
    <w:rsid w:val="0094294D"/>
    <w:rsid w:val="00942963"/>
    <w:rsid w:val="00942D05"/>
    <w:rsid w:val="00943162"/>
    <w:rsid w:val="00943464"/>
    <w:rsid w:val="00943CB2"/>
    <w:rsid w:val="00943F0D"/>
    <w:rsid w:val="00944171"/>
    <w:rsid w:val="00944456"/>
    <w:rsid w:val="00944EAB"/>
    <w:rsid w:val="00944EAC"/>
    <w:rsid w:val="00945043"/>
    <w:rsid w:val="0094531E"/>
    <w:rsid w:val="0094533F"/>
    <w:rsid w:val="009455F1"/>
    <w:rsid w:val="00945613"/>
    <w:rsid w:val="00945C4F"/>
    <w:rsid w:val="00946046"/>
    <w:rsid w:val="00946427"/>
    <w:rsid w:val="009465F2"/>
    <w:rsid w:val="009469B7"/>
    <w:rsid w:val="00946B1E"/>
    <w:rsid w:val="00946F16"/>
    <w:rsid w:val="00947067"/>
    <w:rsid w:val="00947290"/>
    <w:rsid w:val="009472F5"/>
    <w:rsid w:val="00947D3F"/>
    <w:rsid w:val="00947EF7"/>
    <w:rsid w:val="0095010D"/>
    <w:rsid w:val="00950539"/>
    <w:rsid w:val="009509A8"/>
    <w:rsid w:val="00950A25"/>
    <w:rsid w:val="00950B4F"/>
    <w:rsid w:val="00950DFB"/>
    <w:rsid w:val="009516ED"/>
    <w:rsid w:val="00951C48"/>
    <w:rsid w:val="00952008"/>
    <w:rsid w:val="0095218F"/>
    <w:rsid w:val="0095289D"/>
    <w:rsid w:val="00952D22"/>
    <w:rsid w:val="009532E4"/>
    <w:rsid w:val="00953304"/>
    <w:rsid w:val="00953508"/>
    <w:rsid w:val="0095354B"/>
    <w:rsid w:val="0095397F"/>
    <w:rsid w:val="00953B1E"/>
    <w:rsid w:val="00953BEE"/>
    <w:rsid w:val="00953C77"/>
    <w:rsid w:val="00953E5D"/>
    <w:rsid w:val="00953E70"/>
    <w:rsid w:val="00954030"/>
    <w:rsid w:val="009541A0"/>
    <w:rsid w:val="009542F2"/>
    <w:rsid w:val="0095436C"/>
    <w:rsid w:val="0095442B"/>
    <w:rsid w:val="009544AA"/>
    <w:rsid w:val="00954705"/>
    <w:rsid w:val="009547C4"/>
    <w:rsid w:val="00954A53"/>
    <w:rsid w:val="00954B70"/>
    <w:rsid w:val="00954CA6"/>
    <w:rsid w:val="00954EF6"/>
    <w:rsid w:val="00955073"/>
    <w:rsid w:val="009551EF"/>
    <w:rsid w:val="009553EC"/>
    <w:rsid w:val="009555C5"/>
    <w:rsid w:val="00955802"/>
    <w:rsid w:val="00956253"/>
    <w:rsid w:val="00956438"/>
    <w:rsid w:val="009565EB"/>
    <w:rsid w:val="00956679"/>
    <w:rsid w:val="0095691C"/>
    <w:rsid w:val="00956C00"/>
    <w:rsid w:val="00956F4B"/>
    <w:rsid w:val="00957074"/>
    <w:rsid w:val="009570D9"/>
    <w:rsid w:val="0095740A"/>
    <w:rsid w:val="009574DF"/>
    <w:rsid w:val="0095762F"/>
    <w:rsid w:val="00957693"/>
    <w:rsid w:val="00960A42"/>
    <w:rsid w:val="00960D07"/>
    <w:rsid w:val="00961235"/>
    <w:rsid w:val="00961275"/>
    <w:rsid w:val="009612CE"/>
    <w:rsid w:val="0096175B"/>
    <w:rsid w:val="009619D1"/>
    <w:rsid w:val="00961C3F"/>
    <w:rsid w:val="00961C77"/>
    <w:rsid w:val="00962587"/>
    <w:rsid w:val="009625DA"/>
    <w:rsid w:val="00962F5C"/>
    <w:rsid w:val="009630C1"/>
    <w:rsid w:val="009631B3"/>
    <w:rsid w:val="009632A6"/>
    <w:rsid w:val="00963360"/>
    <w:rsid w:val="00963459"/>
    <w:rsid w:val="009635A1"/>
    <w:rsid w:val="009637E3"/>
    <w:rsid w:val="00963BBF"/>
    <w:rsid w:val="00963F4A"/>
    <w:rsid w:val="00963F93"/>
    <w:rsid w:val="009640AB"/>
    <w:rsid w:val="00964164"/>
    <w:rsid w:val="0096449D"/>
    <w:rsid w:val="00964863"/>
    <w:rsid w:val="00964991"/>
    <w:rsid w:val="00964C6E"/>
    <w:rsid w:val="00964DDD"/>
    <w:rsid w:val="009653FC"/>
    <w:rsid w:val="0096555D"/>
    <w:rsid w:val="0096592C"/>
    <w:rsid w:val="0096595A"/>
    <w:rsid w:val="00965A40"/>
    <w:rsid w:val="00965BD4"/>
    <w:rsid w:val="00965BE8"/>
    <w:rsid w:val="00965D92"/>
    <w:rsid w:val="00966536"/>
    <w:rsid w:val="00966A5E"/>
    <w:rsid w:val="00966BE5"/>
    <w:rsid w:val="009670CE"/>
    <w:rsid w:val="009670EA"/>
    <w:rsid w:val="00967262"/>
    <w:rsid w:val="009676BB"/>
    <w:rsid w:val="009679AA"/>
    <w:rsid w:val="00967A99"/>
    <w:rsid w:val="00967E8D"/>
    <w:rsid w:val="00967E9B"/>
    <w:rsid w:val="0096BADC"/>
    <w:rsid w:val="00970129"/>
    <w:rsid w:val="00970179"/>
    <w:rsid w:val="009701A5"/>
    <w:rsid w:val="009706BC"/>
    <w:rsid w:val="009706EE"/>
    <w:rsid w:val="009708BB"/>
    <w:rsid w:val="00970CB3"/>
    <w:rsid w:val="0097178F"/>
    <w:rsid w:val="00971C26"/>
    <w:rsid w:val="00971EFE"/>
    <w:rsid w:val="00972571"/>
    <w:rsid w:val="0097278F"/>
    <w:rsid w:val="009729E6"/>
    <w:rsid w:val="00972BC4"/>
    <w:rsid w:val="00972C40"/>
    <w:rsid w:val="00972D8C"/>
    <w:rsid w:val="009736D5"/>
    <w:rsid w:val="009736D6"/>
    <w:rsid w:val="00973949"/>
    <w:rsid w:val="00973951"/>
    <w:rsid w:val="00973CCE"/>
    <w:rsid w:val="00973DC5"/>
    <w:rsid w:val="00973E86"/>
    <w:rsid w:val="00974055"/>
    <w:rsid w:val="009741DA"/>
    <w:rsid w:val="00974964"/>
    <w:rsid w:val="0097497B"/>
    <w:rsid w:val="00974EAE"/>
    <w:rsid w:val="00974F94"/>
    <w:rsid w:val="00975845"/>
    <w:rsid w:val="009759AC"/>
    <w:rsid w:val="00976038"/>
    <w:rsid w:val="009763A0"/>
    <w:rsid w:val="00976443"/>
    <w:rsid w:val="00976528"/>
    <w:rsid w:val="0097658B"/>
    <w:rsid w:val="009767F8"/>
    <w:rsid w:val="00977419"/>
    <w:rsid w:val="00977CB6"/>
    <w:rsid w:val="00977ED1"/>
    <w:rsid w:val="00980143"/>
    <w:rsid w:val="00980437"/>
    <w:rsid w:val="00980567"/>
    <w:rsid w:val="00980571"/>
    <w:rsid w:val="009805C2"/>
    <w:rsid w:val="00980800"/>
    <w:rsid w:val="00980B8C"/>
    <w:rsid w:val="00980D55"/>
    <w:rsid w:val="00980F31"/>
    <w:rsid w:val="0098111D"/>
    <w:rsid w:val="009813BD"/>
    <w:rsid w:val="009815CE"/>
    <w:rsid w:val="00981925"/>
    <w:rsid w:val="00981B12"/>
    <w:rsid w:val="009820D3"/>
    <w:rsid w:val="009821F3"/>
    <w:rsid w:val="00982618"/>
    <w:rsid w:val="009827C1"/>
    <w:rsid w:val="0098360B"/>
    <w:rsid w:val="00983648"/>
    <w:rsid w:val="00983686"/>
    <w:rsid w:val="00983FEE"/>
    <w:rsid w:val="00984106"/>
    <w:rsid w:val="00984FCF"/>
    <w:rsid w:val="00985147"/>
    <w:rsid w:val="009853C1"/>
    <w:rsid w:val="009854B6"/>
    <w:rsid w:val="00985550"/>
    <w:rsid w:val="0098595B"/>
    <w:rsid w:val="0098597C"/>
    <w:rsid w:val="00985C45"/>
    <w:rsid w:val="00985C6E"/>
    <w:rsid w:val="009861D2"/>
    <w:rsid w:val="009861F8"/>
    <w:rsid w:val="00986228"/>
    <w:rsid w:val="0098670E"/>
    <w:rsid w:val="0098686E"/>
    <w:rsid w:val="00986A85"/>
    <w:rsid w:val="00986BF6"/>
    <w:rsid w:val="00987172"/>
    <w:rsid w:val="00987CF5"/>
    <w:rsid w:val="00987F11"/>
    <w:rsid w:val="009903A1"/>
    <w:rsid w:val="00990BF2"/>
    <w:rsid w:val="00990EFC"/>
    <w:rsid w:val="00991B98"/>
    <w:rsid w:val="00991C43"/>
    <w:rsid w:val="0099201C"/>
    <w:rsid w:val="009920F2"/>
    <w:rsid w:val="00992342"/>
    <w:rsid w:val="00992387"/>
    <w:rsid w:val="0099259F"/>
    <w:rsid w:val="009925E8"/>
    <w:rsid w:val="009926BD"/>
    <w:rsid w:val="009929F0"/>
    <w:rsid w:val="00992A65"/>
    <w:rsid w:val="00992E24"/>
    <w:rsid w:val="0099300E"/>
    <w:rsid w:val="009932C1"/>
    <w:rsid w:val="00993763"/>
    <w:rsid w:val="00993B00"/>
    <w:rsid w:val="00993D3C"/>
    <w:rsid w:val="009945CA"/>
    <w:rsid w:val="00994B50"/>
    <w:rsid w:val="00994E56"/>
    <w:rsid w:val="00994F85"/>
    <w:rsid w:val="009950B0"/>
    <w:rsid w:val="00995323"/>
    <w:rsid w:val="009954D0"/>
    <w:rsid w:val="00995BA2"/>
    <w:rsid w:val="00995BD3"/>
    <w:rsid w:val="00995C04"/>
    <w:rsid w:val="00995DA7"/>
    <w:rsid w:val="00995DDF"/>
    <w:rsid w:val="0099607B"/>
    <w:rsid w:val="00996156"/>
    <w:rsid w:val="0099656C"/>
    <w:rsid w:val="00996AB3"/>
    <w:rsid w:val="00996C96"/>
    <w:rsid w:val="00996F89"/>
    <w:rsid w:val="00997007"/>
    <w:rsid w:val="0099773C"/>
    <w:rsid w:val="009978FD"/>
    <w:rsid w:val="00997B86"/>
    <w:rsid w:val="00997D73"/>
    <w:rsid w:val="009A0356"/>
    <w:rsid w:val="009A07B6"/>
    <w:rsid w:val="009A0872"/>
    <w:rsid w:val="009A107F"/>
    <w:rsid w:val="009A1C3E"/>
    <w:rsid w:val="009A2175"/>
    <w:rsid w:val="009A2273"/>
    <w:rsid w:val="009A2406"/>
    <w:rsid w:val="009A288A"/>
    <w:rsid w:val="009A29D1"/>
    <w:rsid w:val="009A2A84"/>
    <w:rsid w:val="009A2BB4"/>
    <w:rsid w:val="009A2EFE"/>
    <w:rsid w:val="009A2F3C"/>
    <w:rsid w:val="009A30FC"/>
    <w:rsid w:val="009A3377"/>
    <w:rsid w:val="009A34EF"/>
    <w:rsid w:val="009A3576"/>
    <w:rsid w:val="009A3A19"/>
    <w:rsid w:val="009A3B66"/>
    <w:rsid w:val="009A3B80"/>
    <w:rsid w:val="009A3C1F"/>
    <w:rsid w:val="009A3D43"/>
    <w:rsid w:val="009A3EB5"/>
    <w:rsid w:val="009A47E9"/>
    <w:rsid w:val="009A4B31"/>
    <w:rsid w:val="009A4DBE"/>
    <w:rsid w:val="009A4E29"/>
    <w:rsid w:val="009A5272"/>
    <w:rsid w:val="009A55B2"/>
    <w:rsid w:val="009A564F"/>
    <w:rsid w:val="009A5864"/>
    <w:rsid w:val="009A5916"/>
    <w:rsid w:val="009A5E46"/>
    <w:rsid w:val="009A61D5"/>
    <w:rsid w:val="009A625D"/>
    <w:rsid w:val="009A67BB"/>
    <w:rsid w:val="009A68ED"/>
    <w:rsid w:val="009A7090"/>
    <w:rsid w:val="009A712D"/>
    <w:rsid w:val="009A76C3"/>
    <w:rsid w:val="009A782C"/>
    <w:rsid w:val="009A7897"/>
    <w:rsid w:val="009A78E4"/>
    <w:rsid w:val="009A7A9C"/>
    <w:rsid w:val="009B041E"/>
    <w:rsid w:val="009B047A"/>
    <w:rsid w:val="009B065C"/>
    <w:rsid w:val="009B0A62"/>
    <w:rsid w:val="009B0CE8"/>
    <w:rsid w:val="009B0FE7"/>
    <w:rsid w:val="009B10A8"/>
    <w:rsid w:val="009B1276"/>
    <w:rsid w:val="009B142E"/>
    <w:rsid w:val="009B1816"/>
    <w:rsid w:val="009B19CB"/>
    <w:rsid w:val="009B1DD1"/>
    <w:rsid w:val="009B1F18"/>
    <w:rsid w:val="009B2052"/>
    <w:rsid w:val="009B22D4"/>
    <w:rsid w:val="009B2471"/>
    <w:rsid w:val="009B2534"/>
    <w:rsid w:val="009B28E8"/>
    <w:rsid w:val="009B3024"/>
    <w:rsid w:val="009B312F"/>
    <w:rsid w:val="009B3470"/>
    <w:rsid w:val="009B38B8"/>
    <w:rsid w:val="009B39CA"/>
    <w:rsid w:val="009B3A4F"/>
    <w:rsid w:val="009B3A94"/>
    <w:rsid w:val="009B3EF6"/>
    <w:rsid w:val="009B438A"/>
    <w:rsid w:val="009B4665"/>
    <w:rsid w:val="009B48B1"/>
    <w:rsid w:val="009B4970"/>
    <w:rsid w:val="009B4BB2"/>
    <w:rsid w:val="009B5129"/>
    <w:rsid w:val="009B540C"/>
    <w:rsid w:val="009B57ED"/>
    <w:rsid w:val="009B587A"/>
    <w:rsid w:val="009B58F9"/>
    <w:rsid w:val="009B5E76"/>
    <w:rsid w:val="009B5F76"/>
    <w:rsid w:val="009B6026"/>
    <w:rsid w:val="009B60A5"/>
    <w:rsid w:val="009B63D3"/>
    <w:rsid w:val="009B6480"/>
    <w:rsid w:val="009B6576"/>
    <w:rsid w:val="009B65AF"/>
    <w:rsid w:val="009B6EC4"/>
    <w:rsid w:val="009B6EE2"/>
    <w:rsid w:val="009B6F0E"/>
    <w:rsid w:val="009B71EB"/>
    <w:rsid w:val="009B76DA"/>
    <w:rsid w:val="009B77C8"/>
    <w:rsid w:val="009B7968"/>
    <w:rsid w:val="009C021E"/>
    <w:rsid w:val="009C0814"/>
    <w:rsid w:val="009C083C"/>
    <w:rsid w:val="009C0A23"/>
    <w:rsid w:val="009C0BBC"/>
    <w:rsid w:val="009C0BD3"/>
    <w:rsid w:val="009C0BDF"/>
    <w:rsid w:val="009C0BF5"/>
    <w:rsid w:val="009C0EFF"/>
    <w:rsid w:val="009C0FC1"/>
    <w:rsid w:val="009C106E"/>
    <w:rsid w:val="009C11D4"/>
    <w:rsid w:val="009C1752"/>
    <w:rsid w:val="009C1A99"/>
    <w:rsid w:val="009C1AC6"/>
    <w:rsid w:val="009C1B3A"/>
    <w:rsid w:val="009C1C32"/>
    <w:rsid w:val="009C1F02"/>
    <w:rsid w:val="009C200A"/>
    <w:rsid w:val="009C2275"/>
    <w:rsid w:val="009C23F7"/>
    <w:rsid w:val="009C24A6"/>
    <w:rsid w:val="009C273F"/>
    <w:rsid w:val="009C2992"/>
    <w:rsid w:val="009C2BAA"/>
    <w:rsid w:val="009C3392"/>
    <w:rsid w:val="009C3680"/>
    <w:rsid w:val="009C3773"/>
    <w:rsid w:val="009C3A4B"/>
    <w:rsid w:val="009C3B20"/>
    <w:rsid w:val="009C3B43"/>
    <w:rsid w:val="009C3DBF"/>
    <w:rsid w:val="009C4B07"/>
    <w:rsid w:val="009C4CC6"/>
    <w:rsid w:val="009C5083"/>
    <w:rsid w:val="009C50CF"/>
    <w:rsid w:val="009C51A1"/>
    <w:rsid w:val="009C51AF"/>
    <w:rsid w:val="009C533D"/>
    <w:rsid w:val="009C5405"/>
    <w:rsid w:val="009C608E"/>
    <w:rsid w:val="009C60CD"/>
    <w:rsid w:val="009C6392"/>
    <w:rsid w:val="009C6BF3"/>
    <w:rsid w:val="009C6C1B"/>
    <w:rsid w:val="009C703B"/>
    <w:rsid w:val="009C730D"/>
    <w:rsid w:val="009C775C"/>
    <w:rsid w:val="009C7935"/>
    <w:rsid w:val="009D02CB"/>
    <w:rsid w:val="009D053B"/>
    <w:rsid w:val="009D09CC"/>
    <w:rsid w:val="009D0E09"/>
    <w:rsid w:val="009D117F"/>
    <w:rsid w:val="009D13BA"/>
    <w:rsid w:val="009D1760"/>
    <w:rsid w:val="009D1DBA"/>
    <w:rsid w:val="009D1EC2"/>
    <w:rsid w:val="009D2162"/>
    <w:rsid w:val="009D2525"/>
    <w:rsid w:val="009D2A77"/>
    <w:rsid w:val="009D2B27"/>
    <w:rsid w:val="009D2D8F"/>
    <w:rsid w:val="009D3211"/>
    <w:rsid w:val="009D3650"/>
    <w:rsid w:val="009D37C0"/>
    <w:rsid w:val="009D39B1"/>
    <w:rsid w:val="009D3AC0"/>
    <w:rsid w:val="009D3EC4"/>
    <w:rsid w:val="009D40AC"/>
    <w:rsid w:val="009D4180"/>
    <w:rsid w:val="009D4863"/>
    <w:rsid w:val="009D4CA1"/>
    <w:rsid w:val="009D4FF6"/>
    <w:rsid w:val="009D50C1"/>
    <w:rsid w:val="009D548A"/>
    <w:rsid w:val="009D58A7"/>
    <w:rsid w:val="009D59AE"/>
    <w:rsid w:val="009D5CFB"/>
    <w:rsid w:val="009D5D15"/>
    <w:rsid w:val="009D5F7F"/>
    <w:rsid w:val="009D5FBF"/>
    <w:rsid w:val="009D638C"/>
    <w:rsid w:val="009D6A32"/>
    <w:rsid w:val="009D6D0B"/>
    <w:rsid w:val="009D71BD"/>
    <w:rsid w:val="009D7566"/>
    <w:rsid w:val="009D7615"/>
    <w:rsid w:val="009D79BB"/>
    <w:rsid w:val="009D7AF8"/>
    <w:rsid w:val="009D7BB9"/>
    <w:rsid w:val="009D7DC9"/>
    <w:rsid w:val="009D7FC7"/>
    <w:rsid w:val="009E0193"/>
    <w:rsid w:val="009E0382"/>
    <w:rsid w:val="009E05A4"/>
    <w:rsid w:val="009E0978"/>
    <w:rsid w:val="009E0B19"/>
    <w:rsid w:val="009E0D4B"/>
    <w:rsid w:val="009E0E01"/>
    <w:rsid w:val="009E0F97"/>
    <w:rsid w:val="009E1492"/>
    <w:rsid w:val="009E16FA"/>
    <w:rsid w:val="009E1758"/>
    <w:rsid w:val="009E273E"/>
    <w:rsid w:val="009E2785"/>
    <w:rsid w:val="009E2B27"/>
    <w:rsid w:val="009E2B9D"/>
    <w:rsid w:val="009E31CD"/>
    <w:rsid w:val="009E31E4"/>
    <w:rsid w:val="009E3200"/>
    <w:rsid w:val="009E393B"/>
    <w:rsid w:val="009E4093"/>
    <w:rsid w:val="009E409C"/>
    <w:rsid w:val="009E40FF"/>
    <w:rsid w:val="009E42FA"/>
    <w:rsid w:val="009E463B"/>
    <w:rsid w:val="009E4837"/>
    <w:rsid w:val="009E48AC"/>
    <w:rsid w:val="009E4A09"/>
    <w:rsid w:val="009E4A27"/>
    <w:rsid w:val="009E4B40"/>
    <w:rsid w:val="009E4C3F"/>
    <w:rsid w:val="009E505E"/>
    <w:rsid w:val="009E575B"/>
    <w:rsid w:val="009E5CEF"/>
    <w:rsid w:val="009E5D27"/>
    <w:rsid w:val="009E5F76"/>
    <w:rsid w:val="009E5FB8"/>
    <w:rsid w:val="009E5FD4"/>
    <w:rsid w:val="009E6413"/>
    <w:rsid w:val="009E650A"/>
    <w:rsid w:val="009E66B0"/>
    <w:rsid w:val="009E6B17"/>
    <w:rsid w:val="009E6B26"/>
    <w:rsid w:val="009E6F49"/>
    <w:rsid w:val="009E70B3"/>
    <w:rsid w:val="009E7107"/>
    <w:rsid w:val="009E728A"/>
    <w:rsid w:val="009E7705"/>
    <w:rsid w:val="009E79AE"/>
    <w:rsid w:val="009F0A5F"/>
    <w:rsid w:val="009F0EE1"/>
    <w:rsid w:val="009F123E"/>
    <w:rsid w:val="009F17B5"/>
    <w:rsid w:val="009F19A3"/>
    <w:rsid w:val="009F1D1E"/>
    <w:rsid w:val="009F2454"/>
    <w:rsid w:val="009F25C7"/>
    <w:rsid w:val="009F26DF"/>
    <w:rsid w:val="009F270C"/>
    <w:rsid w:val="009F2B1C"/>
    <w:rsid w:val="009F2C48"/>
    <w:rsid w:val="009F2CF9"/>
    <w:rsid w:val="009F2D10"/>
    <w:rsid w:val="009F2D6D"/>
    <w:rsid w:val="009F2D77"/>
    <w:rsid w:val="009F318E"/>
    <w:rsid w:val="009F3C44"/>
    <w:rsid w:val="009F3D23"/>
    <w:rsid w:val="009F3E02"/>
    <w:rsid w:val="009F4105"/>
    <w:rsid w:val="009F4206"/>
    <w:rsid w:val="009F4481"/>
    <w:rsid w:val="009F4640"/>
    <w:rsid w:val="009F4A93"/>
    <w:rsid w:val="009F4D93"/>
    <w:rsid w:val="009F4E52"/>
    <w:rsid w:val="009F50DC"/>
    <w:rsid w:val="009F528B"/>
    <w:rsid w:val="009F5310"/>
    <w:rsid w:val="009F547E"/>
    <w:rsid w:val="009F549D"/>
    <w:rsid w:val="009F5ADC"/>
    <w:rsid w:val="009F5C8B"/>
    <w:rsid w:val="009F5ED4"/>
    <w:rsid w:val="009F5FF2"/>
    <w:rsid w:val="009F6058"/>
    <w:rsid w:val="009F6578"/>
    <w:rsid w:val="009F65BD"/>
    <w:rsid w:val="009F6AEE"/>
    <w:rsid w:val="009F6ED1"/>
    <w:rsid w:val="009F6F7C"/>
    <w:rsid w:val="009F7132"/>
    <w:rsid w:val="009F71E0"/>
    <w:rsid w:val="009F756E"/>
    <w:rsid w:val="009F7896"/>
    <w:rsid w:val="009F795A"/>
    <w:rsid w:val="00A00558"/>
    <w:rsid w:val="00A005A8"/>
    <w:rsid w:val="00A006DD"/>
    <w:rsid w:val="00A00A5E"/>
    <w:rsid w:val="00A00AFF"/>
    <w:rsid w:val="00A01125"/>
    <w:rsid w:val="00A01351"/>
    <w:rsid w:val="00A01D8F"/>
    <w:rsid w:val="00A01F05"/>
    <w:rsid w:val="00A02737"/>
    <w:rsid w:val="00A02976"/>
    <w:rsid w:val="00A02EA6"/>
    <w:rsid w:val="00A03002"/>
    <w:rsid w:val="00A0309F"/>
    <w:rsid w:val="00A032CA"/>
    <w:rsid w:val="00A034DD"/>
    <w:rsid w:val="00A040E8"/>
    <w:rsid w:val="00A042DD"/>
    <w:rsid w:val="00A048C4"/>
    <w:rsid w:val="00A04A52"/>
    <w:rsid w:val="00A04C3A"/>
    <w:rsid w:val="00A052D0"/>
    <w:rsid w:val="00A054A4"/>
    <w:rsid w:val="00A05507"/>
    <w:rsid w:val="00A0585B"/>
    <w:rsid w:val="00A05952"/>
    <w:rsid w:val="00A05CD2"/>
    <w:rsid w:val="00A05CD7"/>
    <w:rsid w:val="00A05ECB"/>
    <w:rsid w:val="00A06681"/>
    <w:rsid w:val="00A0689A"/>
    <w:rsid w:val="00A06954"/>
    <w:rsid w:val="00A06B05"/>
    <w:rsid w:val="00A06BD3"/>
    <w:rsid w:val="00A07262"/>
    <w:rsid w:val="00A0773F"/>
    <w:rsid w:val="00A077B7"/>
    <w:rsid w:val="00A079DC"/>
    <w:rsid w:val="00A07EA8"/>
    <w:rsid w:val="00A07F00"/>
    <w:rsid w:val="00A10036"/>
    <w:rsid w:val="00A10406"/>
    <w:rsid w:val="00A106C3"/>
    <w:rsid w:val="00A10A90"/>
    <w:rsid w:val="00A10D89"/>
    <w:rsid w:val="00A112A0"/>
    <w:rsid w:val="00A114F1"/>
    <w:rsid w:val="00A1150C"/>
    <w:rsid w:val="00A11752"/>
    <w:rsid w:val="00A1188B"/>
    <w:rsid w:val="00A119AD"/>
    <w:rsid w:val="00A11E3B"/>
    <w:rsid w:val="00A1241C"/>
    <w:rsid w:val="00A12C95"/>
    <w:rsid w:val="00A12D45"/>
    <w:rsid w:val="00A12F32"/>
    <w:rsid w:val="00A12FC7"/>
    <w:rsid w:val="00A1306E"/>
    <w:rsid w:val="00A132F8"/>
    <w:rsid w:val="00A1331C"/>
    <w:rsid w:val="00A13427"/>
    <w:rsid w:val="00A135E8"/>
    <w:rsid w:val="00A13762"/>
    <w:rsid w:val="00A13B62"/>
    <w:rsid w:val="00A13BF3"/>
    <w:rsid w:val="00A13C63"/>
    <w:rsid w:val="00A13E06"/>
    <w:rsid w:val="00A13F34"/>
    <w:rsid w:val="00A13F77"/>
    <w:rsid w:val="00A140A3"/>
    <w:rsid w:val="00A1496F"/>
    <w:rsid w:val="00A14BAC"/>
    <w:rsid w:val="00A14C02"/>
    <w:rsid w:val="00A14CD4"/>
    <w:rsid w:val="00A14FD0"/>
    <w:rsid w:val="00A154E9"/>
    <w:rsid w:val="00A15C3B"/>
    <w:rsid w:val="00A15E35"/>
    <w:rsid w:val="00A160DE"/>
    <w:rsid w:val="00A16220"/>
    <w:rsid w:val="00A169C9"/>
    <w:rsid w:val="00A17201"/>
    <w:rsid w:val="00A17F92"/>
    <w:rsid w:val="00A201EB"/>
    <w:rsid w:val="00A2037D"/>
    <w:rsid w:val="00A20535"/>
    <w:rsid w:val="00A2071C"/>
    <w:rsid w:val="00A211BE"/>
    <w:rsid w:val="00A212B0"/>
    <w:rsid w:val="00A219DC"/>
    <w:rsid w:val="00A21FC0"/>
    <w:rsid w:val="00A22C1A"/>
    <w:rsid w:val="00A2313C"/>
    <w:rsid w:val="00A23189"/>
    <w:rsid w:val="00A235DF"/>
    <w:rsid w:val="00A235F7"/>
    <w:rsid w:val="00A2362D"/>
    <w:rsid w:val="00A236B6"/>
    <w:rsid w:val="00A23E32"/>
    <w:rsid w:val="00A23E50"/>
    <w:rsid w:val="00A241E4"/>
    <w:rsid w:val="00A24290"/>
    <w:rsid w:val="00A245E5"/>
    <w:rsid w:val="00A245F0"/>
    <w:rsid w:val="00A24679"/>
    <w:rsid w:val="00A24917"/>
    <w:rsid w:val="00A24B14"/>
    <w:rsid w:val="00A24CE5"/>
    <w:rsid w:val="00A24E9A"/>
    <w:rsid w:val="00A251B1"/>
    <w:rsid w:val="00A253E1"/>
    <w:rsid w:val="00A25416"/>
    <w:rsid w:val="00A254F0"/>
    <w:rsid w:val="00A2555A"/>
    <w:rsid w:val="00A25AA8"/>
    <w:rsid w:val="00A26079"/>
    <w:rsid w:val="00A260B4"/>
    <w:rsid w:val="00A260DC"/>
    <w:rsid w:val="00A26595"/>
    <w:rsid w:val="00A26755"/>
    <w:rsid w:val="00A267B9"/>
    <w:rsid w:val="00A2680F"/>
    <w:rsid w:val="00A26D80"/>
    <w:rsid w:val="00A27027"/>
    <w:rsid w:val="00A270E8"/>
    <w:rsid w:val="00A278B4"/>
    <w:rsid w:val="00A278D7"/>
    <w:rsid w:val="00A27A06"/>
    <w:rsid w:val="00A27B06"/>
    <w:rsid w:val="00A27EF6"/>
    <w:rsid w:val="00A30181"/>
    <w:rsid w:val="00A30282"/>
    <w:rsid w:val="00A30293"/>
    <w:rsid w:val="00A30599"/>
    <w:rsid w:val="00A3082D"/>
    <w:rsid w:val="00A309B8"/>
    <w:rsid w:val="00A31079"/>
    <w:rsid w:val="00A31173"/>
    <w:rsid w:val="00A311B4"/>
    <w:rsid w:val="00A3121D"/>
    <w:rsid w:val="00A31229"/>
    <w:rsid w:val="00A31484"/>
    <w:rsid w:val="00A31650"/>
    <w:rsid w:val="00A31C21"/>
    <w:rsid w:val="00A31D9F"/>
    <w:rsid w:val="00A31DF5"/>
    <w:rsid w:val="00A31E35"/>
    <w:rsid w:val="00A325D9"/>
    <w:rsid w:val="00A327D0"/>
    <w:rsid w:val="00A32AF7"/>
    <w:rsid w:val="00A32C04"/>
    <w:rsid w:val="00A32E8A"/>
    <w:rsid w:val="00A32F3D"/>
    <w:rsid w:val="00A334FF"/>
    <w:rsid w:val="00A338E4"/>
    <w:rsid w:val="00A33F83"/>
    <w:rsid w:val="00A34125"/>
    <w:rsid w:val="00A34848"/>
    <w:rsid w:val="00A348CD"/>
    <w:rsid w:val="00A34A30"/>
    <w:rsid w:val="00A35447"/>
    <w:rsid w:val="00A354DA"/>
    <w:rsid w:val="00A35537"/>
    <w:rsid w:val="00A35823"/>
    <w:rsid w:val="00A35C42"/>
    <w:rsid w:val="00A35FE0"/>
    <w:rsid w:val="00A36055"/>
    <w:rsid w:val="00A360ED"/>
    <w:rsid w:val="00A36130"/>
    <w:rsid w:val="00A36369"/>
    <w:rsid w:val="00A3647A"/>
    <w:rsid w:val="00A3689E"/>
    <w:rsid w:val="00A36AFE"/>
    <w:rsid w:val="00A36E01"/>
    <w:rsid w:val="00A37142"/>
    <w:rsid w:val="00A3767F"/>
    <w:rsid w:val="00A37F01"/>
    <w:rsid w:val="00A4007D"/>
    <w:rsid w:val="00A400DB"/>
    <w:rsid w:val="00A401C8"/>
    <w:rsid w:val="00A40208"/>
    <w:rsid w:val="00A40266"/>
    <w:rsid w:val="00A40494"/>
    <w:rsid w:val="00A40673"/>
    <w:rsid w:val="00A407B9"/>
    <w:rsid w:val="00A4091E"/>
    <w:rsid w:val="00A41166"/>
    <w:rsid w:val="00A4154D"/>
    <w:rsid w:val="00A4164D"/>
    <w:rsid w:val="00A4170A"/>
    <w:rsid w:val="00A418B6"/>
    <w:rsid w:val="00A419B3"/>
    <w:rsid w:val="00A41AB6"/>
    <w:rsid w:val="00A422B5"/>
    <w:rsid w:val="00A42379"/>
    <w:rsid w:val="00A429DF"/>
    <w:rsid w:val="00A42CB1"/>
    <w:rsid w:val="00A4363C"/>
    <w:rsid w:val="00A4377F"/>
    <w:rsid w:val="00A439E8"/>
    <w:rsid w:val="00A43BC7"/>
    <w:rsid w:val="00A43D2B"/>
    <w:rsid w:val="00A43E97"/>
    <w:rsid w:val="00A43EB7"/>
    <w:rsid w:val="00A440A0"/>
    <w:rsid w:val="00A445A0"/>
    <w:rsid w:val="00A45298"/>
    <w:rsid w:val="00A452DC"/>
    <w:rsid w:val="00A454BD"/>
    <w:rsid w:val="00A4553A"/>
    <w:rsid w:val="00A455B6"/>
    <w:rsid w:val="00A4561E"/>
    <w:rsid w:val="00A45BB4"/>
    <w:rsid w:val="00A46077"/>
    <w:rsid w:val="00A463C1"/>
    <w:rsid w:val="00A465A0"/>
    <w:rsid w:val="00A46D63"/>
    <w:rsid w:val="00A47020"/>
    <w:rsid w:val="00A47122"/>
    <w:rsid w:val="00A4726D"/>
    <w:rsid w:val="00A47715"/>
    <w:rsid w:val="00A50006"/>
    <w:rsid w:val="00A50072"/>
    <w:rsid w:val="00A50313"/>
    <w:rsid w:val="00A50740"/>
    <w:rsid w:val="00A50B69"/>
    <w:rsid w:val="00A50C62"/>
    <w:rsid w:val="00A50D2F"/>
    <w:rsid w:val="00A5106F"/>
    <w:rsid w:val="00A510B0"/>
    <w:rsid w:val="00A5148D"/>
    <w:rsid w:val="00A51622"/>
    <w:rsid w:val="00A516E7"/>
    <w:rsid w:val="00A51AA6"/>
    <w:rsid w:val="00A51E43"/>
    <w:rsid w:val="00A51EA0"/>
    <w:rsid w:val="00A51ED5"/>
    <w:rsid w:val="00A51F27"/>
    <w:rsid w:val="00A51F47"/>
    <w:rsid w:val="00A51F72"/>
    <w:rsid w:val="00A52212"/>
    <w:rsid w:val="00A52AAC"/>
    <w:rsid w:val="00A52BBE"/>
    <w:rsid w:val="00A52F73"/>
    <w:rsid w:val="00A53190"/>
    <w:rsid w:val="00A53CFD"/>
    <w:rsid w:val="00A53D0E"/>
    <w:rsid w:val="00A53D98"/>
    <w:rsid w:val="00A53E43"/>
    <w:rsid w:val="00A53F8B"/>
    <w:rsid w:val="00A53FBE"/>
    <w:rsid w:val="00A54283"/>
    <w:rsid w:val="00A5481C"/>
    <w:rsid w:val="00A54F7C"/>
    <w:rsid w:val="00A558B0"/>
    <w:rsid w:val="00A55B9C"/>
    <w:rsid w:val="00A55E12"/>
    <w:rsid w:val="00A56497"/>
    <w:rsid w:val="00A569CA"/>
    <w:rsid w:val="00A56AB2"/>
    <w:rsid w:val="00A56AD0"/>
    <w:rsid w:val="00A56C17"/>
    <w:rsid w:val="00A56C48"/>
    <w:rsid w:val="00A56D77"/>
    <w:rsid w:val="00A56EA8"/>
    <w:rsid w:val="00A56FF7"/>
    <w:rsid w:val="00A57A8E"/>
    <w:rsid w:val="00A57C3F"/>
    <w:rsid w:val="00A57C42"/>
    <w:rsid w:val="00A60392"/>
    <w:rsid w:val="00A603C3"/>
    <w:rsid w:val="00A60BF1"/>
    <w:rsid w:val="00A60CB2"/>
    <w:rsid w:val="00A6115B"/>
    <w:rsid w:val="00A61862"/>
    <w:rsid w:val="00A61892"/>
    <w:rsid w:val="00A61E3F"/>
    <w:rsid w:val="00A61F04"/>
    <w:rsid w:val="00A621A7"/>
    <w:rsid w:val="00A623FA"/>
    <w:rsid w:val="00A6256A"/>
    <w:rsid w:val="00A62BCF"/>
    <w:rsid w:val="00A62F98"/>
    <w:rsid w:val="00A6307E"/>
    <w:rsid w:val="00A63374"/>
    <w:rsid w:val="00A6379D"/>
    <w:rsid w:val="00A63AC2"/>
    <w:rsid w:val="00A63C54"/>
    <w:rsid w:val="00A63CAF"/>
    <w:rsid w:val="00A640F8"/>
    <w:rsid w:val="00A640FA"/>
    <w:rsid w:val="00A6436C"/>
    <w:rsid w:val="00A647B3"/>
    <w:rsid w:val="00A6485E"/>
    <w:rsid w:val="00A64CB0"/>
    <w:rsid w:val="00A64D91"/>
    <w:rsid w:val="00A64E46"/>
    <w:rsid w:val="00A64EE8"/>
    <w:rsid w:val="00A64F01"/>
    <w:rsid w:val="00A651E8"/>
    <w:rsid w:val="00A6544F"/>
    <w:rsid w:val="00A65531"/>
    <w:rsid w:val="00A65AD6"/>
    <w:rsid w:val="00A662A5"/>
    <w:rsid w:val="00A66380"/>
    <w:rsid w:val="00A66793"/>
    <w:rsid w:val="00A668DC"/>
    <w:rsid w:val="00A66FC3"/>
    <w:rsid w:val="00A67A9C"/>
    <w:rsid w:val="00A67BCD"/>
    <w:rsid w:val="00A67DEF"/>
    <w:rsid w:val="00A67E8B"/>
    <w:rsid w:val="00A70152"/>
    <w:rsid w:val="00A7036B"/>
    <w:rsid w:val="00A7044A"/>
    <w:rsid w:val="00A707D4"/>
    <w:rsid w:val="00A70803"/>
    <w:rsid w:val="00A7119D"/>
    <w:rsid w:val="00A712DA"/>
    <w:rsid w:val="00A7169D"/>
    <w:rsid w:val="00A7177A"/>
    <w:rsid w:val="00A718AB"/>
    <w:rsid w:val="00A71E83"/>
    <w:rsid w:val="00A71F52"/>
    <w:rsid w:val="00A720B3"/>
    <w:rsid w:val="00A723EC"/>
    <w:rsid w:val="00A72410"/>
    <w:rsid w:val="00A72EC7"/>
    <w:rsid w:val="00A73213"/>
    <w:rsid w:val="00A733CD"/>
    <w:rsid w:val="00A7361E"/>
    <w:rsid w:val="00A7386C"/>
    <w:rsid w:val="00A7388C"/>
    <w:rsid w:val="00A738D3"/>
    <w:rsid w:val="00A739EE"/>
    <w:rsid w:val="00A73D4A"/>
    <w:rsid w:val="00A73FDA"/>
    <w:rsid w:val="00A74137"/>
    <w:rsid w:val="00A74387"/>
    <w:rsid w:val="00A74392"/>
    <w:rsid w:val="00A74839"/>
    <w:rsid w:val="00A74A4D"/>
    <w:rsid w:val="00A74A9B"/>
    <w:rsid w:val="00A74C42"/>
    <w:rsid w:val="00A75237"/>
    <w:rsid w:val="00A75A8A"/>
    <w:rsid w:val="00A75DD2"/>
    <w:rsid w:val="00A7627D"/>
    <w:rsid w:val="00A76520"/>
    <w:rsid w:val="00A7661F"/>
    <w:rsid w:val="00A7677B"/>
    <w:rsid w:val="00A7692A"/>
    <w:rsid w:val="00A769B3"/>
    <w:rsid w:val="00A76A45"/>
    <w:rsid w:val="00A76C91"/>
    <w:rsid w:val="00A77393"/>
    <w:rsid w:val="00A773A3"/>
    <w:rsid w:val="00A775E2"/>
    <w:rsid w:val="00A777E6"/>
    <w:rsid w:val="00A7785D"/>
    <w:rsid w:val="00A77A7C"/>
    <w:rsid w:val="00A77AB8"/>
    <w:rsid w:val="00A77B79"/>
    <w:rsid w:val="00A77BEB"/>
    <w:rsid w:val="00A77F12"/>
    <w:rsid w:val="00A77FC7"/>
    <w:rsid w:val="00A77FCD"/>
    <w:rsid w:val="00A8029E"/>
    <w:rsid w:val="00A802CF"/>
    <w:rsid w:val="00A803B8"/>
    <w:rsid w:val="00A803F9"/>
    <w:rsid w:val="00A80B90"/>
    <w:rsid w:val="00A81031"/>
    <w:rsid w:val="00A8106F"/>
    <w:rsid w:val="00A81175"/>
    <w:rsid w:val="00A81BD6"/>
    <w:rsid w:val="00A81C5B"/>
    <w:rsid w:val="00A8212E"/>
    <w:rsid w:val="00A828A1"/>
    <w:rsid w:val="00A82F61"/>
    <w:rsid w:val="00A832D3"/>
    <w:rsid w:val="00A83523"/>
    <w:rsid w:val="00A83949"/>
    <w:rsid w:val="00A83A73"/>
    <w:rsid w:val="00A83BCD"/>
    <w:rsid w:val="00A83C3D"/>
    <w:rsid w:val="00A83DF0"/>
    <w:rsid w:val="00A840C6"/>
    <w:rsid w:val="00A840D2"/>
    <w:rsid w:val="00A841A1"/>
    <w:rsid w:val="00A84600"/>
    <w:rsid w:val="00A84946"/>
    <w:rsid w:val="00A84CDD"/>
    <w:rsid w:val="00A84DA7"/>
    <w:rsid w:val="00A8521D"/>
    <w:rsid w:val="00A85256"/>
    <w:rsid w:val="00A853C2"/>
    <w:rsid w:val="00A855CB"/>
    <w:rsid w:val="00A8579E"/>
    <w:rsid w:val="00A85E06"/>
    <w:rsid w:val="00A8600B"/>
    <w:rsid w:val="00A86074"/>
    <w:rsid w:val="00A862A3"/>
    <w:rsid w:val="00A863FB"/>
    <w:rsid w:val="00A86A02"/>
    <w:rsid w:val="00A86DD9"/>
    <w:rsid w:val="00A8736D"/>
    <w:rsid w:val="00A873F9"/>
    <w:rsid w:val="00A8749A"/>
    <w:rsid w:val="00A87AD3"/>
    <w:rsid w:val="00A9061C"/>
    <w:rsid w:val="00A9063B"/>
    <w:rsid w:val="00A908AE"/>
    <w:rsid w:val="00A90991"/>
    <w:rsid w:val="00A90FC2"/>
    <w:rsid w:val="00A9112A"/>
    <w:rsid w:val="00A91155"/>
    <w:rsid w:val="00A913BE"/>
    <w:rsid w:val="00A91833"/>
    <w:rsid w:val="00A919BC"/>
    <w:rsid w:val="00A91E46"/>
    <w:rsid w:val="00A91E69"/>
    <w:rsid w:val="00A920B6"/>
    <w:rsid w:val="00A92310"/>
    <w:rsid w:val="00A924B0"/>
    <w:rsid w:val="00A9267E"/>
    <w:rsid w:val="00A933DC"/>
    <w:rsid w:val="00A93726"/>
    <w:rsid w:val="00A93CBE"/>
    <w:rsid w:val="00A93E0F"/>
    <w:rsid w:val="00A93EB2"/>
    <w:rsid w:val="00A93FA8"/>
    <w:rsid w:val="00A94541"/>
    <w:rsid w:val="00A9486C"/>
    <w:rsid w:val="00A94D11"/>
    <w:rsid w:val="00A950C9"/>
    <w:rsid w:val="00A950E5"/>
    <w:rsid w:val="00A95219"/>
    <w:rsid w:val="00A95477"/>
    <w:rsid w:val="00A954DF"/>
    <w:rsid w:val="00A955EC"/>
    <w:rsid w:val="00A957FD"/>
    <w:rsid w:val="00A9585B"/>
    <w:rsid w:val="00A95E3D"/>
    <w:rsid w:val="00A960AB"/>
    <w:rsid w:val="00A972B9"/>
    <w:rsid w:val="00A972D0"/>
    <w:rsid w:val="00A97328"/>
    <w:rsid w:val="00A973F1"/>
    <w:rsid w:val="00A9753D"/>
    <w:rsid w:val="00A978EF"/>
    <w:rsid w:val="00A97ACC"/>
    <w:rsid w:val="00A97DB3"/>
    <w:rsid w:val="00AA02ED"/>
    <w:rsid w:val="00AA0420"/>
    <w:rsid w:val="00AA0460"/>
    <w:rsid w:val="00AA05B6"/>
    <w:rsid w:val="00AA062B"/>
    <w:rsid w:val="00AA0990"/>
    <w:rsid w:val="00AA0D51"/>
    <w:rsid w:val="00AA0DDA"/>
    <w:rsid w:val="00AA0E22"/>
    <w:rsid w:val="00AA0ED8"/>
    <w:rsid w:val="00AA0FE1"/>
    <w:rsid w:val="00AA1319"/>
    <w:rsid w:val="00AA157A"/>
    <w:rsid w:val="00AA162E"/>
    <w:rsid w:val="00AA1714"/>
    <w:rsid w:val="00AA2632"/>
    <w:rsid w:val="00AA2708"/>
    <w:rsid w:val="00AA275A"/>
    <w:rsid w:val="00AA275F"/>
    <w:rsid w:val="00AA2D12"/>
    <w:rsid w:val="00AA3429"/>
    <w:rsid w:val="00AA38FA"/>
    <w:rsid w:val="00AA3A50"/>
    <w:rsid w:val="00AA3EAA"/>
    <w:rsid w:val="00AA40CB"/>
    <w:rsid w:val="00AA4AAB"/>
    <w:rsid w:val="00AA4B30"/>
    <w:rsid w:val="00AA5063"/>
    <w:rsid w:val="00AA5198"/>
    <w:rsid w:val="00AA52A9"/>
    <w:rsid w:val="00AA5341"/>
    <w:rsid w:val="00AA53D6"/>
    <w:rsid w:val="00AA59A1"/>
    <w:rsid w:val="00AA6289"/>
    <w:rsid w:val="00AA69C8"/>
    <w:rsid w:val="00AA69E4"/>
    <w:rsid w:val="00AA6C97"/>
    <w:rsid w:val="00AA6CB6"/>
    <w:rsid w:val="00AA6E17"/>
    <w:rsid w:val="00AA7228"/>
    <w:rsid w:val="00AA73DC"/>
    <w:rsid w:val="00AA79A6"/>
    <w:rsid w:val="00AB0007"/>
    <w:rsid w:val="00AB0487"/>
    <w:rsid w:val="00AB08C0"/>
    <w:rsid w:val="00AB0C40"/>
    <w:rsid w:val="00AB1065"/>
    <w:rsid w:val="00AB10DD"/>
    <w:rsid w:val="00AB111E"/>
    <w:rsid w:val="00AB11DB"/>
    <w:rsid w:val="00AB11E9"/>
    <w:rsid w:val="00AB19A1"/>
    <w:rsid w:val="00AB1F13"/>
    <w:rsid w:val="00AB2A7B"/>
    <w:rsid w:val="00AB2C68"/>
    <w:rsid w:val="00AB2C97"/>
    <w:rsid w:val="00AB312D"/>
    <w:rsid w:val="00AB3F47"/>
    <w:rsid w:val="00AB4025"/>
    <w:rsid w:val="00AB4163"/>
    <w:rsid w:val="00AB444C"/>
    <w:rsid w:val="00AB464C"/>
    <w:rsid w:val="00AB4655"/>
    <w:rsid w:val="00AB46D0"/>
    <w:rsid w:val="00AB4E0F"/>
    <w:rsid w:val="00AB5449"/>
    <w:rsid w:val="00AB5E03"/>
    <w:rsid w:val="00AB5F85"/>
    <w:rsid w:val="00AB6567"/>
    <w:rsid w:val="00AB6FB1"/>
    <w:rsid w:val="00AB7B45"/>
    <w:rsid w:val="00AC0166"/>
    <w:rsid w:val="00AC0539"/>
    <w:rsid w:val="00AC0B5B"/>
    <w:rsid w:val="00AC0E53"/>
    <w:rsid w:val="00AC0E80"/>
    <w:rsid w:val="00AC0EDB"/>
    <w:rsid w:val="00AC1660"/>
    <w:rsid w:val="00AC18FA"/>
    <w:rsid w:val="00AC1B48"/>
    <w:rsid w:val="00AC1F54"/>
    <w:rsid w:val="00AC25B2"/>
    <w:rsid w:val="00AC2837"/>
    <w:rsid w:val="00AC2867"/>
    <w:rsid w:val="00AC2A68"/>
    <w:rsid w:val="00AC2D2B"/>
    <w:rsid w:val="00AC2D49"/>
    <w:rsid w:val="00AC2EF2"/>
    <w:rsid w:val="00AC33A5"/>
    <w:rsid w:val="00AC33B5"/>
    <w:rsid w:val="00AC3674"/>
    <w:rsid w:val="00AC38CE"/>
    <w:rsid w:val="00AC3D7D"/>
    <w:rsid w:val="00AC4A48"/>
    <w:rsid w:val="00AC4A97"/>
    <w:rsid w:val="00AC4BC6"/>
    <w:rsid w:val="00AC4CA7"/>
    <w:rsid w:val="00AC4CC6"/>
    <w:rsid w:val="00AC4F29"/>
    <w:rsid w:val="00AC4FA7"/>
    <w:rsid w:val="00AC5188"/>
    <w:rsid w:val="00AC51C3"/>
    <w:rsid w:val="00AC5708"/>
    <w:rsid w:val="00AC58DE"/>
    <w:rsid w:val="00AC58EF"/>
    <w:rsid w:val="00AC5961"/>
    <w:rsid w:val="00AC5DD3"/>
    <w:rsid w:val="00AC6752"/>
    <w:rsid w:val="00AC67C2"/>
    <w:rsid w:val="00AC684E"/>
    <w:rsid w:val="00AC6988"/>
    <w:rsid w:val="00AC698E"/>
    <w:rsid w:val="00AC6BB2"/>
    <w:rsid w:val="00AC6D22"/>
    <w:rsid w:val="00AC6D8B"/>
    <w:rsid w:val="00AC6E87"/>
    <w:rsid w:val="00AC7531"/>
    <w:rsid w:val="00AC7586"/>
    <w:rsid w:val="00AC75A8"/>
    <w:rsid w:val="00AC792B"/>
    <w:rsid w:val="00AC7EA7"/>
    <w:rsid w:val="00AC7F2A"/>
    <w:rsid w:val="00AD0AAE"/>
    <w:rsid w:val="00AD0D22"/>
    <w:rsid w:val="00AD0F8B"/>
    <w:rsid w:val="00AD1187"/>
    <w:rsid w:val="00AD163A"/>
    <w:rsid w:val="00AD16F1"/>
    <w:rsid w:val="00AD18B2"/>
    <w:rsid w:val="00AD1918"/>
    <w:rsid w:val="00AD192E"/>
    <w:rsid w:val="00AD1AC5"/>
    <w:rsid w:val="00AD1F7D"/>
    <w:rsid w:val="00AD20B2"/>
    <w:rsid w:val="00AD2194"/>
    <w:rsid w:val="00AD2361"/>
    <w:rsid w:val="00AD2D15"/>
    <w:rsid w:val="00AD2DE2"/>
    <w:rsid w:val="00AD33F8"/>
    <w:rsid w:val="00AD361C"/>
    <w:rsid w:val="00AD38D0"/>
    <w:rsid w:val="00AD39DD"/>
    <w:rsid w:val="00AD3B42"/>
    <w:rsid w:val="00AD3BC3"/>
    <w:rsid w:val="00AD3D88"/>
    <w:rsid w:val="00AD3F48"/>
    <w:rsid w:val="00AD404B"/>
    <w:rsid w:val="00AD42F5"/>
    <w:rsid w:val="00AD44FC"/>
    <w:rsid w:val="00AD49F0"/>
    <w:rsid w:val="00AD4F6B"/>
    <w:rsid w:val="00AD5746"/>
    <w:rsid w:val="00AD5748"/>
    <w:rsid w:val="00AD5A9B"/>
    <w:rsid w:val="00AD5AD0"/>
    <w:rsid w:val="00AD5B0B"/>
    <w:rsid w:val="00AD5BAF"/>
    <w:rsid w:val="00AD5E7E"/>
    <w:rsid w:val="00AD639E"/>
    <w:rsid w:val="00AD6CE9"/>
    <w:rsid w:val="00AD6ECA"/>
    <w:rsid w:val="00AD6FF3"/>
    <w:rsid w:val="00AD707A"/>
    <w:rsid w:val="00AD76D1"/>
    <w:rsid w:val="00AD788C"/>
    <w:rsid w:val="00AD7929"/>
    <w:rsid w:val="00AD7E83"/>
    <w:rsid w:val="00AD7EFE"/>
    <w:rsid w:val="00AE1124"/>
    <w:rsid w:val="00AE1219"/>
    <w:rsid w:val="00AE1ED1"/>
    <w:rsid w:val="00AE216C"/>
    <w:rsid w:val="00AE2380"/>
    <w:rsid w:val="00AE2579"/>
    <w:rsid w:val="00AE25EC"/>
    <w:rsid w:val="00AE2888"/>
    <w:rsid w:val="00AE2F4B"/>
    <w:rsid w:val="00AE308D"/>
    <w:rsid w:val="00AE3223"/>
    <w:rsid w:val="00AE33C2"/>
    <w:rsid w:val="00AE3541"/>
    <w:rsid w:val="00AE375E"/>
    <w:rsid w:val="00AE376D"/>
    <w:rsid w:val="00AE3897"/>
    <w:rsid w:val="00AE3C9A"/>
    <w:rsid w:val="00AE3CB6"/>
    <w:rsid w:val="00AE3E59"/>
    <w:rsid w:val="00AE3F1A"/>
    <w:rsid w:val="00AE3F77"/>
    <w:rsid w:val="00AE4414"/>
    <w:rsid w:val="00AE483B"/>
    <w:rsid w:val="00AE4A35"/>
    <w:rsid w:val="00AE4B55"/>
    <w:rsid w:val="00AE4C80"/>
    <w:rsid w:val="00AE4CB2"/>
    <w:rsid w:val="00AE527D"/>
    <w:rsid w:val="00AE54EE"/>
    <w:rsid w:val="00AE5639"/>
    <w:rsid w:val="00AE565E"/>
    <w:rsid w:val="00AE5C00"/>
    <w:rsid w:val="00AE6035"/>
    <w:rsid w:val="00AE62DF"/>
    <w:rsid w:val="00AE65B0"/>
    <w:rsid w:val="00AE65E9"/>
    <w:rsid w:val="00AE66B7"/>
    <w:rsid w:val="00AE6C84"/>
    <w:rsid w:val="00AE6DD0"/>
    <w:rsid w:val="00AE6EE4"/>
    <w:rsid w:val="00AE7043"/>
    <w:rsid w:val="00AE7057"/>
    <w:rsid w:val="00AE715B"/>
    <w:rsid w:val="00AE736B"/>
    <w:rsid w:val="00AE748F"/>
    <w:rsid w:val="00AE762F"/>
    <w:rsid w:val="00AE7652"/>
    <w:rsid w:val="00AE787F"/>
    <w:rsid w:val="00AED3FC"/>
    <w:rsid w:val="00AF0028"/>
    <w:rsid w:val="00AF0453"/>
    <w:rsid w:val="00AF0508"/>
    <w:rsid w:val="00AF076C"/>
    <w:rsid w:val="00AF0877"/>
    <w:rsid w:val="00AF09EF"/>
    <w:rsid w:val="00AF0E03"/>
    <w:rsid w:val="00AF10E9"/>
    <w:rsid w:val="00AF10FB"/>
    <w:rsid w:val="00AF1382"/>
    <w:rsid w:val="00AF14A5"/>
    <w:rsid w:val="00AF14C7"/>
    <w:rsid w:val="00AF16E1"/>
    <w:rsid w:val="00AF1737"/>
    <w:rsid w:val="00AF173F"/>
    <w:rsid w:val="00AF1850"/>
    <w:rsid w:val="00AF1AB5"/>
    <w:rsid w:val="00AF212D"/>
    <w:rsid w:val="00AF27B6"/>
    <w:rsid w:val="00AF3224"/>
    <w:rsid w:val="00AF35D3"/>
    <w:rsid w:val="00AF39B5"/>
    <w:rsid w:val="00AF3C7C"/>
    <w:rsid w:val="00AF3DB1"/>
    <w:rsid w:val="00AF48D6"/>
    <w:rsid w:val="00AF4961"/>
    <w:rsid w:val="00AF4A11"/>
    <w:rsid w:val="00AF4B10"/>
    <w:rsid w:val="00AF4E6A"/>
    <w:rsid w:val="00AF4EA2"/>
    <w:rsid w:val="00AF4F02"/>
    <w:rsid w:val="00AF59C6"/>
    <w:rsid w:val="00AF5D35"/>
    <w:rsid w:val="00AF60F8"/>
    <w:rsid w:val="00AF6493"/>
    <w:rsid w:val="00AF64FA"/>
    <w:rsid w:val="00AF729B"/>
    <w:rsid w:val="00AF763E"/>
    <w:rsid w:val="00AF7792"/>
    <w:rsid w:val="00AF790A"/>
    <w:rsid w:val="00AF7DFC"/>
    <w:rsid w:val="00AF7EFB"/>
    <w:rsid w:val="00B00133"/>
    <w:rsid w:val="00B00394"/>
    <w:rsid w:val="00B0060E"/>
    <w:rsid w:val="00B00998"/>
    <w:rsid w:val="00B00B56"/>
    <w:rsid w:val="00B0125D"/>
    <w:rsid w:val="00B01601"/>
    <w:rsid w:val="00B0161B"/>
    <w:rsid w:val="00B01981"/>
    <w:rsid w:val="00B01BBA"/>
    <w:rsid w:val="00B01C8E"/>
    <w:rsid w:val="00B021DA"/>
    <w:rsid w:val="00B022D2"/>
    <w:rsid w:val="00B02835"/>
    <w:rsid w:val="00B02C2D"/>
    <w:rsid w:val="00B02D23"/>
    <w:rsid w:val="00B02D77"/>
    <w:rsid w:val="00B031EC"/>
    <w:rsid w:val="00B03DD1"/>
    <w:rsid w:val="00B03E7E"/>
    <w:rsid w:val="00B05246"/>
    <w:rsid w:val="00B05AE8"/>
    <w:rsid w:val="00B05D91"/>
    <w:rsid w:val="00B05EAF"/>
    <w:rsid w:val="00B06177"/>
    <w:rsid w:val="00B063C2"/>
    <w:rsid w:val="00B0664E"/>
    <w:rsid w:val="00B06691"/>
    <w:rsid w:val="00B066BE"/>
    <w:rsid w:val="00B069AD"/>
    <w:rsid w:val="00B06C44"/>
    <w:rsid w:val="00B07BEA"/>
    <w:rsid w:val="00B07E7B"/>
    <w:rsid w:val="00B07E92"/>
    <w:rsid w:val="00B07FCC"/>
    <w:rsid w:val="00B102DE"/>
    <w:rsid w:val="00B10363"/>
    <w:rsid w:val="00B103D8"/>
    <w:rsid w:val="00B104F5"/>
    <w:rsid w:val="00B105F5"/>
    <w:rsid w:val="00B10BCB"/>
    <w:rsid w:val="00B10C6B"/>
    <w:rsid w:val="00B10E5D"/>
    <w:rsid w:val="00B111F1"/>
    <w:rsid w:val="00B114D7"/>
    <w:rsid w:val="00B11846"/>
    <w:rsid w:val="00B11B56"/>
    <w:rsid w:val="00B11C5D"/>
    <w:rsid w:val="00B121BE"/>
    <w:rsid w:val="00B1286F"/>
    <w:rsid w:val="00B12A67"/>
    <w:rsid w:val="00B12B0A"/>
    <w:rsid w:val="00B12BAE"/>
    <w:rsid w:val="00B12E0E"/>
    <w:rsid w:val="00B130D6"/>
    <w:rsid w:val="00B1311E"/>
    <w:rsid w:val="00B13554"/>
    <w:rsid w:val="00B14587"/>
    <w:rsid w:val="00B14726"/>
    <w:rsid w:val="00B14771"/>
    <w:rsid w:val="00B147F9"/>
    <w:rsid w:val="00B14B3A"/>
    <w:rsid w:val="00B14B63"/>
    <w:rsid w:val="00B14F7C"/>
    <w:rsid w:val="00B15048"/>
    <w:rsid w:val="00B15384"/>
    <w:rsid w:val="00B157A2"/>
    <w:rsid w:val="00B1590E"/>
    <w:rsid w:val="00B15B8D"/>
    <w:rsid w:val="00B15D16"/>
    <w:rsid w:val="00B16108"/>
    <w:rsid w:val="00B1642B"/>
    <w:rsid w:val="00B16433"/>
    <w:rsid w:val="00B1665F"/>
    <w:rsid w:val="00B16AC6"/>
    <w:rsid w:val="00B16B95"/>
    <w:rsid w:val="00B16FF4"/>
    <w:rsid w:val="00B17332"/>
    <w:rsid w:val="00B1734C"/>
    <w:rsid w:val="00B173C8"/>
    <w:rsid w:val="00B1759D"/>
    <w:rsid w:val="00B17679"/>
    <w:rsid w:val="00B1788C"/>
    <w:rsid w:val="00B17897"/>
    <w:rsid w:val="00B17A88"/>
    <w:rsid w:val="00B17AC7"/>
    <w:rsid w:val="00B17C9A"/>
    <w:rsid w:val="00B17E47"/>
    <w:rsid w:val="00B17E85"/>
    <w:rsid w:val="00B200B2"/>
    <w:rsid w:val="00B205B8"/>
    <w:rsid w:val="00B2064B"/>
    <w:rsid w:val="00B206EB"/>
    <w:rsid w:val="00B20930"/>
    <w:rsid w:val="00B20BF5"/>
    <w:rsid w:val="00B20C5B"/>
    <w:rsid w:val="00B20EDD"/>
    <w:rsid w:val="00B210D0"/>
    <w:rsid w:val="00B2113B"/>
    <w:rsid w:val="00B212D5"/>
    <w:rsid w:val="00B2155E"/>
    <w:rsid w:val="00B2196B"/>
    <w:rsid w:val="00B21DC7"/>
    <w:rsid w:val="00B22536"/>
    <w:rsid w:val="00B227DC"/>
    <w:rsid w:val="00B2299B"/>
    <w:rsid w:val="00B22BFE"/>
    <w:rsid w:val="00B22C3A"/>
    <w:rsid w:val="00B22C5D"/>
    <w:rsid w:val="00B23475"/>
    <w:rsid w:val="00B23FBC"/>
    <w:rsid w:val="00B24531"/>
    <w:rsid w:val="00B2465D"/>
    <w:rsid w:val="00B24958"/>
    <w:rsid w:val="00B24F6F"/>
    <w:rsid w:val="00B25315"/>
    <w:rsid w:val="00B258C1"/>
    <w:rsid w:val="00B25918"/>
    <w:rsid w:val="00B25950"/>
    <w:rsid w:val="00B25B22"/>
    <w:rsid w:val="00B25C49"/>
    <w:rsid w:val="00B261FF"/>
    <w:rsid w:val="00B26391"/>
    <w:rsid w:val="00B26CAD"/>
    <w:rsid w:val="00B26D9D"/>
    <w:rsid w:val="00B26E0E"/>
    <w:rsid w:val="00B272A4"/>
    <w:rsid w:val="00B2748A"/>
    <w:rsid w:val="00B27A4B"/>
    <w:rsid w:val="00B27ABC"/>
    <w:rsid w:val="00B27CD7"/>
    <w:rsid w:val="00B27D0A"/>
    <w:rsid w:val="00B27E2F"/>
    <w:rsid w:val="00B27F1B"/>
    <w:rsid w:val="00B27F9A"/>
    <w:rsid w:val="00B3046D"/>
    <w:rsid w:val="00B30B7F"/>
    <w:rsid w:val="00B3101E"/>
    <w:rsid w:val="00B3102B"/>
    <w:rsid w:val="00B312CE"/>
    <w:rsid w:val="00B318DF"/>
    <w:rsid w:val="00B31E75"/>
    <w:rsid w:val="00B322C6"/>
    <w:rsid w:val="00B3230D"/>
    <w:rsid w:val="00B323B6"/>
    <w:rsid w:val="00B328E7"/>
    <w:rsid w:val="00B32912"/>
    <w:rsid w:val="00B32C46"/>
    <w:rsid w:val="00B32CF2"/>
    <w:rsid w:val="00B32D2F"/>
    <w:rsid w:val="00B3310E"/>
    <w:rsid w:val="00B332ED"/>
    <w:rsid w:val="00B3361F"/>
    <w:rsid w:val="00B33705"/>
    <w:rsid w:val="00B33A99"/>
    <w:rsid w:val="00B33BB4"/>
    <w:rsid w:val="00B33C3D"/>
    <w:rsid w:val="00B33C6F"/>
    <w:rsid w:val="00B33D6F"/>
    <w:rsid w:val="00B34A98"/>
    <w:rsid w:val="00B34AD9"/>
    <w:rsid w:val="00B34C1B"/>
    <w:rsid w:val="00B34FEB"/>
    <w:rsid w:val="00B351D2"/>
    <w:rsid w:val="00B354EC"/>
    <w:rsid w:val="00B354ED"/>
    <w:rsid w:val="00B355E8"/>
    <w:rsid w:val="00B3573B"/>
    <w:rsid w:val="00B35B0D"/>
    <w:rsid w:val="00B35D50"/>
    <w:rsid w:val="00B36185"/>
    <w:rsid w:val="00B3644E"/>
    <w:rsid w:val="00B36D06"/>
    <w:rsid w:val="00B37325"/>
    <w:rsid w:val="00B374DE"/>
    <w:rsid w:val="00B3792C"/>
    <w:rsid w:val="00B37981"/>
    <w:rsid w:val="00B37AC3"/>
    <w:rsid w:val="00B40032"/>
    <w:rsid w:val="00B401D7"/>
    <w:rsid w:val="00B401F4"/>
    <w:rsid w:val="00B402D7"/>
    <w:rsid w:val="00B407DA"/>
    <w:rsid w:val="00B40B7F"/>
    <w:rsid w:val="00B4104F"/>
    <w:rsid w:val="00B41122"/>
    <w:rsid w:val="00B417B6"/>
    <w:rsid w:val="00B41973"/>
    <w:rsid w:val="00B41B7C"/>
    <w:rsid w:val="00B41B9D"/>
    <w:rsid w:val="00B420A4"/>
    <w:rsid w:val="00B4216E"/>
    <w:rsid w:val="00B42538"/>
    <w:rsid w:val="00B42609"/>
    <w:rsid w:val="00B4293C"/>
    <w:rsid w:val="00B42AEC"/>
    <w:rsid w:val="00B42BDD"/>
    <w:rsid w:val="00B42EF8"/>
    <w:rsid w:val="00B42F33"/>
    <w:rsid w:val="00B431F8"/>
    <w:rsid w:val="00B438FC"/>
    <w:rsid w:val="00B4394E"/>
    <w:rsid w:val="00B43B98"/>
    <w:rsid w:val="00B4435C"/>
    <w:rsid w:val="00B448A2"/>
    <w:rsid w:val="00B44A4D"/>
    <w:rsid w:val="00B44A5B"/>
    <w:rsid w:val="00B44C2A"/>
    <w:rsid w:val="00B452F5"/>
    <w:rsid w:val="00B45497"/>
    <w:rsid w:val="00B45553"/>
    <w:rsid w:val="00B4568F"/>
    <w:rsid w:val="00B45763"/>
    <w:rsid w:val="00B458F0"/>
    <w:rsid w:val="00B4594C"/>
    <w:rsid w:val="00B464B1"/>
    <w:rsid w:val="00B4655D"/>
    <w:rsid w:val="00B46AC6"/>
    <w:rsid w:val="00B46ACE"/>
    <w:rsid w:val="00B46B2F"/>
    <w:rsid w:val="00B46CC7"/>
    <w:rsid w:val="00B470A8"/>
    <w:rsid w:val="00B47224"/>
    <w:rsid w:val="00B4756A"/>
    <w:rsid w:val="00B475DE"/>
    <w:rsid w:val="00B47A4C"/>
    <w:rsid w:val="00B47C8D"/>
    <w:rsid w:val="00B47F30"/>
    <w:rsid w:val="00B47FFC"/>
    <w:rsid w:val="00B50331"/>
    <w:rsid w:val="00B5050A"/>
    <w:rsid w:val="00B507E2"/>
    <w:rsid w:val="00B507E6"/>
    <w:rsid w:val="00B50BCF"/>
    <w:rsid w:val="00B50D59"/>
    <w:rsid w:val="00B50F44"/>
    <w:rsid w:val="00B51024"/>
    <w:rsid w:val="00B51300"/>
    <w:rsid w:val="00B51B19"/>
    <w:rsid w:val="00B51DC8"/>
    <w:rsid w:val="00B51F50"/>
    <w:rsid w:val="00B5203C"/>
    <w:rsid w:val="00B52046"/>
    <w:rsid w:val="00B5225B"/>
    <w:rsid w:val="00B522AE"/>
    <w:rsid w:val="00B52304"/>
    <w:rsid w:val="00B524EF"/>
    <w:rsid w:val="00B52E33"/>
    <w:rsid w:val="00B53222"/>
    <w:rsid w:val="00B53228"/>
    <w:rsid w:val="00B534F5"/>
    <w:rsid w:val="00B538DE"/>
    <w:rsid w:val="00B53FEF"/>
    <w:rsid w:val="00B541B1"/>
    <w:rsid w:val="00B54223"/>
    <w:rsid w:val="00B5435E"/>
    <w:rsid w:val="00B55020"/>
    <w:rsid w:val="00B55173"/>
    <w:rsid w:val="00B552B4"/>
    <w:rsid w:val="00B5563D"/>
    <w:rsid w:val="00B55664"/>
    <w:rsid w:val="00B56245"/>
    <w:rsid w:val="00B565A0"/>
    <w:rsid w:val="00B56A4F"/>
    <w:rsid w:val="00B56C73"/>
    <w:rsid w:val="00B57697"/>
    <w:rsid w:val="00B57993"/>
    <w:rsid w:val="00B57CD5"/>
    <w:rsid w:val="00B60044"/>
    <w:rsid w:val="00B6018E"/>
    <w:rsid w:val="00B60822"/>
    <w:rsid w:val="00B609BE"/>
    <w:rsid w:val="00B611D7"/>
    <w:rsid w:val="00B61248"/>
    <w:rsid w:val="00B614B2"/>
    <w:rsid w:val="00B6155D"/>
    <w:rsid w:val="00B6190B"/>
    <w:rsid w:val="00B61B75"/>
    <w:rsid w:val="00B61CAD"/>
    <w:rsid w:val="00B61E58"/>
    <w:rsid w:val="00B62189"/>
    <w:rsid w:val="00B62227"/>
    <w:rsid w:val="00B6242E"/>
    <w:rsid w:val="00B6246C"/>
    <w:rsid w:val="00B625BE"/>
    <w:rsid w:val="00B6264E"/>
    <w:rsid w:val="00B627B2"/>
    <w:rsid w:val="00B62855"/>
    <w:rsid w:val="00B629A0"/>
    <w:rsid w:val="00B62CAE"/>
    <w:rsid w:val="00B62EA1"/>
    <w:rsid w:val="00B62EA8"/>
    <w:rsid w:val="00B62EF9"/>
    <w:rsid w:val="00B6308A"/>
    <w:rsid w:val="00B6385E"/>
    <w:rsid w:val="00B63937"/>
    <w:rsid w:val="00B6396A"/>
    <w:rsid w:val="00B64024"/>
    <w:rsid w:val="00B64099"/>
    <w:rsid w:val="00B6421C"/>
    <w:rsid w:val="00B64ACA"/>
    <w:rsid w:val="00B64BB4"/>
    <w:rsid w:val="00B64BFE"/>
    <w:rsid w:val="00B65205"/>
    <w:rsid w:val="00B65341"/>
    <w:rsid w:val="00B656C3"/>
    <w:rsid w:val="00B65A1F"/>
    <w:rsid w:val="00B65BDB"/>
    <w:rsid w:val="00B65FE2"/>
    <w:rsid w:val="00B66013"/>
    <w:rsid w:val="00B6629B"/>
    <w:rsid w:val="00B66465"/>
    <w:rsid w:val="00B6669F"/>
    <w:rsid w:val="00B66713"/>
    <w:rsid w:val="00B6677C"/>
    <w:rsid w:val="00B6682B"/>
    <w:rsid w:val="00B66B83"/>
    <w:rsid w:val="00B66CC5"/>
    <w:rsid w:val="00B66D19"/>
    <w:rsid w:val="00B673D6"/>
    <w:rsid w:val="00B67629"/>
    <w:rsid w:val="00B6777B"/>
    <w:rsid w:val="00B67A55"/>
    <w:rsid w:val="00B67AA5"/>
    <w:rsid w:val="00B67B49"/>
    <w:rsid w:val="00B67EA2"/>
    <w:rsid w:val="00B67EB9"/>
    <w:rsid w:val="00B67FAA"/>
    <w:rsid w:val="00B67FAC"/>
    <w:rsid w:val="00B701DF"/>
    <w:rsid w:val="00B701EB"/>
    <w:rsid w:val="00B7038A"/>
    <w:rsid w:val="00B705BD"/>
    <w:rsid w:val="00B70CEF"/>
    <w:rsid w:val="00B70F33"/>
    <w:rsid w:val="00B71247"/>
    <w:rsid w:val="00B715F0"/>
    <w:rsid w:val="00B718C5"/>
    <w:rsid w:val="00B719F1"/>
    <w:rsid w:val="00B71AD7"/>
    <w:rsid w:val="00B71AF6"/>
    <w:rsid w:val="00B71BC8"/>
    <w:rsid w:val="00B71C70"/>
    <w:rsid w:val="00B72177"/>
    <w:rsid w:val="00B72199"/>
    <w:rsid w:val="00B72463"/>
    <w:rsid w:val="00B725AD"/>
    <w:rsid w:val="00B72807"/>
    <w:rsid w:val="00B728ED"/>
    <w:rsid w:val="00B72A07"/>
    <w:rsid w:val="00B72A6D"/>
    <w:rsid w:val="00B72AA4"/>
    <w:rsid w:val="00B72EDF"/>
    <w:rsid w:val="00B730EB"/>
    <w:rsid w:val="00B73A22"/>
    <w:rsid w:val="00B73E84"/>
    <w:rsid w:val="00B7438E"/>
    <w:rsid w:val="00B74916"/>
    <w:rsid w:val="00B74ACA"/>
    <w:rsid w:val="00B74C05"/>
    <w:rsid w:val="00B751BD"/>
    <w:rsid w:val="00B75342"/>
    <w:rsid w:val="00B758BC"/>
    <w:rsid w:val="00B75CFB"/>
    <w:rsid w:val="00B75F84"/>
    <w:rsid w:val="00B75FF5"/>
    <w:rsid w:val="00B76019"/>
    <w:rsid w:val="00B76069"/>
    <w:rsid w:val="00B760B6"/>
    <w:rsid w:val="00B7631B"/>
    <w:rsid w:val="00B771C9"/>
    <w:rsid w:val="00B773AB"/>
    <w:rsid w:val="00B7766A"/>
    <w:rsid w:val="00B77708"/>
    <w:rsid w:val="00B779EC"/>
    <w:rsid w:val="00B77E0E"/>
    <w:rsid w:val="00B80113"/>
    <w:rsid w:val="00B802ED"/>
    <w:rsid w:val="00B80417"/>
    <w:rsid w:val="00B80C1D"/>
    <w:rsid w:val="00B80E3D"/>
    <w:rsid w:val="00B81062"/>
    <w:rsid w:val="00B813A8"/>
    <w:rsid w:val="00B818BB"/>
    <w:rsid w:val="00B82019"/>
    <w:rsid w:val="00B821F3"/>
    <w:rsid w:val="00B82222"/>
    <w:rsid w:val="00B82332"/>
    <w:rsid w:val="00B8267C"/>
    <w:rsid w:val="00B827C6"/>
    <w:rsid w:val="00B82917"/>
    <w:rsid w:val="00B82932"/>
    <w:rsid w:val="00B82FAE"/>
    <w:rsid w:val="00B82FC3"/>
    <w:rsid w:val="00B832C7"/>
    <w:rsid w:val="00B83849"/>
    <w:rsid w:val="00B8396B"/>
    <w:rsid w:val="00B83E3A"/>
    <w:rsid w:val="00B83FEE"/>
    <w:rsid w:val="00B844C4"/>
    <w:rsid w:val="00B847D2"/>
    <w:rsid w:val="00B84C69"/>
    <w:rsid w:val="00B84EEE"/>
    <w:rsid w:val="00B84F42"/>
    <w:rsid w:val="00B84FF9"/>
    <w:rsid w:val="00B850E7"/>
    <w:rsid w:val="00B85389"/>
    <w:rsid w:val="00B859C6"/>
    <w:rsid w:val="00B860AD"/>
    <w:rsid w:val="00B8633D"/>
    <w:rsid w:val="00B863E2"/>
    <w:rsid w:val="00B864ED"/>
    <w:rsid w:val="00B86C82"/>
    <w:rsid w:val="00B86E40"/>
    <w:rsid w:val="00B8743C"/>
    <w:rsid w:val="00B87440"/>
    <w:rsid w:val="00B87532"/>
    <w:rsid w:val="00B87627"/>
    <w:rsid w:val="00B878FB"/>
    <w:rsid w:val="00B87A27"/>
    <w:rsid w:val="00B90412"/>
    <w:rsid w:val="00B90A0B"/>
    <w:rsid w:val="00B90E86"/>
    <w:rsid w:val="00B90EEE"/>
    <w:rsid w:val="00B90FE6"/>
    <w:rsid w:val="00B9136C"/>
    <w:rsid w:val="00B91441"/>
    <w:rsid w:val="00B914ED"/>
    <w:rsid w:val="00B9150F"/>
    <w:rsid w:val="00B91A68"/>
    <w:rsid w:val="00B91B9E"/>
    <w:rsid w:val="00B91D4C"/>
    <w:rsid w:val="00B91E6E"/>
    <w:rsid w:val="00B91FF5"/>
    <w:rsid w:val="00B920A9"/>
    <w:rsid w:val="00B921D1"/>
    <w:rsid w:val="00B92463"/>
    <w:rsid w:val="00B92977"/>
    <w:rsid w:val="00B92B78"/>
    <w:rsid w:val="00B92CBB"/>
    <w:rsid w:val="00B92E8F"/>
    <w:rsid w:val="00B92FDE"/>
    <w:rsid w:val="00B93013"/>
    <w:rsid w:val="00B93105"/>
    <w:rsid w:val="00B931C8"/>
    <w:rsid w:val="00B935D4"/>
    <w:rsid w:val="00B93C53"/>
    <w:rsid w:val="00B9424D"/>
    <w:rsid w:val="00B944D5"/>
    <w:rsid w:val="00B9498D"/>
    <w:rsid w:val="00B954CF"/>
    <w:rsid w:val="00B9597B"/>
    <w:rsid w:val="00B95A59"/>
    <w:rsid w:val="00B95CD0"/>
    <w:rsid w:val="00B9620C"/>
    <w:rsid w:val="00B9675A"/>
    <w:rsid w:val="00B96881"/>
    <w:rsid w:val="00B968A5"/>
    <w:rsid w:val="00B968CE"/>
    <w:rsid w:val="00B969B1"/>
    <w:rsid w:val="00B96C9B"/>
    <w:rsid w:val="00B96D47"/>
    <w:rsid w:val="00B96FD7"/>
    <w:rsid w:val="00B9747D"/>
    <w:rsid w:val="00B97C57"/>
    <w:rsid w:val="00B97F00"/>
    <w:rsid w:val="00BA00A0"/>
    <w:rsid w:val="00BA024D"/>
    <w:rsid w:val="00BA0319"/>
    <w:rsid w:val="00BA092F"/>
    <w:rsid w:val="00BA0C25"/>
    <w:rsid w:val="00BA0C7B"/>
    <w:rsid w:val="00BA0E44"/>
    <w:rsid w:val="00BA1069"/>
    <w:rsid w:val="00BA1082"/>
    <w:rsid w:val="00BA16CE"/>
    <w:rsid w:val="00BA16DC"/>
    <w:rsid w:val="00BA1A6F"/>
    <w:rsid w:val="00BA1A7D"/>
    <w:rsid w:val="00BA2177"/>
    <w:rsid w:val="00BA2214"/>
    <w:rsid w:val="00BA22A1"/>
    <w:rsid w:val="00BA2439"/>
    <w:rsid w:val="00BA2725"/>
    <w:rsid w:val="00BA27C6"/>
    <w:rsid w:val="00BA2852"/>
    <w:rsid w:val="00BA3078"/>
    <w:rsid w:val="00BA31C0"/>
    <w:rsid w:val="00BA3356"/>
    <w:rsid w:val="00BA38E0"/>
    <w:rsid w:val="00BA3952"/>
    <w:rsid w:val="00BA3A5E"/>
    <w:rsid w:val="00BA3BBC"/>
    <w:rsid w:val="00BA4723"/>
    <w:rsid w:val="00BA47ED"/>
    <w:rsid w:val="00BA4CF2"/>
    <w:rsid w:val="00BA4E77"/>
    <w:rsid w:val="00BA5382"/>
    <w:rsid w:val="00BA596B"/>
    <w:rsid w:val="00BA5977"/>
    <w:rsid w:val="00BA5FF5"/>
    <w:rsid w:val="00BA62DE"/>
    <w:rsid w:val="00BA6801"/>
    <w:rsid w:val="00BA6A8C"/>
    <w:rsid w:val="00BA6B6D"/>
    <w:rsid w:val="00BA6BBE"/>
    <w:rsid w:val="00BA6C41"/>
    <w:rsid w:val="00BA6FC2"/>
    <w:rsid w:val="00BA79A1"/>
    <w:rsid w:val="00BA7CB9"/>
    <w:rsid w:val="00BA7ED0"/>
    <w:rsid w:val="00BB000D"/>
    <w:rsid w:val="00BB0021"/>
    <w:rsid w:val="00BB0753"/>
    <w:rsid w:val="00BB0E99"/>
    <w:rsid w:val="00BB0EDB"/>
    <w:rsid w:val="00BB0F93"/>
    <w:rsid w:val="00BB12FA"/>
    <w:rsid w:val="00BB1787"/>
    <w:rsid w:val="00BB1829"/>
    <w:rsid w:val="00BB18DC"/>
    <w:rsid w:val="00BB1AE3"/>
    <w:rsid w:val="00BB1B48"/>
    <w:rsid w:val="00BB1B90"/>
    <w:rsid w:val="00BB1C2B"/>
    <w:rsid w:val="00BB22CC"/>
    <w:rsid w:val="00BB2388"/>
    <w:rsid w:val="00BB296B"/>
    <w:rsid w:val="00BB2EC8"/>
    <w:rsid w:val="00BB2EF9"/>
    <w:rsid w:val="00BB334F"/>
    <w:rsid w:val="00BB3395"/>
    <w:rsid w:val="00BB3542"/>
    <w:rsid w:val="00BB3ADC"/>
    <w:rsid w:val="00BB3B81"/>
    <w:rsid w:val="00BB3FB5"/>
    <w:rsid w:val="00BB407B"/>
    <w:rsid w:val="00BB40A2"/>
    <w:rsid w:val="00BB4187"/>
    <w:rsid w:val="00BB428C"/>
    <w:rsid w:val="00BB4862"/>
    <w:rsid w:val="00BB4AA8"/>
    <w:rsid w:val="00BB4C2A"/>
    <w:rsid w:val="00BB4E19"/>
    <w:rsid w:val="00BB4FB3"/>
    <w:rsid w:val="00BB51D1"/>
    <w:rsid w:val="00BB5311"/>
    <w:rsid w:val="00BB55BF"/>
    <w:rsid w:val="00BB56F6"/>
    <w:rsid w:val="00BB6598"/>
    <w:rsid w:val="00BB675F"/>
    <w:rsid w:val="00BB68EE"/>
    <w:rsid w:val="00BB691F"/>
    <w:rsid w:val="00BB69DD"/>
    <w:rsid w:val="00BB6DED"/>
    <w:rsid w:val="00BB743B"/>
    <w:rsid w:val="00BB76EC"/>
    <w:rsid w:val="00BB7754"/>
    <w:rsid w:val="00BB79A0"/>
    <w:rsid w:val="00BB7A9B"/>
    <w:rsid w:val="00BB7D18"/>
    <w:rsid w:val="00BC01B5"/>
    <w:rsid w:val="00BC0E0C"/>
    <w:rsid w:val="00BC1693"/>
    <w:rsid w:val="00BC176A"/>
    <w:rsid w:val="00BC199D"/>
    <w:rsid w:val="00BC1AAC"/>
    <w:rsid w:val="00BC1B2B"/>
    <w:rsid w:val="00BC2232"/>
    <w:rsid w:val="00BC24AC"/>
    <w:rsid w:val="00BC2601"/>
    <w:rsid w:val="00BC295E"/>
    <w:rsid w:val="00BC2A8A"/>
    <w:rsid w:val="00BC2C70"/>
    <w:rsid w:val="00BC2CBB"/>
    <w:rsid w:val="00BC2E87"/>
    <w:rsid w:val="00BC3006"/>
    <w:rsid w:val="00BC3129"/>
    <w:rsid w:val="00BC3294"/>
    <w:rsid w:val="00BC337B"/>
    <w:rsid w:val="00BC3459"/>
    <w:rsid w:val="00BC3C4F"/>
    <w:rsid w:val="00BC401F"/>
    <w:rsid w:val="00BC4153"/>
    <w:rsid w:val="00BC421B"/>
    <w:rsid w:val="00BC4237"/>
    <w:rsid w:val="00BC4278"/>
    <w:rsid w:val="00BC42C9"/>
    <w:rsid w:val="00BC4B63"/>
    <w:rsid w:val="00BC4D64"/>
    <w:rsid w:val="00BC4DBC"/>
    <w:rsid w:val="00BC4E42"/>
    <w:rsid w:val="00BC4F5B"/>
    <w:rsid w:val="00BC50F0"/>
    <w:rsid w:val="00BC5184"/>
    <w:rsid w:val="00BC5193"/>
    <w:rsid w:val="00BC534D"/>
    <w:rsid w:val="00BC5A5F"/>
    <w:rsid w:val="00BC5BB1"/>
    <w:rsid w:val="00BC5D1B"/>
    <w:rsid w:val="00BC5FDC"/>
    <w:rsid w:val="00BC6181"/>
    <w:rsid w:val="00BC6587"/>
    <w:rsid w:val="00BC68D9"/>
    <w:rsid w:val="00BC6A5B"/>
    <w:rsid w:val="00BC6AB3"/>
    <w:rsid w:val="00BC6DE2"/>
    <w:rsid w:val="00BC6F42"/>
    <w:rsid w:val="00BC736E"/>
    <w:rsid w:val="00BD00D0"/>
    <w:rsid w:val="00BD0690"/>
    <w:rsid w:val="00BD0E5B"/>
    <w:rsid w:val="00BD0F1E"/>
    <w:rsid w:val="00BD11FE"/>
    <w:rsid w:val="00BD13E9"/>
    <w:rsid w:val="00BD1405"/>
    <w:rsid w:val="00BD15AF"/>
    <w:rsid w:val="00BD175E"/>
    <w:rsid w:val="00BD1B70"/>
    <w:rsid w:val="00BD1B73"/>
    <w:rsid w:val="00BD1BD2"/>
    <w:rsid w:val="00BD1BFB"/>
    <w:rsid w:val="00BD1DD0"/>
    <w:rsid w:val="00BD1E85"/>
    <w:rsid w:val="00BD22BB"/>
    <w:rsid w:val="00BD22E5"/>
    <w:rsid w:val="00BD2481"/>
    <w:rsid w:val="00BD2747"/>
    <w:rsid w:val="00BD2852"/>
    <w:rsid w:val="00BD28C1"/>
    <w:rsid w:val="00BD2C62"/>
    <w:rsid w:val="00BD2FEA"/>
    <w:rsid w:val="00BD30C7"/>
    <w:rsid w:val="00BD3491"/>
    <w:rsid w:val="00BD3CB0"/>
    <w:rsid w:val="00BD3E33"/>
    <w:rsid w:val="00BD3E62"/>
    <w:rsid w:val="00BD3E7E"/>
    <w:rsid w:val="00BD3FE6"/>
    <w:rsid w:val="00BD462A"/>
    <w:rsid w:val="00BD4717"/>
    <w:rsid w:val="00BD4930"/>
    <w:rsid w:val="00BD493C"/>
    <w:rsid w:val="00BD4F8C"/>
    <w:rsid w:val="00BD535F"/>
    <w:rsid w:val="00BD5687"/>
    <w:rsid w:val="00BD5B69"/>
    <w:rsid w:val="00BD5C35"/>
    <w:rsid w:val="00BD5D41"/>
    <w:rsid w:val="00BD5E43"/>
    <w:rsid w:val="00BD5E81"/>
    <w:rsid w:val="00BD5EA0"/>
    <w:rsid w:val="00BD5FA6"/>
    <w:rsid w:val="00BD6051"/>
    <w:rsid w:val="00BD630C"/>
    <w:rsid w:val="00BD64DD"/>
    <w:rsid w:val="00BD6823"/>
    <w:rsid w:val="00BD69EC"/>
    <w:rsid w:val="00BD6F99"/>
    <w:rsid w:val="00BD70BD"/>
    <w:rsid w:val="00BD7597"/>
    <w:rsid w:val="00BD7A4E"/>
    <w:rsid w:val="00BD7CFD"/>
    <w:rsid w:val="00BD7EBD"/>
    <w:rsid w:val="00BE0570"/>
    <w:rsid w:val="00BE0A5D"/>
    <w:rsid w:val="00BE0C3C"/>
    <w:rsid w:val="00BE133C"/>
    <w:rsid w:val="00BE2422"/>
    <w:rsid w:val="00BE25B0"/>
    <w:rsid w:val="00BE2639"/>
    <w:rsid w:val="00BE2DCC"/>
    <w:rsid w:val="00BE3174"/>
    <w:rsid w:val="00BE319E"/>
    <w:rsid w:val="00BE3434"/>
    <w:rsid w:val="00BE3761"/>
    <w:rsid w:val="00BE3780"/>
    <w:rsid w:val="00BE3858"/>
    <w:rsid w:val="00BE38C5"/>
    <w:rsid w:val="00BE3B53"/>
    <w:rsid w:val="00BE3BC1"/>
    <w:rsid w:val="00BE3E92"/>
    <w:rsid w:val="00BE40AF"/>
    <w:rsid w:val="00BE4327"/>
    <w:rsid w:val="00BE458B"/>
    <w:rsid w:val="00BE4594"/>
    <w:rsid w:val="00BE471A"/>
    <w:rsid w:val="00BE4780"/>
    <w:rsid w:val="00BE4A35"/>
    <w:rsid w:val="00BE4AB9"/>
    <w:rsid w:val="00BE4D60"/>
    <w:rsid w:val="00BE4D82"/>
    <w:rsid w:val="00BE4E3E"/>
    <w:rsid w:val="00BE4F6C"/>
    <w:rsid w:val="00BE508C"/>
    <w:rsid w:val="00BE5222"/>
    <w:rsid w:val="00BE5329"/>
    <w:rsid w:val="00BE5467"/>
    <w:rsid w:val="00BE55A5"/>
    <w:rsid w:val="00BE55B9"/>
    <w:rsid w:val="00BE5CDF"/>
    <w:rsid w:val="00BE5D49"/>
    <w:rsid w:val="00BE5D90"/>
    <w:rsid w:val="00BE6084"/>
    <w:rsid w:val="00BE66D2"/>
    <w:rsid w:val="00BE6B2C"/>
    <w:rsid w:val="00BE6DC7"/>
    <w:rsid w:val="00BE778C"/>
    <w:rsid w:val="00BE7997"/>
    <w:rsid w:val="00BE7AB0"/>
    <w:rsid w:val="00BE7E47"/>
    <w:rsid w:val="00BE7E7A"/>
    <w:rsid w:val="00BF0161"/>
    <w:rsid w:val="00BF051B"/>
    <w:rsid w:val="00BF0EA3"/>
    <w:rsid w:val="00BF1A6C"/>
    <w:rsid w:val="00BF1D28"/>
    <w:rsid w:val="00BF1E86"/>
    <w:rsid w:val="00BF20C5"/>
    <w:rsid w:val="00BF2688"/>
    <w:rsid w:val="00BF27BD"/>
    <w:rsid w:val="00BF2820"/>
    <w:rsid w:val="00BF29CB"/>
    <w:rsid w:val="00BF2E36"/>
    <w:rsid w:val="00BF2FD0"/>
    <w:rsid w:val="00BF33F5"/>
    <w:rsid w:val="00BF368B"/>
    <w:rsid w:val="00BF383E"/>
    <w:rsid w:val="00BF3A1F"/>
    <w:rsid w:val="00BF3DDB"/>
    <w:rsid w:val="00BF3FD4"/>
    <w:rsid w:val="00BF409F"/>
    <w:rsid w:val="00BF40F6"/>
    <w:rsid w:val="00BF4202"/>
    <w:rsid w:val="00BF4492"/>
    <w:rsid w:val="00BF468A"/>
    <w:rsid w:val="00BF4843"/>
    <w:rsid w:val="00BF4853"/>
    <w:rsid w:val="00BF4A19"/>
    <w:rsid w:val="00BF4FD6"/>
    <w:rsid w:val="00BF5099"/>
    <w:rsid w:val="00BF5549"/>
    <w:rsid w:val="00BF5758"/>
    <w:rsid w:val="00BF5AAD"/>
    <w:rsid w:val="00BF60EF"/>
    <w:rsid w:val="00BF6315"/>
    <w:rsid w:val="00BF66B2"/>
    <w:rsid w:val="00BF6ACD"/>
    <w:rsid w:val="00BF6F65"/>
    <w:rsid w:val="00BF7450"/>
    <w:rsid w:val="00BF7632"/>
    <w:rsid w:val="00BF7935"/>
    <w:rsid w:val="00BF7CB5"/>
    <w:rsid w:val="00BF7D7F"/>
    <w:rsid w:val="00BF7DC4"/>
    <w:rsid w:val="00C00053"/>
    <w:rsid w:val="00C00602"/>
    <w:rsid w:val="00C007D6"/>
    <w:rsid w:val="00C00872"/>
    <w:rsid w:val="00C00A75"/>
    <w:rsid w:val="00C00B81"/>
    <w:rsid w:val="00C00DCA"/>
    <w:rsid w:val="00C012B8"/>
    <w:rsid w:val="00C017B2"/>
    <w:rsid w:val="00C019E8"/>
    <w:rsid w:val="00C01DC1"/>
    <w:rsid w:val="00C01F4B"/>
    <w:rsid w:val="00C021BF"/>
    <w:rsid w:val="00C0241A"/>
    <w:rsid w:val="00C029CC"/>
    <w:rsid w:val="00C029F7"/>
    <w:rsid w:val="00C02A31"/>
    <w:rsid w:val="00C03097"/>
    <w:rsid w:val="00C030D6"/>
    <w:rsid w:val="00C03236"/>
    <w:rsid w:val="00C032AA"/>
    <w:rsid w:val="00C03443"/>
    <w:rsid w:val="00C034B3"/>
    <w:rsid w:val="00C03748"/>
    <w:rsid w:val="00C03751"/>
    <w:rsid w:val="00C03840"/>
    <w:rsid w:val="00C03971"/>
    <w:rsid w:val="00C03EA8"/>
    <w:rsid w:val="00C03F82"/>
    <w:rsid w:val="00C04264"/>
    <w:rsid w:val="00C04545"/>
    <w:rsid w:val="00C04A11"/>
    <w:rsid w:val="00C04E02"/>
    <w:rsid w:val="00C04E98"/>
    <w:rsid w:val="00C053B0"/>
    <w:rsid w:val="00C054F9"/>
    <w:rsid w:val="00C05546"/>
    <w:rsid w:val="00C0566E"/>
    <w:rsid w:val="00C05D15"/>
    <w:rsid w:val="00C05EA5"/>
    <w:rsid w:val="00C06376"/>
    <w:rsid w:val="00C06B18"/>
    <w:rsid w:val="00C06C2A"/>
    <w:rsid w:val="00C0708C"/>
    <w:rsid w:val="00C0738D"/>
    <w:rsid w:val="00C10012"/>
    <w:rsid w:val="00C10256"/>
    <w:rsid w:val="00C102BB"/>
    <w:rsid w:val="00C1064A"/>
    <w:rsid w:val="00C10AC2"/>
    <w:rsid w:val="00C10B0B"/>
    <w:rsid w:val="00C10F69"/>
    <w:rsid w:val="00C112DA"/>
    <w:rsid w:val="00C11325"/>
    <w:rsid w:val="00C11507"/>
    <w:rsid w:val="00C11519"/>
    <w:rsid w:val="00C11814"/>
    <w:rsid w:val="00C11A01"/>
    <w:rsid w:val="00C11CE5"/>
    <w:rsid w:val="00C11D3C"/>
    <w:rsid w:val="00C11DAF"/>
    <w:rsid w:val="00C11E41"/>
    <w:rsid w:val="00C120D8"/>
    <w:rsid w:val="00C1236F"/>
    <w:rsid w:val="00C127DA"/>
    <w:rsid w:val="00C12C78"/>
    <w:rsid w:val="00C12E68"/>
    <w:rsid w:val="00C12E8B"/>
    <w:rsid w:val="00C12FD5"/>
    <w:rsid w:val="00C13239"/>
    <w:rsid w:val="00C135E0"/>
    <w:rsid w:val="00C13697"/>
    <w:rsid w:val="00C145D2"/>
    <w:rsid w:val="00C147C0"/>
    <w:rsid w:val="00C14871"/>
    <w:rsid w:val="00C1487D"/>
    <w:rsid w:val="00C14884"/>
    <w:rsid w:val="00C148B1"/>
    <w:rsid w:val="00C14ABD"/>
    <w:rsid w:val="00C14E54"/>
    <w:rsid w:val="00C14E59"/>
    <w:rsid w:val="00C15538"/>
    <w:rsid w:val="00C156C4"/>
    <w:rsid w:val="00C15DFD"/>
    <w:rsid w:val="00C16634"/>
    <w:rsid w:val="00C17578"/>
    <w:rsid w:val="00C17F05"/>
    <w:rsid w:val="00C1D4F4"/>
    <w:rsid w:val="00C2005C"/>
    <w:rsid w:val="00C20510"/>
    <w:rsid w:val="00C20902"/>
    <w:rsid w:val="00C20B0F"/>
    <w:rsid w:val="00C20CA1"/>
    <w:rsid w:val="00C20CFE"/>
    <w:rsid w:val="00C20F1D"/>
    <w:rsid w:val="00C20FD1"/>
    <w:rsid w:val="00C21615"/>
    <w:rsid w:val="00C2169B"/>
    <w:rsid w:val="00C216CE"/>
    <w:rsid w:val="00C21A6D"/>
    <w:rsid w:val="00C21AF5"/>
    <w:rsid w:val="00C21CEA"/>
    <w:rsid w:val="00C21D63"/>
    <w:rsid w:val="00C221A8"/>
    <w:rsid w:val="00C22722"/>
    <w:rsid w:val="00C227FF"/>
    <w:rsid w:val="00C2292D"/>
    <w:rsid w:val="00C22930"/>
    <w:rsid w:val="00C2299B"/>
    <w:rsid w:val="00C2328D"/>
    <w:rsid w:val="00C2350C"/>
    <w:rsid w:val="00C2368D"/>
    <w:rsid w:val="00C23900"/>
    <w:rsid w:val="00C23C6B"/>
    <w:rsid w:val="00C23EF9"/>
    <w:rsid w:val="00C23FC1"/>
    <w:rsid w:val="00C240B8"/>
    <w:rsid w:val="00C2413C"/>
    <w:rsid w:val="00C24252"/>
    <w:rsid w:val="00C24C83"/>
    <w:rsid w:val="00C24CBE"/>
    <w:rsid w:val="00C24D05"/>
    <w:rsid w:val="00C24DE6"/>
    <w:rsid w:val="00C24DF4"/>
    <w:rsid w:val="00C2523E"/>
    <w:rsid w:val="00C252DF"/>
    <w:rsid w:val="00C25BE3"/>
    <w:rsid w:val="00C25FCE"/>
    <w:rsid w:val="00C2618B"/>
    <w:rsid w:val="00C264D5"/>
    <w:rsid w:val="00C2680E"/>
    <w:rsid w:val="00C268C3"/>
    <w:rsid w:val="00C269D6"/>
    <w:rsid w:val="00C27139"/>
    <w:rsid w:val="00C2785F"/>
    <w:rsid w:val="00C27E1C"/>
    <w:rsid w:val="00C27F83"/>
    <w:rsid w:val="00C30022"/>
    <w:rsid w:val="00C30059"/>
    <w:rsid w:val="00C3007A"/>
    <w:rsid w:val="00C30471"/>
    <w:rsid w:val="00C3049E"/>
    <w:rsid w:val="00C30C58"/>
    <w:rsid w:val="00C30C83"/>
    <w:rsid w:val="00C30D29"/>
    <w:rsid w:val="00C30F1A"/>
    <w:rsid w:val="00C310AB"/>
    <w:rsid w:val="00C3137F"/>
    <w:rsid w:val="00C31755"/>
    <w:rsid w:val="00C31813"/>
    <w:rsid w:val="00C31AED"/>
    <w:rsid w:val="00C31C24"/>
    <w:rsid w:val="00C31DDB"/>
    <w:rsid w:val="00C31DE9"/>
    <w:rsid w:val="00C31EA5"/>
    <w:rsid w:val="00C320D8"/>
    <w:rsid w:val="00C321C6"/>
    <w:rsid w:val="00C32609"/>
    <w:rsid w:val="00C3263B"/>
    <w:rsid w:val="00C32ABD"/>
    <w:rsid w:val="00C32ED7"/>
    <w:rsid w:val="00C33093"/>
    <w:rsid w:val="00C3310E"/>
    <w:rsid w:val="00C3319F"/>
    <w:rsid w:val="00C33291"/>
    <w:rsid w:val="00C3393C"/>
    <w:rsid w:val="00C33B00"/>
    <w:rsid w:val="00C33DD1"/>
    <w:rsid w:val="00C33DFF"/>
    <w:rsid w:val="00C33ED9"/>
    <w:rsid w:val="00C340B4"/>
    <w:rsid w:val="00C342C8"/>
    <w:rsid w:val="00C3466A"/>
    <w:rsid w:val="00C347E3"/>
    <w:rsid w:val="00C35071"/>
    <w:rsid w:val="00C35494"/>
    <w:rsid w:val="00C3592E"/>
    <w:rsid w:val="00C35C1A"/>
    <w:rsid w:val="00C35D42"/>
    <w:rsid w:val="00C35DED"/>
    <w:rsid w:val="00C36697"/>
    <w:rsid w:val="00C36756"/>
    <w:rsid w:val="00C3685A"/>
    <w:rsid w:val="00C3689C"/>
    <w:rsid w:val="00C36A92"/>
    <w:rsid w:val="00C36C34"/>
    <w:rsid w:val="00C37040"/>
    <w:rsid w:val="00C379B3"/>
    <w:rsid w:val="00C37B97"/>
    <w:rsid w:val="00C37BEA"/>
    <w:rsid w:val="00C37C25"/>
    <w:rsid w:val="00C37F00"/>
    <w:rsid w:val="00C37FB2"/>
    <w:rsid w:val="00C40477"/>
    <w:rsid w:val="00C4060D"/>
    <w:rsid w:val="00C40638"/>
    <w:rsid w:val="00C40B3A"/>
    <w:rsid w:val="00C40BDA"/>
    <w:rsid w:val="00C4106A"/>
    <w:rsid w:val="00C41403"/>
    <w:rsid w:val="00C414E6"/>
    <w:rsid w:val="00C41788"/>
    <w:rsid w:val="00C417C9"/>
    <w:rsid w:val="00C417F5"/>
    <w:rsid w:val="00C41838"/>
    <w:rsid w:val="00C41AAD"/>
    <w:rsid w:val="00C41EF6"/>
    <w:rsid w:val="00C41F80"/>
    <w:rsid w:val="00C41FCB"/>
    <w:rsid w:val="00C4213F"/>
    <w:rsid w:val="00C439FD"/>
    <w:rsid w:val="00C43B92"/>
    <w:rsid w:val="00C43D00"/>
    <w:rsid w:val="00C43D8A"/>
    <w:rsid w:val="00C43E16"/>
    <w:rsid w:val="00C4434B"/>
    <w:rsid w:val="00C4454F"/>
    <w:rsid w:val="00C4491B"/>
    <w:rsid w:val="00C44A72"/>
    <w:rsid w:val="00C452F7"/>
    <w:rsid w:val="00C4575C"/>
    <w:rsid w:val="00C45885"/>
    <w:rsid w:val="00C458DD"/>
    <w:rsid w:val="00C4591C"/>
    <w:rsid w:val="00C45A3C"/>
    <w:rsid w:val="00C45BD3"/>
    <w:rsid w:val="00C45E54"/>
    <w:rsid w:val="00C46094"/>
    <w:rsid w:val="00C46C47"/>
    <w:rsid w:val="00C47413"/>
    <w:rsid w:val="00C4744B"/>
    <w:rsid w:val="00C47609"/>
    <w:rsid w:val="00C477B4"/>
    <w:rsid w:val="00C47810"/>
    <w:rsid w:val="00C4784F"/>
    <w:rsid w:val="00C47AB3"/>
    <w:rsid w:val="00C47CB7"/>
    <w:rsid w:val="00C50055"/>
    <w:rsid w:val="00C5020B"/>
    <w:rsid w:val="00C50288"/>
    <w:rsid w:val="00C5061A"/>
    <w:rsid w:val="00C50E1F"/>
    <w:rsid w:val="00C50F43"/>
    <w:rsid w:val="00C5181C"/>
    <w:rsid w:val="00C51C64"/>
    <w:rsid w:val="00C51E00"/>
    <w:rsid w:val="00C520EA"/>
    <w:rsid w:val="00C52250"/>
    <w:rsid w:val="00C52434"/>
    <w:rsid w:val="00C526DB"/>
    <w:rsid w:val="00C52976"/>
    <w:rsid w:val="00C529AE"/>
    <w:rsid w:val="00C52B2B"/>
    <w:rsid w:val="00C52B97"/>
    <w:rsid w:val="00C52CBC"/>
    <w:rsid w:val="00C52E60"/>
    <w:rsid w:val="00C531A0"/>
    <w:rsid w:val="00C5324A"/>
    <w:rsid w:val="00C532C0"/>
    <w:rsid w:val="00C53394"/>
    <w:rsid w:val="00C535B5"/>
    <w:rsid w:val="00C53798"/>
    <w:rsid w:val="00C539EE"/>
    <w:rsid w:val="00C53D0E"/>
    <w:rsid w:val="00C53DF5"/>
    <w:rsid w:val="00C53FA3"/>
    <w:rsid w:val="00C542F6"/>
    <w:rsid w:val="00C54310"/>
    <w:rsid w:val="00C545B5"/>
    <w:rsid w:val="00C547B4"/>
    <w:rsid w:val="00C5495A"/>
    <w:rsid w:val="00C549F7"/>
    <w:rsid w:val="00C54CE0"/>
    <w:rsid w:val="00C55030"/>
    <w:rsid w:val="00C55066"/>
    <w:rsid w:val="00C5520F"/>
    <w:rsid w:val="00C55234"/>
    <w:rsid w:val="00C55391"/>
    <w:rsid w:val="00C553E4"/>
    <w:rsid w:val="00C55534"/>
    <w:rsid w:val="00C55607"/>
    <w:rsid w:val="00C55839"/>
    <w:rsid w:val="00C55844"/>
    <w:rsid w:val="00C55D66"/>
    <w:rsid w:val="00C565B0"/>
    <w:rsid w:val="00C56B48"/>
    <w:rsid w:val="00C56B88"/>
    <w:rsid w:val="00C57159"/>
    <w:rsid w:val="00C57163"/>
    <w:rsid w:val="00C571A6"/>
    <w:rsid w:val="00C57212"/>
    <w:rsid w:val="00C57302"/>
    <w:rsid w:val="00C57360"/>
    <w:rsid w:val="00C57422"/>
    <w:rsid w:val="00C574B0"/>
    <w:rsid w:val="00C5755B"/>
    <w:rsid w:val="00C57649"/>
    <w:rsid w:val="00C5782F"/>
    <w:rsid w:val="00C57C38"/>
    <w:rsid w:val="00C57D21"/>
    <w:rsid w:val="00C60000"/>
    <w:rsid w:val="00C60222"/>
    <w:rsid w:val="00C6044B"/>
    <w:rsid w:val="00C6048A"/>
    <w:rsid w:val="00C60490"/>
    <w:rsid w:val="00C604FE"/>
    <w:rsid w:val="00C60A0D"/>
    <w:rsid w:val="00C60C27"/>
    <w:rsid w:val="00C60EDB"/>
    <w:rsid w:val="00C61565"/>
    <w:rsid w:val="00C61A78"/>
    <w:rsid w:val="00C61B48"/>
    <w:rsid w:val="00C62065"/>
    <w:rsid w:val="00C62078"/>
    <w:rsid w:val="00C620FA"/>
    <w:rsid w:val="00C621C4"/>
    <w:rsid w:val="00C622D7"/>
    <w:rsid w:val="00C62408"/>
    <w:rsid w:val="00C625DF"/>
    <w:rsid w:val="00C627D6"/>
    <w:rsid w:val="00C62901"/>
    <w:rsid w:val="00C62ED7"/>
    <w:rsid w:val="00C630C3"/>
    <w:rsid w:val="00C630D3"/>
    <w:rsid w:val="00C63101"/>
    <w:rsid w:val="00C6311E"/>
    <w:rsid w:val="00C63210"/>
    <w:rsid w:val="00C63237"/>
    <w:rsid w:val="00C634A0"/>
    <w:rsid w:val="00C63830"/>
    <w:rsid w:val="00C638BD"/>
    <w:rsid w:val="00C63905"/>
    <w:rsid w:val="00C639A0"/>
    <w:rsid w:val="00C63A88"/>
    <w:rsid w:val="00C63AD9"/>
    <w:rsid w:val="00C63C35"/>
    <w:rsid w:val="00C63E61"/>
    <w:rsid w:val="00C6411B"/>
    <w:rsid w:val="00C644D4"/>
    <w:rsid w:val="00C648B7"/>
    <w:rsid w:val="00C64AF0"/>
    <w:rsid w:val="00C64C20"/>
    <w:rsid w:val="00C64F1A"/>
    <w:rsid w:val="00C65012"/>
    <w:rsid w:val="00C655CF"/>
    <w:rsid w:val="00C6597B"/>
    <w:rsid w:val="00C65E08"/>
    <w:rsid w:val="00C660F6"/>
    <w:rsid w:val="00C66112"/>
    <w:rsid w:val="00C662B5"/>
    <w:rsid w:val="00C663AC"/>
    <w:rsid w:val="00C66449"/>
    <w:rsid w:val="00C66940"/>
    <w:rsid w:val="00C669BF"/>
    <w:rsid w:val="00C67502"/>
    <w:rsid w:val="00C67650"/>
    <w:rsid w:val="00C67660"/>
    <w:rsid w:val="00C67714"/>
    <w:rsid w:val="00C67807"/>
    <w:rsid w:val="00C67B58"/>
    <w:rsid w:val="00C67BCE"/>
    <w:rsid w:val="00C67DFC"/>
    <w:rsid w:val="00C67E0B"/>
    <w:rsid w:val="00C6AA30"/>
    <w:rsid w:val="00C700FA"/>
    <w:rsid w:val="00C7012F"/>
    <w:rsid w:val="00C708D0"/>
    <w:rsid w:val="00C70A2E"/>
    <w:rsid w:val="00C70A36"/>
    <w:rsid w:val="00C70FB1"/>
    <w:rsid w:val="00C71081"/>
    <w:rsid w:val="00C7148E"/>
    <w:rsid w:val="00C71889"/>
    <w:rsid w:val="00C71C1A"/>
    <w:rsid w:val="00C71C2D"/>
    <w:rsid w:val="00C725DC"/>
    <w:rsid w:val="00C72921"/>
    <w:rsid w:val="00C730AB"/>
    <w:rsid w:val="00C73515"/>
    <w:rsid w:val="00C738FF"/>
    <w:rsid w:val="00C73A0A"/>
    <w:rsid w:val="00C741A2"/>
    <w:rsid w:val="00C747DC"/>
    <w:rsid w:val="00C748D9"/>
    <w:rsid w:val="00C748FB"/>
    <w:rsid w:val="00C74C5F"/>
    <w:rsid w:val="00C75287"/>
    <w:rsid w:val="00C7582D"/>
    <w:rsid w:val="00C758D8"/>
    <w:rsid w:val="00C75996"/>
    <w:rsid w:val="00C759BA"/>
    <w:rsid w:val="00C75BA6"/>
    <w:rsid w:val="00C75BFF"/>
    <w:rsid w:val="00C75F7F"/>
    <w:rsid w:val="00C75FE6"/>
    <w:rsid w:val="00C76226"/>
    <w:rsid w:val="00C76676"/>
    <w:rsid w:val="00C769F2"/>
    <w:rsid w:val="00C76B42"/>
    <w:rsid w:val="00C76B69"/>
    <w:rsid w:val="00C76B9A"/>
    <w:rsid w:val="00C76E37"/>
    <w:rsid w:val="00C76F14"/>
    <w:rsid w:val="00C77384"/>
    <w:rsid w:val="00C7747E"/>
    <w:rsid w:val="00C77752"/>
    <w:rsid w:val="00C779F3"/>
    <w:rsid w:val="00C77AC7"/>
    <w:rsid w:val="00C77AE2"/>
    <w:rsid w:val="00C77AEB"/>
    <w:rsid w:val="00C8020B"/>
    <w:rsid w:val="00C80270"/>
    <w:rsid w:val="00C80717"/>
    <w:rsid w:val="00C8090E"/>
    <w:rsid w:val="00C80A2A"/>
    <w:rsid w:val="00C80AAF"/>
    <w:rsid w:val="00C80FC8"/>
    <w:rsid w:val="00C81214"/>
    <w:rsid w:val="00C81573"/>
    <w:rsid w:val="00C81708"/>
    <w:rsid w:val="00C817B8"/>
    <w:rsid w:val="00C81897"/>
    <w:rsid w:val="00C81E63"/>
    <w:rsid w:val="00C8206D"/>
    <w:rsid w:val="00C8267C"/>
    <w:rsid w:val="00C829C4"/>
    <w:rsid w:val="00C829ED"/>
    <w:rsid w:val="00C82C63"/>
    <w:rsid w:val="00C831C9"/>
    <w:rsid w:val="00C83BD9"/>
    <w:rsid w:val="00C8402D"/>
    <w:rsid w:val="00C8405B"/>
    <w:rsid w:val="00C8420B"/>
    <w:rsid w:val="00C843CC"/>
    <w:rsid w:val="00C84576"/>
    <w:rsid w:val="00C845CC"/>
    <w:rsid w:val="00C84643"/>
    <w:rsid w:val="00C846D7"/>
    <w:rsid w:val="00C847C3"/>
    <w:rsid w:val="00C84BE7"/>
    <w:rsid w:val="00C84C78"/>
    <w:rsid w:val="00C84E03"/>
    <w:rsid w:val="00C85226"/>
    <w:rsid w:val="00C85300"/>
    <w:rsid w:val="00C85E10"/>
    <w:rsid w:val="00C85FF0"/>
    <w:rsid w:val="00C86024"/>
    <w:rsid w:val="00C869D2"/>
    <w:rsid w:val="00C86FB9"/>
    <w:rsid w:val="00C87183"/>
    <w:rsid w:val="00C87448"/>
    <w:rsid w:val="00C878A1"/>
    <w:rsid w:val="00C878FC"/>
    <w:rsid w:val="00C87DB6"/>
    <w:rsid w:val="00C87E3D"/>
    <w:rsid w:val="00C906BE"/>
    <w:rsid w:val="00C90F42"/>
    <w:rsid w:val="00C91712"/>
    <w:rsid w:val="00C91B3B"/>
    <w:rsid w:val="00C91D20"/>
    <w:rsid w:val="00C92069"/>
    <w:rsid w:val="00C922D6"/>
    <w:rsid w:val="00C9231A"/>
    <w:rsid w:val="00C9274E"/>
    <w:rsid w:val="00C92A6A"/>
    <w:rsid w:val="00C92C31"/>
    <w:rsid w:val="00C93458"/>
    <w:rsid w:val="00C93614"/>
    <w:rsid w:val="00C9369F"/>
    <w:rsid w:val="00C93715"/>
    <w:rsid w:val="00C93848"/>
    <w:rsid w:val="00C93A2F"/>
    <w:rsid w:val="00C93CAC"/>
    <w:rsid w:val="00C93CEC"/>
    <w:rsid w:val="00C93E9E"/>
    <w:rsid w:val="00C93F48"/>
    <w:rsid w:val="00C94120"/>
    <w:rsid w:val="00C9478D"/>
    <w:rsid w:val="00C94C78"/>
    <w:rsid w:val="00C9511F"/>
    <w:rsid w:val="00C95212"/>
    <w:rsid w:val="00C95265"/>
    <w:rsid w:val="00C95437"/>
    <w:rsid w:val="00C954E7"/>
    <w:rsid w:val="00C9560D"/>
    <w:rsid w:val="00C957A4"/>
    <w:rsid w:val="00C95AFD"/>
    <w:rsid w:val="00C95E08"/>
    <w:rsid w:val="00C966BD"/>
    <w:rsid w:val="00C966C4"/>
    <w:rsid w:val="00C96882"/>
    <w:rsid w:val="00C9755E"/>
    <w:rsid w:val="00C97573"/>
    <w:rsid w:val="00C97AD8"/>
    <w:rsid w:val="00C97E35"/>
    <w:rsid w:val="00CA01FC"/>
    <w:rsid w:val="00CA0357"/>
    <w:rsid w:val="00CA054C"/>
    <w:rsid w:val="00CA08E5"/>
    <w:rsid w:val="00CA094E"/>
    <w:rsid w:val="00CA0E98"/>
    <w:rsid w:val="00CA12B7"/>
    <w:rsid w:val="00CA15D0"/>
    <w:rsid w:val="00CA1602"/>
    <w:rsid w:val="00CA184B"/>
    <w:rsid w:val="00CA1E88"/>
    <w:rsid w:val="00CA1F68"/>
    <w:rsid w:val="00CA20B7"/>
    <w:rsid w:val="00CA3326"/>
    <w:rsid w:val="00CA3A5A"/>
    <w:rsid w:val="00CA40CB"/>
    <w:rsid w:val="00CA40D2"/>
    <w:rsid w:val="00CA4CED"/>
    <w:rsid w:val="00CA5490"/>
    <w:rsid w:val="00CA5866"/>
    <w:rsid w:val="00CA5C92"/>
    <w:rsid w:val="00CA5D0E"/>
    <w:rsid w:val="00CA5F2A"/>
    <w:rsid w:val="00CA6005"/>
    <w:rsid w:val="00CA632B"/>
    <w:rsid w:val="00CA63D1"/>
    <w:rsid w:val="00CA66AB"/>
    <w:rsid w:val="00CA66DD"/>
    <w:rsid w:val="00CA6A5F"/>
    <w:rsid w:val="00CA6DE4"/>
    <w:rsid w:val="00CA6E55"/>
    <w:rsid w:val="00CA70E0"/>
    <w:rsid w:val="00CA741D"/>
    <w:rsid w:val="00CA7457"/>
    <w:rsid w:val="00CA7AA4"/>
    <w:rsid w:val="00CA7B51"/>
    <w:rsid w:val="00CA7CEA"/>
    <w:rsid w:val="00CA7CED"/>
    <w:rsid w:val="00CB04E2"/>
    <w:rsid w:val="00CB0A10"/>
    <w:rsid w:val="00CB0BD5"/>
    <w:rsid w:val="00CB0E06"/>
    <w:rsid w:val="00CB0E97"/>
    <w:rsid w:val="00CB0F21"/>
    <w:rsid w:val="00CB11AB"/>
    <w:rsid w:val="00CB1476"/>
    <w:rsid w:val="00CB16D2"/>
    <w:rsid w:val="00CB19F6"/>
    <w:rsid w:val="00CB1EDF"/>
    <w:rsid w:val="00CB21E9"/>
    <w:rsid w:val="00CB263B"/>
    <w:rsid w:val="00CB2780"/>
    <w:rsid w:val="00CB2890"/>
    <w:rsid w:val="00CB2A9E"/>
    <w:rsid w:val="00CB31CE"/>
    <w:rsid w:val="00CB3C5A"/>
    <w:rsid w:val="00CB3D57"/>
    <w:rsid w:val="00CB3DFD"/>
    <w:rsid w:val="00CB4054"/>
    <w:rsid w:val="00CB45BC"/>
    <w:rsid w:val="00CB4883"/>
    <w:rsid w:val="00CB4BBA"/>
    <w:rsid w:val="00CB4C98"/>
    <w:rsid w:val="00CB4EF4"/>
    <w:rsid w:val="00CB55F1"/>
    <w:rsid w:val="00CB5B71"/>
    <w:rsid w:val="00CB5B97"/>
    <w:rsid w:val="00CB5E2A"/>
    <w:rsid w:val="00CB5E70"/>
    <w:rsid w:val="00CB670D"/>
    <w:rsid w:val="00CB6D84"/>
    <w:rsid w:val="00CB6DC3"/>
    <w:rsid w:val="00CB6F31"/>
    <w:rsid w:val="00CB70E4"/>
    <w:rsid w:val="00CB779C"/>
    <w:rsid w:val="00CB7887"/>
    <w:rsid w:val="00CB7B54"/>
    <w:rsid w:val="00CC00CD"/>
    <w:rsid w:val="00CC022C"/>
    <w:rsid w:val="00CC102C"/>
    <w:rsid w:val="00CC112C"/>
    <w:rsid w:val="00CC1204"/>
    <w:rsid w:val="00CC1243"/>
    <w:rsid w:val="00CC186D"/>
    <w:rsid w:val="00CC1898"/>
    <w:rsid w:val="00CC1CA2"/>
    <w:rsid w:val="00CC20B7"/>
    <w:rsid w:val="00CC2140"/>
    <w:rsid w:val="00CC21E3"/>
    <w:rsid w:val="00CC2717"/>
    <w:rsid w:val="00CC3687"/>
    <w:rsid w:val="00CC3A8C"/>
    <w:rsid w:val="00CC3ECD"/>
    <w:rsid w:val="00CC3F5D"/>
    <w:rsid w:val="00CC3F98"/>
    <w:rsid w:val="00CC4121"/>
    <w:rsid w:val="00CC439E"/>
    <w:rsid w:val="00CC4A49"/>
    <w:rsid w:val="00CC55DC"/>
    <w:rsid w:val="00CC57EB"/>
    <w:rsid w:val="00CC5A90"/>
    <w:rsid w:val="00CC5E6B"/>
    <w:rsid w:val="00CC6348"/>
    <w:rsid w:val="00CC6512"/>
    <w:rsid w:val="00CC669A"/>
    <w:rsid w:val="00CC6F3B"/>
    <w:rsid w:val="00CC711E"/>
    <w:rsid w:val="00CC76B6"/>
    <w:rsid w:val="00CC7819"/>
    <w:rsid w:val="00CC79D2"/>
    <w:rsid w:val="00CC79DF"/>
    <w:rsid w:val="00CC7BE2"/>
    <w:rsid w:val="00CC7C91"/>
    <w:rsid w:val="00CD0407"/>
    <w:rsid w:val="00CD07AD"/>
    <w:rsid w:val="00CD0C41"/>
    <w:rsid w:val="00CD0D16"/>
    <w:rsid w:val="00CD0E34"/>
    <w:rsid w:val="00CD0F43"/>
    <w:rsid w:val="00CD1865"/>
    <w:rsid w:val="00CD1916"/>
    <w:rsid w:val="00CD1D94"/>
    <w:rsid w:val="00CD1E13"/>
    <w:rsid w:val="00CD1F18"/>
    <w:rsid w:val="00CD212E"/>
    <w:rsid w:val="00CD2132"/>
    <w:rsid w:val="00CD22F6"/>
    <w:rsid w:val="00CD2611"/>
    <w:rsid w:val="00CD27DD"/>
    <w:rsid w:val="00CD2883"/>
    <w:rsid w:val="00CD2CE3"/>
    <w:rsid w:val="00CD310C"/>
    <w:rsid w:val="00CD32AB"/>
    <w:rsid w:val="00CD34C6"/>
    <w:rsid w:val="00CD37EE"/>
    <w:rsid w:val="00CD38FB"/>
    <w:rsid w:val="00CD3A67"/>
    <w:rsid w:val="00CD3E1D"/>
    <w:rsid w:val="00CD4C25"/>
    <w:rsid w:val="00CD4EA5"/>
    <w:rsid w:val="00CD50ED"/>
    <w:rsid w:val="00CD55DF"/>
    <w:rsid w:val="00CD59B0"/>
    <w:rsid w:val="00CD59D7"/>
    <w:rsid w:val="00CD5BC5"/>
    <w:rsid w:val="00CD5CC1"/>
    <w:rsid w:val="00CD5F0C"/>
    <w:rsid w:val="00CD6155"/>
    <w:rsid w:val="00CD61D0"/>
    <w:rsid w:val="00CD6544"/>
    <w:rsid w:val="00CD65CC"/>
    <w:rsid w:val="00CD68AB"/>
    <w:rsid w:val="00CD6DF7"/>
    <w:rsid w:val="00CD6F3A"/>
    <w:rsid w:val="00CD712F"/>
    <w:rsid w:val="00CD72DC"/>
    <w:rsid w:val="00CD73E7"/>
    <w:rsid w:val="00CD74FE"/>
    <w:rsid w:val="00CD7B44"/>
    <w:rsid w:val="00CD7EE0"/>
    <w:rsid w:val="00CE0443"/>
    <w:rsid w:val="00CE0B63"/>
    <w:rsid w:val="00CE0D43"/>
    <w:rsid w:val="00CE0E74"/>
    <w:rsid w:val="00CE0F90"/>
    <w:rsid w:val="00CE138A"/>
    <w:rsid w:val="00CE154F"/>
    <w:rsid w:val="00CE181D"/>
    <w:rsid w:val="00CE1EF3"/>
    <w:rsid w:val="00CE2048"/>
    <w:rsid w:val="00CE21BA"/>
    <w:rsid w:val="00CE2677"/>
    <w:rsid w:val="00CE2850"/>
    <w:rsid w:val="00CE2D4F"/>
    <w:rsid w:val="00CE31F3"/>
    <w:rsid w:val="00CE3388"/>
    <w:rsid w:val="00CE355E"/>
    <w:rsid w:val="00CE38D9"/>
    <w:rsid w:val="00CE3EF8"/>
    <w:rsid w:val="00CE40D9"/>
    <w:rsid w:val="00CE4DC3"/>
    <w:rsid w:val="00CE4ECA"/>
    <w:rsid w:val="00CE573B"/>
    <w:rsid w:val="00CE5C6F"/>
    <w:rsid w:val="00CE5E7C"/>
    <w:rsid w:val="00CE608C"/>
    <w:rsid w:val="00CE6D22"/>
    <w:rsid w:val="00CE6D3B"/>
    <w:rsid w:val="00CE6E78"/>
    <w:rsid w:val="00CE708D"/>
    <w:rsid w:val="00CE722E"/>
    <w:rsid w:val="00CE7470"/>
    <w:rsid w:val="00CE7E03"/>
    <w:rsid w:val="00CF008B"/>
    <w:rsid w:val="00CF04E2"/>
    <w:rsid w:val="00CF08FE"/>
    <w:rsid w:val="00CF0B4F"/>
    <w:rsid w:val="00CF0C06"/>
    <w:rsid w:val="00CF10CE"/>
    <w:rsid w:val="00CF1256"/>
    <w:rsid w:val="00CF1641"/>
    <w:rsid w:val="00CF1D95"/>
    <w:rsid w:val="00CF1DE2"/>
    <w:rsid w:val="00CF2247"/>
    <w:rsid w:val="00CF22B3"/>
    <w:rsid w:val="00CF311F"/>
    <w:rsid w:val="00CF343D"/>
    <w:rsid w:val="00CF379A"/>
    <w:rsid w:val="00CF38A8"/>
    <w:rsid w:val="00CF3D97"/>
    <w:rsid w:val="00CF4097"/>
    <w:rsid w:val="00CF449E"/>
    <w:rsid w:val="00CF4523"/>
    <w:rsid w:val="00CF480A"/>
    <w:rsid w:val="00CF4907"/>
    <w:rsid w:val="00CF493C"/>
    <w:rsid w:val="00CF4AA1"/>
    <w:rsid w:val="00CF5137"/>
    <w:rsid w:val="00CF5343"/>
    <w:rsid w:val="00CF57FD"/>
    <w:rsid w:val="00CF5962"/>
    <w:rsid w:val="00CF5D9A"/>
    <w:rsid w:val="00CF5F78"/>
    <w:rsid w:val="00CF6347"/>
    <w:rsid w:val="00CF6995"/>
    <w:rsid w:val="00CF6F56"/>
    <w:rsid w:val="00CF7059"/>
    <w:rsid w:val="00CF7752"/>
    <w:rsid w:val="00CF7811"/>
    <w:rsid w:val="00CF7969"/>
    <w:rsid w:val="00CF7A6A"/>
    <w:rsid w:val="00CF7DF5"/>
    <w:rsid w:val="00CF7FDF"/>
    <w:rsid w:val="00D00440"/>
    <w:rsid w:val="00D00608"/>
    <w:rsid w:val="00D00680"/>
    <w:rsid w:val="00D006A0"/>
    <w:rsid w:val="00D00746"/>
    <w:rsid w:val="00D0080F"/>
    <w:rsid w:val="00D011A6"/>
    <w:rsid w:val="00D013E1"/>
    <w:rsid w:val="00D017D3"/>
    <w:rsid w:val="00D01CD7"/>
    <w:rsid w:val="00D02281"/>
    <w:rsid w:val="00D02705"/>
    <w:rsid w:val="00D032C1"/>
    <w:rsid w:val="00D035BC"/>
    <w:rsid w:val="00D03829"/>
    <w:rsid w:val="00D03A2B"/>
    <w:rsid w:val="00D03A4A"/>
    <w:rsid w:val="00D03A59"/>
    <w:rsid w:val="00D045B5"/>
    <w:rsid w:val="00D04660"/>
    <w:rsid w:val="00D04D39"/>
    <w:rsid w:val="00D0520B"/>
    <w:rsid w:val="00D053BA"/>
    <w:rsid w:val="00D05479"/>
    <w:rsid w:val="00D05509"/>
    <w:rsid w:val="00D05994"/>
    <w:rsid w:val="00D06298"/>
    <w:rsid w:val="00D06331"/>
    <w:rsid w:val="00D068A0"/>
    <w:rsid w:val="00D0699F"/>
    <w:rsid w:val="00D06F12"/>
    <w:rsid w:val="00D06F89"/>
    <w:rsid w:val="00D0750E"/>
    <w:rsid w:val="00D07633"/>
    <w:rsid w:val="00D076E1"/>
    <w:rsid w:val="00D07898"/>
    <w:rsid w:val="00D07C8E"/>
    <w:rsid w:val="00D07DBC"/>
    <w:rsid w:val="00D10010"/>
    <w:rsid w:val="00D102EA"/>
    <w:rsid w:val="00D1033D"/>
    <w:rsid w:val="00D1042E"/>
    <w:rsid w:val="00D1083F"/>
    <w:rsid w:val="00D10865"/>
    <w:rsid w:val="00D109C7"/>
    <w:rsid w:val="00D10B75"/>
    <w:rsid w:val="00D10C6F"/>
    <w:rsid w:val="00D10C96"/>
    <w:rsid w:val="00D1103B"/>
    <w:rsid w:val="00D1108A"/>
    <w:rsid w:val="00D11191"/>
    <w:rsid w:val="00D111E7"/>
    <w:rsid w:val="00D1150B"/>
    <w:rsid w:val="00D11514"/>
    <w:rsid w:val="00D11551"/>
    <w:rsid w:val="00D115C4"/>
    <w:rsid w:val="00D116F1"/>
    <w:rsid w:val="00D117F5"/>
    <w:rsid w:val="00D119A6"/>
    <w:rsid w:val="00D119FC"/>
    <w:rsid w:val="00D11F74"/>
    <w:rsid w:val="00D12082"/>
    <w:rsid w:val="00D120E8"/>
    <w:rsid w:val="00D1240A"/>
    <w:rsid w:val="00D124F9"/>
    <w:rsid w:val="00D12836"/>
    <w:rsid w:val="00D12FD3"/>
    <w:rsid w:val="00D1339F"/>
    <w:rsid w:val="00D13431"/>
    <w:rsid w:val="00D13592"/>
    <w:rsid w:val="00D13A3E"/>
    <w:rsid w:val="00D13BF8"/>
    <w:rsid w:val="00D13DB2"/>
    <w:rsid w:val="00D141CA"/>
    <w:rsid w:val="00D14D2C"/>
    <w:rsid w:val="00D14ED1"/>
    <w:rsid w:val="00D15303"/>
    <w:rsid w:val="00D15AA7"/>
    <w:rsid w:val="00D15E5F"/>
    <w:rsid w:val="00D161B4"/>
    <w:rsid w:val="00D1627B"/>
    <w:rsid w:val="00D162D0"/>
    <w:rsid w:val="00D1633C"/>
    <w:rsid w:val="00D164BC"/>
    <w:rsid w:val="00D1692B"/>
    <w:rsid w:val="00D16A65"/>
    <w:rsid w:val="00D16AF5"/>
    <w:rsid w:val="00D16E06"/>
    <w:rsid w:val="00D16EC7"/>
    <w:rsid w:val="00D1700C"/>
    <w:rsid w:val="00D17227"/>
    <w:rsid w:val="00D1769B"/>
    <w:rsid w:val="00D1794A"/>
    <w:rsid w:val="00D17BF1"/>
    <w:rsid w:val="00D1CA70"/>
    <w:rsid w:val="00D20043"/>
    <w:rsid w:val="00D20D38"/>
    <w:rsid w:val="00D20E4F"/>
    <w:rsid w:val="00D20E55"/>
    <w:rsid w:val="00D21332"/>
    <w:rsid w:val="00D21613"/>
    <w:rsid w:val="00D21678"/>
    <w:rsid w:val="00D2179E"/>
    <w:rsid w:val="00D21E63"/>
    <w:rsid w:val="00D221AA"/>
    <w:rsid w:val="00D22312"/>
    <w:rsid w:val="00D2239E"/>
    <w:rsid w:val="00D22BF6"/>
    <w:rsid w:val="00D22D5E"/>
    <w:rsid w:val="00D23177"/>
    <w:rsid w:val="00D237A1"/>
    <w:rsid w:val="00D23ECA"/>
    <w:rsid w:val="00D2405A"/>
    <w:rsid w:val="00D24AFF"/>
    <w:rsid w:val="00D24BB1"/>
    <w:rsid w:val="00D2596E"/>
    <w:rsid w:val="00D26252"/>
    <w:rsid w:val="00D264CC"/>
    <w:rsid w:val="00D26859"/>
    <w:rsid w:val="00D26AEF"/>
    <w:rsid w:val="00D26BB8"/>
    <w:rsid w:val="00D26ECB"/>
    <w:rsid w:val="00D273F9"/>
    <w:rsid w:val="00D27438"/>
    <w:rsid w:val="00D27469"/>
    <w:rsid w:val="00D274E9"/>
    <w:rsid w:val="00D2764B"/>
    <w:rsid w:val="00D27727"/>
    <w:rsid w:val="00D27BD8"/>
    <w:rsid w:val="00D27D11"/>
    <w:rsid w:val="00D30775"/>
    <w:rsid w:val="00D30F19"/>
    <w:rsid w:val="00D313C5"/>
    <w:rsid w:val="00D313EF"/>
    <w:rsid w:val="00D314EF"/>
    <w:rsid w:val="00D31B96"/>
    <w:rsid w:val="00D31D89"/>
    <w:rsid w:val="00D31E70"/>
    <w:rsid w:val="00D322AD"/>
    <w:rsid w:val="00D32912"/>
    <w:rsid w:val="00D32CCE"/>
    <w:rsid w:val="00D3307F"/>
    <w:rsid w:val="00D3385B"/>
    <w:rsid w:val="00D33A15"/>
    <w:rsid w:val="00D33C9C"/>
    <w:rsid w:val="00D33CB6"/>
    <w:rsid w:val="00D33D16"/>
    <w:rsid w:val="00D33DBB"/>
    <w:rsid w:val="00D341DF"/>
    <w:rsid w:val="00D343D8"/>
    <w:rsid w:val="00D34923"/>
    <w:rsid w:val="00D34AC1"/>
    <w:rsid w:val="00D34AF6"/>
    <w:rsid w:val="00D34BD0"/>
    <w:rsid w:val="00D34C06"/>
    <w:rsid w:val="00D354DA"/>
    <w:rsid w:val="00D3558D"/>
    <w:rsid w:val="00D3575F"/>
    <w:rsid w:val="00D35864"/>
    <w:rsid w:val="00D3590D"/>
    <w:rsid w:val="00D359A2"/>
    <w:rsid w:val="00D35B07"/>
    <w:rsid w:val="00D35EA3"/>
    <w:rsid w:val="00D35FAF"/>
    <w:rsid w:val="00D360B5"/>
    <w:rsid w:val="00D367D9"/>
    <w:rsid w:val="00D369DB"/>
    <w:rsid w:val="00D36CC2"/>
    <w:rsid w:val="00D36F39"/>
    <w:rsid w:val="00D372AB"/>
    <w:rsid w:val="00D375A1"/>
    <w:rsid w:val="00D376D1"/>
    <w:rsid w:val="00D37925"/>
    <w:rsid w:val="00D379E9"/>
    <w:rsid w:val="00D4079E"/>
    <w:rsid w:val="00D40C89"/>
    <w:rsid w:val="00D41448"/>
    <w:rsid w:val="00D4146A"/>
    <w:rsid w:val="00D41581"/>
    <w:rsid w:val="00D415BA"/>
    <w:rsid w:val="00D426E5"/>
    <w:rsid w:val="00D429F2"/>
    <w:rsid w:val="00D42D32"/>
    <w:rsid w:val="00D42DFD"/>
    <w:rsid w:val="00D431B4"/>
    <w:rsid w:val="00D431F0"/>
    <w:rsid w:val="00D436D1"/>
    <w:rsid w:val="00D439BF"/>
    <w:rsid w:val="00D439C1"/>
    <w:rsid w:val="00D43CB6"/>
    <w:rsid w:val="00D43DFD"/>
    <w:rsid w:val="00D44402"/>
    <w:rsid w:val="00D444E6"/>
    <w:rsid w:val="00D4481B"/>
    <w:rsid w:val="00D44B1F"/>
    <w:rsid w:val="00D44EA5"/>
    <w:rsid w:val="00D44F55"/>
    <w:rsid w:val="00D45196"/>
    <w:rsid w:val="00D451AA"/>
    <w:rsid w:val="00D452B4"/>
    <w:rsid w:val="00D454BE"/>
    <w:rsid w:val="00D4588C"/>
    <w:rsid w:val="00D45D91"/>
    <w:rsid w:val="00D45E60"/>
    <w:rsid w:val="00D45E85"/>
    <w:rsid w:val="00D46182"/>
    <w:rsid w:val="00D4643F"/>
    <w:rsid w:val="00D46D69"/>
    <w:rsid w:val="00D4720F"/>
    <w:rsid w:val="00D478B5"/>
    <w:rsid w:val="00D4791E"/>
    <w:rsid w:val="00D47985"/>
    <w:rsid w:val="00D47A0E"/>
    <w:rsid w:val="00D47D11"/>
    <w:rsid w:val="00D47D7E"/>
    <w:rsid w:val="00D501A0"/>
    <w:rsid w:val="00D50ABB"/>
    <w:rsid w:val="00D50E21"/>
    <w:rsid w:val="00D51018"/>
    <w:rsid w:val="00D516B4"/>
    <w:rsid w:val="00D51787"/>
    <w:rsid w:val="00D518A9"/>
    <w:rsid w:val="00D525E8"/>
    <w:rsid w:val="00D527AB"/>
    <w:rsid w:val="00D52816"/>
    <w:rsid w:val="00D52B1B"/>
    <w:rsid w:val="00D53161"/>
    <w:rsid w:val="00D53219"/>
    <w:rsid w:val="00D53515"/>
    <w:rsid w:val="00D535BE"/>
    <w:rsid w:val="00D5391C"/>
    <w:rsid w:val="00D539F7"/>
    <w:rsid w:val="00D53BD8"/>
    <w:rsid w:val="00D53E47"/>
    <w:rsid w:val="00D53E82"/>
    <w:rsid w:val="00D54810"/>
    <w:rsid w:val="00D548A2"/>
    <w:rsid w:val="00D54F19"/>
    <w:rsid w:val="00D55096"/>
    <w:rsid w:val="00D550C4"/>
    <w:rsid w:val="00D552B0"/>
    <w:rsid w:val="00D552FC"/>
    <w:rsid w:val="00D5541A"/>
    <w:rsid w:val="00D5565C"/>
    <w:rsid w:val="00D5578A"/>
    <w:rsid w:val="00D5578E"/>
    <w:rsid w:val="00D561BA"/>
    <w:rsid w:val="00D56707"/>
    <w:rsid w:val="00D56863"/>
    <w:rsid w:val="00D56A74"/>
    <w:rsid w:val="00D56AA8"/>
    <w:rsid w:val="00D56BCB"/>
    <w:rsid w:val="00D56D35"/>
    <w:rsid w:val="00D57485"/>
    <w:rsid w:val="00D575C7"/>
    <w:rsid w:val="00D5768B"/>
    <w:rsid w:val="00D57C32"/>
    <w:rsid w:val="00D57D8A"/>
    <w:rsid w:val="00D6036C"/>
    <w:rsid w:val="00D6090C"/>
    <w:rsid w:val="00D609BD"/>
    <w:rsid w:val="00D60B4E"/>
    <w:rsid w:val="00D6140E"/>
    <w:rsid w:val="00D614B8"/>
    <w:rsid w:val="00D615DB"/>
    <w:rsid w:val="00D616C0"/>
    <w:rsid w:val="00D6196D"/>
    <w:rsid w:val="00D619C5"/>
    <w:rsid w:val="00D61A6C"/>
    <w:rsid w:val="00D61DC5"/>
    <w:rsid w:val="00D6269A"/>
    <w:rsid w:val="00D62719"/>
    <w:rsid w:val="00D627E1"/>
    <w:rsid w:val="00D6287E"/>
    <w:rsid w:val="00D62AF5"/>
    <w:rsid w:val="00D62DD9"/>
    <w:rsid w:val="00D62E43"/>
    <w:rsid w:val="00D62F4F"/>
    <w:rsid w:val="00D631CE"/>
    <w:rsid w:val="00D63441"/>
    <w:rsid w:val="00D638B3"/>
    <w:rsid w:val="00D6487B"/>
    <w:rsid w:val="00D64884"/>
    <w:rsid w:val="00D64B86"/>
    <w:rsid w:val="00D64C39"/>
    <w:rsid w:val="00D64CB4"/>
    <w:rsid w:val="00D64D7C"/>
    <w:rsid w:val="00D64DDE"/>
    <w:rsid w:val="00D65121"/>
    <w:rsid w:val="00D6520D"/>
    <w:rsid w:val="00D6586D"/>
    <w:rsid w:val="00D65A1B"/>
    <w:rsid w:val="00D66284"/>
    <w:rsid w:val="00D66762"/>
    <w:rsid w:val="00D66790"/>
    <w:rsid w:val="00D66BD4"/>
    <w:rsid w:val="00D66DC6"/>
    <w:rsid w:val="00D66FDA"/>
    <w:rsid w:val="00D671FB"/>
    <w:rsid w:val="00D67483"/>
    <w:rsid w:val="00D67C26"/>
    <w:rsid w:val="00D67D90"/>
    <w:rsid w:val="00D7029D"/>
    <w:rsid w:val="00D70593"/>
    <w:rsid w:val="00D7070A"/>
    <w:rsid w:val="00D70ABD"/>
    <w:rsid w:val="00D71223"/>
    <w:rsid w:val="00D7164C"/>
    <w:rsid w:val="00D71680"/>
    <w:rsid w:val="00D716CC"/>
    <w:rsid w:val="00D719AD"/>
    <w:rsid w:val="00D71BB7"/>
    <w:rsid w:val="00D71C60"/>
    <w:rsid w:val="00D72271"/>
    <w:rsid w:val="00D7285E"/>
    <w:rsid w:val="00D729D6"/>
    <w:rsid w:val="00D72A23"/>
    <w:rsid w:val="00D72B37"/>
    <w:rsid w:val="00D73476"/>
    <w:rsid w:val="00D73511"/>
    <w:rsid w:val="00D7374E"/>
    <w:rsid w:val="00D73A94"/>
    <w:rsid w:val="00D74483"/>
    <w:rsid w:val="00D744A8"/>
    <w:rsid w:val="00D74670"/>
    <w:rsid w:val="00D74705"/>
    <w:rsid w:val="00D74CB2"/>
    <w:rsid w:val="00D74D00"/>
    <w:rsid w:val="00D74FA6"/>
    <w:rsid w:val="00D75588"/>
    <w:rsid w:val="00D7590B"/>
    <w:rsid w:val="00D75B8D"/>
    <w:rsid w:val="00D76535"/>
    <w:rsid w:val="00D76870"/>
    <w:rsid w:val="00D7696F"/>
    <w:rsid w:val="00D7697B"/>
    <w:rsid w:val="00D76C3C"/>
    <w:rsid w:val="00D77863"/>
    <w:rsid w:val="00D77894"/>
    <w:rsid w:val="00D77A35"/>
    <w:rsid w:val="00D77D4E"/>
    <w:rsid w:val="00D77EC8"/>
    <w:rsid w:val="00D77F58"/>
    <w:rsid w:val="00D8005E"/>
    <w:rsid w:val="00D80062"/>
    <w:rsid w:val="00D803C0"/>
    <w:rsid w:val="00D80532"/>
    <w:rsid w:val="00D806A5"/>
    <w:rsid w:val="00D808F7"/>
    <w:rsid w:val="00D80AA3"/>
    <w:rsid w:val="00D810C1"/>
    <w:rsid w:val="00D815F1"/>
    <w:rsid w:val="00D81660"/>
    <w:rsid w:val="00D81CA8"/>
    <w:rsid w:val="00D81E2C"/>
    <w:rsid w:val="00D822B5"/>
    <w:rsid w:val="00D8255E"/>
    <w:rsid w:val="00D828C7"/>
    <w:rsid w:val="00D8294B"/>
    <w:rsid w:val="00D8294E"/>
    <w:rsid w:val="00D82B7F"/>
    <w:rsid w:val="00D82C58"/>
    <w:rsid w:val="00D82E6F"/>
    <w:rsid w:val="00D82F2F"/>
    <w:rsid w:val="00D8322C"/>
    <w:rsid w:val="00D832D5"/>
    <w:rsid w:val="00D832E9"/>
    <w:rsid w:val="00D833C7"/>
    <w:rsid w:val="00D835B0"/>
    <w:rsid w:val="00D838D7"/>
    <w:rsid w:val="00D839DE"/>
    <w:rsid w:val="00D83BB9"/>
    <w:rsid w:val="00D83BC8"/>
    <w:rsid w:val="00D83C4A"/>
    <w:rsid w:val="00D83CA9"/>
    <w:rsid w:val="00D83CD1"/>
    <w:rsid w:val="00D83E90"/>
    <w:rsid w:val="00D84233"/>
    <w:rsid w:val="00D8439B"/>
    <w:rsid w:val="00D844A6"/>
    <w:rsid w:val="00D846B0"/>
    <w:rsid w:val="00D84898"/>
    <w:rsid w:val="00D848CD"/>
    <w:rsid w:val="00D848D0"/>
    <w:rsid w:val="00D84A5E"/>
    <w:rsid w:val="00D84B52"/>
    <w:rsid w:val="00D84C7A"/>
    <w:rsid w:val="00D85412"/>
    <w:rsid w:val="00D857AA"/>
    <w:rsid w:val="00D85A53"/>
    <w:rsid w:val="00D85AFE"/>
    <w:rsid w:val="00D85E90"/>
    <w:rsid w:val="00D85F2F"/>
    <w:rsid w:val="00D86341"/>
    <w:rsid w:val="00D86DAF"/>
    <w:rsid w:val="00D86F3E"/>
    <w:rsid w:val="00D872D7"/>
    <w:rsid w:val="00D873F0"/>
    <w:rsid w:val="00D87506"/>
    <w:rsid w:val="00D875A7"/>
    <w:rsid w:val="00D87AEC"/>
    <w:rsid w:val="00D87D91"/>
    <w:rsid w:val="00D9053D"/>
    <w:rsid w:val="00D90659"/>
    <w:rsid w:val="00D90661"/>
    <w:rsid w:val="00D90887"/>
    <w:rsid w:val="00D909F0"/>
    <w:rsid w:val="00D90D80"/>
    <w:rsid w:val="00D90FDB"/>
    <w:rsid w:val="00D916E4"/>
    <w:rsid w:val="00D919D2"/>
    <w:rsid w:val="00D91C86"/>
    <w:rsid w:val="00D91F41"/>
    <w:rsid w:val="00D92321"/>
    <w:rsid w:val="00D9247A"/>
    <w:rsid w:val="00D9297E"/>
    <w:rsid w:val="00D92A6C"/>
    <w:rsid w:val="00D933F0"/>
    <w:rsid w:val="00D939CD"/>
    <w:rsid w:val="00D93F94"/>
    <w:rsid w:val="00D9420E"/>
    <w:rsid w:val="00D945CD"/>
    <w:rsid w:val="00D94882"/>
    <w:rsid w:val="00D948DC"/>
    <w:rsid w:val="00D9493B"/>
    <w:rsid w:val="00D949EA"/>
    <w:rsid w:val="00D94FD6"/>
    <w:rsid w:val="00D953E7"/>
    <w:rsid w:val="00D95466"/>
    <w:rsid w:val="00D956AC"/>
    <w:rsid w:val="00D95900"/>
    <w:rsid w:val="00D95B13"/>
    <w:rsid w:val="00D95B42"/>
    <w:rsid w:val="00D95B5C"/>
    <w:rsid w:val="00D95FBC"/>
    <w:rsid w:val="00D961D2"/>
    <w:rsid w:val="00D967E2"/>
    <w:rsid w:val="00D96C8F"/>
    <w:rsid w:val="00D96E48"/>
    <w:rsid w:val="00D9709F"/>
    <w:rsid w:val="00D976DC"/>
    <w:rsid w:val="00D97747"/>
    <w:rsid w:val="00D97820"/>
    <w:rsid w:val="00D97896"/>
    <w:rsid w:val="00D97A58"/>
    <w:rsid w:val="00D97CB9"/>
    <w:rsid w:val="00D98F28"/>
    <w:rsid w:val="00DA00AD"/>
    <w:rsid w:val="00DA029F"/>
    <w:rsid w:val="00DA034D"/>
    <w:rsid w:val="00DA0548"/>
    <w:rsid w:val="00DA06C7"/>
    <w:rsid w:val="00DA0894"/>
    <w:rsid w:val="00DA0D59"/>
    <w:rsid w:val="00DA0E4D"/>
    <w:rsid w:val="00DA0E6F"/>
    <w:rsid w:val="00DA1051"/>
    <w:rsid w:val="00DA1219"/>
    <w:rsid w:val="00DA1320"/>
    <w:rsid w:val="00DA1572"/>
    <w:rsid w:val="00DA166D"/>
    <w:rsid w:val="00DA215A"/>
    <w:rsid w:val="00DA25FF"/>
    <w:rsid w:val="00DA2942"/>
    <w:rsid w:val="00DA2B4A"/>
    <w:rsid w:val="00DA2EA6"/>
    <w:rsid w:val="00DA34E9"/>
    <w:rsid w:val="00DA376E"/>
    <w:rsid w:val="00DA3CCF"/>
    <w:rsid w:val="00DA41DB"/>
    <w:rsid w:val="00DA42F3"/>
    <w:rsid w:val="00DA43B6"/>
    <w:rsid w:val="00DA47F0"/>
    <w:rsid w:val="00DA4A81"/>
    <w:rsid w:val="00DA4ACA"/>
    <w:rsid w:val="00DA4D85"/>
    <w:rsid w:val="00DA4DA8"/>
    <w:rsid w:val="00DA5082"/>
    <w:rsid w:val="00DA50C3"/>
    <w:rsid w:val="00DA5272"/>
    <w:rsid w:val="00DA5348"/>
    <w:rsid w:val="00DA534E"/>
    <w:rsid w:val="00DA579C"/>
    <w:rsid w:val="00DA5823"/>
    <w:rsid w:val="00DA5BA6"/>
    <w:rsid w:val="00DA5FB0"/>
    <w:rsid w:val="00DA62DE"/>
    <w:rsid w:val="00DA6324"/>
    <w:rsid w:val="00DA69FC"/>
    <w:rsid w:val="00DA6A69"/>
    <w:rsid w:val="00DA6EDB"/>
    <w:rsid w:val="00DA7562"/>
    <w:rsid w:val="00DA7840"/>
    <w:rsid w:val="00DA784E"/>
    <w:rsid w:val="00DA7E5C"/>
    <w:rsid w:val="00DA7E9C"/>
    <w:rsid w:val="00DA7F44"/>
    <w:rsid w:val="00DB01B1"/>
    <w:rsid w:val="00DB0456"/>
    <w:rsid w:val="00DB0657"/>
    <w:rsid w:val="00DB07DA"/>
    <w:rsid w:val="00DB0E45"/>
    <w:rsid w:val="00DB144F"/>
    <w:rsid w:val="00DB162E"/>
    <w:rsid w:val="00DB17E3"/>
    <w:rsid w:val="00DB1BBE"/>
    <w:rsid w:val="00DB1C85"/>
    <w:rsid w:val="00DB1C8B"/>
    <w:rsid w:val="00DB1D0C"/>
    <w:rsid w:val="00DB1E2F"/>
    <w:rsid w:val="00DB20BE"/>
    <w:rsid w:val="00DB20EE"/>
    <w:rsid w:val="00DB2488"/>
    <w:rsid w:val="00DB250D"/>
    <w:rsid w:val="00DB25A7"/>
    <w:rsid w:val="00DB26A7"/>
    <w:rsid w:val="00DB29B3"/>
    <w:rsid w:val="00DB29D3"/>
    <w:rsid w:val="00DB2A3D"/>
    <w:rsid w:val="00DB2AD5"/>
    <w:rsid w:val="00DB3657"/>
    <w:rsid w:val="00DB376E"/>
    <w:rsid w:val="00DB378A"/>
    <w:rsid w:val="00DB3A54"/>
    <w:rsid w:val="00DB3B27"/>
    <w:rsid w:val="00DB3C75"/>
    <w:rsid w:val="00DB3D1C"/>
    <w:rsid w:val="00DB4388"/>
    <w:rsid w:val="00DB45CD"/>
    <w:rsid w:val="00DB49EA"/>
    <w:rsid w:val="00DB5166"/>
    <w:rsid w:val="00DB51D8"/>
    <w:rsid w:val="00DB5336"/>
    <w:rsid w:val="00DB54BD"/>
    <w:rsid w:val="00DB5699"/>
    <w:rsid w:val="00DB586B"/>
    <w:rsid w:val="00DB5875"/>
    <w:rsid w:val="00DB5DCA"/>
    <w:rsid w:val="00DB6461"/>
    <w:rsid w:val="00DB6916"/>
    <w:rsid w:val="00DB6C5A"/>
    <w:rsid w:val="00DB6F13"/>
    <w:rsid w:val="00DB71AF"/>
    <w:rsid w:val="00DB71CD"/>
    <w:rsid w:val="00DB731F"/>
    <w:rsid w:val="00DB750F"/>
    <w:rsid w:val="00DB7B74"/>
    <w:rsid w:val="00DB7DE9"/>
    <w:rsid w:val="00DC05FA"/>
    <w:rsid w:val="00DC0B57"/>
    <w:rsid w:val="00DC0B77"/>
    <w:rsid w:val="00DC1244"/>
    <w:rsid w:val="00DC15C2"/>
    <w:rsid w:val="00DC1970"/>
    <w:rsid w:val="00DC19D9"/>
    <w:rsid w:val="00DC19F5"/>
    <w:rsid w:val="00DC1ED2"/>
    <w:rsid w:val="00DC23CF"/>
    <w:rsid w:val="00DC2546"/>
    <w:rsid w:val="00DC25F5"/>
    <w:rsid w:val="00DC274E"/>
    <w:rsid w:val="00DC27AF"/>
    <w:rsid w:val="00DC2861"/>
    <w:rsid w:val="00DC2A4D"/>
    <w:rsid w:val="00DC2FD6"/>
    <w:rsid w:val="00DC409D"/>
    <w:rsid w:val="00DC40C5"/>
    <w:rsid w:val="00DC418B"/>
    <w:rsid w:val="00DC41BE"/>
    <w:rsid w:val="00DC44B4"/>
    <w:rsid w:val="00DC4766"/>
    <w:rsid w:val="00DC4884"/>
    <w:rsid w:val="00DC489A"/>
    <w:rsid w:val="00DC49BE"/>
    <w:rsid w:val="00DC49CC"/>
    <w:rsid w:val="00DC49F7"/>
    <w:rsid w:val="00DC5409"/>
    <w:rsid w:val="00DC57A2"/>
    <w:rsid w:val="00DC5B7F"/>
    <w:rsid w:val="00DC5E25"/>
    <w:rsid w:val="00DC5FA3"/>
    <w:rsid w:val="00DC6130"/>
    <w:rsid w:val="00DC6366"/>
    <w:rsid w:val="00DC65AD"/>
    <w:rsid w:val="00DC6712"/>
    <w:rsid w:val="00DC679B"/>
    <w:rsid w:val="00DC67B5"/>
    <w:rsid w:val="00DC6EEA"/>
    <w:rsid w:val="00DC7449"/>
    <w:rsid w:val="00DC7846"/>
    <w:rsid w:val="00DC79C0"/>
    <w:rsid w:val="00DC79CF"/>
    <w:rsid w:val="00DC7AB1"/>
    <w:rsid w:val="00DC7B02"/>
    <w:rsid w:val="00DD0084"/>
    <w:rsid w:val="00DD0414"/>
    <w:rsid w:val="00DD0525"/>
    <w:rsid w:val="00DD0A38"/>
    <w:rsid w:val="00DD0D30"/>
    <w:rsid w:val="00DD0D52"/>
    <w:rsid w:val="00DD1116"/>
    <w:rsid w:val="00DD1127"/>
    <w:rsid w:val="00DD1133"/>
    <w:rsid w:val="00DD121A"/>
    <w:rsid w:val="00DD1645"/>
    <w:rsid w:val="00DD16D7"/>
    <w:rsid w:val="00DD1FAF"/>
    <w:rsid w:val="00DD1FFC"/>
    <w:rsid w:val="00DD2D3C"/>
    <w:rsid w:val="00DD2E87"/>
    <w:rsid w:val="00DD36AE"/>
    <w:rsid w:val="00DD38C2"/>
    <w:rsid w:val="00DD39EA"/>
    <w:rsid w:val="00DD3B3F"/>
    <w:rsid w:val="00DD3F0E"/>
    <w:rsid w:val="00DD4217"/>
    <w:rsid w:val="00DD44EC"/>
    <w:rsid w:val="00DD49A9"/>
    <w:rsid w:val="00DD49B0"/>
    <w:rsid w:val="00DD49D0"/>
    <w:rsid w:val="00DD4DFA"/>
    <w:rsid w:val="00DD516C"/>
    <w:rsid w:val="00DD5173"/>
    <w:rsid w:val="00DD545A"/>
    <w:rsid w:val="00DD5511"/>
    <w:rsid w:val="00DD5596"/>
    <w:rsid w:val="00DD57D6"/>
    <w:rsid w:val="00DD5860"/>
    <w:rsid w:val="00DD5A8E"/>
    <w:rsid w:val="00DD5F25"/>
    <w:rsid w:val="00DD64D6"/>
    <w:rsid w:val="00DD64FD"/>
    <w:rsid w:val="00DD6B3E"/>
    <w:rsid w:val="00DD6F1F"/>
    <w:rsid w:val="00DD6F20"/>
    <w:rsid w:val="00DD7133"/>
    <w:rsid w:val="00DD732A"/>
    <w:rsid w:val="00DD763A"/>
    <w:rsid w:val="00DD7677"/>
    <w:rsid w:val="00DD7795"/>
    <w:rsid w:val="00DD78CD"/>
    <w:rsid w:val="00DE0156"/>
    <w:rsid w:val="00DE0175"/>
    <w:rsid w:val="00DE045B"/>
    <w:rsid w:val="00DE0861"/>
    <w:rsid w:val="00DE092C"/>
    <w:rsid w:val="00DE0CF1"/>
    <w:rsid w:val="00DE152E"/>
    <w:rsid w:val="00DE161B"/>
    <w:rsid w:val="00DE19B8"/>
    <w:rsid w:val="00DE1F31"/>
    <w:rsid w:val="00DE2073"/>
    <w:rsid w:val="00DE241B"/>
    <w:rsid w:val="00DE24F8"/>
    <w:rsid w:val="00DE25AA"/>
    <w:rsid w:val="00DE2720"/>
    <w:rsid w:val="00DE27ED"/>
    <w:rsid w:val="00DE2850"/>
    <w:rsid w:val="00DE28C8"/>
    <w:rsid w:val="00DE2E36"/>
    <w:rsid w:val="00DE2F73"/>
    <w:rsid w:val="00DE3321"/>
    <w:rsid w:val="00DE3474"/>
    <w:rsid w:val="00DE3624"/>
    <w:rsid w:val="00DE3A6F"/>
    <w:rsid w:val="00DE3B04"/>
    <w:rsid w:val="00DE3C8A"/>
    <w:rsid w:val="00DE3F09"/>
    <w:rsid w:val="00DE3F92"/>
    <w:rsid w:val="00DE425F"/>
    <w:rsid w:val="00DE4548"/>
    <w:rsid w:val="00DE4696"/>
    <w:rsid w:val="00DE46ED"/>
    <w:rsid w:val="00DE470E"/>
    <w:rsid w:val="00DE47B5"/>
    <w:rsid w:val="00DE4A73"/>
    <w:rsid w:val="00DE4B77"/>
    <w:rsid w:val="00DE4BAD"/>
    <w:rsid w:val="00DE4D6B"/>
    <w:rsid w:val="00DE4E55"/>
    <w:rsid w:val="00DE5523"/>
    <w:rsid w:val="00DE5CA5"/>
    <w:rsid w:val="00DE6069"/>
    <w:rsid w:val="00DE68F3"/>
    <w:rsid w:val="00DE6B8F"/>
    <w:rsid w:val="00DE6F42"/>
    <w:rsid w:val="00DE7080"/>
    <w:rsid w:val="00DE743A"/>
    <w:rsid w:val="00DE79B0"/>
    <w:rsid w:val="00DE7F6E"/>
    <w:rsid w:val="00DF0224"/>
    <w:rsid w:val="00DF0355"/>
    <w:rsid w:val="00DF0429"/>
    <w:rsid w:val="00DF0912"/>
    <w:rsid w:val="00DF0CF3"/>
    <w:rsid w:val="00DF0F63"/>
    <w:rsid w:val="00DF19ED"/>
    <w:rsid w:val="00DF1EFA"/>
    <w:rsid w:val="00DF21B5"/>
    <w:rsid w:val="00DF230B"/>
    <w:rsid w:val="00DF2342"/>
    <w:rsid w:val="00DF23F8"/>
    <w:rsid w:val="00DF25D1"/>
    <w:rsid w:val="00DF2681"/>
    <w:rsid w:val="00DF2706"/>
    <w:rsid w:val="00DF29DD"/>
    <w:rsid w:val="00DF2B13"/>
    <w:rsid w:val="00DF2CCA"/>
    <w:rsid w:val="00DF2DB8"/>
    <w:rsid w:val="00DF2ECA"/>
    <w:rsid w:val="00DF2ED3"/>
    <w:rsid w:val="00DF3046"/>
    <w:rsid w:val="00DF31AD"/>
    <w:rsid w:val="00DF321A"/>
    <w:rsid w:val="00DF3318"/>
    <w:rsid w:val="00DF3341"/>
    <w:rsid w:val="00DF377E"/>
    <w:rsid w:val="00DF3796"/>
    <w:rsid w:val="00DF3F23"/>
    <w:rsid w:val="00DF3F3D"/>
    <w:rsid w:val="00DF4062"/>
    <w:rsid w:val="00DF483A"/>
    <w:rsid w:val="00DF48FF"/>
    <w:rsid w:val="00DF4BC7"/>
    <w:rsid w:val="00DF4C2B"/>
    <w:rsid w:val="00DF51DB"/>
    <w:rsid w:val="00DF52AB"/>
    <w:rsid w:val="00DF5514"/>
    <w:rsid w:val="00DF590F"/>
    <w:rsid w:val="00DF5919"/>
    <w:rsid w:val="00DF5ABF"/>
    <w:rsid w:val="00DF5C2F"/>
    <w:rsid w:val="00DF5C89"/>
    <w:rsid w:val="00DF5EDD"/>
    <w:rsid w:val="00DF63AD"/>
    <w:rsid w:val="00DF6EDF"/>
    <w:rsid w:val="00DF7075"/>
    <w:rsid w:val="00DF761E"/>
    <w:rsid w:val="00DF763B"/>
    <w:rsid w:val="00DF794B"/>
    <w:rsid w:val="00DF7AC7"/>
    <w:rsid w:val="00DF7D0E"/>
    <w:rsid w:val="00DF7FEA"/>
    <w:rsid w:val="00E00216"/>
    <w:rsid w:val="00E00537"/>
    <w:rsid w:val="00E00586"/>
    <w:rsid w:val="00E006E7"/>
    <w:rsid w:val="00E00706"/>
    <w:rsid w:val="00E008E3"/>
    <w:rsid w:val="00E00B6E"/>
    <w:rsid w:val="00E00E97"/>
    <w:rsid w:val="00E01033"/>
    <w:rsid w:val="00E01433"/>
    <w:rsid w:val="00E01483"/>
    <w:rsid w:val="00E01819"/>
    <w:rsid w:val="00E0183A"/>
    <w:rsid w:val="00E019F4"/>
    <w:rsid w:val="00E01F12"/>
    <w:rsid w:val="00E02726"/>
    <w:rsid w:val="00E02AE0"/>
    <w:rsid w:val="00E03203"/>
    <w:rsid w:val="00E033F3"/>
    <w:rsid w:val="00E03508"/>
    <w:rsid w:val="00E037AB"/>
    <w:rsid w:val="00E03CF3"/>
    <w:rsid w:val="00E04070"/>
    <w:rsid w:val="00E0435C"/>
    <w:rsid w:val="00E0444B"/>
    <w:rsid w:val="00E044C9"/>
    <w:rsid w:val="00E044FE"/>
    <w:rsid w:val="00E04810"/>
    <w:rsid w:val="00E05323"/>
    <w:rsid w:val="00E05475"/>
    <w:rsid w:val="00E05AA2"/>
    <w:rsid w:val="00E05D39"/>
    <w:rsid w:val="00E05E1D"/>
    <w:rsid w:val="00E05E57"/>
    <w:rsid w:val="00E05E86"/>
    <w:rsid w:val="00E05F79"/>
    <w:rsid w:val="00E061D0"/>
    <w:rsid w:val="00E062CA"/>
    <w:rsid w:val="00E0697E"/>
    <w:rsid w:val="00E06B17"/>
    <w:rsid w:val="00E06DBF"/>
    <w:rsid w:val="00E06E2B"/>
    <w:rsid w:val="00E06FCD"/>
    <w:rsid w:val="00E06FEA"/>
    <w:rsid w:val="00E070A6"/>
    <w:rsid w:val="00E07459"/>
    <w:rsid w:val="00E0747E"/>
    <w:rsid w:val="00E0749B"/>
    <w:rsid w:val="00E07927"/>
    <w:rsid w:val="00E07B28"/>
    <w:rsid w:val="00E07BCE"/>
    <w:rsid w:val="00E07BF6"/>
    <w:rsid w:val="00E07CFD"/>
    <w:rsid w:val="00E07DF3"/>
    <w:rsid w:val="00E07E48"/>
    <w:rsid w:val="00E10149"/>
    <w:rsid w:val="00E1077F"/>
    <w:rsid w:val="00E10A33"/>
    <w:rsid w:val="00E10F80"/>
    <w:rsid w:val="00E11813"/>
    <w:rsid w:val="00E11DFC"/>
    <w:rsid w:val="00E11F0A"/>
    <w:rsid w:val="00E11F51"/>
    <w:rsid w:val="00E12048"/>
    <w:rsid w:val="00E1226E"/>
    <w:rsid w:val="00E12357"/>
    <w:rsid w:val="00E126B5"/>
    <w:rsid w:val="00E1288C"/>
    <w:rsid w:val="00E129CE"/>
    <w:rsid w:val="00E12E9F"/>
    <w:rsid w:val="00E137B1"/>
    <w:rsid w:val="00E1433C"/>
    <w:rsid w:val="00E1437B"/>
    <w:rsid w:val="00E147D7"/>
    <w:rsid w:val="00E1482E"/>
    <w:rsid w:val="00E14C8D"/>
    <w:rsid w:val="00E14D97"/>
    <w:rsid w:val="00E14EFA"/>
    <w:rsid w:val="00E15149"/>
    <w:rsid w:val="00E15558"/>
    <w:rsid w:val="00E15719"/>
    <w:rsid w:val="00E15741"/>
    <w:rsid w:val="00E15BEB"/>
    <w:rsid w:val="00E15F16"/>
    <w:rsid w:val="00E1609F"/>
    <w:rsid w:val="00E1631B"/>
    <w:rsid w:val="00E16752"/>
    <w:rsid w:val="00E16816"/>
    <w:rsid w:val="00E16B96"/>
    <w:rsid w:val="00E16F36"/>
    <w:rsid w:val="00E16F7F"/>
    <w:rsid w:val="00E17282"/>
    <w:rsid w:val="00E173C7"/>
    <w:rsid w:val="00E174AC"/>
    <w:rsid w:val="00E1783E"/>
    <w:rsid w:val="00E17875"/>
    <w:rsid w:val="00E17A4E"/>
    <w:rsid w:val="00E17CD9"/>
    <w:rsid w:val="00E201A0"/>
    <w:rsid w:val="00E207B1"/>
    <w:rsid w:val="00E20D41"/>
    <w:rsid w:val="00E2192E"/>
    <w:rsid w:val="00E21B5B"/>
    <w:rsid w:val="00E21C28"/>
    <w:rsid w:val="00E21D73"/>
    <w:rsid w:val="00E21D81"/>
    <w:rsid w:val="00E21E3D"/>
    <w:rsid w:val="00E21EEF"/>
    <w:rsid w:val="00E221B1"/>
    <w:rsid w:val="00E2265F"/>
    <w:rsid w:val="00E2273F"/>
    <w:rsid w:val="00E22978"/>
    <w:rsid w:val="00E22EB5"/>
    <w:rsid w:val="00E22FCD"/>
    <w:rsid w:val="00E23197"/>
    <w:rsid w:val="00E239B0"/>
    <w:rsid w:val="00E23E6A"/>
    <w:rsid w:val="00E23EBC"/>
    <w:rsid w:val="00E23EF1"/>
    <w:rsid w:val="00E23F71"/>
    <w:rsid w:val="00E242F1"/>
    <w:rsid w:val="00E24315"/>
    <w:rsid w:val="00E24500"/>
    <w:rsid w:val="00E24B5A"/>
    <w:rsid w:val="00E24B92"/>
    <w:rsid w:val="00E24CF9"/>
    <w:rsid w:val="00E24EC2"/>
    <w:rsid w:val="00E24FAD"/>
    <w:rsid w:val="00E25683"/>
    <w:rsid w:val="00E25755"/>
    <w:rsid w:val="00E25D05"/>
    <w:rsid w:val="00E25E8A"/>
    <w:rsid w:val="00E261F7"/>
    <w:rsid w:val="00E26B06"/>
    <w:rsid w:val="00E26D20"/>
    <w:rsid w:val="00E2753A"/>
    <w:rsid w:val="00E2756F"/>
    <w:rsid w:val="00E311FF"/>
    <w:rsid w:val="00E31234"/>
    <w:rsid w:val="00E314C0"/>
    <w:rsid w:val="00E31637"/>
    <w:rsid w:val="00E32250"/>
    <w:rsid w:val="00E32410"/>
    <w:rsid w:val="00E325D3"/>
    <w:rsid w:val="00E32802"/>
    <w:rsid w:val="00E32C56"/>
    <w:rsid w:val="00E32E6F"/>
    <w:rsid w:val="00E32F47"/>
    <w:rsid w:val="00E33238"/>
    <w:rsid w:val="00E33560"/>
    <w:rsid w:val="00E34076"/>
    <w:rsid w:val="00E34300"/>
    <w:rsid w:val="00E3456F"/>
    <w:rsid w:val="00E34952"/>
    <w:rsid w:val="00E349BE"/>
    <w:rsid w:val="00E3510E"/>
    <w:rsid w:val="00E35235"/>
    <w:rsid w:val="00E352BA"/>
    <w:rsid w:val="00E35363"/>
    <w:rsid w:val="00E36399"/>
    <w:rsid w:val="00E36DED"/>
    <w:rsid w:val="00E3724A"/>
    <w:rsid w:val="00E3738C"/>
    <w:rsid w:val="00E3748B"/>
    <w:rsid w:val="00E3750A"/>
    <w:rsid w:val="00E37566"/>
    <w:rsid w:val="00E376DE"/>
    <w:rsid w:val="00E37735"/>
    <w:rsid w:val="00E37971"/>
    <w:rsid w:val="00E37AA0"/>
    <w:rsid w:val="00E37D4C"/>
    <w:rsid w:val="00E37E62"/>
    <w:rsid w:val="00E400B2"/>
    <w:rsid w:val="00E40874"/>
    <w:rsid w:val="00E40CC9"/>
    <w:rsid w:val="00E41118"/>
    <w:rsid w:val="00E4112E"/>
    <w:rsid w:val="00E418E6"/>
    <w:rsid w:val="00E41A0C"/>
    <w:rsid w:val="00E41B4C"/>
    <w:rsid w:val="00E41D50"/>
    <w:rsid w:val="00E424A7"/>
    <w:rsid w:val="00E42AC1"/>
    <w:rsid w:val="00E42C5F"/>
    <w:rsid w:val="00E42C9A"/>
    <w:rsid w:val="00E42FEF"/>
    <w:rsid w:val="00E42FFF"/>
    <w:rsid w:val="00E43187"/>
    <w:rsid w:val="00E431CA"/>
    <w:rsid w:val="00E43239"/>
    <w:rsid w:val="00E4360E"/>
    <w:rsid w:val="00E43879"/>
    <w:rsid w:val="00E43B4A"/>
    <w:rsid w:val="00E43C32"/>
    <w:rsid w:val="00E43D94"/>
    <w:rsid w:val="00E444EE"/>
    <w:rsid w:val="00E449E1"/>
    <w:rsid w:val="00E44BE2"/>
    <w:rsid w:val="00E44F43"/>
    <w:rsid w:val="00E45121"/>
    <w:rsid w:val="00E458A3"/>
    <w:rsid w:val="00E45B96"/>
    <w:rsid w:val="00E45C98"/>
    <w:rsid w:val="00E46108"/>
    <w:rsid w:val="00E46272"/>
    <w:rsid w:val="00E46444"/>
    <w:rsid w:val="00E46535"/>
    <w:rsid w:val="00E466EA"/>
    <w:rsid w:val="00E469D5"/>
    <w:rsid w:val="00E46AC3"/>
    <w:rsid w:val="00E46BDE"/>
    <w:rsid w:val="00E46C32"/>
    <w:rsid w:val="00E46C4A"/>
    <w:rsid w:val="00E46D5E"/>
    <w:rsid w:val="00E4764E"/>
    <w:rsid w:val="00E47CC1"/>
    <w:rsid w:val="00E47CDC"/>
    <w:rsid w:val="00E47F45"/>
    <w:rsid w:val="00E502BD"/>
    <w:rsid w:val="00E507FC"/>
    <w:rsid w:val="00E50965"/>
    <w:rsid w:val="00E50A92"/>
    <w:rsid w:val="00E50ED1"/>
    <w:rsid w:val="00E5182A"/>
    <w:rsid w:val="00E51B9D"/>
    <w:rsid w:val="00E51BD9"/>
    <w:rsid w:val="00E51FF0"/>
    <w:rsid w:val="00E524A7"/>
    <w:rsid w:val="00E526A3"/>
    <w:rsid w:val="00E529C5"/>
    <w:rsid w:val="00E52F7B"/>
    <w:rsid w:val="00E532FD"/>
    <w:rsid w:val="00E5351D"/>
    <w:rsid w:val="00E538C6"/>
    <w:rsid w:val="00E53E1D"/>
    <w:rsid w:val="00E53E3E"/>
    <w:rsid w:val="00E5405F"/>
    <w:rsid w:val="00E541E0"/>
    <w:rsid w:val="00E54771"/>
    <w:rsid w:val="00E547EA"/>
    <w:rsid w:val="00E5497C"/>
    <w:rsid w:val="00E54ABE"/>
    <w:rsid w:val="00E54CF5"/>
    <w:rsid w:val="00E5566C"/>
    <w:rsid w:val="00E55C8B"/>
    <w:rsid w:val="00E55CE1"/>
    <w:rsid w:val="00E55E0A"/>
    <w:rsid w:val="00E55E35"/>
    <w:rsid w:val="00E56152"/>
    <w:rsid w:val="00E5616C"/>
    <w:rsid w:val="00E564AD"/>
    <w:rsid w:val="00E56994"/>
    <w:rsid w:val="00E56AFC"/>
    <w:rsid w:val="00E5782F"/>
    <w:rsid w:val="00E57D88"/>
    <w:rsid w:val="00E600BB"/>
    <w:rsid w:val="00E600E2"/>
    <w:rsid w:val="00E601CF"/>
    <w:rsid w:val="00E6059B"/>
    <w:rsid w:val="00E6096C"/>
    <w:rsid w:val="00E60BE8"/>
    <w:rsid w:val="00E61465"/>
    <w:rsid w:val="00E61506"/>
    <w:rsid w:val="00E6157E"/>
    <w:rsid w:val="00E6166D"/>
    <w:rsid w:val="00E61960"/>
    <w:rsid w:val="00E61F93"/>
    <w:rsid w:val="00E620BF"/>
    <w:rsid w:val="00E62166"/>
    <w:rsid w:val="00E62947"/>
    <w:rsid w:val="00E630B6"/>
    <w:rsid w:val="00E635DC"/>
    <w:rsid w:val="00E63F04"/>
    <w:rsid w:val="00E63F8B"/>
    <w:rsid w:val="00E640AB"/>
    <w:rsid w:val="00E640CA"/>
    <w:rsid w:val="00E6434B"/>
    <w:rsid w:val="00E651A5"/>
    <w:rsid w:val="00E6545B"/>
    <w:rsid w:val="00E656CC"/>
    <w:rsid w:val="00E65755"/>
    <w:rsid w:val="00E65AA4"/>
    <w:rsid w:val="00E65D14"/>
    <w:rsid w:val="00E66091"/>
    <w:rsid w:val="00E666E6"/>
    <w:rsid w:val="00E66780"/>
    <w:rsid w:val="00E66868"/>
    <w:rsid w:val="00E66989"/>
    <w:rsid w:val="00E66D3B"/>
    <w:rsid w:val="00E67263"/>
    <w:rsid w:val="00E672A5"/>
    <w:rsid w:val="00E677B7"/>
    <w:rsid w:val="00E677EE"/>
    <w:rsid w:val="00E67C6F"/>
    <w:rsid w:val="00E7034B"/>
    <w:rsid w:val="00E70475"/>
    <w:rsid w:val="00E70487"/>
    <w:rsid w:val="00E705CF"/>
    <w:rsid w:val="00E70746"/>
    <w:rsid w:val="00E70B07"/>
    <w:rsid w:val="00E70EEA"/>
    <w:rsid w:val="00E71130"/>
    <w:rsid w:val="00E716EE"/>
    <w:rsid w:val="00E71785"/>
    <w:rsid w:val="00E71AF1"/>
    <w:rsid w:val="00E71E87"/>
    <w:rsid w:val="00E72ECC"/>
    <w:rsid w:val="00E72EDA"/>
    <w:rsid w:val="00E72F62"/>
    <w:rsid w:val="00E72F8E"/>
    <w:rsid w:val="00E73053"/>
    <w:rsid w:val="00E7336A"/>
    <w:rsid w:val="00E733D9"/>
    <w:rsid w:val="00E73551"/>
    <w:rsid w:val="00E736DF"/>
    <w:rsid w:val="00E737E5"/>
    <w:rsid w:val="00E74273"/>
    <w:rsid w:val="00E74763"/>
    <w:rsid w:val="00E747CA"/>
    <w:rsid w:val="00E74BF2"/>
    <w:rsid w:val="00E74C0E"/>
    <w:rsid w:val="00E74CA9"/>
    <w:rsid w:val="00E754DF"/>
    <w:rsid w:val="00E75543"/>
    <w:rsid w:val="00E75818"/>
    <w:rsid w:val="00E7585C"/>
    <w:rsid w:val="00E75EB9"/>
    <w:rsid w:val="00E761E6"/>
    <w:rsid w:val="00E766A5"/>
    <w:rsid w:val="00E76784"/>
    <w:rsid w:val="00E76D2F"/>
    <w:rsid w:val="00E77441"/>
    <w:rsid w:val="00E7762B"/>
    <w:rsid w:val="00E776D9"/>
    <w:rsid w:val="00E779E7"/>
    <w:rsid w:val="00E77B2D"/>
    <w:rsid w:val="00E803C3"/>
    <w:rsid w:val="00E806B8"/>
    <w:rsid w:val="00E80946"/>
    <w:rsid w:val="00E80C7D"/>
    <w:rsid w:val="00E80F23"/>
    <w:rsid w:val="00E8105C"/>
    <w:rsid w:val="00E813B4"/>
    <w:rsid w:val="00E817DE"/>
    <w:rsid w:val="00E8186C"/>
    <w:rsid w:val="00E81A33"/>
    <w:rsid w:val="00E81EC8"/>
    <w:rsid w:val="00E82183"/>
    <w:rsid w:val="00E8254D"/>
    <w:rsid w:val="00E82698"/>
    <w:rsid w:val="00E82722"/>
    <w:rsid w:val="00E82950"/>
    <w:rsid w:val="00E8298D"/>
    <w:rsid w:val="00E82D4F"/>
    <w:rsid w:val="00E8327D"/>
    <w:rsid w:val="00E83591"/>
    <w:rsid w:val="00E8424C"/>
    <w:rsid w:val="00E8430B"/>
    <w:rsid w:val="00E8484A"/>
    <w:rsid w:val="00E849D9"/>
    <w:rsid w:val="00E84A88"/>
    <w:rsid w:val="00E84C11"/>
    <w:rsid w:val="00E85436"/>
    <w:rsid w:val="00E85568"/>
    <w:rsid w:val="00E8556F"/>
    <w:rsid w:val="00E855E7"/>
    <w:rsid w:val="00E85750"/>
    <w:rsid w:val="00E8579A"/>
    <w:rsid w:val="00E85864"/>
    <w:rsid w:val="00E85967"/>
    <w:rsid w:val="00E85A79"/>
    <w:rsid w:val="00E85CD3"/>
    <w:rsid w:val="00E85E90"/>
    <w:rsid w:val="00E85FE1"/>
    <w:rsid w:val="00E8624B"/>
    <w:rsid w:val="00E86936"/>
    <w:rsid w:val="00E87347"/>
    <w:rsid w:val="00E8772F"/>
    <w:rsid w:val="00E87E83"/>
    <w:rsid w:val="00E87EF2"/>
    <w:rsid w:val="00E901D9"/>
    <w:rsid w:val="00E9029C"/>
    <w:rsid w:val="00E90745"/>
    <w:rsid w:val="00E9093F"/>
    <w:rsid w:val="00E90E28"/>
    <w:rsid w:val="00E90FD8"/>
    <w:rsid w:val="00E911B1"/>
    <w:rsid w:val="00E91385"/>
    <w:rsid w:val="00E91A23"/>
    <w:rsid w:val="00E91A4D"/>
    <w:rsid w:val="00E91E33"/>
    <w:rsid w:val="00E9208E"/>
    <w:rsid w:val="00E921F6"/>
    <w:rsid w:val="00E9222D"/>
    <w:rsid w:val="00E9224A"/>
    <w:rsid w:val="00E9282D"/>
    <w:rsid w:val="00E929CA"/>
    <w:rsid w:val="00E93574"/>
    <w:rsid w:val="00E93864"/>
    <w:rsid w:val="00E93FB8"/>
    <w:rsid w:val="00E943D6"/>
    <w:rsid w:val="00E94481"/>
    <w:rsid w:val="00E9471D"/>
    <w:rsid w:val="00E947B4"/>
    <w:rsid w:val="00E94C4D"/>
    <w:rsid w:val="00E94F04"/>
    <w:rsid w:val="00E951D5"/>
    <w:rsid w:val="00E95246"/>
    <w:rsid w:val="00E954AB"/>
    <w:rsid w:val="00E95547"/>
    <w:rsid w:val="00E95CFE"/>
    <w:rsid w:val="00E96031"/>
    <w:rsid w:val="00E9622A"/>
    <w:rsid w:val="00E9626F"/>
    <w:rsid w:val="00E962D3"/>
    <w:rsid w:val="00E965A7"/>
    <w:rsid w:val="00E974D0"/>
    <w:rsid w:val="00E97A98"/>
    <w:rsid w:val="00E97B65"/>
    <w:rsid w:val="00E97C96"/>
    <w:rsid w:val="00E97CFA"/>
    <w:rsid w:val="00EA00C9"/>
    <w:rsid w:val="00EA0465"/>
    <w:rsid w:val="00EA0691"/>
    <w:rsid w:val="00EA0883"/>
    <w:rsid w:val="00EA0FAC"/>
    <w:rsid w:val="00EA1038"/>
    <w:rsid w:val="00EA10CB"/>
    <w:rsid w:val="00EA1562"/>
    <w:rsid w:val="00EA1679"/>
    <w:rsid w:val="00EA186A"/>
    <w:rsid w:val="00EA1959"/>
    <w:rsid w:val="00EA1D35"/>
    <w:rsid w:val="00EA1DE6"/>
    <w:rsid w:val="00EA1FC9"/>
    <w:rsid w:val="00EA2210"/>
    <w:rsid w:val="00EA24AF"/>
    <w:rsid w:val="00EA292B"/>
    <w:rsid w:val="00EA2ADA"/>
    <w:rsid w:val="00EA2D6A"/>
    <w:rsid w:val="00EA2ED3"/>
    <w:rsid w:val="00EA346D"/>
    <w:rsid w:val="00EA35E2"/>
    <w:rsid w:val="00EA37C1"/>
    <w:rsid w:val="00EA3986"/>
    <w:rsid w:val="00EA3995"/>
    <w:rsid w:val="00EA39B9"/>
    <w:rsid w:val="00EA3BA0"/>
    <w:rsid w:val="00EA3F80"/>
    <w:rsid w:val="00EA464F"/>
    <w:rsid w:val="00EA485F"/>
    <w:rsid w:val="00EA49B5"/>
    <w:rsid w:val="00EA4F28"/>
    <w:rsid w:val="00EA5133"/>
    <w:rsid w:val="00EA54F2"/>
    <w:rsid w:val="00EA5E59"/>
    <w:rsid w:val="00EA62C4"/>
    <w:rsid w:val="00EA65FE"/>
    <w:rsid w:val="00EA667C"/>
    <w:rsid w:val="00EA67A2"/>
    <w:rsid w:val="00EA6A39"/>
    <w:rsid w:val="00EA6E77"/>
    <w:rsid w:val="00EA75F1"/>
    <w:rsid w:val="00EA7BEB"/>
    <w:rsid w:val="00EA7CDE"/>
    <w:rsid w:val="00EB0008"/>
    <w:rsid w:val="00EB0067"/>
    <w:rsid w:val="00EB013D"/>
    <w:rsid w:val="00EB069F"/>
    <w:rsid w:val="00EB09E5"/>
    <w:rsid w:val="00EB0A88"/>
    <w:rsid w:val="00EB0AC5"/>
    <w:rsid w:val="00EB0B6D"/>
    <w:rsid w:val="00EB0CAA"/>
    <w:rsid w:val="00EB0FB2"/>
    <w:rsid w:val="00EB0FD6"/>
    <w:rsid w:val="00EB1099"/>
    <w:rsid w:val="00EB114C"/>
    <w:rsid w:val="00EB11A0"/>
    <w:rsid w:val="00EB11EF"/>
    <w:rsid w:val="00EB11F5"/>
    <w:rsid w:val="00EB1CB9"/>
    <w:rsid w:val="00EB1CC1"/>
    <w:rsid w:val="00EB20D9"/>
    <w:rsid w:val="00EB2131"/>
    <w:rsid w:val="00EB2221"/>
    <w:rsid w:val="00EB27F3"/>
    <w:rsid w:val="00EB2944"/>
    <w:rsid w:val="00EB29C7"/>
    <w:rsid w:val="00EB2A79"/>
    <w:rsid w:val="00EB2D32"/>
    <w:rsid w:val="00EB2EC0"/>
    <w:rsid w:val="00EB3134"/>
    <w:rsid w:val="00EB3255"/>
    <w:rsid w:val="00EB3649"/>
    <w:rsid w:val="00EB383D"/>
    <w:rsid w:val="00EB3E11"/>
    <w:rsid w:val="00EB4245"/>
    <w:rsid w:val="00EB4ACB"/>
    <w:rsid w:val="00EB50B0"/>
    <w:rsid w:val="00EB50CF"/>
    <w:rsid w:val="00EB525F"/>
    <w:rsid w:val="00EB52BD"/>
    <w:rsid w:val="00EB5304"/>
    <w:rsid w:val="00EB599A"/>
    <w:rsid w:val="00EB5C34"/>
    <w:rsid w:val="00EB5CAC"/>
    <w:rsid w:val="00EB5CFF"/>
    <w:rsid w:val="00EB60DA"/>
    <w:rsid w:val="00EB61F4"/>
    <w:rsid w:val="00EB62B0"/>
    <w:rsid w:val="00EB636F"/>
    <w:rsid w:val="00EB639C"/>
    <w:rsid w:val="00EB63FC"/>
    <w:rsid w:val="00EB68A2"/>
    <w:rsid w:val="00EB68EE"/>
    <w:rsid w:val="00EB69E0"/>
    <w:rsid w:val="00EB70AA"/>
    <w:rsid w:val="00EB70B1"/>
    <w:rsid w:val="00EB7434"/>
    <w:rsid w:val="00EB7D73"/>
    <w:rsid w:val="00EB7FD5"/>
    <w:rsid w:val="00EC019A"/>
    <w:rsid w:val="00EC027B"/>
    <w:rsid w:val="00EC02EB"/>
    <w:rsid w:val="00EC0631"/>
    <w:rsid w:val="00EC07E4"/>
    <w:rsid w:val="00EC0AC1"/>
    <w:rsid w:val="00EC1231"/>
    <w:rsid w:val="00EC18BE"/>
    <w:rsid w:val="00EC1A6B"/>
    <w:rsid w:val="00EC1AEA"/>
    <w:rsid w:val="00EC1B1E"/>
    <w:rsid w:val="00EC21D1"/>
    <w:rsid w:val="00EC25DA"/>
    <w:rsid w:val="00EC2968"/>
    <w:rsid w:val="00EC2A6D"/>
    <w:rsid w:val="00EC2EE6"/>
    <w:rsid w:val="00EC321F"/>
    <w:rsid w:val="00EC323D"/>
    <w:rsid w:val="00EC3332"/>
    <w:rsid w:val="00EC3337"/>
    <w:rsid w:val="00EC3574"/>
    <w:rsid w:val="00EC369B"/>
    <w:rsid w:val="00EC3AB8"/>
    <w:rsid w:val="00EC3C0A"/>
    <w:rsid w:val="00EC4293"/>
    <w:rsid w:val="00EC462F"/>
    <w:rsid w:val="00EC48C5"/>
    <w:rsid w:val="00EC49F1"/>
    <w:rsid w:val="00EC4BC3"/>
    <w:rsid w:val="00EC4E12"/>
    <w:rsid w:val="00EC50F8"/>
    <w:rsid w:val="00EC5E1C"/>
    <w:rsid w:val="00EC5E33"/>
    <w:rsid w:val="00EC63AC"/>
    <w:rsid w:val="00EC6482"/>
    <w:rsid w:val="00EC675B"/>
    <w:rsid w:val="00EC6777"/>
    <w:rsid w:val="00EC68FC"/>
    <w:rsid w:val="00EC69DE"/>
    <w:rsid w:val="00EC6DCD"/>
    <w:rsid w:val="00EC6E60"/>
    <w:rsid w:val="00EC70C3"/>
    <w:rsid w:val="00EC7162"/>
    <w:rsid w:val="00EC7673"/>
    <w:rsid w:val="00EC769B"/>
    <w:rsid w:val="00EC7BE6"/>
    <w:rsid w:val="00EC7BE8"/>
    <w:rsid w:val="00EC7C84"/>
    <w:rsid w:val="00EC7DBB"/>
    <w:rsid w:val="00ED00DC"/>
    <w:rsid w:val="00ED03EC"/>
    <w:rsid w:val="00ED08A7"/>
    <w:rsid w:val="00ED0AB9"/>
    <w:rsid w:val="00ED1385"/>
    <w:rsid w:val="00ED1537"/>
    <w:rsid w:val="00ED1719"/>
    <w:rsid w:val="00ED1DF4"/>
    <w:rsid w:val="00ED2341"/>
    <w:rsid w:val="00ED2500"/>
    <w:rsid w:val="00ED2811"/>
    <w:rsid w:val="00ED2A33"/>
    <w:rsid w:val="00ED3347"/>
    <w:rsid w:val="00ED35B8"/>
    <w:rsid w:val="00ED376D"/>
    <w:rsid w:val="00ED3A82"/>
    <w:rsid w:val="00ED3D95"/>
    <w:rsid w:val="00ED4117"/>
    <w:rsid w:val="00ED438B"/>
    <w:rsid w:val="00ED4828"/>
    <w:rsid w:val="00ED51CA"/>
    <w:rsid w:val="00ED59A3"/>
    <w:rsid w:val="00ED5D6F"/>
    <w:rsid w:val="00ED5E38"/>
    <w:rsid w:val="00ED5FA4"/>
    <w:rsid w:val="00ED61A1"/>
    <w:rsid w:val="00ED6266"/>
    <w:rsid w:val="00ED653F"/>
    <w:rsid w:val="00ED6A0E"/>
    <w:rsid w:val="00ED6AC9"/>
    <w:rsid w:val="00ED6B97"/>
    <w:rsid w:val="00ED6E71"/>
    <w:rsid w:val="00ED708C"/>
    <w:rsid w:val="00ED7196"/>
    <w:rsid w:val="00ED750F"/>
    <w:rsid w:val="00ED7B0F"/>
    <w:rsid w:val="00ED7B98"/>
    <w:rsid w:val="00ED7C4C"/>
    <w:rsid w:val="00EE0520"/>
    <w:rsid w:val="00EE0854"/>
    <w:rsid w:val="00EE09FC"/>
    <w:rsid w:val="00EE0CEC"/>
    <w:rsid w:val="00EE0ED9"/>
    <w:rsid w:val="00EE0EF0"/>
    <w:rsid w:val="00EE1773"/>
    <w:rsid w:val="00EE1A06"/>
    <w:rsid w:val="00EE1BA2"/>
    <w:rsid w:val="00EE1BDD"/>
    <w:rsid w:val="00EE1DBD"/>
    <w:rsid w:val="00EE1F7A"/>
    <w:rsid w:val="00EE2ED6"/>
    <w:rsid w:val="00EE32DC"/>
    <w:rsid w:val="00EE357D"/>
    <w:rsid w:val="00EE35C7"/>
    <w:rsid w:val="00EE3C07"/>
    <w:rsid w:val="00EE3E5F"/>
    <w:rsid w:val="00EE3F10"/>
    <w:rsid w:val="00EE4177"/>
    <w:rsid w:val="00EE42BC"/>
    <w:rsid w:val="00EE44F2"/>
    <w:rsid w:val="00EE4B83"/>
    <w:rsid w:val="00EE56F1"/>
    <w:rsid w:val="00EE5811"/>
    <w:rsid w:val="00EE5954"/>
    <w:rsid w:val="00EE5B20"/>
    <w:rsid w:val="00EE60BF"/>
    <w:rsid w:val="00EE6BC7"/>
    <w:rsid w:val="00EE6C32"/>
    <w:rsid w:val="00EE6C7B"/>
    <w:rsid w:val="00EE73F2"/>
    <w:rsid w:val="00EE7E38"/>
    <w:rsid w:val="00EF013A"/>
    <w:rsid w:val="00EF01CD"/>
    <w:rsid w:val="00EF066F"/>
    <w:rsid w:val="00EF0A36"/>
    <w:rsid w:val="00EF0A5D"/>
    <w:rsid w:val="00EF0EC5"/>
    <w:rsid w:val="00EF0ED6"/>
    <w:rsid w:val="00EF139F"/>
    <w:rsid w:val="00EF23A7"/>
    <w:rsid w:val="00EF2459"/>
    <w:rsid w:val="00EF2861"/>
    <w:rsid w:val="00EF2A7A"/>
    <w:rsid w:val="00EF2C47"/>
    <w:rsid w:val="00EF2DA6"/>
    <w:rsid w:val="00EF2DC9"/>
    <w:rsid w:val="00EF2E00"/>
    <w:rsid w:val="00EF2EED"/>
    <w:rsid w:val="00EF30F1"/>
    <w:rsid w:val="00EF32FD"/>
    <w:rsid w:val="00EF3443"/>
    <w:rsid w:val="00EF38E4"/>
    <w:rsid w:val="00EF397F"/>
    <w:rsid w:val="00EF41DB"/>
    <w:rsid w:val="00EF490A"/>
    <w:rsid w:val="00EF4988"/>
    <w:rsid w:val="00EF4FA8"/>
    <w:rsid w:val="00EF526A"/>
    <w:rsid w:val="00EF531E"/>
    <w:rsid w:val="00EF54D7"/>
    <w:rsid w:val="00EF5B42"/>
    <w:rsid w:val="00EF5E4D"/>
    <w:rsid w:val="00EF5F03"/>
    <w:rsid w:val="00EF618C"/>
    <w:rsid w:val="00EF61A5"/>
    <w:rsid w:val="00EF676D"/>
    <w:rsid w:val="00EF6E64"/>
    <w:rsid w:val="00EF6F8C"/>
    <w:rsid w:val="00EF70DA"/>
    <w:rsid w:val="00EF7B9E"/>
    <w:rsid w:val="00EF7D3D"/>
    <w:rsid w:val="00F00A33"/>
    <w:rsid w:val="00F00EAC"/>
    <w:rsid w:val="00F01009"/>
    <w:rsid w:val="00F0187C"/>
    <w:rsid w:val="00F01CAC"/>
    <w:rsid w:val="00F01F05"/>
    <w:rsid w:val="00F0207C"/>
    <w:rsid w:val="00F0244A"/>
    <w:rsid w:val="00F02776"/>
    <w:rsid w:val="00F02C24"/>
    <w:rsid w:val="00F032AD"/>
    <w:rsid w:val="00F0356A"/>
    <w:rsid w:val="00F037AB"/>
    <w:rsid w:val="00F038BF"/>
    <w:rsid w:val="00F04092"/>
    <w:rsid w:val="00F0436F"/>
    <w:rsid w:val="00F045A7"/>
    <w:rsid w:val="00F04BCA"/>
    <w:rsid w:val="00F04DEF"/>
    <w:rsid w:val="00F04FF7"/>
    <w:rsid w:val="00F05B38"/>
    <w:rsid w:val="00F05B72"/>
    <w:rsid w:val="00F06065"/>
    <w:rsid w:val="00F063FA"/>
    <w:rsid w:val="00F06477"/>
    <w:rsid w:val="00F06A1F"/>
    <w:rsid w:val="00F06C8D"/>
    <w:rsid w:val="00F075E0"/>
    <w:rsid w:val="00F07AAC"/>
    <w:rsid w:val="00F07B9B"/>
    <w:rsid w:val="00F101AB"/>
    <w:rsid w:val="00F10221"/>
    <w:rsid w:val="00F10822"/>
    <w:rsid w:val="00F113C9"/>
    <w:rsid w:val="00F115D2"/>
    <w:rsid w:val="00F11607"/>
    <w:rsid w:val="00F117BE"/>
    <w:rsid w:val="00F117F2"/>
    <w:rsid w:val="00F119EE"/>
    <w:rsid w:val="00F11AD0"/>
    <w:rsid w:val="00F11D9E"/>
    <w:rsid w:val="00F11FE9"/>
    <w:rsid w:val="00F128B5"/>
    <w:rsid w:val="00F12926"/>
    <w:rsid w:val="00F12C50"/>
    <w:rsid w:val="00F1330C"/>
    <w:rsid w:val="00F13411"/>
    <w:rsid w:val="00F13DE2"/>
    <w:rsid w:val="00F14207"/>
    <w:rsid w:val="00F1455F"/>
    <w:rsid w:val="00F14A75"/>
    <w:rsid w:val="00F14E22"/>
    <w:rsid w:val="00F1566A"/>
    <w:rsid w:val="00F159FE"/>
    <w:rsid w:val="00F15AFC"/>
    <w:rsid w:val="00F163A8"/>
    <w:rsid w:val="00F16E4F"/>
    <w:rsid w:val="00F16E62"/>
    <w:rsid w:val="00F17054"/>
    <w:rsid w:val="00F17057"/>
    <w:rsid w:val="00F176BB"/>
    <w:rsid w:val="00F177A4"/>
    <w:rsid w:val="00F1787F"/>
    <w:rsid w:val="00F17B67"/>
    <w:rsid w:val="00F17DE6"/>
    <w:rsid w:val="00F20156"/>
    <w:rsid w:val="00F2080C"/>
    <w:rsid w:val="00F20B42"/>
    <w:rsid w:val="00F20EAB"/>
    <w:rsid w:val="00F210C0"/>
    <w:rsid w:val="00F2117F"/>
    <w:rsid w:val="00F21181"/>
    <w:rsid w:val="00F211A5"/>
    <w:rsid w:val="00F21555"/>
    <w:rsid w:val="00F21961"/>
    <w:rsid w:val="00F21977"/>
    <w:rsid w:val="00F21FEB"/>
    <w:rsid w:val="00F221B1"/>
    <w:rsid w:val="00F2240E"/>
    <w:rsid w:val="00F226B3"/>
    <w:rsid w:val="00F22720"/>
    <w:rsid w:val="00F22793"/>
    <w:rsid w:val="00F22E87"/>
    <w:rsid w:val="00F23382"/>
    <w:rsid w:val="00F23424"/>
    <w:rsid w:val="00F23BFC"/>
    <w:rsid w:val="00F23C61"/>
    <w:rsid w:val="00F23D3C"/>
    <w:rsid w:val="00F23D8B"/>
    <w:rsid w:val="00F23E0F"/>
    <w:rsid w:val="00F24578"/>
    <w:rsid w:val="00F2487D"/>
    <w:rsid w:val="00F24A2F"/>
    <w:rsid w:val="00F24FE2"/>
    <w:rsid w:val="00F252E3"/>
    <w:rsid w:val="00F2532E"/>
    <w:rsid w:val="00F255F6"/>
    <w:rsid w:val="00F25DED"/>
    <w:rsid w:val="00F25E6B"/>
    <w:rsid w:val="00F260B3"/>
    <w:rsid w:val="00F26310"/>
    <w:rsid w:val="00F266F7"/>
    <w:rsid w:val="00F2672C"/>
    <w:rsid w:val="00F269BD"/>
    <w:rsid w:val="00F27438"/>
    <w:rsid w:val="00F275E7"/>
    <w:rsid w:val="00F27B8D"/>
    <w:rsid w:val="00F27B8E"/>
    <w:rsid w:val="00F27D5D"/>
    <w:rsid w:val="00F27F49"/>
    <w:rsid w:val="00F3003B"/>
    <w:rsid w:val="00F30040"/>
    <w:rsid w:val="00F307B1"/>
    <w:rsid w:val="00F307EF"/>
    <w:rsid w:val="00F30E9C"/>
    <w:rsid w:val="00F311F3"/>
    <w:rsid w:val="00F313CF"/>
    <w:rsid w:val="00F3155B"/>
    <w:rsid w:val="00F31633"/>
    <w:rsid w:val="00F31E25"/>
    <w:rsid w:val="00F32372"/>
    <w:rsid w:val="00F32429"/>
    <w:rsid w:val="00F3266E"/>
    <w:rsid w:val="00F32B23"/>
    <w:rsid w:val="00F33033"/>
    <w:rsid w:val="00F334BD"/>
    <w:rsid w:val="00F3372E"/>
    <w:rsid w:val="00F341E5"/>
    <w:rsid w:val="00F34495"/>
    <w:rsid w:val="00F3564E"/>
    <w:rsid w:val="00F35897"/>
    <w:rsid w:val="00F359A9"/>
    <w:rsid w:val="00F35DB4"/>
    <w:rsid w:val="00F35DBD"/>
    <w:rsid w:val="00F35EDF"/>
    <w:rsid w:val="00F35EF8"/>
    <w:rsid w:val="00F35F65"/>
    <w:rsid w:val="00F36466"/>
    <w:rsid w:val="00F3696B"/>
    <w:rsid w:val="00F36BF7"/>
    <w:rsid w:val="00F37220"/>
    <w:rsid w:val="00F37250"/>
    <w:rsid w:val="00F376FA"/>
    <w:rsid w:val="00F379B6"/>
    <w:rsid w:val="00F379FF"/>
    <w:rsid w:val="00F37AC7"/>
    <w:rsid w:val="00F40215"/>
    <w:rsid w:val="00F404FB"/>
    <w:rsid w:val="00F40516"/>
    <w:rsid w:val="00F40779"/>
    <w:rsid w:val="00F4119C"/>
    <w:rsid w:val="00F412DB"/>
    <w:rsid w:val="00F412E6"/>
    <w:rsid w:val="00F41349"/>
    <w:rsid w:val="00F413DA"/>
    <w:rsid w:val="00F419B3"/>
    <w:rsid w:val="00F41A0E"/>
    <w:rsid w:val="00F41E22"/>
    <w:rsid w:val="00F420F4"/>
    <w:rsid w:val="00F42567"/>
    <w:rsid w:val="00F42676"/>
    <w:rsid w:val="00F4281B"/>
    <w:rsid w:val="00F42CA8"/>
    <w:rsid w:val="00F42DC6"/>
    <w:rsid w:val="00F4332F"/>
    <w:rsid w:val="00F434DD"/>
    <w:rsid w:val="00F4388C"/>
    <w:rsid w:val="00F4398D"/>
    <w:rsid w:val="00F43E85"/>
    <w:rsid w:val="00F444B8"/>
    <w:rsid w:val="00F44949"/>
    <w:rsid w:val="00F44A3F"/>
    <w:rsid w:val="00F44B20"/>
    <w:rsid w:val="00F44C60"/>
    <w:rsid w:val="00F44D39"/>
    <w:rsid w:val="00F44E4F"/>
    <w:rsid w:val="00F44EED"/>
    <w:rsid w:val="00F44FDA"/>
    <w:rsid w:val="00F454CF"/>
    <w:rsid w:val="00F45C87"/>
    <w:rsid w:val="00F46371"/>
    <w:rsid w:val="00F4645D"/>
    <w:rsid w:val="00F46464"/>
    <w:rsid w:val="00F468FD"/>
    <w:rsid w:val="00F47499"/>
    <w:rsid w:val="00F47511"/>
    <w:rsid w:val="00F47B64"/>
    <w:rsid w:val="00F47C27"/>
    <w:rsid w:val="00F47E45"/>
    <w:rsid w:val="00F5016F"/>
    <w:rsid w:val="00F5018A"/>
    <w:rsid w:val="00F501F9"/>
    <w:rsid w:val="00F5049B"/>
    <w:rsid w:val="00F504E9"/>
    <w:rsid w:val="00F50554"/>
    <w:rsid w:val="00F50C6D"/>
    <w:rsid w:val="00F50FAD"/>
    <w:rsid w:val="00F5142E"/>
    <w:rsid w:val="00F51830"/>
    <w:rsid w:val="00F51E80"/>
    <w:rsid w:val="00F52094"/>
    <w:rsid w:val="00F521BD"/>
    <w:rsid w:val="00F52570"/>
    <w:rsid w:val="00F52785"/>
    <w:rsid w:val="00F52AFF"/>
    <w:rsid w:val="00F52E61"/>
    <w:rsid w:val="00F52EF4"/>
    <w:rsid w:val="00F53017"/>
    <w:rsid w:val="00F53A1E"/>
    <w:rsid w:val="00F53CFB"/>
    <w:rsid w:val="00F53D61"/>
    <w:rsid w:val="00F53DB5"/>
    <w:rsid w:val="00F53DD4"/>
    <w:rsid w:val="00F54198"/>
    <w:rsid w:val="00F5449D"/>
    <w:rsid w:val="00F54614"/>
    <w:rsid w:val="00F5470C"/>
    <w:rsid w:val="00F54A54"/>
    <w:rsid w:val="00F54DD1"/>
    <w:rsid w:val="00F54ECF"/>
    <w:rsid w:val="00F5511E"/>
    <w:rsid w:val="00F55348"/>
    <w:rsid w:val="00F55946"/>
    <w:rsid w:val="00F55A84"/>
    <w:rsid w:val="00F56059"/>
    <w:rsid w:val="00F56269"/>
    <w:rsid w:val="00F56540"/>
    <w:rsid w:val="00F5659D"/>
    <w:rsid w:val="00F5667B"/>
    <w:rsid w:val="00F56731"/>
    <w:rsid w:val="00F567A0"/>
    <w:rsid w:val="00F56DFF"/>
    <w:rsid w:val="00F57059"/>
    <w:rsid w:val="00F571F2"/>
    <w:rsid w:val="00F5772A"/>
    <w:rsid w:val="00F57848"/>
    <w:rsid w:val="00F57A1C"/>
    <w:rsid w:val="00F60031"/>
    <w:rsid w:val="00F60113"/>
    <w:rsid w:val="00F60145"/>
    <w:rsid w:val="00F60178"/>
    <w:rsid w:val="00F60213"/>
    <w:rsid w:val="00F60231"/>
    <w:rsid w:val="00F60447"/>
    <w:rsid w:val="00F60A1A"/>
    <w:rsid w:val="00F60B5A"/>
    <w:rsid w:val="00F60D87"/>
    <w:rsid w:val="00F6101A"/>
    <w:rsid w:val="00F61150"/>
    <w:rsid w:val="00F6138B"/>
    <w:rsid w:val="00F61784"/>
    <w:rsid w:val="00F6195B"/>
    <w:rsid w:val="00F61B84"/>
    <w:rsid w:val="00F61EA0"/>
    <w:rsid w:val="00F61EB2"/>
    <w:rsid w:val="00F6294E"/>
    <w:rsid w:val="00F62C4F"/>
    <w:rsid w:val="00F62ECD"/>
    <w:rsid w:val="00F62EE1"/>
    <w:rsid w:val="00F6322F"/>
    <w:rsid w:val="00F6360C"/>
    <w:rsid w:val="00F63AB9"/>
    <w:rsid w:val="00F63B78"/>
    <w:rsid w:val="00F63D0B"/>
    <w:rsid w:val="00F63FB4"/>
    <w:rsid w:val="00F644BC"/>
    <w:rsid w:val="00F645ED"/>
    <w:rsid w:val="00F6462F"/>
    <w:rsid w:val="00F6486A"/>
    <w:rsid w:val="00F64A65"/>
    <w:rsid w:val="00F64B82"/>
    <w:rsid w:val="00F6510A"/>
    <w:rsid w:val="00F652DF"/>
    <w:rsid w:val="00F6567C"/>
    <w:rsid w:val="00F656D4"/>
    <w:rsid w:val="00F65D62"/>
    <w:rsid w:val="00F66074"/>
    <w:rsid w:val="00F664C3"/>
    <w:rsid w:val="00F6664B"/>
    <w:rsid w:val="00F6675A"/>
    <w:rsid w:val="00F6701C"/>
    <w:rsid w:val="00F67065"/>
    <w:rsid w:val="00F673F4"/>
    <w:rsid w:val="00F67490"/>
    <w:rsid w:val="00F67857"/>
    <w:rsid w:val="00F67C32"/>
    <w:rsid w:val="00F67C50"/>
    <w:rsid w:val="00F67C6C"/>
    <w:rsid w:val="00F67D54"/>
    <w:rsid w:val="00F7008E"/>
    <w:rsid w:val="00F7026E"/>
    <w:rsid w:val="00F70888"/>
    <w:rsid w:val="00F7099F"/>
    <w:rsid w:val="00F709A2"/>
    <w:rsid w:val="00F70B26"/>
    <w:rsid w:val="00F70B39"/>
    <w:rsid w:val="00F70CF6"/>
    <w:rsid w:val="00F70F0B"/>
    <w:rsid w:val="00F70F55"/>
    <w:rsid w:val="00F71323"/>
    <w:rsid w:val="00F71389"/>
    <w:rsid w:val="00F714EE"/>
    <w:rsid w:val="00F71771"/>
    <w:rsid w:val="00F722D9"/>
    <w:rsid w:val="00F728F6"/>
    <w:rsid w:val="00F73231"/>
    <w:rsid w:val="00F7343D"/>
    <w:rsid w:val="00F73476"/>
    <w:rsid w:val="00F7378C"/>
    <w:rsid w:val="00F7383F"/>
    <w:rsid w:val="00F73AE3"/>
    <w:rsid w:val="00F73D66"/>
    <w:rsid w:val="00F73F35"/>
    <w:rsid w:val="00F73FD7"/>
    <w:rsid w:val="00F74291"/>
    <w:rsid w:val="00F74372"/>
    <w:rsid w:val="00F74391"/>
    <w:rsid w:val="00F747A2"/>
    <w:rsid w:val="00F74B37"/>
    <w:rsid w:val="00F74BBA"/>
    <w:rsid w:val="00F756EF"/>
    <w:rsid w:val="00F75894"/>
    <w:rsid w:val="00F759BB"/>
    <w:rsid w:val="00F759CF"/>
    <w:rsid w:val="00F75C56"/>
    <w:rsid w:val="00F75D72"/>
    <w:rsid w:val="00F7600B"/>
    <w:rsid w:val="00F760DA"/>
    <w:rsid w:val="00F760E6"/>
    <w:rsid w:val="00F7612A"/>
    <w:rsid w:val="00F767D3"/>
    <w:rsid w:val="00F76AEF"/>
    <w:rsid w:val="00F76D1D"/>
    <w:rsid w:val="00F77026"/>
    <w:rsid w:val="00F771C4"/>
    <w:rsid w:val="00F773AC"/>
    <w:rsid w:val="00F77CC6"/>
    <w:rsid w:val="00F80321"/>
    <w:rsid w:val="00F80506"/>
    <w:rsid w:val="00F80D37"/>
    <w:rsid w:val="00F80D7B"/>
    <w:rsid w:val="00F81650"/>
    <w:rsid w:val="00F818EB"/>
    <w:rsid w:val="00F81B23"/>
    <w:rsid w:val="00F82113"/>
    <w:rsid w:val="00F827DE"/>
    <w:rsid w:val="00F8285E"/>
    <w:rsid w:val="00F829B1"/>
    <w:rsid w:val="00F82A77"/>
    <w:rsid w:val="00F82AEA"/>
    <w:rsid w:val="00F82B1C"/>
    <w:rsid w:val="00F82B69"/>
    <w:rsid w:val="00F82CF4"/>
    <w:rsid w:val="00F834BD"/>
    <w:rsid w:val="00F83AD7"/>
    <w:rsid w:val="00F83C93"/>
    <w:rsid w:val="00F840B2"/>
    <w:rsid w:val="00F841B3"/>
    <w:rsid w:val="00F845B0"/>
    <w:rsid w:val="00F848C3"/>
    <w:rsid w:val="00F84C6F"/>
    <w:rsid w:val="00F84D5D"/>
    <w:rsid w:val="00F84F4E"/>
    <w:rsid w:val="00F84F59"/>
    <w:rsid w:val="00F850FA"/>
    <w:rsid w:val="00F85279"/>
    <w:rsid w:val="00F85312"/>
    <w:rsid w:val="00F855F0"/>
    <w:rsid w:val="00F85782"/>
    <w:rsid w:val="00F85EDD"/>
    <w:rsid w:val="00F85F37"/>
    <w:rsid w:val="00F86360"/>
    <w:rsid w:val="00F8637D"/>
    <w:rsid w:val="00F86A78"/>
    <w:rsid w:val="00F86C5D"/>
    <w:rsid w:val="00F86C64"/>
    <w:rsid w:val="00F86D47"/>
    <w:rsid w:val="00F86ED7"/>
    <w:rsid w:val="00F86EEE"/>
    <w:rsid w:val="00F871D5"/>
    <w:rsid w:val="00F8740B"/>
    <w:rsid w:val="00F874D6"/>
    <w:rsid w:val="00F875DD"/>
    <w:rsid w:val="00F8770D"/>
    <w:rsid w:val="00F87884"/>
    <w:rsid w:val="00F879C9"/>
    <w:rsid w:val="00F87CB5"/>
    <w:rsid w:val="00F87D6E"/>
    <w:rsid w:val="00F87EC3"/>
    <w:rsid w:val="00F900B6"/>
    <w:rsid w:val="00F900EF"/>
    <w:rsid w:val="00F90350"/>
    <w:rsid w:val="00F90561"/>
    <w:rsid w:val="00F9071A"/>
    <w:rsid w:val="00F9073B"/>
    <w:rsid w:val="00F907FA"/>
    <w:rsid w:val="00F90935"/>
    <w:rsid w:val="00F9097A"/>
    <w:rsid w:val="00F90BFE"/>
    <w:rsid w:val="00F91363"/>
    <w:rsid w:val="00F916CF"/>
    <w:rsid w:val="00F919B7"/>
    <w:rsid w:val="00F91ACF"/>
    <w:rsid w:val="00F91D51"/>
    <w:rsid w:val="00F920E4"/>
    <w:rsid w:val="00F922D8"/>
    <w:rsid w:val="00F92534"/>
    <w:rsid w:val="00F92573"/>
    <w:rsid w:val="00F928D3"/>
    <w:rsid w:val="00F92C3A"/>
    <w:rsid w:val="00F92CBE"/>
    <w:rsid w:val="00F93026"/>
    <w:rsid w:val="00F93103"/>
    <w:rsid w:val="00F93306"/>
    <w:rsid w:val="00F934A2"/>
    <w:rsid w:val="00F93A87"/>
    <w:rsid w:val="00F93D16"/>
    <w:rsid w:val="00F93DCC"/>
    <w:rsid w:val="00F94324"/>
    <w:rsid w:val="00F94A5B"/>
    <w:rsid w:val="00F94C05"/>
    <w:rsid w:val="00F94FA2"/>
    <w:rsid w:val="00F95490"/>
    <w:rsid w:val="00F95A6A"/>
    <w:rsid w:val="00F971B7"/>
    <w:rsid w:val="00F97383"/>
    <w:rsid w:val="00F97711"/>
    <w:rsid w:val="00F97877"/>
    <w:rsid w:val="00F97B50"/>
    <w:rsid w:val="00F97C5F"/>
    <w:rsid w:val="00F97C66"/>
    <w:rsid w:val="00F97DCB"/>
    <w:rsid w:val="00F97F70"/>
    <w:rsid w:val="00FA02ED"/>
    <w:rsid w:val="00FA0896"/>
    <w:rsid w:val="00FA0916"/>
    <w:rsid w:val="00FA0C4A"/>
    <w:rsid w:val="00FA0DD0"/>
    <w:rsid w:val="00FA0E18"/>
    <w:rsid w:val="00FA121A"/>
    <w:rsid w:val="00FA1D78"/>
    <w:rsid w:val="00FA2693"/>
    <w:rsid w:val="00FA2732"/>
    <w:rsid w:val="00FA286D"/>
    <w:rsid w:val="00FA28FD"/>
    <w:rsid w:val="00FA2B89"/>
    <w:rsid w:val="00FA2F5F"/>
    <w:rsid w:val="00FA3060"/>
    <w:rsid w:val="00FA3401"/>
    <w:rsid w:val="00FA377B"/>
    <w:rsid w:val="00FA43F0"/>
    <w:rsid w:val="00FA441E"/>
    <w:rsid w:val="00FA4461"/>
    <w:rsid w:val="00FA45FD"/>
    <w:rsid w:val="00FA4C1F"/>
    <w:rsid w:val="00FA4C80"/>
    <w:rsid w:val="00FA4D50"/>
    <w:rsid w:val="00FA4F88"/>
    <w:rsid w:val="00FA5088"/>
    <w:rsid w:val="00FA510D"/>
    <w:rsid w:val="00FA52E9"/>
    <w:rsid w:val="00FA5306"/>
    <w:rsid w:val="00FA5534"/>
    <w:rsid w:val="00FA55B9"/>
    <w:rsid w:val="00FA5760"/>
    <w:rsid w:val="00FA5AA1"/>
    <w:rsid w:val="00FA621E"/>
    <w:rsid w:val="00FA6356"/>
    <w:rsid w:val="00FA6516"/>
    <w:rsid w:val="00FA6626"/>
    <w:rsid w:val="00FA6B27"/>
    <w:rsid w:val="00FA703E"/>
    <w:rsid w:val="00FA714D"/>
    <w:rsid w:val="00FA73F7"/>
    <w:rsid w:val="00FA753B"/>
    <w:rsid w:val="00FA7AF9"/>
    <w:rsid w:val="00FA7B2E"/>
    <w:rsid w:val="00FA7CAB"/>
    <w:rsid w:val="00FA7DFC"/>
    <w:rsid w:val="00FA7F41"/>
    <w:rsid w:val="00FB0556"/>
    <w:rsid w:val="00FB05C7"/>
    <w:rsid w:val="00FB0B18"/>
    <w:rsid w:val="00FB0C0A"/>
    <w:rsid w:val="00FB0EA7"/>
    <w:rsid w:val="00FB0F09"/>
    <w:rsid w:val="00FB0FAE"/>
    <w:rsid w:val="00FB103B"/>
    <w:rsid w:val="00FB11CB"/>
    <w:rsid w:val="00FB1226"/>
    <w:rsid w:val="00FB12F8"/>
    <w:rsid w:val="00FB158A"/>
    <w:rsid w:val="00FB1985"/>
    <w:rsid w:val="00FB19EF"/>
    <w:rsid w:val="00FB1C98"/>
    <w:rsid w:val="00FB1FBB"/>
    <w:rsid w:val="00FB2105"/>
    <w:rsid w:val="00FB21B9"/>
    <w:rsid w:val="00FB22D6"/>
    <w:rsid w:val="00FB24F2"/>
    <w:rsid w:val="00FB2779"/>
    <w:rsid w:val="00FB2D6C"/>
    <w:rsid w:val="00FB2D7D"/>
    <w:rsid w:val="00FB2FB7"/>
    <w:rsid w:val="00FB3310"/>
    <w:rsid w:val="00FB33FF"/>
    <w:rsid w:val="00FB357A"/>
    <w:rsid w:val="00FB3723"/>
    <w:rsid w:val="00FB3F88"/>
    <w:rsid w:val="00FB416D"/>
    <w:rsid w:val="00FB42A1"/>
    <w:rsid w:val="00FB42D8"/>
    <w:rsid w:val="00FB4655"/>
    <w:rsid w:val="00FB48BC"/>
    <w:rsid w:val="00FB4ADD"/>
    <w:rsid w:val="00FB4C1B"/>
    <w:rsid w:val="00FB4C45"/>
    <w:rsid w:val="00FB4F37"/>
    <w:rsid w:val="00FB58B4"/>
    <w:rsid w:val="00FB59BB"/>
    <w:rsid w:val="00FB5A8B"/>
    <w:rsid w:val="00FB5CF5"/>
    <w:rsid w:val="00FB602B"/>
    <w:rsid w:val="00FB6510"/>
    <w:rsid w:val="00FB65CE"/>
    <w:rsid w:val="00FB6690"/>
    <w:rsid w:val="00FB6721"/>
    <w:rsid w:val="00FB6AA1"/>
    <w:rsid w:val="00FB6B74"/>
    <w:rsid w:val="00FB70E3"/>
    <w:rsid w:val="00FB739D"/>
    <w:rsid w:val="00FB75FF"/>
    <w:rsid w:val="00FB77E6"/>
    <w:rsid w:val="00FB78CA"/>
    <w:rsid w:val="00FB7910"/>
    <w:rsid w:val="00FB79CF"/>
    <w:rsid w:val="00FC01C6"/>
    <w:rsid w:val="00FC01E0"/>
    <w:rsid w:val="00FC02E1"/>
    <w:rsid w:val="00FC02FE"/>
    <w:rsid w:val="00FC0513"/>
    <w:rsid w:val="00FC0A1A"/>
    <w:rsid w:val="00FC0AAF"/>
    <w:rsid w:val="00FC0F20"/>
    <w:rsid w:val="00FC0F28"/>
    <w:rsid w:val="00FC12AE"/>
    <w:rsid w:val="00FC1453"/>
    <w:rsid w:val="00FC16A4"/>
    <w:rsid w:val="00FC1CC0"/>
    <w:rsid w:val="00FC2648"/>
    <w:rsid w:val="00FC26D3"/>
    <w:rsid w:val="00FC2971"/>
    <w:rsid w:val="00FC2B53"/>
    <w:rsid w:val="00FC2BF0"/>
    <w:rsid w:val="00FC2D08"/>
    <w:rsid w:val="00FC300F"/>
    <w:rsid w:val="00FC3202"/>
    <w:rsid w:val="00FC3250"/>
    <w:rsid w:val="00FC3724"/>
    <w:rsid w:val="00FC3975"/>
    <w:rsid w:val="00FC3E2D"/>
    <w:rsid w:val="00FC4283"/>
    <w:rsid w:val="00FC47A7"/>
    <w:rsid w:val="00FC48B6"/>
    <w:rsid w:val="00FC4D13"/>
    <w:rsid w:val="00FC4E36"/>
    <w:rsid w:val="00FC4E80"/>
    <w:rsid w:val="00FC500F"/>
    <w:rsid w:val="00FC50BC"/>
    <w:rsid w:val="00FC591A"/>
    <w:rsid w:val="00FC5A83"/>
    <w:rsid w:val="00FC5D6E"/>
    <w:rsid w:val="00FC6129"/>
    <w:rsid w:val="00FC69A6"/>
    <w:rsid w:val="00FC6A06"/>
    <w:rsid w:val="00FC6ACE"/>
    <w:rsid w:val="00FC6B0B"/>
    <w:rsid w:val="00FC6BCC"/>
    <w:rsid w:val="00FC6C9E"/>
    <w:rsid w:val="00FC6FA5"/>
    <w:rsid w:val="00FC7144"/>
    <w:rsid w:val="00FC714D"/>
    <w:rsid w:val="00FC7167"/>
    <w:rsid w:val="00FC72EB"/>
    <w:rsid w:val="00FC766B"/>
    <w:rsid w:val="00FC79B0"/>
    <w:rsid w:val="00FC7C04"/>
    <w:rsid w:val="00FD066B"/>
    <w:rsid w:val="00FD0C46"/>
    <w:rsid w:val="00FD1A97"/>
    <w:rsid w:val="00FD1C22"/>
    <w:rsid w:val="00FD1E17"/>
    <w:rsid w:val="00FD1FCA"/>
    <w:rsid w:val="00FD26D2"/>
    <w:rsid w:val="00FD2935"/>
    <w:rsid w:val="00FD2E5D"/>
    <w:rsid w:val="00FD31CE"/>
    <w:rsid w:val="00FD3249"/>
    <w:rsid w:val="00FD33B3"/>
    <w:rsid w:val="00FD3708"/>
    <w:rsid w:val="00FD380F"/>
    <w:rsid w:val="00FD3B1F"/>
    <w:rsid w:val="00FD3B2C"/>
    <w:rsid w:val="00FD3C96"/>
    <w:rsid w:val="00FD3D32"/>
    <w:rsid w:val="00FD3D55"/>
    <w:rsid w:val="00FD415C"/>
    <w:rsid w:val="00FD44B6"/>
    <w:rsid w:val="00FD45DD"/>
    <w:rsid w:val="00FD4ACD"/>
    <w:rsid w:val="00FD4BC5"/>
    <w:rsid w:val="00FD4C65"/>
    <w:rsid w:val="00FD4F16"/>
    <w:rsid w:val="00FD4FA3"/>
    <w:rsid w:val="00FD521F"/>
    <w:rsid w:val="00FD532A"/>
    <w:rsid w:val="00FD5488"/>
    <w:rsid w:val="00FD56DF"/>
    <w:rsid w:val="00FD5D5D"/>
    <w:rsid w:val="00FD5DF0"/>
    <w:rsid w:val="00FD618F"/>
    <w:rsid w:val="00FD6C25"/>
    <w:rsid w:val="00FD6C27"/>
    <w:rsid w:val="00FD6CC1"/>
    <w:rsid w:val="00FD6CCB"/>
    <w:rsid w:val="00FD6DF5"/>
    <w:rsid w:val="00FD6E4E"/>
    <w:rsid w:val="00FD710C"/>
    <w:rsid w:val="00FD7383"/>
    <w:rsid w:val="00FD76C9"/>
    <w:rsid w:val="00FD79F1"/>
    <w:rsid w:val="00FD7D1C"/>
    <w:rsid w:val="00FE0650"/>
    <w:rsid w:val="00FE06DA"/>
    <w:rsid w:val="00FE092A"/>
    <w:rsid w:val="00FE0A08"/>
    <w:rsid w:val="00FE0ACA"/>
    <w:rsid w:val="00FE0E2B"/>
    <w:rsid w:val="00FE1015"/>
    <w:rsid w:val="00FE12B8"/>
    <w:rsid w:val="00FE12F8"/>
    <w:rsid w:val="00FE1398"/>
    <w:rsid w:val="00FE1ABF"/>
    <w:rsid w:val="00FE1AC3"/>
    <w:rsid w:val="00FE22ED"/>
    <w:rsid w:val="00FE233B"/>
    <w:rsid w:val="00FE2C52"/>
    <w:rsid w:val="00FE2FCD"/>
    <w:rsid w:val="00FE3036"/>
    <w:rsid w:val="00FE30BA"/>
    <w:rsid w:val="00FE3518"/>
    <w:rsid w:val="00FE39E4"/>
    <w:rsid w:val="00FE4082"/>
    <w:rsid w:val="00FE41E4"/>
    <w:rsid w:val="00FE43D8"/>
    <w:rsid w:val="00FE49A5"/>
    <w:rsid w:val="00FE4E87"/>
    <w:rsid w:val="00FE4F56"/>
    <w:rsid w:val="00FE4FBC"/>
    <w:rsid w:val="00FE4FCF"/>
    <w:rsid w:val="00FE525F"/>
    <w:rsid w:val="00FE543B"/>
    <w:rsid w:val="00FE5663"/>
    <w:rsid w:val="00FE5776"/>
    <w:rsid w:val="00FE5A04"/>
    <w:rsid w:val="00FE6265"/>
    <w:rsid w:val="00FE643A"/>
    <w:rsid w:val="00FE64E1"/>
    <w:rsid w:val="00FE723B"/>
    <w:rsid w:val="00FE74CE"/>
    <w:rsid w:val="00FE75E0"/>
    <w:rsid w:val="00FE76D9"/>
    <w:rsid w:val="00FE7826"/>
    <w:rsid w:val="00FE789E"/>
    <w:rsid w:val="00FE7908"/>
    <w:rsid w:val="00FE7976"/>
    <w:rsid w:val="00FE7E45"/>
    <w:rsid w:val="00FF04B2"/>
    <w:rsid w:val="00FF060E"/>
    <w:rsid w:val="00FF0649"/>
    <w:rsid w:val="00FF0AB7"/>
    <w:rsid w:val="00FF0EDD"/>
    <w:rsid w:val="00FF108C"/>
    <w:rsid w:val="00FF10E5"/>
    <w:rsid w:val="00FF1262"/>
    <w:rsid w:val="00FF133C"/>
    <w:rsid w:val="00FF19AE"/>
    <w:rsid w:val="00FF1D58"/>
    <w:rsid w:val="00FF2101"/>
    <w:rsid w:val="00FF247E"/>
    <w:rsid w:val="00FF24CC"/>
    <w:rsid w:val="00FF2E12"/>
    <w:rsid w:val="00FF328C"/>
    <w:rsid w:val="00FF3451"/>
    <w:rsid w:val="00FF426C"/>
    <w:rsid w:val="00FF43FA"/>
    <w:rsid w:val="00FF4ABD"/>
    <w:rsid w:val="00FF4C5B"/>
    <w:rsid w:val="00FF4E63"/>
    <w:rsid w:val="00FF4FBC"/>
    <w:rsid w:val="00FF5614"/>
    <w:rsid w:val="00FF565F"/>
    <w:rsid w:val="00FF5B4E"/>
    <w:rsid w:val="00FF5DB1"/>
    <w:rsid w:val="00FF6013"/>
    <w:rsid w:val="00FF6561"/>
    <w:rsid w:val="00FF6B6C"/>
    <w:rsid w:val="00FF6D3B"/>
    <w:rsid w:val="00FF6FDC"/>
    <w:rsid w:val="00FF75AC"/>
    <w:rsid w:val="00FF7804"/>
    <w:rsid w:val="00FF7EE2"/>
    <w:rsid w:val="012AE75C"/>
    <w:rsid w:val="013BBB9E"/>
    <w:rsid w:val="014D86D7"/>
    <w:rsid w:val="0152C672"/>
    <w:rsid w:val="015E93B9"/>
    <w:rsid w:val="0184E6B5"/>
    <w:rsid w:val="01E2035D"/>
    <w:rsid w:val="020E465C"/>
    <w:rsid w:val="020F169D"/>
    <w:rsid w:val="022EB1F0"/>
    <w:rsid w:val="02523C5F"/>
    <w:rsid w:val="0278888C"/>
    <w:rsid w:val="02788AE4"/>
    <w:rsid w:val="02939C9C"/>
    <w:rsid w:val="0295D893"/>
    <w:rsid w:val="02A1F2BC"/>
    <w:rsid w:val="02CA1FDD"/>
    <w:rsid w:val="02CABDC5"/>
    <w:rsid w:val="02F8A58E"/>
    <w:rsid w:val="02FC4E1E"/>
    <w:rsid w:val="030D8AF9"/>
    <w:rsid w:val="03111A75"/>
    <w:rsid w:val="0314579E"/>
    <w:rsid w:val="031622AD"/>
    <w:rsid w:val="03186E48"/>
    <w:rsid w:val="0323E24F"/>
    <w:rsid w:val="032D901B"/>
    <w:rsid w:val="03669922"/>
    <w:rsid w:val="03731C5D"/>
    <w:rsid w:val="039DA3E3"/>
    <w:rsid w:val="039EDE0A"/>
    <w:rsid w:val="03DA592F"/>
    <w:rsid w:val="040D6DFE"/>
    <w:rsid w:val="0417E4AB"/>
    <w:rsid w:val="04204D28"/>
    <w:rsid w:val="0421E1FF"/>
    <w:rsid w:val="0425E248"/>
    <w:rsid w:val="043339DF"/>
    <w:rsid w:val="0443B2D0"/>
    <w:rsid w:val="044E42F4"/>
    <w:rsid w:val="0468C4D8"/>
    <w:rsid w:val="0477731F"/>
    <w:rsid w:val="049C3828"/>
    <w:rsid w:val="04A99561"/>
    <w:rsid w:val="04BB2D6A"/>
    <w:rsid w:val="04E44C5D"/>
    <w:rsid w:val="04E6073C"/>
    <w:rsid w:val="04EA661C"/>
    <w:rsid w:val="050E8FC2"/>
    <w:rsid w:val="0529EB5D"/>
    <w:rsid w:val="053599F1"/>
    <w:rsid w:val="054906C7"/>
    <w:rsid w:val="0565D55D"/>
    <w:rsid w:val="05685A40"/>
    <w:rsid w:val="0585B33E"/>
    <w:rsid w:val="058EEAFE"/>
    <w:rsid w:val="05963931"/>
    <w:rsid w:val="059DF39E"/>
    <w:rsid w:val="05AAC7D1"/>
    <w:rsid w:val="05BAD30B"/>
    <w:rsid w:val="05C47499"/>
    <w:rsid w:val="05CD2ADD"/>
    <w:rsid w:val="05DBF2E4"/>
    <w:rsid w:val="05E4032E"/>
    <w:rsid w:val="0617436A"/>
    <w:rsid w:val="06289D12"/>
    <w:rsid w:val="062DF726"/>
    <w:rsid w:val="06353FF4"/>
    <w:rsid w:val="0638BB48"/>
    <w:rsid w:val="063B6814"/>
    <w:rsid w:val="0644641F"/>
    <w:rsid w:val="0648A5E7"/>
    <w:rsid w:val="065B2A85"/>
    <w:rsid w:val="06680A0A"/>
    <w:rsid w:val="066CB3CA"/>
    <w:rsid w:val="06870CDE"/>
    <w:rsid w:val="0687FC8D"/>
    <w:rsid w:val="069356FE"/>
    <w:rsid w:val="0695B299"/>
    <w:rsid w:val="069CEDB1"/>
    <w:rsid w:val="06A4190E"/>
    <w:rsid w:val="06D9CD1B"/>
    <w:rsid w:val="06DB7D27"/>
    <w:rsid w:val="06E75759"/>
    <w:rsid w:val="07031A1E"/>
    <w:rsid w:val="0712089B"/>
    <w:rsid w:val="073612FD"/>
    <w:rsid w:val="073C5F17"/>
    <w:rsid w:val="07446FB4"/>
    <w:rsid w:val="074976AE"/>
    <w:rsid w:val="07576D5E"/>
    <w:rsid w:val="0774E1F6"/>
    <w:rsid w:val="07832DA8"/>
    <w:rsid w:val="0800F88E"/>
    <w:rsid w:val="082DBCED"/>
    <w:rsid w:val="085CF777"/>
    <w:rsid w:val="085D5BBE"/>
    <w:rsid w:val="08631807"/>
    <w:rsid w:val="086C59A0"/>
    <w:rsid w:val="088558F0"/>
    <w:rsid w:val="08A16DAE"/>
    <w:rsid w:val="08B5272C"/>
    <w:rsid w:val="08C0C9EC"/>
    <w:rsid w:val="08D16426"/>
    <w:rsid w:val="08D36189"/>
    <w:rsid w:val="08EAA08F"/>
    <w:rsid w:val="08FD48EC"/>
    <w:rsid w:val="0902E61B"/>
    <w:rsid w:val="0909C4BE"/>
    <w:rsid w:val="090AB6EF"/>
    <w:rsid w:val="0932C7C0"/>
    <w:rsid w:val="09506945"/>
    <w:rsid w:val="09790804"/>
    <w:rsid w:val="0997E607"/>
    <w:rsid w:val="099993C8"/>
    <w:rsid w:val="09A93027"/>
    <w:rsid w:val="09D8CA2C"/>
    <w:rsid w:val="09E5E008"/>
    <w:rsid w:val="0A00D70D"/>
    <w:rsid w:val="0A040388"/>
    <w:rsid w:val="0A0F9D9D"/>
    <w:rsid w:val="0A174399"/>
    <w:rsid w:val="0A2D907D"/>
    <w:rsid w:val="0A33B1CA"/>
    <w:rsid w:val="0A47A25F"/>
    <w:rsid w:val="0A4DF7BA"/>
    <w:rsid w:val="0A5B3D74"/>
    <w:rsid w:val="0A606996"/>
    <w:rsid w:val="0A67772B"/>
    <w:rsid w:val="0A6E51B3"/>
    <w:rsid w:val="0A72BAF9"/>
    <w:rsid w:val="0A747899"/>
    <w:rsid w:val="0A7A5EC3"/>
    <w:rsid w:val="0AC7F395"/>
    <w:rsid w:val="0ACAD008"/>
    <w:rsid w:val="0AD90543"/>
    <w:rsid w:val="0AE67C30"/>
    <w:rsid w:val="0AFFD1FC"/>
    <w:rsid w:val="0B238144"/>
    <w:rsid w:val="0B29CB18"/>
    <w:rsid w:val="0B41831E"/>
    <w:rsid w:val="0B4C789C"/>
    <w:rsid w:val="0B5EE5E3"/>
    <w:rsid w:val="0BB59894"/>
    <w:rsid w:val="0BBE933D"/>
    <w:rsid w:val="0BC27515"/>
    <w:rsid w:val="0BC691DF"/>
    <w:rsid w:val="0BD1C333"/>
    <w:rsid w:val="0BD6E6FB"/>
    <w:rsid w:val="0BD7057E"/>
    <w:rsid w:val="0BF60768"/>
    <w:rsid w:val="0C01FE87"/>
    <w:rsid w:val="0C1D169A"/>
    <w:rsid w:val="0C210F08"/>
    <w:rsid w:val="0C25DD1C"/>
    <w:rsid w:val="0C3E3609"/>
    <w:rsid w:val="0C4912BD"/>
    <w:rsid w:val="0C4EAE73"/>
    <w:rsid w:val="0C62AE5E"/>
    <w:rsid w:val="0C69BBF7"/>
    <w:rsid w:val="0C87CD70"/>
    <w:rsid w:val="0CA1EF97"/>
    <w:rsid w:val="0CACE2CA"/>
    <w:rsid w:val="0CC17D2D"/>
    <w:rsid w:val="0CC4D638"/>
    <w:rsid w:val="0CD82BB7"/>
    <w:rsid w:val="0CEA3755"/>
    <w:rsid w:val="0D31BA69"/>
    <w:rsid w:val="0D3FE559"/>
    <w:rsid w:val="0D467FDB"/>
    <w:rsid w:val="0D592592"/>
    <w:rsid w:val="0D7CB0DB"/>
    <w:rsid w:val="0DA4F205"/>
    <w:rsid w:val="0DD45447"/>
    <w:rsid w:val="0E101463"/>
    <w:rsid w:val="0E128B91"/>
    <w:rsid w:val="0E12E16B"/>
    <w:rsid w:val="0E401151"/>
    <w:rsid w:val="0E4533B9"/>
    <w:rsid w:val="0E7E2D8C"/>
    <w:rsid w:val="0E7FFF90"/>
    <w:rsid w:val="0E83F48E"/>
    <w:rsid w:val="0E8C5B5F"/>
    <w:rsid w:val="0EC1B8ED"/>
    <w:rsid w:val="0EC6A520"/>
    <w:rsid w:val="0ED347B6"/>
    <w:rsid w:val="0ED710DE"/>
    <w:rsid w:val="0EE2DD73"/>
    <w:rsid w:val="0EEFC7B8"/>
    <w:rsid w:val="0EFF79C8"/>
    <w:rsid w:val="0F161DD8"/>
    <w:rsid w:val="0F252D9E"/>
    <w:rsid w:val="0F2A23F9"/>
    <w:rsid w:val="0F333FA0"/>
    <w:rsid w:val="0F4D8632"/>
    <w:rsid w:val="0F67BB56"/>
    <w:rsid w:val="0F993150"/>
    <w:rsid w:val="0FAE9AFE"/>
    <w:rsid w:val="0FBA88C6"/>
    <w:rsid w:val="0FCBF437"/>
    <w:rsid w:val="0FE6413D"/>
    <w:rsid w:val="0FEC64AD"/>
    <w:rsid w:val="103516B8"/>
    <w:rsid w:val="103A7E5F"/>
    <w:rsid w:val="10561F94"/>
    <w:rsid w:val="1084E497"/>
    <w:rsid w:val="1096557F"/>
    <w:rsid w:val="10A763A8"/>
    <w:rsid w:val="10AF348B"/>
    <w:rsid w:val="10AF6D17"/>
    <w:rsid w:val="10B37164"/>
    <w:rsid w:val="10B57248"/>
    <w:rsid w:val="10D72CA2"/>
    <w:rsid w:val="11264C9F"/>
    <w:rsid w:val="115BF8AA"/>
    <w:rsid w:val="115F4D4D"/>
    <w:rsid w:val="1165E537"/>
    <w:rsid w:val="1170026E"/>
    <w:rsid w:val="11A5E51B"/>
    <w:rsid w:val="11ADD88C"/>
    <w:rsid w:val="11AE2D6D"/>
    <w:rsid w:val="11C887AF"/>
    <w:rsid w:val="11DD7B94"/>
    <w:rsid w:val="11F95D70"/>
    <w:rsid w:val="11F99172"/>
    <w:rsid w:val="1200BD82"/>
    <w:rsid w:val="120F8D61"/>
    <w:rsid w:val="1229FEC1"/>
    <w:rsid w:val="1231A006"/>
    <w:rsid w:val="123BE5E6"/>
    <w:rsid w:val="124E2B2A"/>
    <w:rsid w:val="125AC9A1"/>
    <w:rsid w:val="125AE022"/>
    <w:rsid w:val="12629B4E"/>
    <w:rsid w:val="12788134"/>
    <w:rsid w:val="1281D1F9"/>
    <w:rsid w:val="1294A1D2"/>
    <w:rsid w:val="12C625D8"/>
    <w:rsid w:val="12D5640E"/>
    <w:rsid w:val="12D82A44"/>
    <w:rsid w:val="1326E475"/>
    <w:rsid w:val="137301DA"/>
    <w:rsid w:val="1374FD82"/>
    <w:rsid w:val="137AF908"/>
    <w:rsid w:val="13831C42"/>
    <w:rsid w:val="138A2B11"/>
    <w:rsid w:val="139BC60F"/>
    <w:rsid w:val="13B78404"/>
    <w:rsid w:val="13BCAF86"/>
    <w:rsid w:val="13C8AE0C"/>
    <w:rsid w:val="13DD800D"/>
    <w:rsid w:val="13E6B3BA"/>
    <w:rsid w:val="13F9CCF2"/>
    <w:rsid w:val="13FAA153"/>
    <w:rsid w:val="1408D90C"/>
    <w:rsid w:val="142B5707"/>
    <w:rsid w:val="1453A521"/>
    <w:rsid w:val="14631939"/>
    <w:rsid w:val="147A0A91"/>
    <w:rsid w:val="1499F682"/>
    <w:rsid w:val="14A9F649"/>
    <w:rsid w:val="14AD681A"/>
    <w:rsid w:val="14CC8B1E"/>
    <w:rsid w:val="14CE3980"/>
    <w:rsid w:val="14F4EC8A"/>
    <w:rsid w:val="14FCD21B"/>
    <w:rsid w:val="150118E7"/>
    <w:rsid w:val="1506689F"/>
    <w:rsid w:val="1512C2FB"/>
    <w:rsid w:val="15258230"/>
    <w:rsid w:val="152865B8"/>
    <w:rsid w:val="1543D1CB"/>
    <w:rsid w:val="15466749"/>
    <w:rsid w:val="1548BED3"/>
    <w:rsid w:val="155CCDD8"/>
    <w:rsid w:val="156DF0BE"/>
    <w:rsid w:val="159EBE24"/>
    <w:rsid w:val="159F4E40"/>
    <w:rsid w:val="15BB6F33"/>
    <w:rsid w:val="15D01998"/>
    <w:rsid w:val="15D27D02"/>
    <w:rsid w:val="15F0B9E2"/>
    <w:rsid w:val="15FEB2BA"/>
    <w:rsid w:val="1612FECC"/>
    <w:rsid w:val="1618DB8B"/>
    <w:rsid w:val="16360EE3"/>
    <w:rsid w:val="16488CB5"/>
    <w:rsid w:val="166B9F0B"/>
    <w:rsid w:val="16791B51"/>
    <w:rsid w:val="16795033"/>
    <w:rsid w:val="1683AC27"/>
    <w:rsid w:val="1692369E"/>
    <w:rsid w:val="1694625D"/>
    <w:rsid w:val="16AF995A"/>
    <w:rsid w:val="16B430DB"/>
    <w:rsid w:val="16D9D9A8"/>
    <w:rsid w:val="16DB4805"/>
    <w:rsid w:val="16DD364A"/>
    <w:rsid w:val="16F90A8B"/>
    <w:rsid w:val="171E8083"/>
    <w:rsid w:val="1738DDB5"/>
    <w:rsid w:val="173E310B"/>
    <w:rsid w:val="1746A577"/>
    <w:rsid w:val="174D6946"/>
    <w:rsid w:val="17674D70"/>
    <w:rsid w:val="17788AA8"/>
    <w:rsid w:val="178C00DC"/>
    <w:rsid w:val="178F8090"/>
    <w:rsid w:val="17B641CD"/>
    <w:rsid w:val="17CDB1BF"/>
    <w:rsid w:val="17EA1594"/>
    <w:rsid w:val="17FC8B2E"/>
    <w:rsid w:val="1815DD96"/>
    <w:rsid w:val="18229E1C"/>
    <w:rsid w:val="18389FD2"/>
    <w:rsid w:val="183B3FC1"/>
    <w:rsid w:val="184E34E4"/>
    <w:rsid w:val="185DF4F0"/>
    <w:rsid w:val="1862EEFB"/>
    <w:rsid w:val="18706E03"/>
    <w:rsid w:val="18ACB3A4"/>
    <w:rsid w:val="18B1D67C"/>
    <w:rsid w:val="18C7A0FE"/>
    <w:rsid w:val="18E82B5F"/>
    <w:rsid w:val="1903AA49"/>
    <w:rsid w:val="1903CC43"/>
    <w:rsid w:val="190686DE"/>
    <w:rsid w:val="1940CADE"/>
    <w:rsid w:val="194AE2B0"/>
    <w:rsid w:val="195A807C"/>
    <w:rsid w:val="1985801D"/>
    <w:rsid w:val="1988D556"/>
    <w:rsid w:val="198D570A"/>
    <w:rsid w:val="19AE4622"/>
    <w:rsid w:val="19B41BC9"/>
    <w:rsid w:val="19B5925C"/>
    <w:rsid w:val="19D0B026"/>
    <w:rsid w:val="19DFE05E"/>
    <w:rsid w:val="1A03738A"/>
    <w:rsid w:val="1A37F9D8"/>
    <w:rsid w:val="1A8F2481"/>
    <w:rsid w:val="1A9A6315"/>
    <w:rsid w:val="1AA6ABB8"/>
    <w:rsid w:val="1AC753F2"/>
    <w:rsid w:val="1AEC2D45"/>
    <w:rsid w:val="1AF07AFB"/>
    <w:rsid w:val="1AF47F5A"/>
    <w:rsid w:val="1AFEEB88"/>
    <w:rsid w:val="1B0B77D3"/>
    <w:rsid w:val="1B3DE69A"/>
    <w:rsid w:val="1B4F4EC3"/>
    <w:rsid w:val="1B57B8DF"/>
    <w:rsid w:val="1B6DD844"/>
    <w:rsid w:val="1B70E010"/>
    <w:rsid w:val="1B738F92"/>
    <w:rsid w:val="1B7EB022"/>
    <w:rsid w:val="1B866D46"/>
    <w:rsid w:val="1BA5D6EE"/>
    <w:rsid w:val="1BAFCCFD"/>
    <w:rsid w:val="1BC4B29D"/>
    <w:rsid w:val="1BDF27F7"/>
    <w:rsid w:val="1C0C2CF1"/>
    <w:rsid w:val="1C0CF5BB"/>
    <w:rsid w:val="1C214C2F"/>
    <w:rsid w:val="1C305AB6"/>
    <w:rsid w:val="1C3C8172"/>
    <w:rsid w:val="1C4F66E6"/>
    <w:rsid w:val="1C55BF08"/>
    <w:rsid w:val="1C5B38DF"/>
    <w:rsid w:val="1C6A5822"/>
    <w:rsid w:val="1C7489F5"/>
    <w:rsid w:val="1C8BD864"/>
    <w:rsid w:val="1CA8B79C"/>
    <w:rsid w:val="1CAEB888"/>
    <w:rsid w:val="1CC60131"/>
    <w:rsid w:val="1CCD1853"/>
    <w:rsid w:val="1CD0CAAF"/>
    <w:rsid w:val="1CF90612"/>
    <w:rsid w:val="1D0868FF"/>
    <w:rsid w:val="1D12C833"/>
    <w:rsid w:val="1D1607E8"/>
    <w:rsid w:val="1D281042"/>
    <w:rsid w:val="1D2BC262"/>
    <w:rsid w:val="1D48F2CD"/>
    <w:rsid w:val="1D531585"/>
    <w:rsid w:val="1D607F24"/>
    <w:rsid w:val="1D9C3A17"/>
    <w:rsid w:val="1DA173CA"/>
    <w:rsid w:val="1DC139BB"/>
    <w:rsid w:val="1DC3F1C7"/>
    <w:rsid w:val="1DDF0E1D"/>
    <w:rsid w:val="1DE59B08"/>
    <w:rsid w:val="1DEF2980"/>
    <w:rsid w:val="1E0CE397"/>
    <w:rsid w:val="1E0CFF98"/>
    <w:rsid w:val="1E153769"/>
    <w:rsid w:val="1E3C5886"/>
    <w:rsid w:val="1E76C9F7"/>
    <w:rsid w:val="1E833616"/>
    <w:rsid w:val="1E8A832C"/>
    <w:rsid w:val="1E9901B5"/>
    <w:rsid w:val="1EA01930"/>
    <w:rsid w:val="1EA9CCF6"/>
    <w:rsid w:val="1EBB241C"/>
    <w:rsid w:val="1EC28E53"/>
    <w:rsid w:val="1EE44C08"/>
    <w:rsid w:val="1EF1DFF3"/>
    <w:rsid w:val="1EF63847"/>
    <w:rsid w:val="1F273027"/>
    <w:rsid w:val="1F2B3C48"/>
    <w:rsid w:val="1F3D9D75"/>
    <w:rsid w:val="1F3DFFAD"/>
    <w:rsid w:val="1F47F688"/>
    <w:rsid w:val="1F512D54"/>
    <w:rsid w:val="1F6E79D4"/>
    <w:rsid w:val="1F6EE49B"/>
    <w:rsid w:val="1F8B7F2E"/>
    <w:rsid w:val="1F9823E4"/>
    <w:rsid w:val="1F9BF183"/>
    <w:rsid w:val="1F9EA68F"/>
    <w:rsid w:val="1F9FAF82"/>
    <w:rsid w:val="1FA6E0CD"/>
    <w:rsid w:val="1FB560D6"/>
    <w:rsid w:val="1FB7EEB3"/>
    <w:rsid w:val="1FE9EAD5"/>
    <w:rsid w:val="1FECBA39"/>
    <w:rsid w:val="1FF9EE5F"/>
    <w:rsid w:val="1FFDE794"/>
    <w:rsid w:val="200B2D91"/>
    <w:rsid w:val="20127B2A"/>
    <w:rsid w:val="203B8679"/>
    <w:rsid w:val="2045F549"/>
    <w:rsid w:val="2048D270"/>
    <w:rsid w:val="204BFD69"/>
    <w:rsid w:val="206FB9B5"/>
    <w:rsid w:val="20774C43"/>
    <w:rsid w:val="2091D03D"/>
    <w:rsid w:val="2099DAE4"/>
    <w:rsid w:val="20C0DF83"/>
    <w:rsid w:val="20C7A774"/>
    <w:rsid w:val="20E51926"/>
    <w:rsid w:val="20E559F9"/>
    <w:rsid w:val="20FF6A13"/>
    <w:rsid w:val="2104129D"/>
    <w:rsid w:val="21078D7E"/>
    <w:rsid w:val="210C410F"/>
    <w:rsid w:val="2111326B"/>
    <w:rsid w:val="21240CB2"/>
    <w:rsid w:val="2129A06A"/>
    <w:rsid w:val="213539F6"/>
    <w:rsid w:val="2136EFB6"/>
    <w:rsid w:val="213CBB60"/>
    <w:rsid w:val="21463517"/>
    <w:rsid w:val="2146F92C"/>
    <w:rsid w:val="218FDC54"/>
    <w:rsid w:val="21AED42D"/>
    <w:rsid w:val="21D3AFD3"/>
    <w:rsid w:val="21EDB3FC"/>
    <w:rsid w:val="21F17268"/>
    <w:rsid w:val="21F46AAF"/>
    <w:rsid w:val="21FDF84F"/>
    <w:rsid w:val="2205609C"/>
    <w:rsid w:val="221187CA"/>
    <w:rsid w:val="221E107C"/>
    <w:rsid w:val="22285EDF"/>
    <w:rsid w:val="2250D3B7"/>
    <w:rsid w:val="22526C57"/>
    <w:rsid w:val="2252848C"/>
    <w:rsid w:val="22555C97"/>
    <w:rsid w:val="227DAE96"/>
    <w:rsid w:val="228162E4"/>
    <w:rsid w:val="228678C9"/>
    <w:rsid w:val="2286D3B1"/>
    <w:rsid w:val="22893DF0"/>
    <w:rsid w:val="228F6B49"/>
    <w:rsid w:val="22963CD6"/>
    <w:rsid w:val="2297F801"/>
    <w:rsid w:val="22B7250F"/>
    <w:rsid w:val="22D17355"/>
    <w:rsid w:val="230E9CF9"/>
    <w:rsid w:val="231B32E9"/>
    <w:rsid w:val="2323B37E"/>
    <w:rsid w:val="2330D6C9"/>
    <w:rsid w:val="234224CC"/>
    <w:rsid w:val="234521DA"/>
    <w:rsid w:val="234892D7"/>
    <w:rsid w:val="236ACD1E"/>
    <w:rsid w:val="2386B4C6"/>
    <w:rsid w:val="238E0EA0"/>
    <w:rsid w:val="2392AF99"/>
    <w:rsid w:val="23951A8F"/>
    <w:rsid w:val="2398F4F9"/>
    <w:rsid w:val="239CB7C9"/>
    <w:rsid w:val="23A9535C"/>
    <w:rsid w:val="23B211E4"/>
    <w:rsid w:val="23CB3807"/>
    <w:rsid w:val="23D44219"/>
    <w:rsid w:val="23E261A6"/>
    <w:rsid w:val="23ED15CE"/>
    <w:rsid w:val="23F03F95"/>
    <w:rsid w:val="23F59618"/>
    <w:rsid w:val="23F60437"/>
    <w:rsid w:val="240B10B4"/>
    <w:rsid w:val="2418961C"/>
    <w:rsid w:val="241E78B2"/>
    <w:rsid w:val="242B66A5"/>
    <w:rsid w:val="243D9225"/>
    <w:rsid w:val="2452D8E4"/>
    <w:rsid w:val="24885096"/>
    <w:rsid w:val="248C68C1"/>
    <w:rsid w:val="249C1221"/>
    <w:rsid w:val="24AF85D0"/>
    <w:rsid w:val="24E1D569"/>
    <w:rsid w:val="2501F613"/>
    <w:rsid w:val="250C9C85"/>
    <w:rsid w:val="25147E29"/>
    <w:rsid w:val="25504D30"/>
    <w:rsid w:val="257422F9"/>
    <w:rsid w:val="257EB0E2"/>
    <w:rsid w:val="2590E636"/>
    <w:rsid w:val="259767E1"/>
    <w:rsid w:val="25C9FC8E"/>
    <w:rsid w:val="25DA7ABF"/>
    <w:rsid w:val="25F7F87A"/>
    <w:rsid w:val="25FAE24A"/>
    <w:rsid w:val="260F3476"/>
    <w:rsid w:val="2611A140"/>
    <w:rsid w:val="261F8382"/>
    <w:rsid w:val="26533750"/>
    <w:rsid w:val="2655C070"/>
    <w:rsid w:val="2673EF26"/>
    <w:rsid w:val="26775F3B"/>
    <w:rsid w:val="267B8BD5"/>
    <w:rsid w:val="26887602"/>
    <w:rsid w:val="269CE580"/>
    <w:rsid w:val="26B4DCEE"/>
    <w:rsid w:val="26C48FD1"/>
    <w:rsid w:val="26D88461"/>
    <w:rsid w:val="26DB36C1"/>
    <w:rsid w:val="2710CDED"/>
    <w:rsid w:val="274C026D"/>
    <w:rsid w:val="274DE0D6"/>
    <w:rsid w:val="275DA099"/>
    <w:rsid w:val="2764F21C"/>
    <w:rsid w:val="2783597D"/>
    <w:rsid w:val="2785AF7B"/>
    <w:rsid w:val="2789B0F9"/>
    <w:rsid w:val="2791B69D"/>
    <w:rsid w:val="279EA46B"/>
    <w:rsid w:val="27B87C03"/>
    <w:rsid w:val="27C73E03"/>
    <w:rsid w:val="27F3BE9F"/>
    <w:rsid w:val="281EFEE0"/>
    <w:rsid w:val="283D7D2A"/>
    <w:rsid w:val="28694E10"/>
    <w:rsid w:val="286C2E0A"/>
    <w:rsid w:val="2877D318"/>
    <w:rsid w:val="288C2233"/>
    <w:rsid w:val="289F659D"/>
    <w:rsid w:val="28CFED85"/>
    <w:rsid w:val="28D37C99"/>
    <w:rsid w:val="291B68B7"/>
    <w:rsid w:val="291C6AA2"/>
    <w:rsid w:val="2925387B"/>
    <w:rsid w:val="292A8899"/>
    <w:rsid w:val="293CF39F"/>
    <w:rsid w:val="293DBF3D"/>
    <w:rsid w:val="2968C57A"/>
    <w:rsid w:val="2969D4C8"/>
    <w:rsid w:val="2978D23B"/>
    <w:rsid w:val="29A5F085"/>
    <w:rsid w:val="29AF8311"/>
    <w:rsid w:val="29DAE549"/>
    <w:rsid w:val="29DE75AC"/>
    <w:rsid w:val="29E8B1FA"/>
    <w:rsid w:val="29F04837"/>
    <w:rsid w:val="29F1C6F2"/>
    <w:rsid w:val="29F7BCCB"/>
    <w:rsid w:val="29FE1153"/>
    <w:rsid w:val="29FF2F0F"/>
    <w:rsid w:val="2A00A6AA"/>
    <w:rsid w:val="2A083D4D"/>
    <w:rsid w:val="2A297502"/>
    <w:rsid w:val="2A2BAC40"/>
    <w:rsid w:val="2A2D939B"/>
    <w:rsid w:val="2A4AACCB"/>
    <w:rsid w:val="2A5723EF"/>
    <w:rsid w:val="2A5B39FF"/>
    <w:rsid w:val="2A63EF72"/>
    <w:rsid w:val="2A6F9AE0"/>
    <w:rsid w:val="2A79F915"/>
    <w:rsid w:val="2A866715"/>
    <w:rsid w:val="2A98788F"/>
    <w:rsid w:val="2A9DDB9A"/>
    <w:rsid w:val="2AA12788"/>
    <w:rsid w:val="2AA69D5B"/>
    <w:rsid w:val="2AC7422F"/>
    <w:rsid w:val="2AED5DE2"/>
    <w:rsid w:val="2B136434"/>
    <w:rsid w:val="2B2C4263"/>
    <w:rsid w:val="2B32D8E3"/>
    <w:rsid w:val="2B3742F8"/>
    <w:rsid w:val="2B425BAB"/>
    <w:rsid w:val="2B483B62"/>
    <w:rsid w:val="2B546958"/>
    <w:rsid w:val="2B588BC5"/>
    <w:rsid w:val="2B6D8F77"/>
    <w:rsid w:val="2B74E891"/>
    <w:rsid w:val="2B79D87F"/>
    <w:rsid w:val="2BA72929"/>
    <w:rsid w:val="2BB31728"/>
    <w:rsid w:val="2BDC12D7"/>
    <w:rsid w:val="2BF0A597"/>
    <w:rsid w:val="2BF49D0D"/>
    <w:rsid w:val="2C0DDB20"/>
    <w:rsid w:val="2C4BC710"/>
    <w:rsid w:val="2C4D8BC4"/>
    <w:rsid w:val="2C607283"/>
    <w:rsid w:val="2C657ADA"/>
    <w:rsid w:val="2C7E20FF"/>
    <w:rsid w:val="2CA0F7CC"/>
    <w:rsid w:val="2CA7EF96"/>
    <w:rsid w:val="2CC6A9FE"/>
    <w:rsid w:val="2CCE9CA1"/>
    <w:rsid w:val="2CE6E278"/>
    <w:rsid w:val="2CF61889"/>
    <w:rsid w:val="2D009BFB"/>
    <w:rsid w:val="2D1A5B33"/>
    <w:rsid w:val="2D22491A"/>
    <w:rsid w:val="2D48B250"/>
    <w:rsid w:val="2D4CFE85"/>
    <w:rsid w:val="2D5462E8"/>
    <w:rsid w:val="2D5EA5B2"/>
    <w:rsid w:val="2D61AE7A"/>
    <w:rsid w:val="2D6EB885"/>
    <w:rsid w:val="2D8A8369"/>
    <w:rsid w:val="2DC3DDB0"/>
    <w:rsid w:val="2DCB8881"/>
    <w:rsid w:val="2E2AAB57"/>
    <w:rsid w:val="2E7532F3"/>
    <w:rsid w:val="2EA4C9DF"/>
    <w:rsid w:val="2EB81E21"/>
    <w:rsid w:val="2EBD41AE"/>
    <w:rsid w:val="2EC25FEF"/>
    <w:rsid w:val="2EE0125D"/>
    <w:rsid w:val="2EE7C435"/>
    <w:rsid w:val="2EEA76F8"/>
    <w:rsid w:val="2EEAAB2D"/>
    <w:rsid w:val="2EECFC10"/>
    <w:rsid w:val="2EF63484"/>
    <w:rsid w:val="2F07CE45"/>
    <w:rsid w:val="2F213D3D"/>
    <w:rsid w:val="2F47FE2E"/>
    <w:rsid w:val="2F4A3FDB"/>
    <w:rsid w:val="2F636A9C"/>
    <w:rsid w:val="2F7D2EE4"/>
    <w:rsid w:val="2F9E04DE"/>
    <w:rsid w:val="2FA2E05C"/>
    <w:rsid w:val="2FB5821B"/>
    <w:rsid w:val="2FB60FB3"/>
    <w:rsid w:val="2FB8EA5B"/>
    <w:rsid w:val="2FC5B985"/>
    <w:rsid w:val="2FE0B1C4"/>
    <w:rsid w:val="2FE55C39"/>
    <w:rsid w:val="2FE6D6EB"/>
    <w:rsid w:val="3000EBA2"/>
    <w:rsid w:val="300582A9"/>
    <w:rsid w:val="301C4091"/>
    <w:rsid w:val="301F2A44"/>
    <w:rsid w:val="302FED05"/>
    <w:rsid w:val="30383F27"/>
    <w:rsid w:val="303AC7B1"/>
    <w:rsid w:val="3055F390"/>
    <w:rsid w:val="30586CE7"/>
    <w:rsid w:val="305893C7"/>
    <w:rsid w:val="307C7784"/>
    <w:rsid w:val="30852C30"/>
    <w:rsid w:val="308E9A65"/>
    <w:rsid w:val="30A12659"/>
    <w:rsid w:val="30A1F920"/>
    <w:rsid w:val="30BAF053"/>
    <w:rsid w:val="30CD6F76"/>
    <w:rsid w:val="30D5479C"/>
    <w:rsid w:val="30E0D9F3"/>
    <w:rsid w:val="30FEA59F"/>
    <w:rsid w:val="310720C5"/>
    <w:rsid w:val="31078278"/>
    <w:rsid w:val="310B4DB8"/>
    <w:rsid w:val="3111C7DE"/>
    <w:rsid w:val="311C6219"/>
    <w:rsid w:val="311FE94F"/>
    <w:rsid w:val="3132A8BF"/>
    <w:rsid w:val="31373B1C"/>
    <w:rsid w:val="313B0178"/>
    <w:rsid w:val="314542F3"/>
    <w:rsid w:val="315D46A3"/>
    <w:rsid w:val="316946CE"/>
    <w:rsid w:val="3189FF7C"/>
    <w:rsid w:val="318C0AD6"/>
    <w:rsid w:val="31A31A35"/>
    <w:rsid w:val="31A4A9B2"/>
    <w:rsid w:val="31A843F3"/>
    <w:rsid w:val="31D9E26A"/>
    <w:rsid w:val="31EF445B"/>
    <w:rsid w:val="31F52D99"/>
    <w:rsid w:val="31F58587"/>
    <w:rsid w:val="31FDDA3E"/>
    <w:rsid w:val="32058EB8"/>
    <w:rsid w:val="321BC560"/>
    <w:rsid w:val="3250EA48"/>
    <w:rsid w:val="3261BEC6"/>
    <w:rsid w:val="3269A079"/>
    <w:rsid w:val="3271F776"/>
    <w:rsid w:val="327AEDC3"/>
    <w:rsid w:val="327BDA03"/>
    <w:rsid w:val="32863079"/>
    <w:rsid w:val="32AE4807"/>
    <w:rsid w:val="32E1F557"/>
    <w:rsid w:val="32FD9EF3"/>
    <w:rsid w:val="33058444"/>
    <w:rsid w:val="330B2E46"/>
    <w:rsid w:val="33125416"/>
    <w:rsid w:val="3329510F"/>
    <w:rsid w:val="334F26D7"/>
    <w:rsid w:val="33614A02"/>
    <w:rsid w:val="3361BCEF"/>
    <w:rsid w:val="33B683EC"/>
    <w:rsid w:val="33B794A5"/>
    <w:rsid w:val="33CFB6C5"/>
    <w:rsid w:val="33D21073"/>
    <w:rsid w:val="33E4E095"/>
    <w:rsid w:val="33F3F0D9"/>
    <w:rsid w:val="33F9D876"/>
    <w:rsid w:val="33FF4246"/>
    <w:rsid w:val="3444F126"/>
    <w:rsid w:val="344D4730"/>
    <w:rsid w:val="3456AAF6"/>
    <w:rsid w:val="346033AC"/>
    <w:rsid w:val="3477E685"/>
    <w:rsid w:val="348E7CFF"/>
    <w:rsid w:val="349DDDB8"/>
    <w:rsid w:val="34B12EAD"/>
    <w:rsid w:val="34B952CE"/>
    <w:rsid w:val="34D955D9"/>
    <w:rsid w:val="3524EB84"/>
    <w:rsid w:val="3527E9A7"/>
    <w:rsid w:val="352E379C"/>
    <w:rsid w:val="35577CC5"/>
    <w:rsid w:val="358D8CC0"/>
    <w:rsid w:val="35A58858"/>
    <w:rsid w:val="35C0C375"/>
    <w:rsid w:val="35CAABC5"/>
    <w:rsid w:val="35CB4B3C"/>
    <w:rsid w:val="35DA8CCD"/>
    <w:rsid w:val="3604C45C"/>
    <w:rsid w:val="3607D8D0"/>
    <w:rsid w:val="36207293"/>
    <w:rsid w:val="36211E87"/>
    <w:rsid w:val="363E2C2E"/>
    <w:rsid w:val="3642C461"/>
    <w:rsid w:val="364FD8E4"/>
    <w:rsid w:val="36624166"/>
    <w:rsid w:val="36651645"/>
    <w:rsid w:val="368D2E8C"/>
    <w:rsid w:val="36B3FA27"/>
    <w:rsid w:val="36B4A29D"/>
    <w:rsid w:val="36BDA7F0"/>
    <w:rsid w:val="36C01F87"/>
    <w:rsid w:val="36C694C4"/>
    <w:rsid w:val="36EDC5AC"/>
    <w:rsid w:val="36F213A5"/>
    <w:rsid w:val="36FFCB79"/>
    <w:rsid w:val="37013445"/>
    <w:rsid w:val="37019C77"/>
    <w:rsid w:val="370B88E2"/>
    <w:rsid w:val="3724405E"/>
    <w:rsid w:val="3730DC90"/>
    <w:rsid w:val="37467543"/>
    <w:rsid w:val="37533662"/>
    <w:rsid w:val="375FFC73"/>
    <w:rsid w:val="3760892F"/>
    <w:rsid w:val="37720C92"/>
    <w:rsid w:val="37928629"/>
    <w:rsid w:val="37C1086F"/>
    <w:rsid w:val="37D8B50C"/>
    <w:rsid w:val="37F644D7"/>
    <w:rsid w:val="38001AD2"/>
    <w:rsid w:val="3816CA41"/>
    <w:rsid w:val="381D89A1"/>
    <w:rsid w:val="38485525"/>
    <w:rsid w:val="38599998"/>
    <w:rsid w:val="386108A6"/>
    <w:rsid w:val="3872EBD3"/>
    <w:rsid w:val="38804ED4"/>
    <w:rsid w:val="3897BD04"/>
    <w:rsid w:val="38A381DF"/>
    <w:rsid w:val="38C135C1"/>
    <w:rsid w:val="38C2BBBC"/>
    <w:rsid w:val="38F31091"/>
    <w:rsid w:val="38F47698"/>
    <w:rsid w:val="38FC70EF"/>
    <w:rsid w:val="39030FB3"/>
    <w:rsid w:val="391EF18A"/>
    <w:rsid w:val="393728D5"/>
    <w:rsid w:val="394568B7"/>
    <w:rsid w:val="3955A5BB"/>
    <w:rsid w:val="395FCF00"/>
    <w:rsid w:val="39649485"/>
    <w:rsid w:val="396AB491"/>
    <w:rsid w:val="39711088"/>
    <w:rsid w:val="3986E7D6"/>
    <w:rsid w:val="39A52780"/>
    <w:rsid w:val="39A7D2B4"/>
    <w:rsid w:val="39C36E62"/>
    <w:rsid w:val="39DDFCB8"/>
    <w:rsid w:val="39FB96D0"/>
    <w:rsid w:val="3A0453B5"/>
    <w:rsid w:val="3A048725"/>
    <w:rsid w:val="3A09E863"/>
    <w:rsid w:val="3A0D9CC7"/>
    <w:rsid w:val="3A1278FC"/>
    <w:rsid w:val="3A18B326"/>
    <w:rsid w:val="3A2F6431"/>
    <w:rsid w:val="3A64943A"/>
    <w:rsid w:val="3A67ECD4"/>
    <w:rsid w:val="3A71C5EA"/>
    <w:rsid w:val="3A81C6D3"/>
    <w:rsid w:val="3A85C705"/>
    <w:rsid w:val="3AB75156"/>
    <w:rsid w:val="3AD486F3"/>
    <w:rsid w:val="3AD4F445"/>
    <w:rsid w:val="3AE9813D"/>
    <w:rsid w:val="3B0CCEA8"/>
    <w:rsid w:val="3B20A925"/>
    <w:rsid w:val="3B460D1E"/>
    <w:rsid w:val="3B5320EA"/>
    <w:rsid w:val="3B79E236"/>
    <w:rsid w:val="3B90172D"/>
    <w:rsid w:val="3BA4AA71"/>
    <w:rsid w:val="3BB77F37"/>
    <w:rsid w:val="3BB8D8F9"/>
    <w:rsid w:val="3BBEA3A5"/>
    <w:rsid w:val="3BC8F854"/>
    <w:rsid w:val="3C294670"/>
    <w:rsid w:val="3C4C91CA"/>
    <w:rsid w:val="3C5A45B6"/>
    <w:rsid w:val="3C600B1A"/>
    <w:rsid w:val="3C84A9AA"/>
    <w:rsid w:val="3CAC8A73"/>
    <w:rsid w:val="3CB1A99A"/>
    <w:rsid w:val="3CB2027B"/>
    <w:rsid w:val="3CBCDCA4"/>
    <w:rsid w:val="3CC15605"/>
    <w:rsid w:val="3CC9DF8F"/>
    <w:rsid w:val="3CE46DDC"/>
    <w:rsid w:val="3CF87957"/>
    <w:rsid w:val="3D10E626"/>
    <w:rsid w:val="3D149168"/>
    <w:rsid w:val="3D1FBAAE"/>
    <w:rsid w:val="3D2E4B69"/>
    <w:rsid w:val="3D31DBD9"/>
    <w:rsid w:val="3D48B2FE"/>
    <w:rsid w:val="3DB678D4"/>
    <w:rsid w:val="3DD2F273"/>
    <w:rsid w:val="3DDF14B9"/>
    <w:rsid w:val="3DE06F6E"/>
    <w:rsid w:val="3DE2A030"/>
    <w:rsid w:val="3DFC44D2"/>
    <w:rsid w:val="3E057B9D"/>
    <w:rsid w:val="3E14C530"/>
    <w:rsid w:val="3E4C96F3"/>
    <w:rsid w:val="3E4ED21F"/>
    <w:rsid w:val="3E5097F5"/>
    <w:rsid w:val="3E6C14B4"/>
    <w:rsid w:val="3E7412CA"/>
    <w:rsid w:val="3E82E8B4"/>
    <w:rsid w:val="3E98AFD3"/>
    <w:rsid w:val="3EA57241"/>
    <w:rsid w:val="3EB650D6"/>
    <w:rsid w:val="3EFD5BC2"/>
    <w:rsid w:val="3F02F5F2"/>
    <w:rsid w:val="3F05179A"/>
    <w:rsid w:val="3F063E0D"/>
    <w:rsid w:val="3F29628F"/>
    <w:rsid w:val="3F35EBB2"/>
    <w:rsid w:val="3F433173"/>
    <w:rsid w:val="3F4FA75A"/>
    <w:rsid w:val="3F6A6692"/>
    <w:rsid w:val="3F710A31"/>
    <w:rsid w:val="3F743D07"/>
    <w:rsid w:val="3F75D6B0"/>
    <w:rsid w:val="3F798F95"/>
    <w:rsid w:val="3F85AF2B"/>
    <w:rsid w:val="3F8AF43B"/>
    <w:rsid w:val="3F8D7D57"/>
    <w:rsid w:val="3FAAB354"/>
    <w:rsid w:val="3FB6E687"/>
    <w:rsid w:val="3FBBBD26"/>
    <w:rsid w:val="3FC72105"/>
    <w:rsid w:val="3FD01AE9"/>
    <w:rsid w:val="3FF1F73F"/>
    <w:rsid w:val="40075061"/>
    <w:rsid w:val="400F67D2"/>
    <w:rsid w:val="40163F42"/>
    <w:rsid w:val="401F6FD7"/>
    <w:rsid w:val="40287C7C"/>
    <w:rsid w:val="403CF31C"/>
    <w:rsid w:val="4046D66B"/>
    <w:rsid w:val="405E5C30"/>
    <w:rsid w:val="4095B32F"/>
    <w:rsid w:val="40C3F546"/>
    <w:rsid w:val="40E541C2"/>
    <w:rsid w:val="40F0CC19"/>
    <w:rsid w:val="4107A2BC"/>
    <w:rsid w:val="4111AE90"/>
    <w:rsid w:val="41193BF0"/>
    <w:rsid w:val="411FA0EE"/>
    <w:rsid w:val="4129E12B"/>
    <w:rsid w:val="41322C21"/>
    <w:rsid w:val="41424AA7"/>
    <w:rsid w:val="41500C83"/>
    <w:rsid w:val="4178CF13"/>
    <w:rsid w:val="417DA041"/>
    <w:rsid w:val="4185F6AB"/>
    <w:rsid w:val="41A2A08A"/>
    <w:rsid w:val="41C351C4"/>
    <w:rsid w:val="41D50E9C"/>
    <w:rsid w:val="41DEDA0A"/>
    <w:rsid w:val="41E06633"/>
    <w:rsid w:val="41F2BD16"/>
    <w:rsid w:val="41F4F46B"/>
    <w:rsid w:val="421BAF73"/>
    <w:rsid w:val="421F77FB"/>
    <w:rsid w:val="4233CC55"/>
    <w:rsid w:val="42668B75"/>
    <w:rsid w:val="426C4775"/>
    <w:rsid w:val="426D3034"/>
    <w:rsid w:val="427C6217"/>
    <w:rsid w:val="42E9579E"/>
    <w:rsid w:val="42F1A044"/>
    <w:rsid w:val="433296AA"/>
    <w:rsid w:val="4335E8BA"/>
    <w:rsid w:val="434225D4"/>
    <w:rsid w:val="4345E65B"/>
    <w:rsid w:val="439DDBCD"/>
    <w:rsid w:val="43B03E88"/>
    <w:rsid w:val="43B43B0B"/>
    <w:rsid w:val="43BAE85D"/>
    <w:rsid w:val="43BB1672"/>
    <w:rsid w:val="43BD59D1"/>
    <w:rsid w:val="43BF5F38"/>
    <w:rsid w:val="43C73BA0"/>
    <w:rsid w:val="43C92B23"/>
    <w:rsid w:val="43D0B7CB"/>
    <w:rsid w:val="43D59A3C"/>
    <w:rsid w:val="44062E6E"/>
    <w:rsid w:val="44217258"/>
    <w:rsid w:val="442E7BD7"/>
    <w:rsid w:val="442E8431"/>
    <w:rsid w:val="44437D0C"/>
    <w:rsid w:val="444B9BF4"/>
    <w:rsid w:val="44671555"/>
    <w:rsid w:val="446D46AC"/>
    <w:rsid w:val="44749365"/>
    <w:rsid w:val="447AA256"/>
    <w:rsid w:val="447B6FE5"/>
    <w:rsid w:val="449710BC"/>
    <w:rsid w:val="449DB46F"/>
    <w:rsid w:val="44A0D894"/>
    <w:rsid w:val="44A3FD1D"/>
    <w:rsid w:val="44A8C110"/>
    <w:rsid w:val="44BB8306"/>
    <w:rsid w:val="44D88E55"/>
    <w:rsid w:val="44ED0760"/>
    <w:rsid w:val="44F9AAD7"/>
    <w:rsid w:val="45011F4E"/>
    <w:rsid w:val="4505E979"/>
    <w:rsid w:val="450C7269"/>
    <w:rsid w:val="450E4BAE"/>
    <w:rsid w:val="451A1186"/>
    <w:rsid w:val="451A2191"/>
    <w:rsid w:val="45291D8C"/>
    <w:rsid w:val="4538BD49"/>
    <w:rsid w:val="455490ED"/>
    <w:rsid w:val="45A0628B"/>
    <w:rsid w:val="45A860D2"/>
    <w:rsid w:val="45CACFC4"/>
    <w:rsid w:val="45D64CB2"/>
    <w:rsid w:val="45DE6A30"/>
    <w:rsid w:val="45FCDFB0"/>
    <w:rsid w:val="460BEAC5"/>
    <w:rsid w:val="46210A7C"/>
    <w:rsid w:val="462914EF"/>
    <w:rsid w:val="462A5327"/>
    <w:rsid w:val="4630A7C4"/>
    <w:rsid w:val="4649BB05"/>
    <w:rsid w:val="466454E0"/>
    <w:rsid w:val="466E6A09"/>
    <w:rsid w:val="467DAB55"/>
    <w:rsid w:val="4692A077"/>
    <w:rsid w:val="46935CE9"/>
    <w:rsid w:val="469E10CA"/>
    <w:rsid w:val="46BDC4A2"/>
    <w:rsid w:val="46DA4FA7"/>
    <w:rsid w:val="46E674FF"/>
    <w:rsid w:val="46EA3CF2"/>
    <w:rsid w:val="46EF3E71"/>
    <w:rsid w:val="46EFF952"/>
    <w:rsid w:val="46F01C92"/>
    <w:rsid w:val="46FAC6AE"/>
    <w:rsid w:val="46FF9EE1"/>
    <w:rsid w:val="47187310"/>
    <w:rsid w:val="476BB3E0"/>
    <w:rsid w:val="4777538C"/>
    <w:rsid w:val="47992CFD"/>
    <w:rsid w:val="47A25346"/>
    <w:rsid w:val="47BB6C4F"/>
    <w:rsid w:val="47D564EF"/>
    <w:rsid w:val="47E0CDD7"/>
    <w:rsid w:val="47F997FA"/>
    <w:rsid w:val="48019682"/>
    <w:rsid w:val="48065DF1"/>
    <w:rsid w:val="4816E8C4"/>
    <w:rsid w:val="483D984D"/>
    <w:rsid w:val="48501406"/>
    <w:rsid w:val="485395B9"/>
    <w:rsid w:val="4871FB22"/>
    <w:rsid w:val="48C55FB5"/>
    <w:rsid w:val="48CB7846"/>
    <w:rsid w:val="48FA7B0B"/>
    <w:rsid w:val="493B670B"/>
    <w:rsid w:val="4942A0CB"/>
    <w:rsid w:val="4956FA57"/>
    <w:rsid w:val="499AD446"/>
    <w:rsid w:val="49B0E083"/>
    <w:rsid w:val="49D47E6C"/>
    <w:rsid w:val="49D63647"/>
    <w:rsid w:val="49E80A4D"/>
    <w:rsid w:val="49FCCF99"/>
    <w:rsid w:val="4A09D880"/>
    <w:rsid w:val="4A0C6084"/>
    <w:rsid w:val="4A1112D9"/>
    <w:rsid w:val="4A3BA2BF"/>
    <w:rsid w:val="4A43FA3F"/>
    <w:rsid w:val="4A4E65AF"/>
    <w:rsid w:val="4A683ACF"/>
    <w:rsid w:val="4A83CE37"/>
    <w:rsid w:val="4A83DC9C"/>
    <w:rsid w:val="4A88D1D4"/>
    <w:rsid w:val="4A9A74FC"/>
    <w:rsid w:val="4AC9EA65"/>
    <w:rsid w:val="4AD16110"/>
    <w:rsid w:val="4AD77D38"/>
    <w:rsid w:val="4AE0935A"/>
    <w:rsid w:val="4AF3396B"/>
    <w:rsid w:val="4AF38266"/>
    <w:rsid w:val="4B04D56D"/>
    <w:rsid w:val="4B125EC4"/>
    <w:rsid w:val="4B2CDD37"/>
    <w:rsid w:val="4B314FAB"/>
    <w:rsid w:val="4B377FDF"/>
    <w:rsid w:val="4B3C39BE"/>
    <w:rsid w:val="4B49663C"/>
    <w:rsid w:val="4B809ABD"/>
    <w:rsid w:val="4B896B5D"/>
    <w:rsid w:val="4B95C6A6"/>
    <w:rsid w:val="4BD6190A"/>
    <w:rsid w:val="4BD90579"/>
    <w:rsid w:val="4BFD21FC"/>
    <w:rsid w:val="4C041993"/>
    <w:rsid w:val="4C213E9D"/>
    <w:rsid w:val="4C423DB5"/>
    <w:rsid w:val="4C4DAF28"/>
    <w:rsid w:val="4C55AAE9"/>
    <w:rsid w:val="4C73A495"/>
    <w:rsid w:val="4C78A4BF"/>
    <w:rsid w:val="4C8E56BA"/>
    <w:rsid w:val="4CA26039"/>
    <w:rsid w:val="4CC0626F"/>
    <w:rsid w:val="4CDFEEFB"/>
    <w:rsid w:val="4D0E59DE"/>
    <w:rsid w:val="4D26C82E"/>
    <w:rsid w:val="4D38EFF2"/>
    <w:rsid w:val="4D3AD27A"/>
    <w:rsid w:val="4D4A25EE"/>
    <w:rsid w:val="4D4CF8EF"/>
    <w:rsid w:val="4D4F78F2"/>
    <w:rsid w:val="4D6128CF"/>
    <w:rsid w:val="4D6646A2"/>
    <w:rsid w:val="4D6E0310"/>
    <w:rsid w:val="4D7BC931"/>
    <w:rsid w:val="4D8E9834"/>
    <w:rsid w:val="4D9BE00E"/>
    <w:rsid w:val="4DA60076"/>
    <w:rsid w:val="4DC490E9"/>
    <w:rsid w:val="4DCACD17"/>
    <w:rsid w:val="4DD09CC5"/>
    <w:rsid w:val="4DDEC207"/>
    <w:rsid w:val="4DFAAE1C"/>
    <w:rsid w:val="4E06AF7F"/>
    <w:rsid w:val="4E07BCB8"/>
    <w:rsid w:val="4E20BD7C"/>
    <w:rsid w:val="4E2B59DE"/>
    <w:rsid w:val="4E40AC58"/>
    <w:rsid w:val="4E4529B4"/>
    <w:rsid w:val="4EA53115"/>
    <w:rsid w:val="4EBDBB3D"/>
    <w:rsid w:val="4ECE915B"/>
    <w:rsid w:val="4ED1B421"/>
    <w:rsid w:val="4EDBD063"/>
    <w:rsid w:val="4EF3006F"/>
    <w:rsid w:val="4EF564B6"/>
    <w:rsid w:val="4F06E30F"/>
    <w:rsid w:val="4F1F4BF0"/>
    <w:rsid w:val="4F2AD409"/>
    <w:rsid w:val="4F3C5739"/>
    <w:rsid w:val="4F517430"/>
    <w:rsid w:val="4F5D4F99"/>
    <w:rsid w:val="4F65C2F9"/>
    <w:rsid w:val="4F6DB029"/>
    <w:rsid w:val="4F894375"/>
    <w:rsid w:val="4FAB66A9"/>
    <w:rsid w:val="4FAF58DC"/>
    <w:rsid w:val="4FB3EC68"/>
    <w:rsid w:val="4FB77561"/>
    <w:rsid w:val="4FCCC29A"/>
    <w:rsid w:val="4FD691EF"/>
    <w:rsid w:val="4FF175A5"/>
    <w:rsid w:val="4FF2D8C6"/>
    <w:rsid w:val="5004E758"/>
    <w:rsid w:val="500516C5"/>
    <w:rsid w:val="5046F6AD"/>
    <w:rsid w:val="5048331E"/>
    <w:rsid w:val="5049549D"/>
    <w:rsid w:val="504C2B6F"/>
    <w:rsid w:val="505BD6E9"/>
    <w:rsid w:val="506003B6"/>
    <w:rsid w:val="5066172F"/>
    <w:rsid w:val="5068225D"/>
    <w:rsid w:val="506B5F27"/>
    <w:rsid w:val="506DEACA"/>
    <w:rsid w:val="5086D4F9"/>
    <w:rsid w:val="50943B07"/>
    <w:rsid w:val="50B4E968"/>
    <w:rsid w:val="50B9DF7D"/>
    <w:rsid w:val="50BCF6DB"/>
    <w:rsid w:val="50CFBF23"/>
    <w:rsid w:val="50DFE641"/>
    <w:rsid w:val="5111E52B"/>
    <w:rsid w:val="512A81B7"/>
    <w:rsid w:val="5133BB3D"/>
    <w:rsid w:val="5146E3CF"/>
    <w:rsid w:val="5149E0A8"/>
    <w:rsid w:val="515185EB"/>
    <w:rsid w:val="515380E9"/>
    <w:rsid w:val="515EC9A2"/>
    <w:rsid w:val="51635952"/>
    <w:rsid w:val="5165D8B9"/>
    <w:rsid w:val="5168F55E"/>
    <w:rsid w:val="517F7DC0"/>
    <w:rsid w:val="5197A7A7"/>
    <w:rsid w:val="51A7AC40"/>
    <w:rsid w:val="51C7E95D"/>
    <w:rsid w:val="51CD7A9D"/>
    <w:rsid w:val="51E6DAF7"/>
    <w:rsid w:val="51E9305C"/>
    <w:rsid w:val="51EE3195"/>
    <w:rsid w:val="51F78365"/>
    <w:rsid w:val="51F878C6"/>
    <w:rsid w:val="51FAE7E6"/>
    <w:rsid w:val="520E1989"/>
    <w:rsid w:val="52174E26"/>
    <w:rsid w:val="521ADE84"/>
    <w:rsid w:val="522857CD"/>
    <w:rsid w:val="5285B86A"/>
    <w:rsid w:val="528E22E6"/>
    <w:rsid w:val="52953E7A"/>
    <w:rsid w:val="52CC5001"/>
    <w:rsid w:val="52F73EB2"/>
    <w:rsid w:val="52FF39DB"/>
    <w:rsid w:val="530500F9"/>
    <w:rsid w:val="530F93B5"/>
    <w:rsid w:val="53299D1D"/>
    <w:rsid w:val="53553ED4"/>
    <w:rsid w:val="5387B318"/>
    <w:rsid w:val="53A36966"/>
    <w:rsid w:val="53C6BA69"/>
    <w:rsid w:val="53C8612F"/>
    <w:rsid w:val="53E4ADA8"/>
    <w:rsid w:val="53E543CE"/>
    <w:rsid w:val="53E9553F"/>
    <w:rsid w:val="5407F6C2"/>
    <w:rsid w:val="5432C178"/>
    <w:rsid w:val="544E1105"/>
    <w:rsid w:val="54571CB3"/>
    <w:rsid w:val="546406BC"/>
    <w:rsid w:val="54647039"/>
    <w:rsid w:val="546C9716"/>
    <w:rsid w:val="5471C7A6"/>
    <w:rsid w:val="5472BCF4"/>
    <w:rsid w:val="5483F9F8"/>
    <w:rsid w:val="54947630"/>
    <w:rsid w:val="54A19934"/>
    <w:rsid w:val="54ACA747"/>
    <w:rsid w:val="54BE085A"/>
    <w:rsid w:val="54C241A7"/>
    <w:rsid w:val="54EBF8A8"/>
    <w:rsid w:val="54FAFFF3"/>
    <w:rsid w:val="5502184C"/>
    <w:rsid w:val="550632C0"/>
    <w:rsid w:val="5506335F"/>
    <w:rsid w:val="551CF669"/>
    <w:rsid w:val="5523A63B"/>
    <w:rsid w:val="552B71A2"/>
    <w:rsid w:val="552F2F41"/>
    <w:rsid w:val="553DAEDE"/>
    <w:rsid w:val="555021B0"/>
    <w:rsid w:val="556A436E"/>
    <w:rsid w:val="55708EF2"/>
    <w:rsid w:val="557B5CF2"/>
    <w:rsid w:val="559A0BE8"/>
    <w:rsid w:val="55A4577C"/>
    <w:rsid w:val="55A6239A"/>
    <w:rsid w:val="55A7349A"/>
    <w:rsid w:val="55B595C0"/>
    <w:rsid w:val="55C9C7D5"/>
    <w:rsid w:val="55D4F1D7"/>
    <w:rsid w:val="55F0D1AA"/>
    <w:rsid w:val="55F90E3E"/>
    <w:rsid w:val="560B98DC"/>
    <w:rsid w:val="56102C33"/>
    <w:rsid w:val="56266850"/>
    <w:rsid w:val="564E865B"/>
    <w:rsid w:val="564F0A4D"/>
    <w:rsid w:val="565018DC"/>
    <w:rsid w:val="5652E2C3"/>
    <w:rsid w:val="5685EBBA"/>
    <w:rsid w:val="56918406"/>
    <w:rsid w:val="56A03953"/>
    <w:rsid w:val="56B2C517"/>
    <w:rsid w:val="56C0729D"/>
    <w:rsid w:val="5710B0AF"/>
    <w:rsid w:val="573ADB51"/>
    <w:rsid w:val="574623A4"/>
    <w:rsid w:val="574C82C3"/>
    <w:rsid w:val="575789B6"/>
    <w:rsid w:val="57888144"/>
    <w:rsid w:val="579416F8"/>
    <w:rsid w:val="579591B9"/>
    <w:rsid w:val="57AB7DE2"/>
    <w:rsid w:val="57D831BA"/>
    <w:rsid w:val="57F59A40"/>
    <w:rsid w:val="580D9335"/>
    <w:rsid w:val="581C174E"/>
    <w:rsid w:val="5828F6F4"/>
    <w:rsid w:val="5830D51C"/>
    <w:rsid w:val="5834DF7D"/>
    <w:rsid w:val="58438C99"/>
    <w:rsid w:val="584DED41"/>
    <w:rsid w:val="58671559"/>
    <w:rsid w:val="5878452C"/>
    <w:rsid w:val="5886A3E6"/>
    <w:rsid w:val="5886EAF3"/>
    <w:rsid w:val="589BEB7D"/>
    <w:rsid w:val="589F922F"/>
    <w:rsid w:val="58A99AE7"/>
    <w:rsid w:val="58D2531C"/>
    <w:rsid w:val="58DCC501"/>
    <w:rsid w:val="58F4C8D0"/>
    <w:rsid w:val="59019D6F"/>
    <w:rsid w:val="59031A65"/>
    <w:rsid w:val="59120430"/>
    <w:rsid w:val="59192D87"/>
    <w:rsid w:val="59443A0A"/>
    <w:rsid w:val="594C0805"/>
    <w:rsid w:val="594CE671"/>
    <w:rsid w:val="595C91DD"/>
    <w:rsid w:val="595FDCC5"/>
    <w:rsid w:val="596B4891"/>
    <w:rsid w:val="596D9FBB"/>
    <w:rsid w:val="5979045E"/>
    <w:rsid w:val="598831F7"/>
    <w:rsid w:val="598D54DC"/>
    <w:rsid w:val="598DF959"/>
    <w:rsid w:val="59A44B43"/>
    <w:rsid w:val="59A65659"/>
    <w:rsid w:val="59A95B89"/>
    <w:rsid w:val="59BBDB49"/>
    <w:rsid w:val="59C32B86"/>
    <w:rsid w:val="59CDEB97"/>
    <w:rsid w:val="59D6C40C"/>
    <w:rsid w:val="59D70DCD"/>
    <w:rsid w:val="59EEA7A8"/>
    <w:rsid w:val="5A0946E5"/>
    <w:rsid w:val="5A17414D"/>
    <w:rsid w:val="5A1ED09B"/>
    <w:rsid w:val="5A3B9589"/>
    <w:rsid w:val="5A3D8587"/>
    <w:rsid w:val="5A65E39A"/>
    <w:rsid w:val="5A6FB1DA"/>
    <w:rsid w:val="5A792E30"/>
    <w:rsid w:val="5A8688BF"/>
    <w:rsid w:val="5A8B95BC"/>
    <w:rsid w:val="5A92F12D"/>
    <w:rsid w:val="5A993289"/>
    <w:rsid w:val="5A9E4DE7"/>
    <w:rsid w:val="5AD4BC5C"/>
    <w:rsid w:val="5ADEE2CC"/>
    <w:rsid w:val="5AF3C6EB"/>
    <w:rsid w:val="5AFC7D2F"/>
    <w:rsid w:val="5B005A9F"/>
    <w:rsid w:val="5B0A7654"/>
    <w:rsid w:val="5B0A8D45"/>
    <w:rsid w:val="5B2548B8"/>
    <w:rsid w:val="5B2FB729"/>
    <w:rsid w:val="5B3A4873"/>
    <w:rsid w:val="5B47FB92"/>
    <w:rsid w:val="5B4C7E65"/>
    <w:rsid w:val="5B7A0094"/>
    <w:rsid w:val="5B7C73D5"/>
    <w:rsid w:val="5B9FE829"/>
    <w:rsid w:val="5BB1802F"/>
    <w:rsid w:val="5BB3B2EE"/>
    <w:rsid w:val="5BB9C5E4"/>
    <w:rsid w:val="5BC8E6F5"/>
    <w:rsid w:val="5BE16719"/>
    <w:rsid w:val="5C0220DC"/>
    <w:rsid w:val="5C20F204"/>
    <w:rsid w:val="5C2B7FCD"/>
    <w:rsid w:val="5C2E8C24"/>
    <w:rsid w:val="5C502BFD"/>
    <w:rsid w:val="5C5A0300"/>
    <w:rsid w:val="5C60879E"/>
    <w:rsid w:val="5C8D027C"/>
    <w:rsid w:val="5C92DB1A"/>
    <w:rsid w:val="5CA428CA"/>
    <w:rsid w:val="5CAAE384"/>
    <w:rsid w:val="5CB88543"/>
    <w:rsid w:val="5CB9CFDF"/>
    <w:rsid w:val="5CCA96EB"/>
    <w:rsid w:val="5CDCD455"/>
    <w:rsid w:val="5CF00A3D"/>
    <w:rsid w:val="5CF1E598"/>
    <w:rsid w:val="5CF94E0A"/>
    <w:rsid w:val="5CFBA74D"/>
    <w:rsid w:val="5D06F7F8"/>
    <w:rsid w:val="5D0F3DF0"/>
    <w:rsid w:val="5D150C93"/>
    <w:rsid w:val="5D201B42"/>
    <w:rsid w:val="5D33F7E2"/>
    <w:rsid w:val="5D36E36E"/>
    <w:rsid w:val="5D41E208"/>
    <w:rsid w:val="5D42CEB7"/>
    <w:rsid w:val="5D44406E"/>
    <w:rsid w:val="5D480468"/>
    <w:rsid w:val="5D5A7A14"/>
    <w:rsid w:val="5D64F2C1"/>
    <w:rsid w:val="5D73DB56"/>
    <w:rsid w:val="5DA0218F"/>
    <w:rsid w:val="5DA15794"/>
    <w:rsid w:val="5DA6AAF3"/>
    <w:rsid w:val="5DB6566C"/>
    <w:rsid w:val="5DC1861E"/>
    <w:rsid w:val="5DFA0102"/>
    <w:rsid w:val="5E2677F0"/>
    <w:rsid w:val="5E2BA64D"/>
    <w:rsid w:val="5E536878"/>
    <w:rsid w:val="5E607AA5"/>
    <w:rsid w:val="5E8FCE7B"/>
    <w:rsid w:val="5EB10154"/>
    <w:rsid w:val="5EB38307"/>
    <w:rsid w:val="5EB6B12A"/>
    <w:rsid w:val="5EB713A6"/>
    <w:rsid w:val="5EB8F2EA"/>
    <w:rsid w:val="5EB92BAD"/>
    <w:rsid w:val="5EBE8BD8"/>
    <w:rsid w:val="5EC10BE5"/>
    <w:rsid w:val="5EC7B09E"/>
    <w:rsid w:val="5EC7F191"/>
    <w:rsid w:val="5ED03F2F"/>
    <w:rsid w:val="5ED77A19"/>
    <w:rsid w:val="5EF69A56"/>
    <w:rsid w:val="5EFA1B9C"/>
    <w:rsid w:val="5F0AADA6"/>
    <w:rsid w:val="5F1842EF"/>
    <w:rsid w:val="5F227DB2"/>
    <w:rsid w:val="5F7B9F1B"/>
    <w:rsid w:val="5FB43206"/>
    <w:rsid w:val="5FC25518"/>
    <w:rsid w:val="5FC306C6"/>
    <w:rsid w:val="5FCB6853"/>
    <w:rsid w:val="5FD3C168"/>
    <w:rsid w:val="5FE02E3A"/>
    <w:rsid w:val="5FF5B90C"/>
    <w:rsid w:val="600A5B51"/>
    <w:rsid w:val="601070E1"/>
    <w:rsid w:val="60171F85"/>
    <w:rsid w:val="602811DA"/>
    <w:rsid w:val="60292645"/>
    <w:rsid w:val="604016CD"/>
    <w:rsid w:val="605879B5"/>
    <w:rsid w:val="6068E530"/>
    <w:rsid w:val="607DBE33"/>
    <w:rsid w:val="6085000B"/>
    <w:rsid w:val="608D7CF2"/>
    <w:rsid w:val="609AFA0F"/>
    <w:rsid w:val="60A8904F"/>
    <w:rsid w:val="60BF3ABC"/>
    <w:rsid w:val="60C3EC3B"/>
    <w:rsid w:val="60CB13CF"/>
    <w:rsid w:val="60EC21B4"/>
    <w:rsid w:val="6118778A"/>
    <w:rsid w:val="6124A8A5"/>
    <w:rsid w:val="612920FF"/>
    <w:rsid w:val="61376061"/>
    <w:rsid w:val="61469C2B"/>
    <w:rsid w:val="6153A9BA"/>
    <w:rsid w:val="61699D67"/>
    <w:rsid w:val="61791020"/>
    <w:rsid w:val="61795E88"/>
    <w:rsid w:val="617C770D"/>
    <w:rsid w:val="619DCCE0"/>
    <w:rsid w:val="61BDE558"/>
    <w:rsid w:val="61D21F15"/>
    <w:rsid w:val="61E516CB"/>
    <w:rsid w:val="61EA62E8"/>
    <w:rsid w:val="61EA8B80"/>
    <w:rsid w:val="6204CDCE"/>
    <w:rsid w:val="622207D0"/>
    <w:rsid w:val="626D84EB"/>
    <w:rsid w:val="6297339A"/>
    <w:rsid w:val="62A0A89F"/>
    <w:rsid w:val="62C5F619"/>
    <w:rsid w:val="62C6BA68"/>
    <w:rsid w:val="62CEBEE3"/>
    <w:rsid w:val="62D61FDF"/>
    <w:rsid w:val="62D66C59"/>
    <w:rsid w:val="63157C85"/>
    <w:rsid w:val="632F369B"/>
    <w:rsid w:val="63335D47"/>
    <w:rsid w:val="636AF906"/>
    <w:rsid w:val="6392B28C"/>
    <w:rsid w:val="639F0C4E"/>
    <w:rsid w:val="63A62126"/>
    <w:rsid w:val="63B9C433"/>
    <w:rsid w:val="63BACE9F"/>
    <w:rsid w:val="63D5767B"/>
    <w:rsid w:val="63E1A7D1"/>
    <w:rsid w:val="63E4BB3D"/>
    <w:rsid w:val="63F2F8BF"/>
    <w:rsid w:val="640B05D6"/>
    <w:rsid w:val="641157FB"/>
    <w:rsid w:val="641C232A"/>
    <w:rsid w:val="64204951"/>
    <w:rsid w:val="643AE3C9"/>
    <w:rsid w:val="644A2238"/>
    <w:rsid w:val="6454ABAF"/>
    <w:rsid w:val="64551860"/>
    <w:rsid w:val="645B6E7D"/>
    <w:rsid w:val="6465B319"/>
    <w:rsid w:val="6472CBAB"/>
    <w:rsid w:val="648521B8"/>
    <w:rsid w:val="6494EC1E"/>
    <w:rsid w:val="649C23D9"/>
    <w:rsid w:val="64AEEAA5"/>
    <w:rsid w:val="64D490DF"/>
    <w:rsid w:val="64DAE5F7"/>
    <w:rsid w:val="64E8642C"/>
    <w:rsid w:val="64F3D219"/>
    <w:rsid w:val="64FE037D"/>
    <w:rsid w:val="6504557A"/>
    <w:rsid w:val="650AFE01"/>
    <w:rsid w:val="65162657"/>
    <w:rsid w:val="65189C4F"/>
    <w:rsid w:val="652EC7BB"/>
    <w:rsid w:val="65563C20"/>
    <w:rsid w:val="65572DAC"/>
    <w:rsid w:val="656BC603"/>
    <w:rsid w:val="657C5C86"/>
    <w:rsid w:val="657C9615"/>
    <w:rsid w:val="657DCF11"/>
    <w:rsid w:val="6580479F"/>
    <w:rsid w:val="65841DB2"/>
    <w:rsid w:val="6589EBFA"/>
    <w:rsid w:val="658A7ED5"/>
    <w:rsid w:val="65D4E85B"/>
    <w:rsid w:val="65D8B1A0"/>
    <w:rsid w:val="65F775BE"/>
    <w:rsid w:val="65FC9107"/>
    <w:rsid w:val="65FD2888"/>
    <w:rsid w:val="66098E35"/>
    <w:rsid w:val="6622CA2C"/>
    <w:rsid w:val="6625625B"/>
    <w:rsid w:val="664A46FA"/>
    <w:rsid w:val="665484D4"/>
    <w:rsid w:val="666DC5CC"/>
    <w:rsid w:val="666EE8A7"/>
    <w:rsid w:val="6689822B"/>
    <w:rsid w:val="66C8FC97"/>
    <w:rsid w:val="66DBBE48"/>
    <w:rsid w:val="66F72086"/>
    <w:rsid w:val="66F7D698"/>
    <w:rsid w:val="6701FC71"/>
    <w:rsid w:val="67377D46"/>
    <w:rsid w:val="675308D0"/>
    <w:rsid w:val="676D37E1"/>
    <w:rsid w:val="677C8F72"/>
    <w:rsid w:val="67820E2F"/>
    <w:rsid w:val="6787C948"/>
    <w:rsid w:val="67BA7063"/>
    <w:rsid w:val="67CC4E2D"/>
    <w:rsid w:val="67F17D5E"/>
    <w:rsid w:val="68068CE8"/>
    <w:rsid w:val="680F8A90"/>
    <w:rsid w:val="6816BE2E"/>
    <w:rsid w:val="685800D1"/>
    <w:rsid w:val="686F1C63"/>
    <w:rsid w:val="6887DEA5"/>
    <w:rsid w:val="689138D4"/>
    <w:rsid w:val="6893280F"/>
    <w:rsid w:val="68B6D815"/>
    <w:rsid w:val="68C14ACA"/>
    <w:rsid w:val="68CAB1F4"/>
    <w:rsid w:val="68D99763"/>
    <w:rsid w:val="68E74837"/>
    <w:rsid w:val="68EC384A"/>
    <w:rsid w:val="68ECF63C"/>
    <w:rsid w:val="68F06046"/>
    <w:rsid w:val="6919C589"/>
    <w:rsid w:val="69331675"/>
    <w:rsid w:val="6944B032"/>
    <w:rsid w:val="694B3F0E"/>
    <w:rsid w:val="694B8E73"/>
    <w:rsid w:val="6957AA3F"/>
    <w:rsid w:val="697BDB58"/>
    <w:rsid w:val="69843521"/>
    <w:rsid w:val="6986A747"/>
    <w:rsid w:val="698AC771"/>
    <w:rsid w:val="69A8EF5B"/>
    <w:rsid w:val="69B314C9"/>
    <w:rsid w:val="69B4086A"/>
    <w:rsid w:val="69BA2284"/>
    <w:rsid w:val="69D922BD"/>
    <w:rsid w:val="69FA953C"/>
    <w:rsid w:val="6A26E004"/>
    <w:rsid w:val="6A2D7D29"/>
    <w:rsid w:val="6A47EA73"/>
    <w:rsid w:val="6A4E4395"/>
    <w:rsid w:val="6A54580E"/>
    <w:rsid w:val="6A75034A"/>
    <w:rsid w:val="6A76D867"/>
    <w:rsid w:val="6A7C73A0"/>
    <w:rsid w:val="6A853DD4"/>
    <w:rsid w:val="6A86D5AD"/>
    <w:rsid w:val="6A94F86C"/>
    <w:rsid w:val="6AA111B7"/>
    <w:rsid w:val="6AA1295D"/>
    <w:rsid w:val="6AB5C132"/>
    <w:rsid w:val="6AB8676D"/>
    <w:rsid w:val="6AC3F0AD"/>
    <w:rsid w:val="6AD79B2E"/>
    <w:rsid w:val="6AE663D7"/>
    <w:rsid w:val="6AF9689B"/>
    <w:rsid w:val="6B06DC78"/>
    <w:rsid w:val="6B0BC5C1"/>
    <w:rsid w:val="6B1127D6"/>
    <w:rsid w:val="6B33CC15"/>
    <w:rsid w:val="6B570053"/>
    <w:rsid w:val="6B5AD880"/>
    <w:rsid w:val="6B68932C"/>
    <w:rsid w:val="6B6AD10D"/>
    <w:rsid w:val="6B7522B1"/>
    <w:rsid w:val="6B75A1F6"/>
    <w:rsid w:val="6B810777"/>
    <w:rsid w:val="6B90AE9A"/>
    <w:rsid w:val="6B98D0BE"/>
    <w:rsid w:val="6BA82F05"/>
    <w:rsid w:val="6BBD50A3"/>
    <w:rsid w:val="6BC7CC5C"/>
    <w:rsid w:val="6BD95DA8"/>
    <w:rsid w:val="6BDF191A"/>
    <w:rsid w:val="6BFA9313"/>
    <w:rsid w:val="6BFEAE65"/>
    <w:rsid w:val="6C03BECF"/>
    <w:rsid w:val="6C1046DE"/>
    <w:rsid w:val="6C1A9881"/>
    <w:rsid w:val="6C2EF0CA"/>
    <w:rsid w:val="6C6E6002"/>
    <w:rsid w:val="6C70CA1D"/>
    <w:rsid w:val="6CB78DC2"/>
    <w:rsid w:val="6CC391E7"/>
    <w:rsid w:val="6CCAB536"/>
    <w:rsid w:val="6CCC78FF"/>
    <w:rsid w:val="6CD0112A"/>
    <w:rsid w:val="6CD13653"/>
    <w:rsid w:val="6CF4B00B"/>
    <w:rsid w:val="6CFDA9A1"/>
    <w:rsid w:val="6D0DCE5F"/>
    <w:rsid w:val="6D272A4F"/>
    <w:rsid w:val="6D319938"/>
    <w:rsid w:val="6D32C10D"/>
    <w:rsid w:val="6D5A67F7"/>
    <w:rsid w:val="6D60993F"/>
    <w:rsid w:val="6D76DA68"/>
    <w:rsid w:val="6D9E45C0"/>
    <w:rsid w:val="6DAADE55"/>
    <w:rsid w:val="6DCA17E9"/>
    <w:rsid w:val="6DCF882A"/>
    <w:rsid w:val="6DF0A114"/>
    <w:rsid w:val="6DF0C75E"/>
    <w:rsid w:val="6E27CFAB"/>
    <w:rsid w:val="6E2AF9E1"/>
    <w:rsid w:val="6E2B20B0"/>
    <w:rsid w:val="6E527068"/>
    <w:rsid w:val="6E6FBC31"/>
    <w:rsid w:val="6E7415ED"/>
    <w:rsid w:val="6E875054"/>
    <w:rsid w:val="6EAE9B75"/>
    <w:rsid w:val="6EB44E41"/>
    <w:rsid w:val="6EBF2032"/>
    <w:rsid w:val="6EDA6F7F"/>
    <w:rsid w:val="6EEA6745"/>
    <w:rsid w:val="6EF70DB3"/>
    <w:rsid w:val="6F40BFB0"/>
    <w:rsid w:val="6F5CCE33"/>
    <w:rsid w:val="6F5DB750"/>
    <w:rsid w:val="6F70AB67"/>
    <w:rsid w:val="6F787310"/>
    <w:rsid w:val="6FA5124B"/>
    <w:rsid w:val="6FA7B396"/>
    <w:rsid w:val="6FBC400B"/>
    <w:rsid w:val="6FD81CB7"/>
    <w:rsid w:val="6FFA85DF"/>
    <w:rsid w:val="7009AEF3"/>
    <w:rsid w:val="7011AB85"/>
    <w:rsid w:val="7020939B"/>
    <w:rsid w:val="7042C8C7"/>
    <w:rsid w:val="704500F3"/>
    <w:rsid w:val="7050E75B"/>
    <w:rsid w:val="70598D03"/>
    <w:rsid w:val="7070AC46"/>
    <w:rsid w:val="707A4EF4"/>
    <w:rsid w:val="707D37C7"/>
    <w:rsid w:val="70837114"/>
    <w:rsid w:val="7083E792"/>
    <w:rsid w:val="70D88D82"/>
    <w:rsid w:val="70E6E7AB"/>
    <w:rsid w:val="70F04DC2"/>
    <w:rsid w:val="70FAC630"/>
    <w:rsid w:val="711B432D"/>
    <w:rsid w:val="71339986"/>
    <w:rsid w:val="7145E30D"/>
    <w:rsid w:val="714765AF"/>
    <w:rsid w:val="715431EB"/>
    <w:rsid w:val="716E72FF"/>
    <w:rsid w:val="7177596D"/>
    <w:rsid w:val="71947B9A"/>
    <w:rsid w:val="71A6D157"/>
    <w:rsid w:val="71B63630"/>
    <w:rsid w:val="71B7159B"/>
    <w:rsid w:val="71C4060C"/>
    <w:rsid w:val="71F68318"/>
    <w:rsid w:val="71FAB155"/>
    <w:rsid w:val="71FFB33E"/>
    <w:rsid w:val="722B1681"/>
    <w:rsid w:val="72639765"/>
    <w:rsid w:val="7272AA9C"/>
    <w:rsid w:val="7287A73B"/>
    <w:rsid w:val="72AF20F7"/>
    <w:rsid w:val="72B28F8D"/>
    <w:rsid w:val="72BCFF14"/>
    <w:rsid w:val="72C4E311"/>
    <w:rsid w:val="72C6CDAC"/>
    <w:rsid w:val="72E62E9B"/>
    <w:rsid w:val="72E7571D"/>
    <w:rsid w:val="72E9A90A"/>
    <w:rsid w:val="72F68BC3"/>
    <w:rsid w:val="732A7059"/>
    <w:rsid w:val="7331F4E5"/>
    <w:rsid w:val="7391C584"/>
    <w:rsid w:val="73A13F2D"/>
    <w:rsid w:val="73A4ABAF"/>
    <w:rsid w:val="73A79B45"/>
    <w:rsid w:val="73AC58DF"/>
    <w:rsid w:val="73B03323"/>
    <w:rsid w:val="73B595C9"/>
    <w:rsid w:val="73BF7929"/>
    <w:rsid w:val="73BFE656"/>
    <w:rsid w:val="73DA9ACC"/>
    <w:rsid w:val="74278B9E"/>
    <w:rsid w:val="742F50A1"/>
    <w:rsid w:val="743741FB"/>
    <w:rsid w:val="743DC375"/>
    <w:rsid w:val="744FA826"/>
    <w:rsid w:val="74542E96"/>
    <w:rsid w:val="74552106"/>
    <w:rsid w:val="745F17D5"/>
    <w:rsid w:val="746723F6"/>
    <w:rsid w:val="746FCD60"/>
    <w:rsid w:val="74817835"/>
    <w:rsid w:val="74976468"/>
    <w:rsid w:val="74AB6A14"/>
    <w:rsid w:val="74AC7678"/>
    <w:rsid w:val="74B095FC"/>
    <w:rsid w:val="74BD2FE0"/>
    <w:rsid w:val="74C6CFBA"/>
    <w:rsid w:val="74DA5359"/>
    <w:rsid w:val="74E64C22"/>
    <w:rsid w:val="74EDE566"/>
    <w:rsid w:val="74F26FA8"/>
    <w:rsid w:val="74F5AD9B"/>
    <w:rsid w:val="74FB43B3"/>
    <w:rsid w:val="750FC2EF"/>
    <w:rsid w:val="751F0D5A"/>
    <w:rsid w:val="752303F5"/>
    <w:rsid w:val="752EB0D7"/>
    <w:rsid w:val="75313DD3"/>
    <w:rsid w:val="75396C7A"/>
    <w:rsid w:val="753B6DB7"/>
    <w:rsid w:val="753F3761"/>
    <w:rsid w:val="75407E84"/>
    <w:rsid w:val="7545133E"/>
    <w:rsid w:val="7551709C"/>
    <w:rsid w:val="7563192D"/>
    <w:rsid w:val="75652295"/>
    <w:rsid w:val="75858B75"/>
    <w:rsid w:val="7587BDA1"/>
    <w:rsid w:val="7593F79D"/>
    <w:rsid w:val="75BD4263"/>
    <w:rsid w:val="75C2B759"/>
    <w:rsid w:val="75DF9009"/>
    <w:rsid w:val="75E9E801"/>
    <w:rsid w:val="75FE1C6C"/>
    <w:rsid w:val="76056B42"/>
    <w:rsid w:val="760819D9"/>
    <w:rsid w:val="760FF0FB"/>
    <w:rsid w:val="762B58D5"/>
    <w:rsid w:val="7648AF7E"/>
    <w:rsid w:val="7651AAC6"/>
    <w:rsid w:val="7673C64D"/>
    <w:rsid w:val="767A9A1F"/>
    <w:rsid w:val="767B13E0"/>
    <w:rsid w:val="767CC9F3"/>
    <w:rsid w:val="76B2A80E"/>
    <w:rsid w:val="76B55DC3"/>
    <w:rsid w:val="76DAD014"/>
    <w:rsid w:val="76FF708D"/>
    <w:rsid w:val="770FB2E0"/>
    <w:rsid w:val="772A985C"/>
    <w:rsid w:val="7737FB6C"/>
    <w:rsid w:val="775BC0D9"/>
    <w:rsid w:val="77781074"/>
    <w:rsid w:val="7787113C"/>
    <w:rsid w:val="77BCF042"/>
    <w:rsid w:val="77C66F2F"/>
    <w:rsid w:val="77CD0D75"/>
    <w:rsid w:val="78006248"/>
    <w:rsid w:val="78225D90"/>
    <w:rsid w:val="782B6995"/>
    <w:rsid w:val="7848E0C1"/>
    <w:rsid w:val="78500D4C"/>
    <w:rsid w:val="785911B7"/>
    <w:rsid w:val="785C9BB4"/>
    <w:rsid w:val="7882D2E2"/>
    <w:rsid w:val="7894918B"/>
    <w:rsid w:val="789A7D68"/>
    <w:rsid w:val="78AC5969"/>
    <w:rsid w:val="78D950F3"/>
    <w:rsid w:val="790679BC"/>
    <w:rsid w:val="7909F6CC"/>
    <w:rsid w:val="7921AA9B"/>
    <w:rsid w:val="7921FA65"/>
    <w:rsid w:val="7936BDB9"/>
    <w:rsid w:val="798DB7AA"/>
    <w:rsid w:val="7992B511"/>
    <w:rsid w:val="7993B4CF"/>
    <w:rsid w:val="79AB8D73"/>
    <w:rsid w:val="79B72175"/>
    <w:rsid w:val="79C00014"/>
    <w:rsid w:val="79CFAFF8"/>
    <w:rsid w:val="79D3EADF"/>
    <w:rsid w:val="79DB4697"/>
    <w:rsid w:val="79E703B7"/>
    <w:rsid w:val="79F0CCC5"/>
    <w:rsid w:val="79F300AD"/>
    <w:rsid w:val="7A15F329"/>
    <w:rsid w:val="7A17AFC1"/>
    <w:rsid w:val="7A19E760"/>
    <w:rsid w:val="7A3A1887"/>
    <w:rsid w:val="7AA27856"/>
    <w:rsid w:val="7AC37E0A"/>
    <w:rsid w:val="7AD68782"/>
    <w:rsid w:val="7ADC2ACE"/>
    <w:rsid w:val="7AE76957"/>
    <w:rsid w:val="7B25CF84"/>
    <w:rsid w:val="7B27C094"/>
    <w:rsid w:val="7B2F9A8A"/>
    <w:rsid w:val="7B336194"/>
    <w:rsid w:val="7B35D543"/>
    <w:rsid w:val="7B3CF989"/>
    <w:rsid w:val="7B54CC0F"/>
    <w:rsid w:val="7B54EDAE"/>
    <w:rsid w:val="7B56446E"/>
    <w:rsid w:val="7B76472F"/>
    <w:rsid w:val="7B9DF214"/>
    <w:rsid w:val="7BC5F0E6"/>
    <w:rsid w:val="7BCD42B6"/>
    <w:rsid w:val="7BDA329C"/>
    <w:rsid w:val="7C0982B7"/>
    <w:rsid w:val="7C1C8643"/>
    <w:rsid w:val="7C204492"/>
    <w:rsid w:val="7C31E16D"/>
    <w:rsid w:val="7C3E2273"/>
    <w:rsid w:val="7C457E2A"/>
    <w:rsid w:val="7C665791"/>
    <w:rsid w:val="7C7EA308"/>
    <w:rsid w:val="7C7F2D0B"/>
    <w:rsid w:val="7C7F92F8"/>
    <w:rsid w:val="7C8BDE7E"/>
    <w:rsid w:val="7C9BFF18"/>
    <w:rsid w:val="7CB2B6C7"/>
    <w:rsid w:val="7CBF7D90"/>
    <w:rsid w:val="7CD60109"/>
    <w:rsid w:val="7CEB0565"/>
    <w:rsid w:val="7CECF897"/>
    <w:rsid w:val="7CF791C0"/>
    <w:rsid w:val="7D17CB72"/>
    <w:rsid w:val="7D29A2CB"/>
    <w:rsid w:val="7D322406"/>
    <w:rsid w:val="7D6034A4"/>
    <w:rsid w:val="7D60639E"/>
    <w:rsid w:val="7D7C2C67"/>
    <w:rsid w:val="7D8FBB68"/>
    <w:rsid w:val="7DB9F3C5"/>
    <w:rsid w:val="7DC2800F"/>
    <w:rsid w:val="7DE512E0"/>
    <w:rsid w:val="7DFC06DC"/>
    <w:rsid w:val="7E029CAD"/>
    <w:rsid w:val="7E054165"/>
    <w:rsid w:val="7E18D453"/>
    <w:rsid w:val="7E26A0A2"/>
    <w:rsid w:val="7E32A0BB"/>
    <w:rsid w:val="7E44FC69"/>
    <w:rsid w:val="7E66A71D"/>
    <w:rsid w:val="7E680309"/>
    <w:rsid w:val="7E7298D1"/>
    <w:rsid w:val="7E80FD6E"/>
    <w:rsid w:val="7E8FFD70"/>
    <w:rsid w:val="7E95279F"/>
    <w:rsid w:val="7EA7FC09"/>
    <w:rsid w:val="7EB2E270"/>
    <w:rsid w:val="7EB5ED4B"/>
    <w:rsid w:val="7EC781B7"/>
    <w:rsid w:val="7ED8952B"/>
    <w:rsid w:val="7EDD1C84"/>
    <w:rsid w:val="7EF4F307"/>
    <w:rsid w:val="7F0333B3"/>
    <w:rsid w:val="7F061929"/>
    <w:rsid w:val="7F23C87A"/>
    <w:rsid w:val="7F331341"/>
    <w:rsid w:val="7F500582"/>
    <w:rsid w:val="7F6549D8"/>
    <w:rsid w:val="7F6D8A85"/>
    <w:rsid w:val="7F723490"/>
    <w:rsid w:val="7F738356"/>
    <w:rsid w:val="7F7E44D3"/>
    <w:rsid w:val="7F82B100"/>
    <w:rsid w:val="7FCCA017"/>
    <w:rsid w:val="7FEB4C36"/>
    <w:rsid w:val="7FED20D7"/>
    <w:rsid w:val="7FF58B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4F180"/>
  <w15:docId w15:val="{3AAAB5D6-ADDA-4B21-B886-78CC3748D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qFormat="1"/>
    <w:lsdException w:name="annotation text" w:semiHidden="1" w:uiPriority="99"/>
    <w:lsdException w:name="header" w:uiPriority="2"/>
    <w:lsdException w:name="footer" w:uiPriority="2"/>
    <w:lsdException w:name="index heading" w:semiHidden="1"/>
    <w:lsdException w:name="caption" w:uiPriority="35" w:qFormat="1"/>
    <w:lsdException w:name="table of figures" w:semiHidden="1" w:uiPriority="99"/>
    <w:lsdException w:name="envelope address" w:semiHidden="1"/>
    <w:lsdException w:name="envelope return" w:semiHidden="1"/>
    <w:lsdException w:name="footnote reference" w:semiHidden="1"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uiPriority="99"/>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lsdException w:name="Body Text" w:semiHidden="1"/>
    <w:lsdException w:name="Body Text Indent" w:semiHidden="1" w:uiPriority="99"/>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Grid Table 5 Dark Accent 1" w:uiPriority="50"/>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1"/>
    <w:qFormat/>
    <w:rsid w:val="00DC57A2"/>
    <w:pPr>
      <w:spacing w:after="120" w:line="264" w:lineRule="auto"/>
      <w:jc w:val="both"/>
    </w:pPr>
    <w:rPr>
      <w:sz w:val="22"/>
    </w:rPr>
  </w:style>
  <w:style w:type="paragraph" w:styleId="Heading1">
    <w:name w:val="heading 1"/>
    <w:basedOn w:val="Normal"/>
    <w:next w:val="Normal"/>
    <w:autoRedefine/>
    <w:uiPriority w:val="1"/>
    <w:qFormat/>
    <w:rsid w:val="00B147F9"/>
    <w:pPr>
      <w:keepNext/>
      <w:numPr>
        <w:numId w:val="12"/>
      </w:numPr>
      <w:tabs>
        <w:tab w:val="left" w:pos="510"/>
      </w:tabs>
      <w:spacing w:before="480"/>
      <w:outlineLvl w:val="0"/>
    </w:pPr>
    <w:rPr>
      <w:b/>
      <w:smallCaps/>
      <w:sz w:val="26"/>
    </w:rPr>
  </w:style>
  <w:style w:type="paragraph" w:styleId="Heading2">
    <w:name w:val="heading 2"/>
    <w:basedOn w:val="Normal"/>
    <w:next w:val="Normal"/>
    <w:link w:val="Heading2Char"/>
    <w:autoRedefine/>
    <w:uiPriority w:val="1"/>
    <w:qFormat/>
    <w:rsid w:val="00A01F05"/>
    <w:pPr>
      <w:keepNext/>
      <w:numPr>
        <w:ilvl w:val="1"/>
        <w:numId w:val="12"/>
      </w:numPr>
      <w:tabs>
        <w:tab w:val="left" w:pos="737"/>
      </w:tabs>
      <w:spacing w:before="420"/>
      <w:outlineLvl w:val="1"/>
    </w:pPr>
    <w:rPr>
      <w:b/>
      <w:sz w:val="26"/>
    </w:rPr>
  </w:style>
  <w:style w:type="paragraph" w:styleId="Heading3">
    <w:name w:val="heading 3"/>
    <w:basedOn w:val="Normal"/>
    <w:next w:val="Normal"/>
    <w:link w:val="Heading3Char"/>
    <w:autoRedefine/>
    <w:uiPriority w:val="1"/>
    <w:qFormat/>
    <w:rsid w:val="00F43E85"/>
    <w:pPr>
      <w:keepNext/>
      <w:numPr>
        <w:ilvl w:val="2"/>
        <w:numId w:val="12"/>
      </w:numPr>
      <w:tabs>
        <w:tab w:val="left" w:pos="935"/>
      </w:tabs>
      <w:spacing w:before="360"/>
      <w:outlineLvl w:val="2"/>
    </w:pPr>
    <w:rPr>
      <w:b/>
      <w:sz w:val="24"/>
    </w:rPr>
  </w:style>
  <w:style w:type="paragraph" w:styleId="Heading4">
    <w:name w:val="heading 4"/>
    <w:basedOn w:val="Normal"/>
    <w:next w:val="Normal"/>
    <w:uiPriority w:val="1"/>
    <w:qFormat/>
    <w:pPr>
      <w:keepNext/>
      <w:numPr>
        <w:ilvl w:val="3"/>
        <w:numId w:val="12"/>
      </w:numPr>
      <w:tabs>
        <w:tab w:val="left" w:pos="1049"/>
      </w:tabs>
      <w:spacing w:before="360"/>
      <w:outlineLvl w:val="3"/>
    </w:pPr>
    <w:rPr>
      <w:b/>
    </w:rPr>
  </w:style>
  <w:style w:type="paragraph" w:styleId="Heading5">
    <w:name w:val="heading 5"/>
    <w:basedOn w:val="Normal"/>
    <w:next w:val="Normal"/>
    <w:semiHidden/>
    <w:pPr>
      <w:keepNext/>
      <w:numPr>
        <w:ilvl w:val="4"/>
        <w:numId w:val="12"/>
      </w:numPr>
      <w:outlineLvl w:val="4"/>
    </w:pPr>
  </w:style>
  <w:style w:type="paragraph" w:styleId="Heading6">
    <w:name w:val="heading 6"/>
    <w:basedOn w:val="Normal"/>
    <w:next w:val="Normal"/>
    <w:semiHidden/>
    <w:pPr>
      <w:keepNext/>
      <w:numPr>
        <w:ilvl w:val="5"/>
        <w:numId w:val="12"/>
      </w:numPr>
      <w:outlineLvl w:val="5"/>
    </w:pPr>
  </w:style>
  <w:style w:type="paragraph" w:styleId="Heading7">
    <w:name w:val="heading 7"/>
    <w:basedOn w:val="Normal"/>
    <w:next w:val="Normal"/>
    <w:semiHidden/>
    <w:pPr>
      <w:keepNext/>
      <w:numPr>
        <w:ilvl w:val="6"/>
        <w:numId w:val="12"/>
      </w:numPr>
      <w:outlineLvl w:val="6"/>
    </w:pPr>
  </w:style>
  <w:style w:type="paragraph" w:styleId="Heading8">
    <w:name w:val="heading 8"/>
    <w:basedOn w:val="Normal"/>
    <w:next w:val="Normal"/>
    <w:semiHidden/>
    <w:pPr>
      <w:keepNext/>
      <w:numPr>
        <w:ilvl w:val="7"/>
        <w:numId w:val="12"/>
      </w:numPr>
      <w:outlineLvl w:val="7"/>
    </w:pPr>
  </w:style>
  <w:style w:type="paragraph" w:styleId="Heading9">
    <w:name w:val="heading 9"/>
    <w:basedOn w:val="Normal"/>
    <w:next w:val="Normal"/>
    <w:semiHidden/>
    <w:pPr>
      <w:keepNext/>
      <w:numPr>
        <w:ilvl w:val="8"/>
        <w:numId w:val="1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uiPriority w:val="99"/>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5"/>
      </w:numPr>
      <w:spacing w:before="240" w:after="360"/>
      <w:outlineLvl w:val="0"/>
    </w:pPr>
    <w:rPr>
      <w:b/>
      <w:sz w:val="36"/>
    </w:rPr>
  </w:style>
  <w:style w:type="paragraph" w:styleId="Caption">
    <w:name w:val="caption"/>
    <w:basedOn w:val="Normal"/>
    <w:next w:val="Normal"/>
    <w:uiPriority w:val="35"/>
    <w:qFormat/>
    <w:pPr>
      <w:spacing w:before="120"/>
    </w:pPr>
    <w:rPr>
      <w:b/>
      <w:i/>
    </w:rPr>
  </w:style>
  <w:style w:type="paragraph" w:customStyle="1" w:styleId="ChapterTitle">
    <w:name w:val="ChapterTitle"/>
    <w:basedOn w:val="Normal"/>
    <w:next w:val="SectionTitle"/>
    <w:uiPriority w:val="1"/>
    <w:qFormat/>
    <w:pPr>
      <w:keepNext/>
      <w:spacing w:before="720" w:after="360"/>
      <w:jc w:val="center"/>
      <w:outlineLvl w:val="0"/>
    </w:pPr>
    <w:rPr>
      <w:b/>
      <w:sz w:val="36"/>
    </w:rPr>
  </w:style>
  <w:style w:type="paragraph" w:customStyle="1" w:styleId="Contact">
    <w:name w:val="Contact"/>
    <w:basedOn w:val="Normal"/>
    <w:uiPriority w:val="2"/>
    <w:pPr>
      <w:spacing w:before="480" w:after="240"/>
      <w:ind w:left="567" w:hanging="567"/>
      <w:jc w:val="left"/>
    </w:pPr>
  </w:style>
  <w:style w:type="paragraph" w:customStyle="1" w:styleId="ContNum">
    <w:name w:val="ContNum"/>
    <w:basedOn w:val="Normal"/>
    <w:uiPriority w:val="1"/>
    <w:qFormat/>
    <w:pPr>
      <w:numPr>
        <w:numId w:val="6"/>
      </w:numPr>
    </w:pPr>
  </w:style>
  <w:style w:type="paragraph" w:customStyle="1" w:styleId="ContNumLevel2">
    <w:name w:val="ContNum (Level 2)"/>
    <w:basedOn w:val="Normal"/>
    <w:uiPriority w:val="1"/>
    <w:pPr>
      <w:numPr>
        <w:ilvl w:val="1"/>
        <w:numId w:val="6"/>
      </w:numPr>
    </w:pPr>
  </w:style>
  <w:style w:type="paragraph" w:customStyle="1" w:styleId="ContNumLevel3">
    <w:name w:val="ContNum (Level 3)"/>
    <w:basedOn w:val="Normal"/>
    <w:uiPriority w:val="1"/>
    <w:pPr>
      <w:numPr>
        <w:ilvl w:val="2"/>
        <w:numId w:val="6"/>
      </w:numPr>
    </w:pPr>
  </w:style>
  <w:style w:type="paragraph" w:styleId="Date">
    <w:name w:val="Date"/>
    <w:basedOn w:val="Normal"/>
    <w:next w:val="References"/>
    <w:uiPriority w:val="1"/>
    <w:pPr>
      <w:spacing w:after="0"/>
      <w:ind w:left="5102" w:right="-567"/>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line="240" w:lineRule="auto"/>
    </w:pPr>
  </w:style>
  <w:style w:type="paragraph" w:customStyle="1" w:styleId="FigureSource">
    <w:name w:val="Figure Source"/>
    <w:basedOn w:val="Normal"/>
    <w:next w:val="Normal"/>
    <w:uiPriority w:val="2"/>
    <w:pPr>
      <w:spacing w:after="240" w:line="240" w:lineRule="auto"/>
    </w:pPr>
    <w:rPr>
      <w:sz w:val="18"/>
    </w:rPr>
  </w:style>
  <w:style w:type="paragraph" w:customStyle="1" w:styleId="FigureTitle">
    <w:name w:val="Figure Title"/>
    <w:basedOn w:val="Normal"/>
    <w:next w:val="FigureBody"/>
    <w:uiPriority w:val="2"/>
    <w:pPr>
      <w:keepNext/>
      <w:spacing w:before="120"/>
    </w:pPr>
    <w:rPr>
      <w:b/>
      <w:i/>
    </w:rPr>
  </w:style>
  <w:style w:type="paragraph" w:customStyle="1" w:styleId="FITTable">
    <w:name w:val="FIT Table"/>
    <w:basedOn w:val="Normal"/>
    <w:uiPriority w:val="2"/>
    <w:pPr>
      <w:spacing w:before="60" w:after="60"/>
    </w:pPr>
  </w:style>
  <w:style w:type="paragraph" w:customStyle="1" w:styleId="FooterLine">
    <w:name w:val="Footer Line"/>
    <w:basedOn w:val="Footer"/>
    <w:next w:val="Footer"/>
    <w:uiPriority w:val="2"/>
    <w:pPr>
      <w:pBdr>
        <w:top w:val="single" w:sz="4" w:space="1" w:color="auto"/>
      </w:pBdr>
      <w:tabs>
        <w:tab w:val="right" w:pos="8646"/>
      </w:tabs>
      <w:spacing w:before="120"/>
      <w:ind w:right="0"/>
    </w:pPr>
  </w:style>
  <w:style w:type="paragraph" w:styleId="FootnoteText">
    <w:name w:val="footnote text"/>
    <w:aliases w:val="Fußnote,fn,Footnotes,Footnote ak,ft,Char,Carattere,Footnote Text Char Char,fn Char Char,footnote text Char Char,Footnotes Char Char,Footnote ak Char Char,fn Char1,footnote text Char1,Footnotes Char1,Footnote Text Char1 Char,footnote text1"/>
    <w:basedOn w:val="Normal"/>
    <w:link w:val="FootnoteTextChar"/>
    <w:unhideWhenUsed/>
    <w:qFormat/>
    <w:pPr>
      <w:ind w:left="357" w:hanging="357"/>
    </w:pPr>
    <w:rPr>
      <w:sz w:val="20"/>
    </w:rPr>
  </w:style>
  <w:style w:type="paragraph" w:customStyle="1" w:styleId="Glossary">
    <w:name w:val="Glossary"/>
    <w:basedOn w:val="Normal"/>
    <w:uiPriority w:val="2"/>
    <w:pPr>
      <w:tabs>
        <w:tab w:val="left" w:pos="2835"/>
      </w:tabs>
      <w:ind w:left="2835" w:hanging="2835"/>
      <w:jc w:val="left"/>
    </w:pPr>
  </w:style>
  <w:style w:type="paragraph" w:customStyle="1" w:styleId="GlossaryHeading">
    <w:name w:val="GlossaryHeading"/>
    <w:basedOn w:val="Normal"/>
    <w:uiPriority w:val="2"/>
    <w:pPr>
      <w:spacing w:after="480"/>
      <w:jc w:val="center"/>
      <w:outlineLvl w:val="0"/>
    </w:pPr>
    <w:rPr>
      <w:rFonts w:ascii="Times New Roman Bold" w:hAnsi="Times New Roman Bold"/>
      <w:b/>
      <w:sz w:val="32"/>
    </w:rPr>
  </w:style>
  <w:style w:type="paragraph" w:customStyle="1" w:styleId="HistoryTable">
    <w:name w:val="HistoryTable"/>
    <w:basedOn w:val="Normal"/>
    <w:uiPriority w:val="2"/>
    <w:pPr>
      <w:spacing w:before="60" w:after="60"/>
    </w:pPr>
    <w:rPr>
      <w:sz w:val="20"/>
    </w:rPr>
  </w:style>
  <w:style w:type="paragraph" w:customStyle="1" w:styleId="HistTableHeading">
    <w:name w:val="HistTableHeading"/>
    <w:basedOn w:val="Normal"/>
    <w:next w:val="HistoryTable"/>
    <w:uiPriority w:val="2"/>
    <w:pPr>
      <w:jc w:val="center"/>
    </w:pPr>
    <w:rPr>
      <w:rFonts w:ascii="Times New Roman Bold" w:hAnsi="Times New Roman Bold"/>
      <w:b/>
      <w:sz w:val="32"/>
    </w:rPr>
  </w:style>
  <w:style w:type="paragraph" w:customStyle="1" w:styleId="LegalNumPar">
    <w:name w:val="LegalNumPar"/>
    <w:basedOn w:val="Normal"/>
    <w:uiPriority w:val="1"/>
    <w:qFormat/>
    <w:pPr>
      <w:numPr>
        <w:numId w:val="7"/>
      </w:numPr>
      <w:spacing w:line="360" w:lineRule="auto"/>
    </w:pPr>
    <w:rPr>
      <w:sz w:val="24"/>
    </w:rPr>
  </w:style>
  <w:style w:type="paragraph" w:customStyle="1" w:styleId="LegalNumPar2">
    <w:name w:val="LegalNumPar2"/>
    <w:basedOn w:val="Normal"/>
    <w:uiPriority w:val="1"/>
    <w:pPr>
      <w:numPr>
        <w:ilvl w:val="1"/>
        <w:numId w:val="7"/>
      </w:numPr>
      <w:spacing w:line="360" w:lineRule="auto"/>
    </w:pPr>
    <w:rPr>
      <w:sz w:val="24"/>
    </w:rPr>
  </w:style>
  <w:style w:type="paragraph" w:customStyle="1" w:styleId="LegalNumPar3">
    <w:name w:val="LegalNumPar3"/>
    <w:basedOn w:val="Normal"/>
    <w:uiPriority w:val="1"/>
    <w:pPr>
      <w:numPr>
        <w:ilvl w:val="2"/>
        <w:numId w:val="7"/>
      </w:numPr>
      <w:spacing w:line="360" w:lineRule="auto"/>
    </w:pPr>
    <w:rPr>
      <w:sz w:val="24"/>
    </w:rPr>
  </w:style>
  <w:style w:type="paragraph" w:styleId="ListBullet">
    <w:name w:val="List Bullet"/>
    <w:basedOn w:val="Normal"/>
    <w:uiPriority w:val="1"/>
    <w:pPr>
      <w:numPr>
        <w:numId w:val="18"/>
      </w:numPr>
      <w:contextualSpacing/>
    </w:pPr>
  </w:style>
  <w:style w:type="paragraph" w:customStyle="1" w:styleId="ListBulletLevel2">
    <w:name w:val="List Bullet (Level 2)"/>
    <w:basedOn w:val="Normal"/>
    <w:uiPriority w:val="1"/>
    <w:pPr>
      <w:numPr>
        <w:ilvl w:val="1"/>
        <w:numId w:val="18"/>
      </w:numPr>
      <w:contextualSpacing/>
    </w:pPr>
  </w:style>
  <w:style w:type="paragraph" w:customStyle="1" w:styleId="ListBulletLevel3">
    <w:name w:val="List Bullet (Level 3)"/>
    <w:basedOn w:val="Normal"/>
    <w:uiPriority w:val="1"/>
    <w:semiHidden/>
    <w:unhideWhenUsed/>
    <w:pPr>
      <w:numPr>
        <w:ilvl w:val="2"/>
        <w:numId w:val="18"/>
      </w:numPr>
      <w:contextualSpacing/>
    </w:pPr>
  </w:style>
  <w:style w:type="paragraph" w:customStyle="1" w:styleId="ListBulletLevel4">
    <w:name w:val="List Bullet (Level 4)"/>
    <w:basedOn w:val="Normal"/>
    <w:uiPriority w:val="1"/>
    <w:semiHidden/>
    <w:unhideWhenUsed/>
    <w:pPr>
      <w:numPr>
        <w:ilvl w:val="3"/>
        <w:numId w:val="18"/>
      </w:numPr>
      <w:contextualSpacing/>
    </w:pPr>
  </w:style>
  <w:style w:type="paragraph" w:customStyle="1" w:styleId="ListDash">
    <w:name w:val="List Dash"/>
    <w:basedOn w:val="Normal"/>
    <w:uiPriority w:val="1"/>
    <w:pPr>
      <w:numPr>
        <w:numId w:val="11"/>
      </w:numPr>
      <w:contextualSpacing/>
    </w:pPr>
  </w:style>
  <w:style w:type="paragraph" w:customStyle="1" w:styleId="ListDashLevel2">
    <w:name w:val="List Dash (Level 2)"/>
    <w:basedOn w:val="Normal"/>
    <w:uiPriority w:val="1"/>
    <w:pPr>
      <w:numPr>
        <w:ilvl w:val="1"/>
        <w:numId w:val="11"/>
      </w:numPr>
      <w:contextualSpacing/>
    </w:pPr>
  </w:style>
  <w:style w:type="paragraph" w:customStyle="1" w:styleId="ListDashLevel3">
    <w:name w:val="List Dash (Level 3)"/>
    <w:basedOn w:val="Normal"/>
    <w:uiPriority w:val="1"/>
    <w:semiHidden/>
    <w:unhideWhenUsed/>
    <w:pPr>
      <w:numPr>
        <w:ilvl w:val="2"/>
        <w:numId w:val="11"/>
      </w:numPr>
      <w:contextualSpacing/>
    </w:pPr>
  </w:style>
  <w:style w:type="paragraph" w:customStyle="1" w:styleId="ListDashLevel4">
    <w:name w:val="List Dash (Level 4)"/>
    <w:basedOn w:val="Normal"/>
    <w:uiPriority w:val="1"/>
    <w:semiHidden/>
    <w:unhideWhenUsed/>
    <w:pPr>
      <w:numPr>
        <w:ilvl w:val="3"/>
        <w:numId w:val="11"/>
      </w:numPr>
      <w:contextualSpacing/>
    </w:pPr>
  </w:style>
  <w:style w:type="paragraph" w:styleId="ListNumber">
    <w:name w:val="List Number"/>
    <w:basedOn w:val="Normal"/>
    <w:pPr>
      <w:numPr>
        <w:numId w:val="17"/>
      </w:numPr>
      <w:contextualSpacing/>
    </w:pPr>
  </w:style>
  <w:style w:type="paragraph" w:customStyle="1" w:styleId="ListNumberLevel2">
    <w:name w:val="List Number (Level 2)"/>
    <w:basedOn w:val="Normal"/>
    <w:pPr>
      <w:numPr>
        <w:ilvl w:val="1"/>
        <w:numId w:val="17"/>
      </w:numPr>
      <w:contextualSpacing/>
    </w:pPr>
  </w:style>
  <w:style w:type="paragraph" w:customStyle="1" w:styleId="ListNumberLevel3">
    <w:name w:val="List Number (Level 3)"/>
    <w:basedOn w:val="Normal"/>
    <w:unhideWhenUsed/>
    <w:pPr>
      <w:numPr>
        <w:ilvl w:val="2"/>
        <w:numId w:val="17"/>
      </w:numPr>
      <w:contextualSpacing/>
    </w:pPr>
  </w:style>
  <w:style w:type="paragraph" w:customStyle="1" w:styleId="ListNumberLevel4">
    <w:name w:val="List Number (Level 4)"/>
    <w:basedOn w:val="Normal"/>
    <w:unhideWhenUsed/>
    <w:pPr>
      <w:numPr>
        <w:ilvl w:val="3"/>
        <w:numId w:val="17"/>
      </w:numPr>
      <w:contextualSpacing/>
    </w:pPr>
  </w:style>
  <w:style w:type="paragraph" w:customStyle="1" w:styleId="Marking">
    <w:name w:val="Marking"/>
    <w:basedOn w:val="Normal"/>
    <w:semiHidden/>
    <w:pPr>
      <w:spacing w:line="240" w:lineRule="auto"/>
      <w:ind w:left="5102" w:right="-567"/>
      <w:contextualSpacing/>
      <w:jc w:val="left"/>
    </w:pPr>
    <w:rPr>
      <w:sz w:val="28"/>
    </w:rPr>
  </w:style>
  <w:style w:type="paragraph" w:customStyle="1" w:styleId="NumPar1">
    <w:name w:val="NumPar 1"/>
    <w:basedOn w:val="Heading1"/>
    <w:uiPriority w:val="1"/>
    <w:qFormat/>
    <w:pPr>
      <w:keepNext w:val="0"/>
      <w:spacing w:before="0"/>
      <w:ind w:left="0" w:firstLine="0"/>
      <w:outlineLvl w:val="9"/>
    </w:pPr>
    <w:rPr>
      <w:b w:val="0"/>
      <w:smallCaps w:val="0"/>
      <w:sz w:val="22"/>
    </w:rPr>
  </w:style>
  <w:style w:type="paragraph" w:customStyle="1" w:styleId="NumPar2">
    <w:name w:val="NumPar 2"/>
    <w:basedOn w:val="Heading2"/>
    <w:uiPriority w:val="1"/>
    <w:qFormat/>
    <w:pPr>
      <w:keepNext w:val="0"/>
      <w:spacing w:before="0"/>
      <w:ind w:left="0" w:firstLine="0"/>
      <w:outlineLvl w:val="9"/>
    </w:pPr>
    <w:rPr>
      <w:b w:val="0"/>
      <w:sz w:val="22"/>
    </w:rPr>
  </w:style>
  <w:style w:type="paragraph" w:customStyle="1" w:styleId="NumPar3">
    <w:name w:val="NumPar 3"/>
    <w:basedOn w:val="Heading3"/>
    <w:uiPriority w:val="1"/>
    <w:qFormat/>
    <w:pPr>
      <w:keepNext w:val="0"/>
      <w:spacing w:before="0"/>
      <w:ind w:left="0" w:firstLine="0"/>
      <w:outlineLvl w:val="9"/>
    </w:pPr>
    <w:rPr>
      <w:b w:val="0"/>
      <w:sz w:val="22"/>
    </w:rPr>
  </w:style>
  <w:style w:type="paragraph" w:customStyle="1" w:styleId="NumPar4">
    <w:name w:val="NumPar 4"/>
    <w:basedOn w:val="Heading4"/>
    <w:uiPriority w:val="1"/>
    <w:qFormat/>
    <w:pPr>
      <w:keepNext w:val="0"/>
      <w:spacing w:before="0"/>
      <w:ind w:left="0" w:firstLine="0"/>
      <w:outlineLvl w:val="9"/>
    </w:pPr>
    <w:rPr>
      <w:b w:val="0"/>
    </w:rPr>
  </w:style>
  <w:style w:type="paragraph" w:customStyle="1" w:styleId="PartTitle">
    <w:name w:val="PartTitle"/>
    <w:basedOn w:val="Normal"/>
    <w:next w:val="ChapterTitle"/>
    <w:uiPriority w:val="1"/>
    <w:qFormat/>
    <w:pPr>
      <w:keepNext/>
      <w:pageBreakBefore/>
      <w:spacing w:before="720" w:after="360"/>
      <w:jc w:val="center"/>
      <w:outlineLvl w:val="0"/>
    </w:pPr>
    <w:rPr>
      <w:b/>
      <w:sz w:val="40"/>
    </w:rPr>
  </w:style>
  <w:style w:type="paragraph" w:customStyle="1" w:styleId="References">
    <w:name w:val="References"/>
    <w:uiPriority w:val="2"/>
    <w:pPr>
      <w:tabs>
        <w:tab w:val="num" w:pos="397"/>
        <w:tab w:val="num" w:pos="709"/>
      </w:tabs>
      <w:ind w:left="709" w:hanging="709"/>
    </w:pPr>
  </w:style>
  <w:style w:type="paragraph" w:customStyle="1" w:styleId="SectionTitle">
    <w:name w:val="SectionTitle"/>
    <w:basedOn w:val="Normal"/>
    <w:next w:val="Heading1"/>
    <w:uiPriority w:val="1"/>
    <w:qFormat/>
    <w:pPr>
      <w:keepNext/>
      <w:spacing w:before="720" w:after="360"/>
      <w:contextualSpacing/>
      <w:jc w:val="center"/>
      <w:outlineLvl w:val="0"/>
    </w:pPr>
    <w:rPr>
      <w:rFonts w:ascii="Times New Roman Bold" w:hAnsi="Times New Roman Bold"/>
      <w:b/>
      <w:smallCaps/>
      <w:sz w:val="32"/>
    </w:rPr>
  </w:style>
  <w:style w:type="paragraph" w:customStyle="1" w:styleId="SubTitle1">
    <w:name w:val="SubTitle 1"/>
    <w:basedOn w:val="Normal"/>
    <w:next w:val="Normal"/>
    <w:uiPriority w:val="1"/>
    <w:qFormat/>
    <w:pPr>
      <w:spacing w:before="360" w:after="2000"/>
      <w:jc w:val="center"/>
    </w:pPr>
    <w:rPr>
      <w:b/>
      <w:sz w:val="40"/>
    </w:rPr>
  </w:style>
  <w:style w:type="paragraph" w:customStyle="1" w:styleId="SubTitle2">
    <w:name w:val="SubTitle 2"/>
    <w:basedOn w:val="Normal"/>
    <w:uiPriority w:val="1"/>
    <w:qFormat/>
    <w:pPr>
      <w:spacing w:after="280"/>
      <w:jc w:val="center"/>
    </w:pPr>
    <w:rPr>
      <w:b/>
      <w:sz w:val="32"/>
    </w:rPr>
  </w:style>
  <w:style w:type="paragraph" w:customStyle="1" w:styleId="TableListBullet">
    <w:name w:val="Table List Bullet"/>
    <w:basedOn w:val="TableText"/>
    <w:uiPriority w:val="1"/>
    <w:pPr>
      <w:numPr>
        <w:numId w:val="10"/>
      </w:numPr>
    </w:pPr>
  </w:style>
  <w:style w:type="paragraph" w:customStyle="1" w:styleId="TableListBulletLevel2">
    <w:name w:val="Table List Bullet (Level 2)"/>
    <w:basedOn w:val="TableText"/>
    <w:uiPriority w:val="1"/>
    <w:pPr>
      <w:numPr>
        <w:ilvl w:val="1"/>
        <w:numId w:val="10"/>
      </w:numPr>
    </w:pPr>
  </w:style>
  <w:style w:type="paragraph" w:customStyle="1" w:styleId="TableListBulletLevel3">
    <w:name w:val="Table List Bullet (Level 3)"/>
    <w:basedOn w:val="TableText"/>
    <w:uiPriority w:val="1"/>
    <w:semiHidden/>
    <w:unhideWhenUsed/>
    <w:pPr>
      <w:numPr>
        <w:ilvl w:val="2"/>
        <w:numId w:val="10"/>
      </w:numPr>
    </w:pPr>
  </w:style>
  <w:style w:type="paragraph" w:customStyle="1" w:styleId="TableListBulletLevel4">
    <w:name w:val="Table List Bullet (Level 4)"/>
    <w:basedOn w:val="TableText"/>
    <w:uiPriority w:val="1"/>
    <w:semiHidden/>
    <w:unhideWhenUsed/>
    <w:pPr>
      <w:numPr>
        <w:ilvl w:val="3"/>
        <w:numId w:val="10"/>
      </w:numPr>
    </w:pPr>
  </w:style>
  <w:style w:type="paragraph" w:customStyle="1" w:styleId="TableListDash">
    <w:name w:val="Table List Dash"/>
    <w:basedOn w:val="TableText"/>
    <w:uiPriority w:val="1"/>
    <w:pPr>
      <w:numPr>
        <w:numId w:val="9"/>
      </w:numPr>
    </w:pPr>
  </w:style>
  <w:style w:type="paragraph" w:customStyle="1" w:styleId="TableListDashLevel2">
    <w:name w:val="Table List Dash (Level 2)"/>
    <w:basedOn w:val="TableText"/>
    <w:uiPriority w:val="1"/>
    <w:pPr>
      <w:numPr>
        <w:ilvl w:val="1"/>
        <w:numId w:val="9"/>
      </w:numPr>
    </w:pPr>
  </w:style>
  <w:style w:type="paragraph" w:customStyle="1" w:styleId="TableListDashLevel3">
    <w:name w:val="Table List Dash (Level 3)"/>
    <w:basedOn w:val="TableText"/>
    <w:uiPriority w:val="1"/>
    <w:semiHidden/>
    <w:unhideWhenUsed/>
    <w:pPr>
      <w:numPr>
        <w:ilvl w:val="2"/>
        <w:numId w:val="9"/>
      </w:numPr>
    </w:pPr>
  </w:style>
  <w:style w:type="paragraph" w:customStyle="1" w:styleId="TableListDashLevel4">
    <w:name w:val="Table List Dash (Level 4)"/>
    <w:basedOn w:val="TableText"/>
    <w:uiPriority w:val="1"/>
    <w:semiHidden/>
    <w:unhideWhenUsed/>
    <w:pPr>
      <w:numPr>
        <w:ilvl w:val="3"/>
        <w:numId w:val="9"/>
      </w:numPr>
    </w:pPr>
  </w:style>
  <w:style w:type="paragraph" w:customStyle="1" w:styleId="TableListNumber">
    <w:name w:val="Table List Number"/>
    <w:basedOn w:val="TableText"/>
    <w:uiPriority w:val="1"/>
    <w:pPr>
      <w:numPr>
        <w:numId w:val="8"/>
      </w:numPr>
    </w:pPr>
  </w:style>
  <w:style w:type="paragraph" w:customStyle="1" w:styleId="TableListNumberLevel2">
    <w:name w:val="Table List Number (Level 2)"/>
    <w:basedOn w:val="TableText"/>
    <w:uiPriority w:val="1"/>
    <w:pPr>
      <w:numPr>
        <w:ilvl w:val="1"/>
        <w:numId w:val="8"/>
      </w:numPr>
    </w:pPr>
  </w:style>
  <w:style w:type="paragraph" w:customStyle="1" w:styleId="TableListNumberLevel3">
    <w:name w:val="Table List Number (Level 3)"/>
    <w:basedOn w:val="TableText"/>
    <w:uiPriority w:val="1"/>
    <w:semiHidden/>
    <w:unhideWhenUsed/>
    <w:pPr>
      <w:numPr>
        <w:ilvl w:val="2"/>
        <w:numId w:val="8"/>
      </w:numPr>
    </w:pPr>
  </w:style>
  <w:style w:type="paragraph" w:customStyle="1" w:styleId="TableListNumberLevel4">
    <w:name w:val="Table List Number (Level 4)"/>
    <w:basedOn w:val="TableText"/>
    <w:uiPriority w:val="1"/>
    <w:semiHidden/>
    <w:unhideWhenUsed/>
    <w:pPr>
      <w:numPr>
        <w:ilvl w:val="3"/>
        <w:numId w:val="8"/>
      </w:numPr>
    </w:pPr>
  </w:style>
  <w:style w:type="paragraph" w:customStyle="1" w:styleId="TableSource">
    <w:name w:val="Table Source"/>
    <w:basedOn w:val="Normal"/>
    <w:next w:val="Normal"/>
    <w:semiHidden/>
    <w:unhideWhenUsed/>
    <w:pPr>
      <w:spacing w:after="240"/>
    </w:pPr>
    <w:rPr>
      <w:sz w:val="18"/>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before="120"/>
    </w:pPr>
    <w:rPr>
      <w:b/>
      <w:i/>
    </w:rPr>
  </w:style>
  <w:style w:type="paragraph" w:styleId="Title">
    <w:name w:val="Title"/>
    <w:basedOn w:val="Normal"/>
    <w:next w:val="SubTitle1"/>
    <w:uiPriority w:val="1"/>
    <w:qFormat/>
    <w:pPr>
      <w:spacing w:before="3200" w:after="480"/>
      <w:jc w:val="center"/>
    </w:pPr>
    <w:rPr>
      <w:b/>
      <w:kern w:val="28"/>
      <w:sz w:val="48"/>
    </w:rPr>
  </w:style>
  <w:style w:type="paragraph" w:styleId="TOC1">
    <w:name w:val="toc 1"/>
    <w:basedOn w:val="Normal"/>
    <w:next w:val="Normal"/>
    <w:uiPriority w:val="39"/>
    <w:pPr>
      <w:tabs>
        <w:tab w:val="left" w:pos="595"/>
        <w:tab w:val="right" w:leader="dot" w:pos="8640"/>
      </w:tabs>
      <w:spacing w:before="240" w:after="60" w:line="240" w:lineRule="auto"/>
      <w:ind w:left="595" w:right="720" w:hanging="595"/>
    </w:pPr>
    <w:rPr>
      <w:b/>
      <w:sz w:val="20"/>
    </w:rPr>
  </w:style>
  <w:style w:type="paragraph" w:styleId="TOC2">
    <w:name w:val="toc 2"/>
    <w:basedOn w:val="Normal"/>
    <w:next w:val="Normal"/>
    <w:uiPriority w:val="39"/>
    <w:pPr>
      <w:tabs>
        <w:tab w:val="left" w:pos="595"/>
        <w:tab w:val="right" w:leader="dot" w:pos="8640"/>
      </w:tabs>
      <w:spacing w:after="60" w:line="240" w:lineRule="auto"/>
      <w:ind w:left="595" w:right="720" w:hanging="595"/>
    </w:pPr>
    <w:rPr>
      <w:noProof/>
      <w:sz w:val="20"/>
    </w:rPr>
  </w:style>
  <w:style w:type="paragraph" w:styleId="TOC3">
    <w:name w:val="toc 3"/>
    <w:basedOn w:val="Normal"/>
    <w:next w:val="Normal"/>
    <w:uiPriority w:val="39"/>
    <w:pPr>
      <w:tabs>
        <w:tab w:val="left" w:pos="1446"/>
        <w:tab w:val="left" w:pos="1587"/>
        <w:tab w:val="right" w:leader="dot" w:pos="8640"/>
      </w:tabs>
      <w:spacing w:after="60" w:line="240" w:lineRule="auto"/>
      <w:ind w:left="1445" w:right="720" w:hanging="850"/>
    </w:pPr>
    <w:rPr>
      <w:sz w:val="20"/>
    </w:rPr>
  </w:style>
  <w:style w:type="paragraph" w:styleId="TOC4">
    <w:name w:val="toc 4"/>
    <w:basedOn w:val="Normal"/>
    <w:next w:val="Normal"/>
    <w:uiPriority w:val="39"/>
    <w:pPr>
      <w:tabs>
        <w:tab w:val="left" w:pos="1446"/>
        <w:tab w:val="left" w:pos="1587"/>
        <w:tab w:val="right" w:leader="dot" w:pos="8640"/>
      </w:tabs>
      <w:spacing w:after="60" w:line="240" w:lineRule="auto"/>
      <w:ind w:left="1445" w:right="720" w:hanging="850"/>
    </w:pPr>
    <w:rPr>
      <w:noProof/>
      <w:sz w:val="20"/>
    </w:rPr>
  </w:style>
  <w:style w:type="paragraph" w:styleId="TOC5">
    <w:name w:val="toc 5"/>
    <w:basedOn w:val="Normal"/>
    <w:next w:val="Normal"/>
    <w:semiHidden/>
    <w:pPr>
      <w:tabs>
        <w:tab w:val="left" w:pos="595"/>
        <w:tab w:val="right" w:leader="dot" w:pos="8640"/>
      </w:tabs>
      <w:spacing w:before="240" w:after="60" w:line="240" w:lineRule="auto"/>
      <w:ind w:right="720"/>
    </w:pPr>
    <w:rPr>
      <w:b/>
      <w:sz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pPr>
    <w:rPr>
      <w:b/>
      <w:sz w:val="20"/>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jc w:val="center"/>
    </w:pPr>
    <w:rPr>
      <w:rFonts w:ascii="Times New Roman Bold" w:hAnsi="Times New Roman Bold"/>
      <w:b/>
      <w:sz w:val="32"/>
    </w:rPr>
  </w:style>
  <w:style w:type="paragraph" w:customStyle="1" w:styleId="ZCom">
    <w:name w:val="Z_Com"/>
    <w:basedOn w:val="Normal"/>
    <w:next w:val="Normal"/>
    <w:uiPriority w:val="2"/>
    <w:pPr>
      <w:widowControl w:val="0"/>
      <w:spacing w:before="90" w:after="0" w:line="240" w:lineRule="auto"/>
      <w:ind w:right="85"/>
      <w:jc w:val="left"/>
    </w:pPr>
    <w:rPr>
      <w:sz w:val="24"/>
    </w:rPr>
  </w:style>
  <w:style w:type="paragraph" w:customStyle="1" w:styleId="ZDGName">
    <w:name w:val="Z_DGName"/>
    <w:basedOn w:val="Normal"/>
    <w:uiPriority w:val="2"/>
    <w:pPr>
      <w:widowControl w:val="0"/>
      <w:spacing w:after="0" w:line="240" w:lineRule="auto"/>
      <w:ind w:right="85"/>
      <w:jc w:val="left"/>
    </w:pPr>
    <w:rPr>
      <w:sz w:val="16"/>
    </w:rPr>
  </w:style>
  <w:style w:type="paragraph" w:customStyle="1" w:styleId="ZFlag">
    <w:name w:val="Z_Flag"/>
    <w:basedOn w:val="Normal"/>
    <w:next w:val="Normal"/>
    <w:link w:val="ZFlagChar"/>
    <w:uiPriority w:val="2"/>
    <w:pPr>
      <w:widowControl w:val="0"/>
      <w:spacing w:after="0"/>
      <w:ind w:right="85"/>
    </w:pPr>
  </w:style>
  <w:style w:type="paragraph" w:customStyle="1" w:styleId="Citation">
    <w:name w:val="Citation"/>
    <w:basedOn w:val="Normal"/>
    <w:link w:val="CitationChar"/>
    <w:uiPriority w:val="1"/>
    <w:qFormat/>
    <w:pPr>
      <w:ind w:left="454" w:right="454"/>
    </w:pPr>
    <w:rPr>
      <w:i/>
    </w:rPr>
  </w:style>
  <w:style w:type="character" w:customStyle="1" w:styleId="CitationChar">
    <w:name w:val="Citation Char"/>
    <w:link w:val="Citation"/>
    <w:uiPriority w:val="1"/>
    <w:qFormat/>
    <w:rPr>
      <w:i/>
    </w:rPr>
  </w:style>
  <w:style w:type="paragraph" w:styleId="Footer">
    <w:name w:val="footer"/>
    <w:basedOn w:val="Normal"/>
    <w:link w:val="FooterChar"/>
    <w:uiPriority w:val="2"/>
    <w:pPr>
      <w:spacing w:after="0" w:line="240" w:lineRule="auto"/>
      <w:ind w:right="-567"/>
    </w:pPr>
    <w:rPr>
      <w:sz w:val="16"/>
    </w:rPr>
  </w:style>
  <w:style w:type="character" w:customStyle="1" w:styleId="FooterChar">
    <w:name w:val="Footer Char"/>
    <w:link w:val="Footer"/>
    <w:uiPriority w:val="2"/>
    <w:rPr>
      <w:sz w:val="16"/>
    </w:rPr>
  </w:style>
  <w:style w:type="paragraph" w:styleId="Header">
    <w:name w:val="header"/>
    <w:basedOn w:val="Normal"/>
    <w:link w:val="HeaderChar"/>
    <w:uiPriority w:val="2"/>
    <w:pPr>
      <w:tabs>
        <w:tab w:val="center" w:pos="4150"/>
        <w:tab w:val="right" w:pos="8306"/>
      </w:tabs>
    </w:pPr>
  </w:style>
  <w:style w:type="character" w:customStyle="1" w:styleId="HeaderChar">
    <w:name w:val="Header Char"/>
    <w:basedOn w:val="DefaultParagraphFont"/>
    <w:link w:val="Header"/>
    <w:uiPriority w:val="2"/>
    <w:rPr>
      <w:sz w:val="24"/>
    </w:rPr>
  </w:style>
  <w:style w:type="paragraph" w:styleId="MacroText">
    <w:name w:val="macro"/>
    <w:basedOn w:val="Normal"/>
    <w:link w:val="MacroTextChar"/>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croTextChar">
    <w:name w:val="Macro Text Char"/>
    <w:basedOn w:val="DefaultParagraphFont"/>
    <w:link w:val="MacroText"/>
    <w:uiPriority w:val="1"/>
    <w:qFormat/>
    <w:rPr>
      <w:rFonts w:ascii="Courier New" w:hAnsi="Courier New"/>
      <w:sz w:val="20"/>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PropertiesTable">
    <w:name w:val="Properties Table"/>
    <w:basedOn w:val="TableNormal"/>
    <w:semiHidden/>
    <w:pPr>
      <w:spacing w:after="120" w:line="264" w:lineRule="auto"/>
    </w:pPr>
    <w:tblPr>
      <w:tblInd w:w="1984" w:type="dxa"/>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unhideWhenUsed/>
    <w:locked/>
    <w:rsid w:val="00FE789E"/>
    <w:rPr>
      <w:color w:val="0563C1" w:themeColor="hyperlink"/>
      <w:u w:val="single"/>
    </w:rPr>
  </w:style>
  <w:style w:type="character" w:customStyle="1" w:styleId="Marker">
    <w:name w:val="Marker"/>
    <w:basedOn w:val="DefaultParagraphFont"/>
    <w:rsid w:val="00DC489A"/>
    <w:rPr>
      <w:color w:val="0000FF"/>
      <w:shd w:val="clear" w:color="auto" w:fill="auto"/>
    </w:rPr>
  </w:style>
  <w:style w:type="paragraph" w:customStyle="1" w:styleId="Pagedecouverture">
    <w:name w:val="Page de couverture"/>
    <w:basedOn w:val="Normal"/>
    <w:next w:val="Normal"/>
    <w:rsid w:val="00DC489A"/>
    <w:pPr>
      <w:spacing w:after="0" w:line="240" w:lineRule="auto"/>
    </w:pPr>
    <w:rPr>
      <w:rFonts w:eastAsiaTheme="minorHAnsi"/>
      <w:sz w:val="24"/>
      <w:szCs w:val="22"/>
      <w:lang w:eastAsia="en-US"/>
    </w:rPr>
  </w:style>
  <w:style w:type="paragraph" w:customStyle="1" w:styleId="FooterCoverPage">
    <w:name w:val="Footer Cover Page"/>
    <w:basedOn w:val="Normal"/>
    <w:link w:val="FooterCoverPageChar"/>
    <w:rsid w:val="00DC489A"/>
    <w:pPr>
      <w:tabs>
        <w:tab w:val="center" w:pos="4535"/>
        <w:tab w:val="right" w:pos="9071"/>
        <w:tab w:val="right" w:pos="9921"/>
      </w:tabs>
      <w:spacing w:before="360" w:after="0" w:line="240" w:lineRule="auto"/>
      <w:ind w:left="-850" w:right="-850"/>
      <w:jc w:val="left"/>
    </w:pPr>
    <w:rPr>
      <w:sz w:val="24"/>
    </w:rPr>
  </w:style>
  <w:style w:type="character" w:customStyle="1" w:styleId="ZFlagChar">
    <w:name w:val="Z_Flag Char"/>
    <w:basedOn w:val="DefaultParagraphFont"/>
    <w:link w:val="ZFlag"/>
    <w:uiPriority w:val="2"/>
    <w:rsid w:val="00DC489A"/>
    <w:rPr>
      <w:sz w:val="22"/>
    </w:rPr>
  </w:style>
  <w:style w:type="character" w:customStyle="1" w:styleId="FooterCoverPageChar">
    <w:name w:val="Footer Cover Page Char"/>
    <w:basedOn w:val="ZFlagChar"/>
    <w:link w:val="FooterCoverPage"/>
    <w:rsid w:val="00DC489A"/>
    <w:rPr>
      <w:sz w:val="22"/>
    </w:rPr>
  </w:style>
  <w:style w:type="paragraph" w:customStyle="1" w:styleId="FooterSensitivity">
    <w:name w:val="Footer Sensitivity"/>
    <w:basedOn w:val="Normal"/>
    <w:link w:val="FooterSensitivityChar"/>
    <w:rsid w:val="00DC48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ZFlagChar"/>
    <w:link w:val="FooterSensitivity"/>
    <w:rsid w:val="00DC489A"/>
    <w:rPr>
      <w:b/>
      <w:sz w:val="32"/>
    </w:rPr>
  </w:style>
  <w:style w:type="paragraph" w:customStyle="1" w:styleId="HeaderCoverPage">
    <w:name w:val="Header Cover Page"/>
    <w:basedOn w:val="Normal"/>
    <w:link w:val="HeaderCoverPageChar"/>
    <w:rsid w:val="00DC489A"/>
    <w:pPr>
      <w:tabs>
        <w:tab w:val="center" w:pos="4535"/>
        <w:tab w:val="right" w:pos="9071"/>
      </w:tabs>
      <w:spacing w:line="240" w:lineRule="auto"/>
    </w:pPr>
    <w:rPr>
      <w:sz w:val="24"/>
    </w:rPr>
  </w:style>
  <w:style w:type="character" w:customStyle="1" w:styleId="HeaderCoverPageChar">
    <w:name w:val="Header Cover Page Char"/>
    <w:basedOn w:val="ZFlagChar"/>
    <w:link w:val="HeaderCoverPage"/>
    <w:rsid w:val="00DC489A"/>
    <w:rPr>
      <w:sz w:val="22"/>
    </w:rPr>
  </w:style>
  <w:style w:type="paragraph" w:customStyle="1" w:styleId="HeaderSensitivity">
    <w:name w:val="Header Sensitivity"/>
    <w:basedOn w:val="Normal"/>
    <w:link w:val="HeaderSensitivityChar"/>
    <w:rsid w:val="00DC489A"/>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ZFlagChar"/>
    <w:link w:val="HeaderSensitivity"/>
    <w:rsid w:val="00DC489A"/>
    <w:rPr>
      <w:b/>
      <w:sz w:val="32"/>
    </w:rPr>
  </w:style>
  <w:style w:type="paragraph" w:customStyle="1" w:styleId="HeaderSensitivityRight">
    <w:name w:val="Header Sensitivity Right"/>
    <w:basedOn w:val="Normal"/>
    <w:link w:val="HeaderSensitivityRightChar"/>
    <w:rsid w:val="00DC489A"/>
    <w:pPr>
      <w:spacing w:line="240" w:lineRule="auto"/>
      <w:jc w:val="right"/>
    </w:pPr>
    <w:rPr>
      <w:sz w:val="28"/>
    </w:rPr>
  </w:style>
  <w:style w:type="character" w:customStyle="1" w:styleId="HeaderSensitivityRightChar">
    <w:name w:val="Header Sensitivity Right Char"/>
    <w:basedOn w:val="ZFlagChar"/>
    <w:link w:val="HeaderSensitivityRight"/>
    <w:rsid w:val="00DC489A"/>
    <w:rPr>
      <w:sz w:val="28"/>
    </w:rPr>
  </w:style>
  <w:style w:type="paragraph" w:styleId="ListNumber3">
    <w:name w:val="List Number 3"/>
    <w:basedOn w:val="Normal"/>
    <w:semiHidden/>
    <w:locked/>
    <w:rsid w:val="00623B82"/>
    <w:pPr>
      <w:numPr>
        <w:numId w:val="13"/>
      </w:numPr>
      <w:contextualSpacing/>
    </w:pPr>
  </w:style>
  <w:style w:type="paragraph" w:styleId="ListNumber2">
    <w:name w:val="List Number 2"/>
    <w:basedOn w:val="Normal"/>
    <w:semiHidden/>
    <w:locked/>
    <w:rsid w:val="00623B82"/>
    <w:pPr>
      <w:numPr>
        <w:numId w:val="14"/>
      </w:numPr>
      <w:contextualSpacing/>
    </w:pPr>
  </w:style>
  <w:style w:type="paragraph" w:styleId="ListBullet3">
    <w:name w:val="List Bullet 3"/>
    <w:basedOn w:val="Normal"/>
    <w:semiHidden/>
    <w:locked/>
    <w:rsid w:val="004F6F3F"/>
    <w:pPr>
      <w:numPr>
        <w:numId w:val="15"/>
      </w:numPr>
      <w:contextualSpacing/>
    </w:pPr>
  </w:style>
  <w:style w:type="paragraph" w:styleId="ListBullet2">
    <w:name w:val="List Bullet 2"/>
    <w:basedOn w:val="Normal"/>
    <w:semiHidden/>
    <w:locked/>
    <w:rsid w:val="004F6F3F"/>
    <w:pPr>
      <w:numPr>
        <w:numId w:val="16"/>
      </w:numPr>
      <w:contextualSpacing/>
    </w:p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FR,F"/>
    <w:basedOn w:val="DefaultParagraphFont"/>
    <w:link w:val="Nota"/>
    <w:qFormat/>
    <w:locked/>
    <w:rsid w:val="00AC5DD3"/>
    <w:rPr>
      <w:vertAlign w:val="superscript"/>
    </w:rPr>
  </w:style>
  <w:style w:type="paragraph" w:styleId="ListParagraph">
    <w:name w:val="List Paragraph"/>
    <w:aliases w:val="Dot pt,F5 List Paragraph,List Paragraph Char Char Char,Indicator Text,Numbered Para 1,Bullet 1,Bullet Points,List Paragraph2,MAIN CONTENT,Normal numbered,Colorful List - Accent 11,No Spacing1,Issue Action POC,3,Toc 1.1.1,Trattino,Numero"/>
    <w:basedOn w:val="Normal"/>
    <w:link w:val="ListParagraphChar"/>
    <w:uiPriority w:val="34"/>
    <w:qFormat/>
    <w:locked/>
    <w:rsid w:val="00101327"/>
    <w:pPr>
      <w:spacing w:after="0" w:line="240" w:lineRule="auto"/>
      <w:ind w:left="720"/>
      <w:jc w:val="left"/>
    </w:pPr>
    <w:rPr>
      <w:rFonts w:ascii="Calibri" w:hAnsi="Calibri"/>
      <w:szCs w:val="22"/>
      <w:lang w:eastAsia="en-US"/>
    </w:rPr>
  </w:style>
  <w:style w:type="table" w:styleId="GridTable4-Accent1">
    <w:name w:val="Grid Table 4 Accent 1"/>
    <w:basedOn w:val="TableNormal"/>
    <w:locked/>
    <w:rsid w:val="002F71B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FootnoteTextChar">
    <w:name w:val="Footnote Text Char"/>
    <w:aliases w:val="Fußnote Char,fn Char,Footnotes Char,Footnote ak Char,ft Char,Char Char,Carattere Char,Footnote Text Char Char Char,fn Char Char Char,footnote text Char Char Char,Footnotes Char Char Char,Footnote ak Char Char Char,fn Char1 Char"/>
    <w:basedOn w:val="DefaultParagraphFont"/>
    <w:link w:val="FootnoteText"/>
    <w:qFormat/>
    <w:rsid w:val="006C7D78"/>
    <w:rPr>
      <w:sz w:val="20"/>
    </w:rPr>
  </w:style>
  <w:style w:type="paragraph" w:styleId="TableofFigures">
    <w:name w:val="table of figures"/>
    <w:basedOn w:val="Normal"/>
    <w:next w:val="Normal"/>
    <w:uiPriority w:val="99"/>
    <w:locked/>
    <w:rsid w:val="00440F24"/>
    <w:pPr>
      <w:spacing w:after="0"/>
    </w:pPr>
  </w:style>
  <w:style w:type="paragraph" w:styleId="NormalWeb">
    <w:name w:val="Normal (Web)"/>
    <w:basedOn w:val="Normal"/>
    <w:uiPriority w:val="99"/>
    <w:semiHidden/>
    <w:unhideWhenUsed/>
    <w:locked/>
    <w:rsid w:val="00B844C4"/>
    <w:pPr>
      <w:spacing w:before="100" w:beforeAutospacing="1" w:after="100" w:afterAutospacing="1" w:line="240" w:lineRule="auto"/>
      <w:jc w:val="left"/>
    </w:pPr>
    <w:rPr>
      <w:sz w:val="24"/>
      <w:szCs w:val="24"/>
    </w:rPr>
  </w:style>
  <w:style w:type="paragraph" w:customStyle="1" w:styleId="Text1">
    <w:name w:val="Text 1"/>
    <w:basedOn w:val="Normal"/>
    <w:qFormat/>
    <w:rsid w:val="00D11191"/>
    <w:pPr>
      <w:spacing w:after="240" w:line="240" w:lineRule="auto"/>
      <w:ind w:left="482"/>
    </w:pPr>
    <w:rPr>
      <w:sz w:val="24"/>
    </w:rPr>
  </w:style>
  <w:style w:type="paragraph" w:customStyle="1" w:styleId="Default">
    <w:name w:val="Default"/>
    <w:rsid w:val="00C77AE2"/>
    <w:pPr>
      <w:autoSpaceDE w:val="0"/>
      <w:autoSpaceDN w:val="0"/>
      <w:adjustRightInd w:val="0"/>
    </w:pPr>
    <w:rPr>
      <w:color w:val="000000"/>
      <w:szCs w:val="24"/>
    </w:rPr>
  </w:style>
  <w:style w:type="character" w:styleId="CommentReference">
    <w:name w:val="annotation reference"/>
    <w:basedOn w:val="DefaultParagraphFont"/>
    <w:uiPriority w:val="99"/>
    <w:semiHidden/>
    <w:locked/>
    <w:rsid w:val="00602423"/>
    <w:rPr>
      <w:sz w:val="16"/>
      <w:szCs w:val="16"/>
    </w:rPr>
  </w:style>
  <w:style w:type="paragraph" w:styleId="CommentText">
    <w:name w:val="annotation text"/>
    <w:basedOn w:val="Normal"/>
    <w:link w:val="CommentTextChar"/>
    <w:uiPriority w:val="99"/>
    <w:locked/>
    <w:rsid w:val="00602423"/>
    <w:pPr>
      <w:spacing w:line="240" w:lineRule="auto"/>
    </w:pPr>
    <w:rPr>
      <w:sz w:val="20"/>
    </w:rPr>
  </w:style>
  <w:style w:type="character" w:customStyle="1" w:styleId="CommentTextChar">
    <w:name w:val="Comment Text Char"/>
    <w:basedOn w:val="DefaultParagraphFont"/>
    <w:link w:val="CommentText"/>
    <w:uiPriority w:val="99"/>
    <w:rsid w:val="00602423"/>
    <w:rPr>
      <w:sz w:val="20"/>
    </w:rPr>
  </w:style>
  <w:style w:type="paragraph" w:styleId="CommentSubject">
    <w:name w:val="annotation subject"/>
    <w:basedOn w:val="CommentText"/>
    <w:next w:val="CommentText"/>
    <w:link w:val="CommentSubjectChar"/>
    <w:semiHidden/>
    <w:locked/>
    <w:rsid w:val="00602423"/>
    <w:rPr>
      <w:b/>
      <w:bCs/>
    </w:rPr>
  </w:style>
  <w:style w:type="character" w:customStyle="1" w:styleId="CommentSubjectChar">
    <w:name w:val="Comment Subject Char"/>
    <w:basedOn w:val="CommentTextChar"/>
    <w:link w:val="CommentSubject"/>
    <w:semiHidden/>
    <w:rsid w:val="00602423"/>
    <w:rPr>
      <w:b/>
      <w:bCs/>
      <w:sz w:val="20"/>
    </w:rPr>
  </w:style>
  <w:style w:type="paragraph" w:styleId="BalloonText">
    <w:name w:val="Balloon Text"/>
    <w:basedOn w:val="Normal"/>
    <w:link w:val="BalloonTextChar"/>
    <w:semiHidden/>
    <w:locked/>
    <w:rsid w:val="006024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423"/>
    <w:rPr>
      <w:rFonts w:ascii="Segoe UI" w:hAnsi="Segoe UI" w:cs="Segoe UI"/>
      <w:sz w:val="18"/>
      <w:szCs w:val="18"/>
    </w:rPr>
  </w:style>
  <w:style w:type="table" w:styleId="GridTable4-Accent5">
    <w:name w:val="Grid Table 4 Accent 5"/>
    <w:basedOn w:val="TableNormal"/>
    <w:locked/>
    <w:rsid w:val="00A83949"/>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ormaltextrun">
    <w:name w:val="normaltextrun"/>
    <w:rsid w:val="008A4E1B"/>
  </w:style>
  <w:style w:type="character" w:styleId="Emphasis">
    <w:name w:val="Emphasis"/>
    <w:basedOn w:val="DefaultParagraphFont"/>
    <w:uiPriority w:val="20"/>
    <w:qFormat/>
    <w:locked/>
    <w:rsid w:val="00BB428C"/>
    <w:rPr>
      <w:i/>
      <w:iCs/>
    </w:rPr>
  </w:style>
  <w:style w:type="character" w:styleId="FollowedHyperlink">
    <w:name w:val="FollowedHyperlink"/>
    <w:basedOn w:val="DefaultParagraphFont"/>
    <w:semiHidden/>
    <w:locked/>
    <w:rsid w:val="00CA6A5F"/>
    <w:rPr>
      <w:color w:val="954F72" w:themeColor="followedHyperlink"/>
      <w:u w:val="single"/>
    </w:rPr>
  </w:style>
  <w:style w:type="paragraph" w:styleId="BodyTextIndent">
    <w:name w:val="Body Text Indent"/>
    <w:basedOn w:val="Normal"/>
    <w:link w:val="BodyTextIndentChar"/>
    <w:uiPriority w:val="99"/>
    <w:semiHidden/>
    <w:unhideWhenUsed/>
    <w:locked/>
    <w:rsid w:val="007868A2"/>
    <w:pPr>
      <w:spacing w:before="40" w:line="288" w:lineRule="auto"/>
      <w:ind w:left="360"/>
      <w:jc w:val="left"/>
    </w:pPr>
    <w:rPr>
      <w:rFonts w:asciiTheme="minorHAnsi" w:eastAsiaTheme="minorHAnsi" w:hAnsiTheme="minorHAnsi" w:cstheme="minorBidi"/>
      <w:color w:val="595959" w:themeColor="text1" w:themeTint="A6"/>
      <w:kern w:val="20"/>
      <w:sz w:val="20"/>
      <w:lang w:val="en-US" w:eastAsia="ja-JP"/>
    </w:rPr>
  </w:style>
  <w:style w:type="character" w:customStyle="1" w:styleId="BodyTextIndentChar">
    <w:name w:val="Body Text Indent Char"/>
    <w:basedOn w:val="DefaultParagraphFont"/>
    <w:link w:val="BodyTextIndent"/>
    <w:uiPriority w:val="99"/>
    <w:semiHidden/>
    <w:rsid w:val="007868A2"/>
    <w:rPr>
      <w:rFonts w:asciiTheme="minorHAnsi" w:eastAsiaTheme="minorHAnsi" w:hAnsiTheme="minorHAnsi" w:cstheme="minorBidi"/>
      <w:color w:val="595959" w:themeColor="text1" w:themeTint="A6"/>
      <w:kern w:val="20"/>
      <w:sz w:val="20"/>
      <w:lang w:val="en-US" w:eastAsia="ja-JP"/>
    </w:rPr>
  </w:style>
  <w:style w:type="paragraph" w:customStyle="1" w:styleId="Nota">
    <w:name w:val="Nota"/>
    <w:aliases w:val=" Char1,Char1,(NECG) Footnote Reference,fr,Appel note de bas de p,o,Style 6,Signature Ch,Fußnotenzeichen3,Footnote Reference_LVL6,Footnote Reference_LVL61,Footnote Reference_LVL62,Ch,de nota al pi..."/>
    <w:basedOn w:val="Normal"/>
    <w:link w:val="FootnoteReference"/>
    <w:uiPriority w:val="99"/>
    <w:rsid w:val="00840DCF"/>
    <w:pPr>
      <w:spacing w:after="160" w:line="240" w:lineRule="exact"/>
    </w:pPr>
    <w:rPr>
      <w:sz w:val="24"/>
      <w:vertAlign w:val="superscript"/>
    </w:rPr>
  </w:style>
  <w:style w:type="paragraph" w:styleId="ListBullet5">
    <w:name w:val="List Bullet 5"/>
    <w:basedOn w:val="Normal"/>
    <w:uiPriority w:val="99"/>
    <w:semiHidden/>
    <w:unhideWhenUsed/>
    <w:locked/>
    <w:rsid w:val="00840DCF"/>
    <w:pPr>
      <w:numPr>
        <w:numId w:val="20"/>
      </w:numPr>
      <w:spacing w:before="40" w:after="160" w:line="288" w:lineRule="auto"/>
      <w:contextualSpacing/>
      <w:jc w:val="left"/>
    </w:pPr>
    <w:rPr>
      <w:rFonts w:asciiTheme="minorHAnsi" w:eastAsiaTheme="minorHAnsi" w:hAnsiTheme="minorHAnsi" w:cstheme="minorBidi"/>
      <w:color w:val="595959" w:themeColor="text1" w:themeTint="A6"/>
      <w:kern w:val="20"/>
      <w:sz w:val="20"/>
      <w:lang w:val="en-US" w:eastAsia="ja-JP"/>
    </w:rPr>
  </w:style>
  <w:style w:type="table" w:styleId="GridTable5Dark-Accent1">
    <w:name w:val="Grid Table 5 Dark Accent 1"/>
    <w:basedOn w:val="TableNormal"/>
    <w:uiPriority w:val="50"/>
    <w:locked/>
    <w:rsid w:val="000949A1"/>
    <w:pPr>
      <w:spacing w:before="40"/>
    </w:pPr>
    <w:rPr>
      <w:rFonts w:asciiTheme="minorHAnsi" w:eastAsiaTheme="minorHAnsi" w:hAnsiTheme="minorHAnsi" w:cstheme="minorBidi"/>
      <w:color w:val="595959" w:themeColor="text1" w:themeTint="A6"/>
      <w:sz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Revision">
    <w:name w:val="Revision"/>
    <w:hidden/>
    <w:semiHidden/>
    <w:locked/>
    <w:rsid w:val="00804B53"/>
    <w:rPr>
      <w:sz w:val="22"/>
    </w:rPr>
  </w:style>
  <w:style w:type="character" w:customStyle="1" w:styleId="superscript">
    <w:name w:val="superscript"/>
    <w:basedOn w:val="DefaultParagraphFont"/>
    <w:rsid w:val="00170442"/>
  </w:style>
  <w:style w:type="paragraph" w:customStyle="1" w:styleId="Titreobjet">
    <w:name w:val="Titre objet"/>
    <w:basedOn w:val="Normal"/>
    <w:next w:val="Normal"/>
    <w:rsid w:val="00A00AFF"/>
    <w:pPr>
      <w:spacing w:before="360" w:after="360" w:line="240" w:lineRule="auto"/>
      <w:jc w:val="center"/>
    </w:pPr>
    <w:rPr>
      <w:rFonts w:eastAsiaTheme="minorHAnsi"/>
      <w:b/>
      <w:sz w:val="24"/>
      <w:szCs w:val="22"/>
      <w:lang w:eastAsia="en-US"/>
    </w:rPr>
  </w:style>
  <w:style w:type="character" w:customStyle="1" w:styleId="UnresolvedMention1">
    <w:name w:val="Unresolved Mention1"/>
    <w:basedOn w:val="DefaultParagraphFont"/>
    <w:uiPriority w:val="99"/>
    <w:semiHidden/>
    <w:unhideWhenUsed/>
    <w:rsid w:val="00D444E6"/>
    <w:rPr>
      <w:color w:val="605E5C"/>
      <w:shd w:val="clear" w:color="auto" w:fill="E1DFDD"/>
    </w:rPr>
  </w:style>
  <w:style w:type="character" w:customStyle="1" w:styleId="Heading2Char">
    <w:name w:val="Heading 2 Char"/>
    <w:basedOn w:val="DefaultParagraphFont"/>
    <w:link w:val="Heading2"/>
    <w:uiPriority w:val="1"/>
    <w:rsid w:val="00A01F05"/>
    <w:rPr>
      <w:b/>
      <w:sz w:val="26"/>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No Spacing1 Char,3 Char"/>
    <w:link w:val="ListParagraph"/>
    <w:uiPriority w:val="34"/>
    <w:qFormat/>
    <w:locked/>
    <w:rsid w:val="00AF60F8"/>
    <w:rPr>
      <w:rFonts w:ascii="Calibri" w:hAnsi="Calibri"/>
      <w:sz w:val="22"/>
      <w:szCs w:val="22"/>
      <w:lang w:eastAsia="en-US"/>
    </w:rPr>
  </w:style>
  <w:style w:type="character" w:customStyle="1" w:styleId="UnresolvedMention2">
    <w:name w:val="Unresolved Mention2"/>
    <w:basedOn w:val="DefaultParagraphFont"/>
    <w:uiPriority w:val="99"/>
    <w:semiHidden/>
    <w:unhideWhenUsed/>
    <w:rsid w:val="00EE4177"/>
    <w:rPr>
      <w:color w:val="605E5C"/>
      <w:shd w:val="clear" w:color="auto" w:fill="E1DFDD"/>
    </w:rPr>
  </w:style>
  <w:style w:type="character" w:customStyle="1" w:styleId="FootnoteTextChar1">
    <w:name w:val="Footnote Text Char1"/>
    <w:basedOn w:val="DefaultParagraphFont"/>
    <w:uiPriority w:val="99"/>
    <w:rsid w:val="00A57A8E"/>
    <w:rPr>
      <w:kern w:val="2"/>
      <w:sz w:val="20"/>
      <w:szCs w:val="20"/>
      <w14:ligatures w14:val="standardContextual"/>
    </w:rPr>
  </w:style>
  <w:style w:type="paragraph" w:customStyle="1" w:styleId="Style1">
    <w:name w:val="Style1"/>
    <w:basedOn w:val="ListParagraph"/>
    <w:qFormat/>
    <w:rsid w:val="00A57A8E"/>
    <w:pPr>
      <w:numPr>
        <w:ilvl w:val="1"/>
        <w:numId w:val="21"/>
      </w:numPr>
      <w:spacing w:after="160" w:line="259" w:lineRule="auto"/>
      <w:contextualSpacing/>
      <w:jc w:val="both"/>
    </w:pPr>
    <w:rPr>
      <w:rFonts w:ascii="Times New Roman" w:hAnsi="Times New Roman"/>
      <w:i/>
      <w:iCs/>
      <w:kern w:val="2"/>
      <w:sz w:val="24"/>
      <w:szCs w:val="24"/>
      <w:lang w:val="en-US"/>
      <w14:ligatures w14:val="standardContextual"/>
    </w:rPr>
  </w:style>
  <w:style w:type="paragraph" w:customStyle="1" w:styleId="Style2">
    <w:name w:val="Style2"/>
    <w:basedOn w:val="ListParagraph"/>
    <w:qFormat/>
    <w:rsid w:val="00A57A8E"/>
    <w:pPr>
      <w:numPr>
        <w:numId w:val="21"/>
      </w:numPr>
      <w:spacing w:after="160" w:line="259" w:lineRule="auto"/>
      <w:ind w:left="714" w:hanging="357"/>
      <w:jc w:val="both"/>
    </w:pPr>
    <w:rPr>
      <w:rFonts w:ascii="Times New Roman" w:hAnsi="Times New Roman"/>
      <w:b/>
      <w:bCs/>
      <w:kern w:val="2"/>
      <w:sz w:val="24"/>
      <w:szCs w:val="24"/>
      <w:lang w:val="en-US"/>
      <w14:ligatures w14:val="standardContextual"/>
    </w:rPr>
  </w:style>
  <w:style w:type="paragraph" w:customStyle="1" w:styleId="Languesfaisantfoi">
    <w:name w:val="Langues faisant foi"/>
    <w:basedOn w:val="Normal"/>
    <w:next w:val="Normal"/>
    <w:rsid w:val="00A31DF5"/>
    <w:pPr>
      <w:spacing w:before="360" w:after="240" w:line="240" w:lineRule="auto"/>
      <w:jc w:val="center"/>
    </w:pPr>
    <w:rPr>
      <w:rFonts w:eastAsiaTheme="minorHAnsi"/>
      <w:sz w:val="24"/>
      <w:szCs w:val="22"/>
      <w:lang w:eastAsia="en-US"/>
    </w:rPr>
  </w:style>
  <w:style w:type="paragraph" w:customStyle="1" w:styleId="LanguesfaisantfoiPagedecouverture">
    <w:name w:val="Langues faisant foi (Page de couverture)"/>
    <w:basedOn w:val="Normal"/>
    <w:next w:val="Normal"/>
    <w:rsid w:val="00A31DF5"/>
    <w:pPr>
      <w:spacing w:before="360" w:after="240" w:line="240" w:lineRule="auto"/>
      <w:jc w:val="center"/>
    </w:pPr>
    <w:rPr>
      <w:rFonts w:eastAsiaTheme="minorHAnsi"/>
      <w:sz w:val="24"/>
      <w:szCs w:val="22"/>
      <w:lang w:eastAsia="en-US"/>
    </w:rPr>
  </w:style>
  <w:style w:type="paragraph" w:customStyle="1" w:styleId="IntrtEEE">
    <w:name w:val="Intérêt EEE"/>
    <w:basedOn w:val="Languesfaisantfoi"/>
    <w:next w:val="Normal"/>
    <w:rsid w:val="00A31DF5"/>
    <w:pPr>
      <w:spacing w:after="0"/>
    </w:pPr>
  </w:style>
  <w:style w:type="paragraph" w:customStyle="1" w:styleId="IntrtEEEPagedecouverture">
    <w:name w:val="Intérêt EEE (Page de couverture)"/>
    <w:basedOn w:val="IntrtEEE"/>
    <w:next w:val="Normal"/>
    <w:rsid w:val="00A31DF5"/>
  </w:style>
  <w:style w:type="character" w:customStyle="1" w:styleId="Heading3Char">
    <w:name w:val="Heading 3 Char"/>
    <w:basedOn w:val="DefaultParagraphFont"/>
    <w:link w:val="Heading3"/>
    <w:uiPriority w:val="1"/>
    <w:rsid w:val="00F43E85"/>
    <w:rPr>
      <w:b/>
    </w:rPr>
  </w:style>
  <w:style w:type="character" w:customStyle="1" w:styleId="UnresolvedMention3">
    <w:name w:val="Unresolved Mention3"/>
    <w:basedOn w:val="DefaultParagraphFont"/>
    <w:uiPriority w:val="99"/>
    <w:semiHidden/>
    <w:unhideWhenUsed/>
    <w:rsid w:val="00DF7075"/>
    <w:rPr>
      <w:color w:val="605E5C"/>
      <w:shd w:val="clear" w:color="auto" w:fill="E1DFDD"/>
    </w:rPr>
  </w:style>
  <w:style w:type="character" w:styleId="Strong">
    <w:name w:val="Strong"/>
    <w:basedOn w:val="DefaultParagraphFont"/>
    <w:uiPriority w:val="22"/>
    <w:qFormat/>
    <w:locked/>
    <w:rsid w:val="00234A05"/>
    <w:rPr>
      <w:b/>
      <w:bCs/>
    </w:rPr>
  </w:style>
  <w:style w:type="character" w:styleId="EndnoteReference">
    <w:name w:val="endnote reference"/>
    <w:basedOn w:val="DefaultParagraphFont"/>
    <w:uiPriority w:val="99"/>
    <w:semiHidden/>
    <w:unhideWhenUsed/>
    <w:rsid w:val="0A00D7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8615">
      <w:bodyDiv w:val="1"/>
      <w:marLeft w:val="0"/>
      <w:marRight w:val="0"/>
      <w:marTop w:val="0"/>
      <w:marBottom w:val="0"/>
      <w:divBdr>
        <w:top w:val="none" w:sz="0" w:space="0" w:color="auto"/>
        <w:left w:val="none" w:sz="0" w:space="0" w:color="auto"/>
        <w:bottom w:val="none" w:sz="0" w:space="0" w:color="auto"/>
        <w:right w:val="none" w:sz="0" w:space="0" w:color="auto"/>
      </w:divBdr>
    </w:div>
    <w:div w:id="49158066">
      <w:bodyDiv w:val="1"/>
      <w:marLeft w:val="0"/>
      <w:marRight w:val="0"/>
      <w:marTop w:val="0"/>
      <w:marBottom w:val="0"/>
      <w:divBdr>
        <w:top w:val="none" w:sz="0" w:space="0" w:color="auto"/>
        <w:left w:val="none" w:sz="0" w:space="0" w:color="auto"/>
        <w:bottom w:val="none" w:sz="0" w:space="0" w:color="auto"/>
        <w:right w:val="none" w:sz="0" w:space="0" w:color="auto"/>
      </w:divBdr>
    </w:div>
    <w:div w:id="54593188">
      <w:bodyDiv w:val="1"/>
      <w:marLeft w:val="0"/>
      <w:marRight w:val="0"/>
      <w:marTop w:val="0"/>
      <w:marBottom w:val="0"/>
      <w:divBdr>
        <w:top w:val="none" w:sz="0" w:space="0" w:color="auto"/>
        <w:left w:val="none" w:sz="0" w:space="0" w:color="auto"/>
        <w:bottom w:val="none" w:sz="0" w:space="0" w:color="auto"/>
        <w:right w:val="none" w:sz="0" w:space="0" w:color="auto"/>
      </w:divBdr>
    </w:div>
    <w:div w:id="57828252">
      <w:bodyDiv w:val="1"/>
      <w:marLeft w:val="0"/>
      <w:marRight w:val="0"/>
      <w:marTop w:val="0"/>
      <w:marBottom w:val="0"/>
      <w:divBdr>
        <w:top w:val="none" w:sz="0" w:space="0" w:color="auto"/>
        <w:left w:val="none" w:sz="0" w:space="0" w:color="auto"/>
        <w:bottom w:val="none" w:sz="0" w:space="0" w:color="auto"/>
        <w:right w:val="none" w:sz="0" w:space="0" w:color="auto"/>
      </w:divBdr>
    </w:div>
    <w:div w:id="95059131">
      <w:bodyDiv w:val="1"/>
      <w:marLeft w:val="0"/>
      <w:marRight w:val="0"/>
      <w:marTop w:val="0"/>
      <w:marBottom w:val="0"/>
      <w:divBdr>
        <w:top w:val="none" w:sz="0" w:space="0" w:color="auto"/>
        <w:left w:val="none" w:sz="0" w:space="0" w:color="auto"/>
        <w:bottom w:val="none" w:sz="0" w:space="0" w:color="auto"/>
        <w:right w:val="none" w:sz="0" w:space="0" w:color="auto"/>
      </w:divBdr>
    </w:div>
    <w:div w:id="119688857">
      <w:bodyDiv w:val="1"/>
      <w:marLeft w:val="0"/>
      <w:marRight w:val="0"/>
      <w:marTop w:val="0"/>
      <w:marBottom w:val="0"/>
      <w:divBdr>
        <w:top w:val="none" w:sz="0" w:space="0" w:color="auto"/>
        <w:left w:val="none" w:sz="0" w:space="0" w:color="auto"/>
        <w:bottom w:val="none" w:sz="0" w:space="0" w:color="auto"/>
        <w:right w:val="none" w:sz="0" w:space="0" w:color="auto"/>
      </w:divBdr>
    </w:div>
    <w:div w:id="139536699">
      <w:bodyDiv w:val="1"/>
      <w:marLeft w:val="0"/>
      <w:marRight w:val="0"/>
      <w:marTop w:val="0"/>
      <w:marBottom w:val="0"/>
      <w:divBdr>
        <w:top w:val="none" w:sz="0" w:space="0" w:color="auto"/>
        <w:left w:val="none" w:sz="0" w:space="0" w:color="auto"/>
        <w:bottom w:val="none" w:sz="0" w:space="0" w:color="auto"/>
        <w:right w:val="none" w:sz="0" w:space="0" w:color="auto"/>
      </w:divBdr>
    </w:div>
    <w:div w:id="190652000">
      <w:bodyDiv w:val="1"/>
      <w:marLeft w:val="0"/>
      <w:marRight w:val="0"/>
      <w:marTop w:val="0"/>
      <w:marBottom w:val="0"/>
      <w:divBdr>
        <w:top w:val="none" w:sz="0" w:space="0" w:color="auto"/>
        <w:left w:val="none" w:sz="0" w:space="0" w:color="auto"/>
        <w:bottom w:val="none" w:sz="0" w:space="0" w:color="auto"/>
        <w:right w:val="none" w:sz="0" w:space="0" w:color="auto"/>
      </w:divBdr>
    </w:div>
    <w:div w:id="206988145">
      <w:bodyDiv w:val="1"/>
      <w:marLeft w:val="0"/>
      <w:marRight w:val="0"/>
      <w:marTop w:val="0"/>
      <w:marBottom w:val="0"/>
      <w:divBdr>
        <w:top w:val="none" w:sz="0" w:space="0" w:color="auto"/>
        <w:left w:val="none" w:sz="0" w:space="0" w:color="auto"/>
        <w:bottom w:val="none" w:sz="0" w:space="0" w:color="auto"/>
        <w:right w:val="none" w:sz="0" w:space="0" w:color="auto"/>
      </w:divBdr>
    </w:div>
    <w:div w:id="212927836">
      <w:bodyDiv w:val="1"/>
      <w:marLeft w:val="0"/>
      <w:marRight w:val="0"/>
      <w:marTop w:val="0"/>
      <w:marBottom w:val="0"/>
      <w:divBdr>
        <w:top w:val="none" w:sz="0" w:space="0" w:color="auto"/>
        <w:left w:val="none" w:sz="0" w:space="0" w:color="auto"/>
        <w:bottom w:val="none" w:sz="0" w:space="0" w:color="auto"/>
        <w:right w:val="none" w:sz="0" w:space="0" w:color="auto"/>
      </w:divBdr>
    </w:div>
    <w:div w:id="217058565">
      <w:bodyDiv w:val="1"/>
      <w:marLeft w:val="0"/>
      <w:marRight w:val="0"/>
      <w:marTop w:val="0"/>
      <w:marBottom w:val="0"/>
      <w:divBdr>
        <w:top w:val="none" w:sz="0" w:space="0" w:color="auto"/>
        <w:left w:val="none" w:sz="0" w:space="0" w:color="auto"/>
        <w:bottom w:val="none" w:sz="0" w:space="0" w:color="auto"/>
        <w:right w:val="none" w:sz="0" w:space="0" w:color="auto"/>
      </w:divBdr>
    </w:div>
    <w:div w:id="229391980">
      <w:bodyDiv w:val="1"/>
      <w:marLeft w:val="0"/>
      <w:marRight w:val="0"/>
      <w:marTop w:val="0"/>
      <w:marBottom w:val="0"/>
      <w:divBdr>
        <w:top w:val="none" w:sz="0" w:space="0" w:color="auto"/>
        <w:left w:val="none" w:sz="0" w:space="0" w:color="auto"/>
        <w:bottom w:val="none" w:sz="0" w:space="0" w:color="auto"/>
        <w:right w:val="none" w:sz="0" w:space="0" w:color="auto"/>
      </w:divBdr>
    </w:div>
    <w:div w:id="233207328">
      <w:bodyDiv w:val="1"/>
      <w:marLeft w:val="0"/>
      <w:marRight w:val="0"/>
      <w:marTop w:val="0"/>
      <w:marBottom w:val="0"/>
      <w:divBdr>
        <w:top w:val="none" w:sz="0" w:space="0" w:color="auto"/>
        <w:left w:val="none" w:sz="0" w:space="0" w:color="auto"/>
        <w:bottom w:val="none" w:sz="0" w:space="0" w:color="auto"/>
        <w:right w:val="none" w:sz="0" w:space="0" w:color="auto"/>
      </w:divBdr>
    </w:div>
    <w:div w:id="266231697">
      <w:bodyDiv w:val="1"/>
      <w:marLeft w:val="0"/>
      <w:marRight w:val="0"/>
      <w:marTop w:val="0"/>
      <w:marBottom w:val="0"/>
      <w:divBdr>
        <w:top w:val="none" w:sz="0" w:space="0" w:color="auto"/>
        <w:left w:val="none" w:sz="0" w:space="0" w:color="auto"/>
        <w:bottom w:val="none" w:sz="0" w:space="0" w:color="auto"/>
        <w:right w:val="none" w:sz="0" w:space="0" w:color="auto"/>
      </w:divBdr>
    </w:div>
    <w:div w:id="280263860">
      <w:bodyDiv w:val="1"/>
      <w:marLeft w:val="0"/>
      <w:marRight w:val="0"/>
      <w:marTop w:val="0"/>
      <w:marBottom w:val="0"/>
      <w:divBdr>
        <w:top w:val="none" w:sz="0" w:space="0" w:color="auto"/>
        <w:left w:val="none" w:sz="0" w:space="0" w:color="auto"/>
        <w:bottom w:val="none" w:sz="0" w:space="0" w:color="auto"/>
        <w:right w:val="none" w:sz="0" w:space="0" w:color="auto"/>
      </w:divBdr>
    </w:div>
    <w:div w:id="284386663">
      <w:bodyDiv w:val="1"/>
      <w:marLeft w:val="0"/>
      <w:marRight w:val="0"/>
      <w:marTop w:val="0"/>
      <w:marBottom w:val="0"/>
      <w:divBdr>
        <w:top w:val="none" w:sz="0" w:space="0" w:color="auto"/>
        <w:left w:val="none" w:sz="0" w:space="0" w:color="auto"/>
        <w:bottom w:val="none" w:sz="0" w:space="0" w:color="auto"/>
        <w:right w:val="none" w:sz="0" w:space="0" w:color="auto"/>
      </w:divBdr>
    </w:div>
    <w:div w:id="304823117">
      <w:bodyDiv w:val="1"/>
      <w:marLeft w:val="0"/>
      <w:marRight w:val="0"/>
      <w:marTop w:val="0"/>
      <w:marBottom w:val="0"/>
      <w:divBdr>
        <w:top w:val="none" w:sz="0" w:space="0" w:color="auto"/>
        <w:left w:val="none" w:sz="0" w:space="0" w:color="auto"/>
        <w:bottom w:val="none" w:sz="0" w:space="0" w:color="auto"/>
        <w:right w:val="none" w:sz="0" w:space="0" w:color="auto"/>
      </w:divBdr>
    </w:div>
    <w:div w:id="335571784">
      <w:bodyDiv w:val="1"/>
      <w:marLeft w:val="0"/>
      <w:marRight w:val="0"/>
      <w:marTop w:val="0"/>
      <w:marBottom w:val="0"/>
      <w:divBdr>
        <w:top w:val="none" w:sz="0" w:space="0" w:color="auto"/>
        <w:left w:val="none" w:sz="0" w:space="0" w:color="auto"/>
        <w:bottom w:val="none" w:sz="0" w:space="0" w:color="auto"/>
        <w:right w:val="none" w:sz="0" w:space="0" w:color="auto"/>
      </w:divBdr>
    </w:div>
    <w:div w:id="339040732">
      <w:bodyDiv w:val="1"/>
      <w:marLeft w:val="0"/>
      <w:marRight w:val="0"/>
      <w:marTop w:val="0"/>
      <w:marBottom w:val="0"/>
      <w:divBdr>
        <w:top w:val="none" w:sz="0" w:space="0" w:color="auto"/>
        <w:left w:val="none" w:sz="0" w:space="0" w:color="auto"/>
        <w:bottom w:val="none" w:sz="0" w:space="0" w:color="auto"/>
        <w:right w:val="none" w:sz="0" w:space="0" w:color="auto"/>
      </w:divBdr>
    </w:div>
    <w:div w:id="377974107">
      <w:bodyDiv w:val="1"/>
      <w:marLeft w:val="0"/>
      <w:marRight w:val="0"/>
      <w:marTop w:val="0"/>
      <w:marBottom w:val="0"/>
      <w:divBdr>
        <w:top w:val="none" w:sz="0" w:space="0" w:color="auto"/>
        <w:left w:val="none" w:sz="0" w:space="0" w:color="auto"/>
        <w:bottom w:val="none" w:sz="0" w:space="0" w:color="auto"/>
        <w:right w:val="none" w:sz="0" w:space="0" w:color="auto"/>
      </w:divBdr>
      <w:divsChild>
        <w:div w:id="420490935">
          <w:marLeft w:val="0"/>
          <w:marRight w:val="0"/>
          <w:marTop w:val="0"/>
          <w:marBottom w:val="0"/>
          <w:divBdr>
            <w:top w:val="none" w:sz="0" w:space="0" w:color="auto"/>
            <w:left w:val="none" w:sz="0" w:space="0" w:color="auto"/>
            <w:bottom w:val="none" w:sz="0" w:space="0" w:color="auto"/>
            <w:right w:val="none" w:sz="0" w:space="0" w:color="auto"/>
          </w:divBdr>
        </w:div>
        <w:div w:id="770473523">
          <w:marLeft w:val="0"/>
          <w:marRight w:val="0"/>
          <w:marTop w:val="0"/>
          <w:marBottom w:val="0"/>
          <w:divBdr>
            <w:top w:val="none" w:sz="0" w:space="0" w:color="auto"/>
            <w:left w:val="none" w:sz="0" w:space="0" w:color="auto"/>
            <w:bottom w:val="none" w:sz="0" w:space="0" w:color="auto"/>
            <w:right w:val="none" w:sz="0" w:space="0" w:color="auto"/>
          </w:divBdr>
        </w:div>
        <w:div w:id="1494375548">
          <w:marLeft w:val="0"/>
          <w:marRight w:val="0"/>
          <w:marTop w:val="0"/>
          <w:marBottom w:val="0"/>
          <w:divBdr>
            <w:top w:val="none" w:sz="0" w:space="0" w:color="auto"/>
            <w:left w:val="none" w:sz="0" w:space="0" w:color="auto"/>
            <w:bottom w:val="none" w:sz="0" w:space="0" w:color="auto"/>
            <w:right w:val="none" w:sz="0" w:space="0" w:color="auto"/>
          </w:divBdr>
        </w:div>
        <w:div w:id="2036997011">
          <w:marLeft w:val="0"/>
          <w:marRight w:val="0"/>
          <w:marTop w:val="0"/>
          <w:marBottom w:val="0"/>
          <w:divBdr>
            <w:top w:val="none" w:sz="0" w:space="0" w:color="auto"/>
            <w:left w:val="none" w:sz="0" w:space="0" w:color="auto"/>
            <w:bottom w:val="none" w:sz="0" w:space="0" w:color="auto"/>
            <w:right w:val="none" w:sz="0" w:space="0" w:color="auto"/>
          </w:divBdr>
        </w:div>
      </w:divsChild>
    </w:div>
    <w:div w:id="396051842">
      <w:bodyDiv w:val="1"/>
      <w:marLeft w:val="0"/>
      <w:marRight w:val="0"/>
      <w:marTop w:val="0"/>
      <w:marBottom w:val="0"/>
      <w:divBdr>
        <w:top w:val="none" w:sz="0" w:space="0" w:color="auto"/>
        <w:left w:val="none" w:sz="0" w:space="0" w:color="auto"/>
        <w:bottom w:val="none" w:sz="0" w:space="0" w:color="auto"/>
        <w:right w:val="none" w:sz="0" w:space="0" w:color="auto"/>
      </w:divBdr>
    </w:div>
    <w:div w:id="410082866">
      <w:bodyDiv w:val="1"/>
      <w:marLeft w:val="0"/>
      <w:marRight w:val="0"/>
      <w:marTop w:val="0"/>
      <w:marBottom w:val="0"/>
      <w:divBdr>
        <w:top w:val="none" w:sz="0" w:space="0" w:color="auto"/>
        <w:left w:val="none" w:sz="0" w:space="0" w:color="auto"/>
        <w:bottom w:val="none" w:sz="0" w:space="0" w:color="auto"/>
        <w:right w:val="none" w:sz="0" w:space="0" w:color="auto"/>
      </w:divBdr>
    </w:div>
    <w:div w:id="471868528">
      <w:bodyDiv w:val="1"/>
      <w:marLeft w:val="0"/>
      <w:marRight w:val="0"/>
      <w:marTop w:val="0"/>
      <w:marBottom w:val="0"/>
      <w:divBdr>
        <w:top w:val="none" w:sz="0" w:space="0" w:color="auto"/>
        <w:left w:val="none" w:sz="0" w:space="0" w:color="auto"/>
        <w:bottom w:val="none" w:sz="0" w:space="0" w:color="auto"/>
        <w:right w:val="none" w:sz="0" w:space="0" w:color="auto"/>
      </w:divBdr>
      <w:divsChild>
        <w:div w:id="271472249">
          <w:marLeft w:val="75"/>
          <w:marRight w:val="0"/>
          <w:marTop w:val="0"/>
          <w:marBottom w:val="0"/>
          <w:divBdr>
            <w:top w:val="none" w:sz="0" w:space="0" w:color="auto"/>
            <w:left w:val="none" w:sz="0" w:space="0" w:color="auto"/>
            <w:bottom w:val="none" w:sz="0" w:space="0" w:color="auto"/>
            <w:right w:val="none" w:sz="0" w:space="0" w:color="auto"/>
          </w:divBdr>
        </w:div>
        <w:div w:id="512647906">
          <w:marLeft w:val="75"/>
          <w:marRight w:val="0"/>
          <w:marTop w:val="0"/>
          <w:marBottom w:val="0"/>
          <w:divBdr>
            <w:top w:val="none" w:sz="0" w:space="0" w:color="auto"/>
            <w:left w:val="none" w:sz="0" w:space="0" w:color="auto"/>
            <w:bottom w:val="none" w:sz="0" w:space="0" w:color="auto"/>
            <w:right w:val="none" w:sz="0" w:space="0" w:color="auto"/>
          </w:divBdr>
        </w:div>
        <w:div w:id="532109155">
          <w:marLeft w:val="75"/>
          <w:marRight w:val="0"/>
          <w:marTop w:val="0"/>
          <w:marBottom w:val="0"/>
          <w:divBdr>
            <w:top w:val="none" w:sz="0" w:space="0" w:color="auto"/>
            <w:left w:val="none" w:sz="0" w:space="0" w:color="auto"/>
            <w:bottom w:val="none" w:sz="0" w:space="0" w:color="auto"/>
            <w:right w:val="none" w:sz="0" w:space="0" w:color="auto"/>
          </w:divBdr>
        </w:div>
      </w:divsChild>
    </w:div>
    <w:div w:id="543563422">
      <w:bodyDiv w:val="1"/>
      <w:marLeft w:val="0"/>
      <w:marRight w:val="0"/>
      <w:marTop w:val="0"/>
      <w:marBottom w:val="0"/>
      <w:divBdr>
        <w:top w:val="none" w:sz="0" w:space="0" w:color="auto"/>
        <w:left w:val="none" w:sz="0" w:space="0" w:color="auto"/>
        <w:bottom w:val="none" w:sz="0" w:space="0" w:color="auto"/>
        <w:right w:val="none" w:sz="0" w:space="0" w:color="auto"/>
      </w:divBdr>
    </w:div>
    <w:div w:id="557979673">
      <w:bodyDiv w:val="1"/>
      <w:marLeft w:val="0"/>
      <w:marRight w:val="0"/>
      <w:marTop w:val="0"/>
      <w:marBottom w:val="0"/>
      <w:divBdr>
        <w:top w:val="none" w:sz="0" w:space="0" w:color="auto"/>
        <w:left w:val="none" w:sz="0" w:space="0" w:color="auto"/>
        <w:bottom w:val="none" w:sz="0" w:space="0" w:color="auto"/>
        <w:right w:val="none" w:sz="0" w:space="0" w:color="auto"/>
      </w:divBdr>
    </w:div>
    <w:div w:id="591861748">
      <w:bodyDiv w:val="1"/>
      <w:marLeft w:val="0"/>
      <w:marRight w:val="0"/>
      <w:marTop w:val="0"/>
      <w:marBottom w:val="0"/>
      <w:divBdr>
        <w:top w:val="none" w:sz="0" w:space="0" w:color="auto"/>
        <w:left w:val="none" w:sz="0" w:space="0" w:color="auto"/>
        <w:bottom w:val="none" w:sz="0" w:space="0" w:color="auto"/>
        <w:right w:val="none" w:sz="0" w:space="0" w:color="auto"/>
      </w:divBdr>
    </w:div>
    <w:div w:id="609557104">
      <w:bodyDiv w:val="1"/>
      <w:marLeft w:val="0"/>
      <w:marRight w:val="0"/>
      <w:marTop w:val="0"/>
      <w:marBottom w:val="0"/>
      <w:divBdr>
        <w:top w:val="none" w:sz="0" w:space="0" w:color="auto"/>
        <w:left w:val="none" w:sz="0" w:space="0" w:color="auto"/>
        <w:bottom w:val="none" w:sz="0" w:space="0" w:color="auto"/>
        <w:right w:val="none" w:sz="0" w:space="0" w:color="auto"/>
      </w:divBdr>
    </w:div>
    <w:div w:id="631446679">
      <w:bodyDiv w:val="1"/>
      <w:marLeft w:val="0"/>
      <w:marRight w:val="0"/>
      <w:marTop w:val="0"/>
      <w:marBottom w:val="0"/>
      <w:divBdr>
        <w:top w:val="none" w:sz="0" w:space="0" w:color="auto"/>
        <w:left w:val="none" w:sz="0" w:space="0" w:color="auto"/>
        <w:bottom w:val="none" w:sz="0" w:space="0" w:color="auto"/>
        <w:right w:val="none" w:sz="0" w:space="0" w:color="auto"/>
      </w:divBdr>
    </w:div>
    <w:div w:id="662317228">
      <w:bodyDiv w:val="1"/>
      <w:marLeft w:val="0"/>
      <w:marRight w:val="0"/>
      <w:marTop w:val="0"/>
      <w:marBottom w:val="0"/>
      <w:divBdr>
        <w:top w:val="none" w:sz="0" w:space="0" w:color="auto"/>
        <w:left w:val="none" w:sz="0" w:space="0" w:color="auto"/>
        <w:bottom w:val="none" w:sz="0" w:space="0" w:color="auto"/>
        <w:right w:val="none" w:sz="0" w:space="0" w:color="auto"/>
      </w:divBdr>
    </w:div>
    <w:div w:id="682590078">
      <w:bodyDiv w:val="1"/>
      <w:marLeft w:val="0"/>
      <w:marRight w:val="0"/>
      <w:marTop w:val="0"/>
      <w:marBottom w:val="0"/>
      <w:divBdr>
        <w:top w:val="none" w:sz="0" w:space="0" w:color="auto"/>
        <w:left w:val="none" w:sz="0" w:space="0" w:color="auto"/>
        <w:bottom w:val="none" w:sz="0" w:space="0" w:color="auto"/>
        <w:right w:val="none" w:sz="0" w:space="0" w:color="auto"/>
      </w:divBdr>
    </w:div>
    <w:div w:id="685251416">
      <w:bodyDiv w:val="1"/>
      <w:marLeft w:val="0"/>
      <w:marRight w:val="0"/>
      <w:marTop w:val="0"/>
      <w:marBottom w:val="0"/>
      <w:divBdr>
        <w:top w:val="none" w:sz="0" w:space="0" w:color="auto"/>
        <w:left w:val="none" w:sz="0" w:space="0" w:color="auto"/>
        <w:bottom w:val="none" w:sz="0" w:space="0" w:color="auto"/>
        <w:right w:val="none" w:sz="0" w:space="0" w:color="auto"/>
      </w:divBdr>
      <w:divsChild>
        <w:div w:id="163008918">
          <w:marLeft w:val="0"/>
          <w:marRight w:val="0"/>
          <w:marTop w:val="0"/>
          <w:marBottom w:val="0"/>
          <w:divBdr>
            <w:top w:val="none" w:sz="0" w:space="0" w:color="auto"/>
            <w:left w:val="none" w:sz="0" w:space="0" w:color="auto"/>
            <w:bottom w:val="none" w:sz="0" w:space="0" w:color="auto"/>
            <w:right w:val="none" w:sz="0" w:space="0" w:color="auto"/>
          </w:divBdr>
        </w:div>
        <w:div w:id="824710183">
          <w:marLeft w:val="0"/>
          <w:marRight w:val="0"/>
          <w:marTop w:val="0"/>
          <w:marBottom w:val="0"/>
          <w:divBdr>
            <w:top w:val="none" w:sz="0" w:space="0" w:color="auto"/>
            <w:left w:val="none" w:sz="0" w:space="0" w:color="auto"/>
            <w:bottom w:val="none" w:sz="0" w:space="0" w:color="auto"/>
            <w:right w:val="none" w:sz="0" w:space="0" w:color="auto"/>
          </w:divBdr>
          <w:divsChild>
            <w:div w:id="276833344">
              <w:marLeft w:val="0"/>
              <w:marRight w:val="0"/>
              <w:marTop w:val="0"/>
              <w:marBottom w:val="0"/>
              <w:divBdr>
                <w:top w:val="none" w:sz="0" w:space="0" w:color="auto"/>
                <w:left w:val="none" w:sz="0" w:space="0" w:color="auto"/>
                <w:bottom w:val="none" w:sz="0" w:space="0" w:color="auto"/>
                <w:right w:val="none" w:sz="0" w:space="0" w:color="auto"/>
              </w:divBdr>
            </w:div>
            <w:div w:id="616179745">
              <w:marLeft w:val="0"/>
              <w:marRight w:val="0"/>
              <w:marTop w:val="0"/>
              <w:marBottom w:val="0"/>
              <w:divBdr>
                <w:top w:val="none" w:sz="0" w:space="0" w:color="auto"/>
                <w:left w:val="none" w:sz="0" w:space="0" w:color="auto"/>
                <w:bottom w:val="none" w:sz="0" w:space="0" w:color="auto"/>
                <w:right w:val="none" w:sz="0" w:space="0" w:color="auto"/>
              </w:divBdr>
            </w:div>
            <w:div w:id="738207768">
              <w:marLeft w:val="0"/>
              <w:marRight w:val="0"/>
              <w:marTop w:val="0"/>
              <w:marBottom w:val="0"/>
              <w:divBdr>
                <w:top w:val="none" w:sz="0" w:space="0" w:color="auto"/>
                <w:left w:val="none" w:sz="0" w:space="0" w:color="auto"/>
                <w:bottom w:val="none" w:sz="0" w:space="0" w:color="auto"/>
                <w:right w:val="none" w:sz="0" w:space="0" w:color="auto"/>
              </w:divBdr>
            </w:div>
            <w:div w:id="1090200385">
              <w:marLeft w:val="0"/>
              <w:marRight w:val="0"/>
              <w:marTop w:val="0"/>
              <w:marBottom w:val="0"/>
              <w:divBdr>
                <w:top w:val="none" w:sz="0" w:space="0" w:color="auto"/>
                <w:left w:val="none" w:sz="0" w:space="0" w:color="auto"/>
                <w:bottom w:val="none" w:sz="0" w:space="0" w:color="auto"/>
                <w:right w:val="none" w:sz="0" w:space="0" w:color="auto"/>
              </w:divBdr>
            </w:div>
            <w:div w:id="1797214068">
              <w:marLeft w:val="0"/>
              <w:marRight w:val="0"/>
              <w:marTop w:val="0"/>
              <w:marBottom w:val="0"/>
              <w:divBdr>
                <w:top w:val="none" w:sz="0" w:space="0" w:color="auto"/>
                <w:left w:val="none" w:sz="0" w:space="0" w:color="auto"/>
                <w:bottom w:val="none" w:sz="0" w:space="0" w:color="auto"/>
                <w:right w:val="none" w:sz="0" w:space="0" w:color="auto"/>
              </w:divBdr>
            </w:div>
            <w:div w:id="1907377597">
              <w:marLeft w:val="0"/>
              <w:marRight w:val="0"/>
              <w:marTop w:val="0"/>
              <w:marBottom w:val="0"/>
              <w:divBdr>
                <w:top w:val="none" w:sz="0" w:space="0" w:color="auto"/>
                <w:left w:val="none" w:sz="0" w:space="0" w:color="auto"/>
                <w:bottom w:val="none" w:sz="0" w:space="0" w:color="auto"/>
                <w:right w:val="none" w:sz="0" w:space="0" w:color="auto"/>
              </w:divBdr>
            </w:div>
            <w:div w:id="202192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6471">
      <w:bodyDiv w:val="1"/>
      <w:marLeft w:val="0"/>
      <w:marRight w:val="0"/>
      <w:marTop w:val="0"/>
      <w:marBottom w:val="0"/>
      <w:divBdr>
        <w:top w:val="none" w:sz="0" w:space="0" w:color="auto"/>
        <w:left w:val="none" w:sz="0" w:space="0" w:color="auto"/>
        <w:bottom w:val="none" w:sz="0" w:space="0" w:color="auto"/>
        <w:right w:val="none" w:sz="0" w:space="0" w:color="auto"/>
      </w:divBdr>
    </w:div>
    <w:div w:id="735200833">
      <w:bodyDiv w:val="1"/>
      <w:marLeft w:val="0"/>
      <w:marRight w:val="0"/>
      <w:marTop w:val="0"/>
      <w:marBottom w:val="0"/>
      <w:divBdr>
        <w:top w:val="none" w:sz="0" w:space="0" w:color="auto"/>
        <w:left w:val="none" w:sz="0" w:space="0" w:color="auto"/>
        <w:bottom w:val="none" w:sz="0" w:space="0" w:color="auto"/>
        <w:right w:val="none" w:sz="0" w:space="0" w:color="auto"/>
      </w:divBdr>
    </w:div>
    <w:div w:id="769735402">
      <w:bodyDiv w:val="1"/>
      <w:marLeft w:val="0"/>
      <w:marRight w:val="0"/>
      <w:marTop w:val="0"/>
      <w:marBottom w:val="0"/>
      <w:divBdr>
        <w:top w:val="none" w:sz="0" w:space="0" w:color="auto"/>
        <w:left w:val="none" w:sz="0" w:space="0" w:color="auto"/>
        <w:bottom w:val="none" w:sz="0" w:space="0" w:color="auto"/>
        <w:right w:val="none" w:sz="0" w:space="0" w:color="auto"/>
      </w:divBdr>
    </w:div>
    <w:div w:id="832527345">
      <w:bodyDiv w:val="1"/>
      <w:marLeft w:val="0"/>
      <w:marRight w:val="0"/>
      <w:marTop w:val="0"/>
      <w:marBottom w:val="0"/>
      <w:divBdr>
        <w:top w:val="none" w:sz="0" w:space="0" w:color="auto"/>
        <w:left w:val="none" w:sz="0" w:space="0" w:color="auto"/>
        <w:bottom w:val="none" w:sz="0" w:space="0" w:color="auto"/>
        <w:right w:val="none" w:sz="0" w:space="0" w:color="auto"/>
      </w:divBdr>
    </w:div>
    <w:div w:id="861165293">
      <w:bodyDiv w:val="1"/>
      <w:marLeft w:val="0"/>
      <w:marRight w:val="0"/>
      <w:marTop w:val="0"/>
      <w:marBottom w:val="0"/>
      <w:divBdr>
        <w:top w:val="none" w:sz="0" w:space="0" w:color="auto"/>
        <w:left w:val="none" w:sz="0" w:space="0" w:color="auto"/>
        <w:bottom w:val="none" w:sz="0" w:space="0" w:color="auto"/>
        <w:right w:val="none" w:sz="0" w:space="0" w:color="auto"/>
      </w:divBdr>
    </w:div>
    <w:div w:id="887955029">
      <w:bodyDiv w:val="1"/>
      <w:marLeft w:val="0"/>
      <w:marRight w:val="0"/>
      <w:marTop w:val="0"/>
      <w:marBottom w:val="0"/>
      <w:divBdr>
        <w:top w:val="none" w:sz="0" w:space="0" w:color="auto"/>
        <w:left w:val="none" w:sz="0" w:space="0" w:color="auto"/>
        <w:bottom w:val="none" w:sz="0" w:space="0" w:color="auto"/>
        <w:right w:val="none" w:sz="0" w:space="0" w:color="auto"/>
      </w:divBdr>
    </w:div>
    <w:div w:id="947851086">
      <w:bodyDiv w:val="1"/>
      <w:marLeft w:val="0"/>
      <w:marRight w:val="0"/>
      <w:marTop w:val="0"/>
      <w:marBottom w:val="0"/>
      <w:divBdr>
        <w:top w:val="none" w:sz="0" w:space="0" w:color="auto"/>
        <w:left w:val="none" w:sz="0" w:space="0" w:color="auto"/>
        <w:bottom w:val="none" w:sz="0" w:space="0" w:color="auto"/>
        <w:right w:val="none" w:sz="0" w:space="0" w:color="auto"/>
      </w:divBdr>
    </w:div>
    <w:div w:id="951325634">
      <w:bodyDiv w:val="1"/>
      <w:marLeft w:val="0"/>
      <w:marRight w:val="0"/>
      <w:marTop w:val="0"/>
      <w:marBottom w:val="0"/>
      <w:divBdr>
        <w:top w:val="none" w:sz="0" w:space="0" w:color="auto"/>
        <w:left w:val="none" w:sz="0" w:space="0" w:color="auto"/>
        <w:bottom w:val="none" w:sz="0" w:space="0" w:color="auto"/>
        <w:right w:val="none" w:sz="0" w:space="0" w:color="auto"/>
      </w:divBdr>
    </w:div>
    <w:div w:id="961229760">
      <w:bodyDiv w:val="1"/>
      <w:marLeft w:val="0"/>
      <w:marRight w:val="0"/>
      <w:marTop w:val="0"/>
      <w:marBottom w:val="0"/>
      <w:divBdr>
        <w:top w:val="none" w:sz="0" w:space="0" w:color="auto"/>
        <w:left w:val="none" w:sz="0" w:space="0" w:color="auto"/>
        <w:bottom w:val="none" w:sz="0" w:space="0" w:color="auto"/>
        <w:right w:val="none" w:sz="0" w:space="0" w:color="auto"/>
      </w:divBdr>
      <w:divsChild>
        <w:div w:id="800269266">
          <w:marLeft w:val="0"/>
          <w:marRight w:val="0"/>
          <w:marTop w:val="0"/>
          <w:marBottom w:val="0"/>
          <w:divBdr>
            <w:top w:val="none" w:sz="0" w:space="0" w:color="auto"/>
            <w:left w:val="none" w:sz="0" w:space="0" w:color="auto"/>
            <w:bottom w:val="none" w:sz="0" w:space="0" w:color="auto"/>
            <w:right w:val="none" w:sz="0" w:space="0" w:color="auto"/>
          </w:divBdr>
          <w:divsChild>
            <w:div w:id="778723543">
              <w:marLeft w:val="0"/>
              <w:marRight w:val="0"/>
              <w:marTop w:val="0"/>
              <w:marBottom w:val="0"/>
              <w:divBdr>
                <w:top w:val="none" w:sz="0" w:space="0" w:color="auto"/>
                <w:left w:val="none" w:sz="0" w:space="0" w:color="auto"/>
                <w:bottom w:val="none" w:sz="0" w:space="0" w:color="auto"/>
                <w:right w:val="none" w:sz="0" w:space="0" w:color="auto"/>
              </w:divBdr>
              <w:divsChild>
                <w:div w:id="1278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15250">
      <w:bodyDiv w:val="1"/>
      <w:marLeft w:val="0"/>
      <w:marRight w:val="0"/>
      <w:marTop w:val="0"/>
      <w:marBottom w:val="0"/>
      <w:divBdr>
        <w:top w:val="none" w:sz="0" w:space="0" w:color="auto"/>
        <w:left w:val="none" w:sz="0" w:space="0" w:color="auto"/>
        <w:bottom w:val="none" w:sz="0" w:space="0" w:color="auto"/>
        <w:right w:val="none" w:sz="0" w:space="0" w:color="auto"/>
      </w:divBdr>
    </w:div>
    <w:div w:id="1049111555">
      <w:bodyDiv w:val="1"/>
      <w:marLeft w:val="0"/>
      <w:marRight w:val="0"/>
      <w:marTop w:val="0"/>
      <w:marBottom w:val="0"/>
      <w:divBdr>
        <w:top w:val="none" w:sz="0" w:space="0" w:color="auto"/>
        <w:left w:val="none" w:sz="0" w:space="0" w:color="auto"/>
        <w:bottom w:val="none" w:sz="0" w:space="0" w:color="auto"/>
        <w:right w:val="none" w:sz="0" w:space="0" w:color="auto"/>
      </w:divBdr>
    </w:div>
    <w:div w:id="1100030929">
      <w:bodyDiv w:val="1"/>
      <w:marLeft w:val="0"/>
      <w:marRight w:val="0"/>
      <w:marTop w:val="0"/>
      <w:marBottom w:val="0"/>
      <w:divBdr>
        <w:top w:val="none" w:sz="0" w:space="0" w:color="auto"/>
        <w:left w:val="none" w:sz="0" w:space="0" w:color="auto"/>
        <w:bottom w:val="none" w:sz="0" w:space="0" w:color="auto"/>
        <w:right w:val="none" w:sz="0" w:space="0" w:color="auto"/>
      </w:divBdr>
    </w:div>
    <w:div w:id="1138038775">
      <w:bodyDiv w:val="1"/>
      <w:marLeft w:val="0"/>
      <w:marRight w:val="0"/>
      <w:marTop w:val="0"/>
      <w:marBottom w:val="0"/>
      <w:divBdr>
        <w:top w:val="none" w:sz="0" w:space="0" w:color="auto"/>
        <w:left w:val="none" w:sz="0" w:space="0" w:color="auto"/>
        <w:bottom w:val="none" w:sz="0" w:space="0" w:color="auto"/>
        <w:right w:val="none" w:sz="0" w:space="0" w:color="auto"/>
      </w:divBdr>
      <w:divsChild>
        <w:div w:id="1558512360">
          <w:marLeft w:val="0"/>
          <w:marRight w:val="0"/>
          <w:marTop w:val="0"/>
          <w:marBottom w:val="0"/>
          <w:divBdr>
            <w:top w:val="none" w:sz="0" w:space="0" w:color="auto"/>
            <w:left w:val="none" w:sz="0" w:space="0" w:color="auto"/>
            <w:bottom w:val="none" w:sz="0" w:space="0" w:color="auto"/>
            <w:right w:val="none" w:sz="0" w:space="0" w:color="auto"/>
          </w:divBdr>
        </w:div>
        <w:div w:id="2124377628">
          <w:marLeft w:val="0"/>
          <w:marRight w:val="0"/>
          <w:marTop w:val="0"/>
          <w:marBottom w:val="0"/>
          <w:divBdr>
            <w:top w:val="none" w:sz="0" w:space="0" w:color="auto"/>
            <w:left w:val="none" w:sz="0" w:space="0" w:color="auto"/>
            <w:bottom w:val="none" w:sz="0" w:space="0" w:color="auto"/>
            <w:right w:val="none" w:sz="0" w:space="0" w:color="auto"/>
          </w:divBdr>
        </w:div>
      </w:divsChild>
    </w:div>
    <w:div w:id="1140268260">
      <w:bodyDiv w:val="1"/>
      <w:marLeft w:val="0"/>
      <w:marRight w:val="0"/>
      <w:marTop w:val="0"/>
      <w:marBottom w:val="0"/>
      <w:divBdr>
        <w:top w:val="none" w:sz="0" w:space="0" w:color="auto"/>
        <w:left w:val="none" w:sz="0" w:space="0" w:color="auto"/>
        <w:bottom w:val="none" w:sz="0" w:space="0" w:color="auto"/>
        <w:right w:val="none" w:sz="0" w:space="0" w:color="auto"/>
      </w:divBdr>
    </w:div>
    <w:div w:id="1153255378">
      <w:bodyDiv w:val="1"/>
      <w:marLeft w:val="0"/>
      <w:marRight w:val="0"/>
      <w:marTop w:val="0"/>
      <w:marBottom w:val="0"/>
      <w:divBdr>
        <w:top w:val="none" w:sz="0" w:space="0" w:color="auto"/>
        <w:left w:val="none" w:sz="0" w:space="0" w:color="auto"/>
        <w:bottom w:val="none" w:sz="0" w:space="0" w:color="auto"/>
        <w:right w:val="none" w:sz="0" w:space="0" w:color="auto"/>
      </w:divBdr>
    </w:div>
    <w:div w:id="1157458475">
      <w:bodyDiv w:val="1"/>
      <w:marLeft w:val="0"/>
      <w:marRight w:val="0"/>
      <w:marTop w:val="0"/>
      <w:marBottom w:val="0"/>
      <w:divBdr>
        <w:top w:val="none" w:sz="0" w:space="0" w:color="auto"/>
        <w:left w:val="none" w:sz="0" w:space="0" w:color="auto"/>
        <w:bottom w:val="none" w:sz="0" w:space="0" w:color="auto"/>
        <w:right w:val="none" w:sz="0" w:space="0" w:color="auto"/>
      </w:divBdr>
    </w:div>
    <w:div w:id="1306618939">
      <w:bodyDiv w:val="1"/>
      <w:marLeft w:val="0"/>
      <w:marRight w:val="0"/>
      <w:marTop w:val="0"/>
      <w:marBottom w:val="0"/>
      <w:divBdr>
        <w:top w:val="none" w:sz="0" w:space="0" w:color="auto"/>
        <w:left w:val="none" w:sz="0" w:space="0" w:color="auto"/>
        <w:bottom w:val="none" w:sz="0" w:space="0" w:color="auto"/>
        <w:right w:val="none" w:sz="0" w:space="0" w:color="auto"/>
      </w:divBdr>
      <w:divsChild>
        <w:div w:id="947396739">
          <w:marLeft w:val="0"/>
          <w:marRight w:val="0"/>
          <w:marTop w:val="0"/>
          <w:marBottom w:val="0"/>
          <w:divBdr>
            <w:top w:val="none" w:sz="0" w:space="0" w:color="auto"/>
            <w:left w:val="none" w:sz="0" w:space="0" w:color="auto"/>
            <w:bottom w:val="none" w:sz="0" w:space="0" w:color="auto"/>
            <w:right w:val="none" w:sz="0" w:space="0" w:color="auto"/>
          </w:divBdr>
        </w:div>
        <w:div w:id="1711952323">
          <w:marLeft w:val="0"/>
          <w:marRight w:val="0"/>
          <w:marTop w:val="0"/>
          <w:marBottom w:val="0"/>
          <w:divBdr>
            <w:top w:val="none" w:sz="0" w:space="0" w:color="auto"/>
            <w:left w:val="none" w:sz="0" w:space="0" w:color="auto"/>
            <w:bottom w:val="none" w:sz="0" w:space="0" w:color="auto"/>
            <w:right w:val="none" w:sz="0" w:space="0" w:color="auto"/>
          </w:divBdr>
        </w:div>
      </w:divsChild>
    </w:div>
    <w:div w:id="1307009581">
      <w:bodyDiv w:val="1"/>
      <w:marLeft w:val="0"/>
      <w:marRight w:val="0"/>
      <w:marTop w:val="0"/>
      <w:marBottom w:val="0"/>
      <w:divBdr>
        <w:top w:val="none" w:sz="0" w:space="0" w:color="auto"/>
        <w:left w:val="none" w:sz="0" w:space="0" w:color="auto"/>
        <w:bottom w:val="none" w:sz="0" w:space="0" w:color="auto"/>
        <w:right w:val="none" w:sz="0" w:space="0" w:color="auto"/>
      </w:divBdr>
    </w:div>
    <w:div w:id="1321546269">
      <w:bodyDiv w:val="1"/>
      <w:marLeft w:val="0"/>
      <w:marRight w:val="0"/>
      <w:marTop w:val="0"/>
      <w:marBottom w:val="0"/>
      <w:divBdr>
        <w:top w:val="none" w:sz="0" w:space="0" w:color="auto"/>
        <w:left w:val="none" w:sz="0" w:space="0" w:color="auto"/>
        <w:bottom w:val="none" w:sz="0" w:space="0" w:color="auto"/>
        <w:right w:val="none" w:sz="0" w:space="0" w:color="auto"/>
      </w:divBdr>
    </w:div>
    <w:div w:id="1345746207">
      <w:bodyDiv w:val="1"/>
      <w:marLeft w:val="0"/>
      <w:marRight w:val="0"/>
      <w:marTop w:val="0"/>
      <w:marBottom w:val="0"/>
      <w:divBdr>
        <w:top w:val="none" w:sz="0" w:space="0" w:color="auto"/>
        <w:left w:val="none" w:sz="0" w:space="0" w:color="auto"/>
        <w:bottom w:val="none" w:sz="0" w:space="0" w:color="auto"/>
        <w:right w:val="none" w:sz="0" w:space="0" w:color="auto"/>
      </w:divBdr>
    </w:div>
    <w:div w:id="1353805208">
      <w:bodyDiv w:val="1"/>
      <w:marLeft w:val="0"/>
      <w:marRight w:val="0"/>
      <w:marTop w:val="0"/>
      <w:marBottom w:val="0"/>
      <w:divBdr>
        <w:top w:val="none" w:sz="0" w:space="0" w:color="auto"/>
        <w:left w:val="none" w:sz="0" w:space="0" w:color="auto"/>
        <w:bottom w:val="none" w:sz="0" w:space="0" w:color="auto"/>
        <w:right w:val="none" w:sz="0" w:space="0" w:color="auto"/>
      </w:divBdr>
    </w:div>
    <w:div w:id="1421292060">
      <w:bodyDiv w:val="1"/>
      <w:marLeft w:val="0"/>
      <w:marRight w:val="0"/>
      <w:marTop w:val="0"/>
      <w:marBottom w:val="0"/>
      <w:divBdr>
        <w:top w:val="none" w:sz="0" w:space="0" w:color="auto"/>
        <w:left w:val="none" w:sz="0" w:space="0" w:color="auto"/>
        <w:bottom w:val="none" w:sz="0" w:space="0" w:color="auto"/>
        <w:right w:val="none" w:sz="0" w:space="0" w:color="auto"/>
      </w:divBdr>
    </w:div>
    <w:div w:id="1446462485">
      <w:bodyDiv w:val="1"/>
      <w:marLeft w:val="0"/>
      <w:marRight w:val="0"/>
      <w:marTop w:val="0"/>
      <w:marBottom w:val="0"/>
      <w:divBdr>
        <w:top w:val="none" w:sz="0" w:space="0" w:color="auto"/>
        <w:left w:val="none" w:sz="0" w:space="0" w:color="auto"/>
        <w:bottom w:val="none" w:sz="0" w:space="0" w:color="auto"/>
        <w:right w:val="none" w:sz="0" w:space="0" w:color="auto"/>
      </w:divBdr>
    </w:div>
    <w:div w:id="1482844168">
      <w:bodyDiv w:val="1"/>
      <w:marLeft w:val="0"/>
      <w:marRight w:val="0"/>
      <w:marTop w:val="0"/>
      <w:marBottom w:val="0"/>
      <w:divBdr>
        <w:top w:val="none" w:sz="0" w:space="0" w:color="auto"/>
        <w:left w:val="none" w:sz="0" w:space="0" w:color="auto"/>
        <w:bottom w:val="none" w:sz="0" w:space="0" w:color="auto"/>
        <w:right w:val="none" w:sz="0" w:space="0" w:color="auto"/>
      </w:divBdr>
      <w:divsChild>
        <w:div w:id="121004085">
          <w:marLeft w:val="0"/>
          <w:marRight w:val="0"/>
          <w:marTop w:val="0"/>
          <w:marBottom w:val="0"/>
          <w:divBdr>
            <w:top w:val="none" w:sz="0" w:space="0" w:color="auto"/>
            <w:left w:val="none" w:sz="0" w:space="0" w:color="auto"/>
            <w:bottom w:val="none" w:sz="0" w:space="0" w:color="auto"/>
            <w:right w:val="none" w:sz="0" w:space="0" w:color="auto"/>
          </w:divBdr>
        </w:div>
        <w:div w:id="663894159">
          <w:marLeft w:val="0"/>
          <w:marRight w:val="0"/>
          <w:marTop w:val="0"/>
          <w:marBottom w:val="0"/>
          <w:divBdr>
            <w:top w:val="none" w:sz="0" w:space="0" w:color="auto"/>
            <w:left w:val="none" w:sz="0" w:space="0" w:color="auto"/>
            <w:bottom w:val="none" w:sz="0" w:space="0" w:color="auto"/>
            <w:right w:val="none" w:sz="0" w:space="0" w:color="auto"/>
          </w:divBdr>
        </w:div>
        <w:div w:id="1384015809">
          <w:marLeft w:val="0"/>
          <w:marRight w:val="0"/>
          <w:marTop w:val="0"/>
          <w:marBottom w:val="0"/>
          <w:divBdr>
            <w:top w:val="none" w:sz="0" w:space="0" w:color="auto"/>
            <w:left w:val="none" w:sz="0" w:space="0" w:color="auto"/>
            <w:bottom w:val="none" w:sz="0" w:space="0" w:color="auto"/>
            <w:right w:val="none" w:sz="0" w:space="0" w:color="auto"/>
          </w:divBdr>
        </w:div>
        <w:div w:id="1750156904">
          <w:marLeft w:val="0"/>
          <w:marRight w:val="0"/>
          <w:marTop w:val="0"/>
          <w:marBottom w:val="0"/>
          <w:divBdr>
            <w:top w:val="none" w:sz="0" w:space="0" w:color="auto"/>
            <w:left w:val="none" w:sz="0" w:space="0" w:color="auto"/>
            <w:bottom w:val="none" w:sz="0" w:space="0" w:color="auto"/>
            <w:right w:val="none" w:sz="0" w:space="0" w:color="auto"/>
          </w:divBdr>
        </w:div>
      </w:divsChild>
    </w:div>
    <w:div w:id="1485050824">
      <w:bodyDiv w:val="1"/>
      <w:marLeft w:val="0"/>
      <w:marRight w:val="0"/>
      <w:marTop w:val="0"/>
      <w:marBottom w:val="0"/>
      <w:divBdr>
        <w:top w:val="none" w:sz="0" w:space="0" w:color="auto"/>
        <w:left w:val="none" w:sz="0" w:space="0" w:color="auto"/>
        <w:bottom w:val="none" w:sz="0" w:space="0" w:color="auto"/>
        <w:right w:val="none" w:sz="0" w:space="0" w:color="auto"/>
      </w:divBdr>
    </w:div>
    <w:div w:id="1489900756">
      <w:bodyDiv w:val="1"/>
      <w:marLeft w:val="0"/>
      <w:marRight w:val="0"/>
      <w:marTop w:val="0"/>
      <w:marBottom w:val="0"/>
      <w:divBdr>
        <w:top w:val="none" w:sz="0" w:space="0" w:color="auto"/>
        <w:left w:val="none" w:sz="0" w:space="0" w:color="auto"/>
        <w:bottom w:val="none" w:sz="0" w:space="0" w:color="auto"/>
        <w:right w:val="none" w:sz="0" w:space="0" w:color="auto"/>
      </w:divBdr>
    </w:div>
    <w:div w:id="1491022154">
      <w:bodyDiv w:val="1"/>
      <w:marLeft w:val="0"/>
      <w:marRight w:val="0"/>
      <w:marTop w:val="0"/>
      <w:marBottom w:val="0"/>
      <w:divBdr>
        <w:top w:val="none" w:sz="0" w:space="0" w:color="auto"/>
        <w:left w:val="none" w:sz="0" w:space="0" w:color="auto"/>
        <w:bottom w:val="none" w:sz="0" w:space="0" w:color="auto"/>
        <w:right w:val="none" w:sz="0" w:space="0" w:color="auto"/>
      </w:divBdr>
    </w:div>
    <w:div w:id="1538851736">
      <w:bodyDiv w:val="1"/>
      <w:marLeft w:val="0"/>
      <w:marRight w:val="0"/>
      <w:marTop w:val="0"/>
      <w:marBottom w:val="0"/>
      <w:divBdr>
        <w:top w:val="none" w:sz="0" w:space="0" w:color="auto"/>
        <w:left w:val="none" w:sz="0" w:space="0" w:color="auto"/>
        <w:bottom w:val="none" w:sz="0" w:space="0" w:color="auto"/>
        <w:right w:val="none" w:sz="0" w:space="0" w:color="auto"/>
      </w:divBdr>
    </w:div>
    <w:div w:id="1554851075">
      <w:bodyDiv w:val="1"/>
      <w:marLeft w:val="0"/>
      <w:marRight w:val="0"/>
      <w:marTop w:val="0"/>
      <w:marBottom w:val="0"/>
      <w:divBdr>
        <w:top w:val="none" w:sz="0" w:space="0" w:color="auto"/>
        <w:left w:val="none" w:sz="0" w:space="0" w:color="auto"/>
        <w:bottom w:val="none" w:sz="0" w:space="0" w:color="auto"/>
        <w:right w:val="none" w:sz="0" w:space="0" w:color="auto"/>
      </w:divBdr>
    </w:div>
    <w:div w:id="1670476893">
      <w:bodyDiv w:val="1"/>
      <w:marLeft w:val="0"/>
      <w:marRight w:val="0"/>
      <w:marTop w:val="0"/>
      <w:marBottom w:val="0"/>
      <w:divBdr>
        <w:top w:val="none" w:sz="0" w:space="0" w:color="auto"/>
        <w:left w:val="none" w:sz="0" w:space="0" w:color="auto"/>
        <w:bottom w:val="none" w:sz="0" w:space="0" w:color="auto"/>
        <w:right w:val="none" w:sz="0" w:space="0" w:color="auto"/>
      </w:divBdr>
    </w:div>
    <w:div w:id="1681350435">
      <w:bodyDiv w:val="1"/>
      <w:marLeft w:val="0"/>
      <w:marRight w:val="0"/>
      <w:marTop w:val="0"/>
      <w:marBottom w:val="0"/>
      <w:divBdr>
        <w:top w:val="none" w:sz="0" w:space="0" w:color="auto"/>
        <w:left w:val="none" w:sz="0" w:space="0" w:color="auto"/>
        <w:bottom w:val="none" w:sz="0" w:space="0" w:color="auto"/>
        <w:right w:val="none" w:sz="0" w:space="0" w:color="auto"/>
      </w:divBdr>
    </w:div>
    <w:div w:id="1712070990">
      <w:bodyDiv w:val="1"/>
      <w:marLeft w:val="0"/>
      <w:marRight w:val="0"/>
      <w:marTop w:val="0"/>
      <w:marBottom w:val="0"/>
      <w:divBdr>
        <w:top w:val="none" w:sz="0" w:space="0" w:color="auto"/>
        <w:left w:val="none" w:sz="0" w:space="0" w:color="auto"/>
        <w:bottom w:val="none" w:sz="0" w:space="0" w:color="auto"/>
        <w:right w:val="none" w:sz="0" w:space="0" w:color="auto"/>
      </w:divBdr>
    </w:div>
    <w:div w:id="1713994007">
      <w:bodyDiv w:val="1"/>
      <w:marLeft w:val="0"/>
      <w:marRight w:val="0"/>
      <w:marTop w:val="0"/>
      <w:marBottom w:val="0"/>
      <w:divBdr>
        <w:top w:val="none" w:sz="0" w:space="0" w:color="auto"/>
        <w:left w:val="none" w:sz="0" w:space="0" w:color="auto"/>
        <w:bottom w:val="none" w:sz="0" w:space="0" w:color="auto"/>
        <w:right w:val="none" w:sz="0" w:space="0" w:color="auto"/>
      </w:divBdr>
    </w:div>
    <w:div w:id="1739133259">
      <w:bodyDiv w:val="1"/>
      <w:marLeft w:val="0"/>
      <w:marRight w:val="0"/>
      <w:marTop w:val="0"/>
      <w:marBottom w:val="0"/>
      <w:divBdr>
        <w:top w:val="none" w:sz="0" w:space="0" w:color="auto"/>
        <w:left w:val="none" w:sz="0" w:space="0" w:color="auto"/>
        <w:bottom w:val="none" w:sz="0" w:space="0" w:color="auto"/>
        <w:right w:val="none" w:sz="0" w:space="0" w:color="auto"/>
      </w:divBdr>
    </w:div>
    <w:div w:id="1790010447">
      <w:bodyDiv w:val="1"/>
      <w:marLeft w:val="0"/>
      <w:marRight w:val="0"/>
      <w:marTop w:val="0"/>
      <w:marBottom w:val="0"/>
      <w:divBdr>
        <w:top w:val="none" w:sz="0" w:space="0" w:color="auto"/>
        <w:left w:val="none" w:sz="0" w:space="0" w:color="auto"/>
        <w:bottom w:val="none" w:sz="0" w:space="0" w:color="auto"/>
        <w:right w:val="none" w:sz="0" w:space="0" w:color="auto"/>
      </w:divBdr>
      <w:divsChild>
        <w:div w:id="936406824">
          <w:marLeft w:val="0"/>
          <w:marRight w:val="0"/>
          <w:marTop w:val="0"/>
          <w:marBottom w:val="0"/>
          <w:divBdr>
            <w:top w:val="none" w:sz="0" w:space="0" w:color="auto"/>
            <w:left w:val="none" w:sz="0" w:space="0" w:color="auto"/>
            <w:bottom w:val="none" w:sz="0" w:space="0" w:color="auto"/>
            <w:right w:val="none" w:sz="0" w:space="0" w:color="auto"/>
          </w:divBdr>
          <w:divsChild>
            <w:div w:id="301086462">
              <w:marLeft w:val="0"/>
              <w:marRight w:val="0"/>
              <w:marTop w:val="0"/>
              <w:marBottom w:val="0"/>
              <w:divBdr>
                <w:top w:val="none" w:sz="0" w:space="0" w:color="auto"/>
                <w:left w:val="none" w:sz="0" w:space="0" w:color="auto"/>
                <w:bottom w:val="none" w:sz="0" w:space="0" w:color="auto"/>
                <w:right w:val="none" w:sz="0" w:space="0" w:color="auto"/>
              </w:divBdr>
              <w:divsChild>
                <w:div w:id="154174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412739">
      <w:bodyDiv w:val="1"/>
      <w:marLeft w:val="0"/>
      <w:marRight w:val="0"/>
      <w:marTop w:val="0"/>
      <w:marBottom w:val="0"/>
      <w:divBdr>
        <w:top w:val="none" w:sz="0" w:space="0" w:color="auto"/>
        <w:left w:val="none" w:sz="0" w:space="0" w:color="auto"/>
        <w:bottom w:val="none" w:sz="0" w:space="0" w:color="auto"/>
        <w:right w:val="none" w:sz="0" w:space="0" w:color="auto"/>
      </w:divBdr>
    </w:div>
    <w:div w:id="1802570857">
      <w:bodyDiv w:val="1"/>
      <w:marLeft w:val="0"/>
      <w:marRight w:val="0"/>
      <w:marTop w:val="0"/>
      <w:marBottom w:val="0"/>
      <w:divBdr>
        <w:top w:val="none" w:sz="0" w:space="0" w:color="auto"/>
        <w:left w:val="none" w:sz="0" w:space="0" w:color="auto"/>
        <w:bottom w:val="none" w:sz="0" w:space="0" w:color="auto"/>
        <w:right w:val="none" w:sz="0" w:space="0" w:color="auto"/>
      </w:divBdr>
    </w:div>
    <w:div w:id="1817915711">
      <w:bodyDiv w:val="1"/>
      <w:marLeft w:val="0"/>
      <w:marRight w:val="0"/>
      <w:marTop w:val="0"/>
      <w:marBottom w:val="0"/>
      <w:divBdr>
        <w:top w:val="none" w:sz="0" w:space="0" w:color="auto"/>
        <w:left w:val="none" w:sz="0" w:space="0" w:color="auto"/>
        <w:bottom w:val="none" w:sz="0" w:space="0" w:color="auto"/>
        <w:right w:val="none" w:sz="0" w:space="0" w:color="auto"/>
      </w:divBdr>
    </w:div>
    <w:div w:id="1886597228">
      <w:bodyDiv w:val="1"/>
      <w:marLeft w:val="0"/>
      <w:marRight w:val="0"/>
      <w:marTop w:val="0"/>
      <w:marBottom w:val="0"/>
      <w:divBdr>
        <w:top w:val="none" w:sz="0" w:space="0" w:color="auto"/>
        <w:left w:val="none" w:sz="0" w:space="0" w:color="auto"/>
        <w:bottom w:val="none" w:sz="0" w:space="0" w:color="auto"/>
        <w:right w:val="none" w:sz="0" w:space="0" w:color="auto"/>
      </w:divBdr>
    </w:div>
    <w:div w:id="1944846554">
      <w:bodyDiv w:val="1"/>
      <w:marLeft w:val="0"/>
      <w:marRight w:val="0"/>
      <w:marTop w:val="0"/>
      <w:marBottom w:val="0"/>
      <w:divBdr>
        <w:top w:val="none" w:sz="0" w:space="0" w:color="auto"/>
        <w:left w:val="none" w:sz="0" w:space="0" w:color="auto"/>
        <w:bottom w:val="none" w:sz="0" w:space="0" w:color="auto"/>
        <w:right w:val="none" w:sz="0" w:space="0" w:color="auto"/>
      </w:divBdr>
    </w:div>
    <w:div w:id="1952198802">
      <w:bodyDiv w:val="1"/>
      <w:marLeft w:val="0"/>
      <w:marRight w:val="0"/>
      <w:marTop w:val="0"/>
      <w:marBottom w:val="0"/>
      <w:divBdr>
        <w:top w:val="none" w:sz="0" w:space="0" w:color="auto"/>
        <w:left w:val="none" w:sz="0" w:space="0" w:color="auto"/>
        <w:bottom w:val="none" w:sz="0" w:space="0" w:color="auto"/>
        <w:right w:val="none" w:sz="0" w:space="0" w:color="auto"/>
      </w:divBdr>
    </w:div>
    <w:div w:id="1963464317">
      <w:bodyDiv w:val="1"/>
      <w:marLeft w:val="0"/>
      <w:marRight w:val="0"/>
      <w:marTop w:val="0"/>
      <w:marBottom w:val="0"/>
      <w:divBdr>
        <w:top w:val="none" w:sz="0" w:space="0" w:color="auto"/>
        <w:left w:val="none" w:sz="0" w:space="0" w:color="auto"/>
        <w:bottom w:val="none" w:sz="0" w:space="0" w:color="auto"/>
        <w:right w:val="none" w:sz="0" w:space="0" w:color="auto"/>
      </w:divBdr>
      <w:divsChild>
        <w:div w:id="120850653">
          <w:marLeft w:val="0"/>
          <w:marRight w:val="0"/>
          <w:marTop w:val="0"/>
          <w:marBottom w:val="0"/>
          <w:divBdr>
            <w:top w:val="none" w:sz="0" w:space="0" w:color="auto"/>
            <w:left w:val="none" w:sz="0" w:space="0" w:color="auto"/>
            <w:bottom w:val="none" w:sz="0" w:space="0" w:color="auto"/>
            <w:right w:val="none" w:sz="0" w:space="0" w:color="auto"/>
          </w:divBdr>
        </w:div>
        <w:div w:id="373778781">
          <w:marLeft w:val="0"/>
          <w:marRight w:val="0"/>
          <w:marTop w:val="0"/>
          <w:marBottom w:val="0"/>
          <w:divBdr>
            <w:top w:val="none" w:sz="0" w:space="0" w:color="auto"/>
            <w:left w:val="none" w:sz="0" w:space="0" w:color="auto"/>
            <w:bottom w:val="none" w:sz="0" w:space="0" w:color="auto"/>
            <w:right w:val="none" w:sz="0" w:space="0" w:color="auto"/>
          </w:divBdr>
        </w:div>
        <w:div w:id="481234894">
          <w:marLeft w:val="0"/>
          <w:marRight w:val="0"/>
          <w:marTop w:val="0"/>
          <w:marBottom w:val="0"/>
          <w:divBdr>
            <w:top w:val="none" w:sz="0" w:space="0" w:color="auto"/>
            <w:left w:val="none" w:sz="0" w:space="0" w:color="auto"/>
            <w:bottom w:val="none" w:sz="0" w:space="0" w:color="auto"/>
            <w:right w:val="none" w:sz="0" w:space="0" w:color="auto"/>
          </w:divBdr>
        </w:div>
        <w:div w:id="583101831">
          <w:marLeft w:val="0"/>
          <w:marRight w:val="0"/>
          <w:marTop w:val="0"/>
          <w:marBottom w:val="0"/>
          <w:divBdr>
            <w:top w:val="none" w:sz="0" w:space="0" w:color="auto"/>
            <w:left w:val="none" w:sz="0" w:space="0" w:color="auto"/>
            <w:bottom w:val="none" w:sz="0" w:space="0" w:color="auto"/>
            <w:right w:val="none" w:sz="0" w:space="0" w:color="auto"/>
          </w:divBdr>
        </w:div>
        <w:div w:id="739256334">
          <w:marLeft w:val="0"/>
          <w:marRight w:val="0"/>
          <w:marTop w:val="0"/>
          <w:marBottom w:val="0"/>
          <w:divBdr>
            <w:top w:val="none" w:sz="0" w:space="0" w:color="auto"/>
            <w:left w:val="none" w:sz="0" w:space="0" w:color="auto"/>
            <w:bottom w:val="none" w:sz="0" w:space="0" w:color="auto"/>
            <w:right w:val="none" w:sz="0" w:space="0" w:color="auto"/>
          </w:divBdr>
        </w:div>
        <w:div w:id="1059743204">
          <w:marLeft w:val="0"/>
          <w:marRight w:val="0"/>
          <w:marTop w:val="0"/>
          <w:marBottom w:val="0"/>
          <w:divBdr>
            <w:top w:val="none" w:sz="0" w:space="0" w:color="auto"/>
            <w:left w:val="none" w:sz="0" w:space="0" w:color="auto"/>
            <w:bottom w:val="none" w:sz="0" w:space="0" w:color="auto"/>
            <w:right w:val="none" w:sz="0" w:space="0" w:color="auto"/>
          </w:divBdr>
        </w:div>
        <w:div w:id="1833643971">
          <w:marLeft w:val="0"/>
          <w:marRight w:val="0"/>
          <w:marTop w:val="0"/>
          <w:marBottom w:val="0"/>
          <w:divBdr>
            <w:top w:val="none" w:sz="0" w:space="0" w:color="auto"/>
            <w:left w:val="none" w:sz="0" w:space="0" w:color="auto"/>
            <w:bottom w:val="none" w:sz="0" w:space="0" w:color="auto"/>
            <w:right w:val="none" w:sz="0" w:space="0" w:color="auto"/>
          </w:divBdr>
        </w:div>
        <w:div w:id="1931770052">
          <w:marLeft w:val="0"/>
          <w:marRight w:val="0"/>
          <w:marTop w:val="0"/>
          <w:marBottom w:val="0"/>
          <w:divBdr>
            <w:top w:val="none" w:sz="0" w:space="0" w:color="auto"/>
            <w:left w:val="none" w:sz="0" w:space="0" w:color="auto"/>
            <w:bottom w:val="none" w:sz="0" w:space="0" w:color="auto"/>
            <w:right w:val="none" w:sz="0" w:space="0" w:color="auto"/>
          </w:divBdr>
        </w:div>
        <w:div w:id="2036924816">
          <w:marLeft w:val="0"/>
          <w:marRight w:val="0"/>
          <w:marTop w:val="0"/>
          <w:marBottom w:val="0"/>
          <w:divBdr>
            <w:top w:val="none" w:sz="0" w:space="0" w:color="auto"/>
            <w:left w:val="none" w:sz="0" w:space="0" w:color="auto"/>
            <w:bottom w:val="none" w:sz="0" w:space="0" w:color="auto"/>
            <w:right w:val="none" w:sz="0" w:space="0" w:color="auto"/>
          </w:divBdr>
        </w:div>
      </w:divsChild>
    </w:div>
    <w:div w:id="1976521475">
      <w:bodyDiv w:val="1"/>
      <w:marLeft w:val="0"/>
      <w:marRight w:val="0"/>
      <w:marTop w:val="0"/>
      <w:marBottom w:val="0"/>
      <w:divBdr>
        <w:top w:val="none" w:sz="0" w:space="0" w:color="auto"/>
        <w:left w:val="none" w:sz="0" w:space="0" w:color="auto"/>
        <w:bottom w:val="none" w:sz="0" w:space="0" w:color="auto"/>
        <w:right w:val="none" w:sz="0" w:space="0" w:color="auto"/>
      </w:divBdr>
      <w:divsChild>
        <w:div w:id="431705480">
          <w:marLeft w:val="0"/>
          <w:marRight w:val="0"/>
          <w:marTop w:val="0"/>
          <w:marBottom w:val="0"/>
          <w:divBdr>
            <w:top w:val="none" w:sz="0" w:space="0" w:color="auto"/>
            <w:left w:val="none" w:sz="0" w:space="0" w:color="auto"/>
            <w:bottom w:val="none" w:sz="0" w:space="0" w:color="auto"/>
            <w:right w:val="none" w:sz="0" w:space="0" w:color="auto"/>
          </w:divBdr>
          <w:divsChild>
            <w:div w:id="21631373">
              <w:marLeft w:val="0"/>
              <w:marRight w:val="0"/>
              <w:marTop w:val="0"/>
              <w:marBottom w:val="0"/>
              <w:divBdr>
                <w:top w:val="none" w:sz="0" w:space="0" w:color="auto"/>
                <w:left w:val="none" w:sz="0" w:space="0" w:color="auto"/>
                <w:bottom w:val="none" w:sz="0" w:space="0" w:color="auto"/>
                <w:right w:val="none" w:sz="0" w:space="0" w:color="auto"/>
              </w:divBdr>
            </w:div>
            <w:div w:id="1130244632">
              <w:marLeft w:val="0"/>
              <w:marRight w:val="0"/>
              <w:marTop w:val="0"/>
              <w:marBottom w:val="0"/>
              <w:divBdr>
                <w:top w:val="none" w:sz="0" w:space="0" w:color="auto"/>
                <w:left w:val="none" w:sz="0" w:space="0" w:color="auto"/>
                <w:bottom w:val="none" w:sz="0" w:space="0" w:color="auto"/>
                <w:right w:val="none" w:sz="0" w:space="0" w:color="auto"/>
              </w:divBdr>
            </w:div>
            <w:div w:id="1451822992">
              <w:marLeft w:val="0"/>
              <w:marRight w:val="0"/>
              <w:marTop w:val="0"/>
              <w:marBottom w:val="0"/>
              <w:divBdr>
                <w:top w:val="none" w:sz="0" w:space="0" w:color="auto"/>
                <w:left w:val="none" w:sz="0" w:space="0" w:color="auto"/>
                <w:bottom w:val="none" w:sz="0" w:space="0" w:color="auto"/>
                <w:right w:val="none" w:sz="0" w:space="0" w:color="auto"/>
              </w:divBdr>
            </w:div>
            <w:div w:id="1497457667">
              <w:marLeft w:val="0"/>
              <w:marRight w:val="0"/>
              <w:marTop w:val="0"/>
              <w:marBottom w:val="0"/>
              <w:divBdr>
                <w:top w:val="none" w:sz="0" w:space="0" w:color="auto"/>
                <w:left w:val="none" w:sz="0" w:space="0" w:color="auto"/>
                <w:bottom w:val="none" w:sz="0" w:space="0" w:color="auto"/>
                <w:right w:val="none" w:sz="0" w:space="0" w:color="auto"/>
              </w:divBdr>
            </w:div>
            <w:div w:id="1743600218">
              <w:marLeft w:val="0"/>
              <w:marRight w:val="0"/>
              <w:marTop w:val="0"/>
              <w:marBottom w:val="0"/>
              <w:divBdr>
                <w:top w:val="none" w:sz="0" w:space="0" w:color="auto"/>
                <w:left w:val="none" w:sz="0" w:space="0" w:color="auto"/>
                <w:bottom w:val="none" w:sz="0" w:space="0" w:color="auto"/>
                <w:right w:val="none" w:sz="0" w:space="0" w:color="auto"/>
              </w:divBdr>
            </w:div>
            <w:div w:id="1870751414">
              <w:marLeft w:val="0"/>
              <w:marRight w:val="0"/>
              <w:marTop w:val="0"/>
              <w:marBottom w:val="0"/>
              <w:divBdr>
                <w:top w:val="none" w:sz="0" w:space="0" w:color="auto"/>
                <w:left w:val="none" w:sz="0" w:space="0" w:color="auto"/>
                <w:bottom w:val="none" w:sz="0" w:space="0" w:color="auto"/>
                <w:right w:val="none" w:sz="0" w:space="0" w:color="auto"/>
              </w:divBdr>
            </w:div>
            <w:div w:id="2007780084">
              <w:marLeft w:val="0"/>
              <w:marRight w:val="0"/>
              <w:marTop w:val="0"/>
              <w:marBottom w:val="0"/>
              <w:divBdr>
                <w:top w:val="none" w:sz="0" w:space="0" w:color="auto"/>
                <w:left w:val="none" w:sz="0" w:space="0" w:color="auto"/>
                <w:bottom w:val="none" w:sz="0" w:space="0" w:color="auto"/>
                <w:right w:val="none" w:sz="0" w:space="0" w:color="auto"/>
              </w:divBdr>
            </w:div>
          </w:divsChild>
        </w:div>
        <w:div w:id="1040939974">
          <w:marLeft w:val="0"/>
          <w:marRight w:val="0"/>
          <w:marTop w:val="0"/>
          <w:marBottom w:val="0"/>
          <w:divBdr>
            <w:top w:val="none" w:sz="0" w:space="0" w:color="auto"/>
            <w:left w:val="none" w:sz="0" w:space="0" w:color="auto"/>
            <w:bottom w:val="none" w:sz="0" w:space="0" w:color="auto"/>
            <w:right w:val="none" w:sz="0" w:space="0" w:color="auto"/>
          </w:divBdr>
        </w:div>
      </w:divsChild>
    </w:div>
    <w:div w:id="1986278742">
      <w:bodyDiv w:val="1"/>
      <w:marLeft w:val="0"/>
      <w:marRight w:val="0"/>
      <w:marTop w:val="0"/>
      <w:marBottom w:val="0"/>
      <w:divBdr>
        <w:top w:val="none" w:sz="0" w:space="0" w:color="auto"/>
        <w:left w:val="none" w:sz="0" w:space="0" w:color="auto"/>
        <w:bottom w:val="none" w:sz="0" w:space="0" w:color="auto"/>
        <w:right w:val="none" w:sz="0" w:space="0" w:color="auto"/>
      </w:divBdr>
    </w:div>
    <w:div w:id="2076313456">
      <w:bodyDiv w:val="1"/>
      <w:marLeft w:val="0"/>
      <w:marRight w:val="0"/>
      <w:marTop w:val="0"/>
      <w:marBottom w:val="0"/>
      <w:divBdr>
        <w:top w:val="none" w:sz="0" w:space="0" w:color="auto"/>
        <w:left w:val="none" w:sz="0" w:space="0" w:color="auto"/>
        <w:bottom w:val="none" w:sz="0" w:space="0" w:color="auto"/>
        <w:right w:val="none" w:sz="0" w:space="0" w:color="auto"/>
      </w:divBdr>
    </w:div>
    <w:div w:id="2076512464">
      <w:bodyDiv w:val="1"/>
      <w:marLeft w:val="0"/>
      <w:marRight w:val="0"/>
      <w:marTop w:val="0"/>
      <w:marBottom w:val="0"/>
      <w:divBdr>
        <w:top w:val="none" w:sz="0" w:space="0" w:color="auto"/>
        <w:left w:val="none" w:sz="0" w:space="0" w:color="auto"/>
        <w:bottom w:val="none" w:sz="0" w:space="0" w:color="auto"/>
        <w:right w:val="none" w:sz="0" w:space="0" w:color="auto"/>
      </w:divBdr>
    </w:div>
    <w:div w:id="2084138663">
      <w:bodyDiv w:val="1"/>
      <w:marLeft w:val="0"/>
      <w:marRight w:val="0"/>
      <w:marTop w:val="0"/>
      <w:marBottom w:val="0"/>
      <w:divBdr>
        <w:top w:val="none" w:sz="0" w:space="0" w:color="auto"/>
        <w:left w:val="none" w:sz="0" w:space="0" w:color="auto"/>
        <w:bottom w:val="none" w:sz="0" w:space="0" w:color="auto"/>
        <w:right w:val="none" w:sz="0" w:space="0" w:color="auto"/>
      </w:divBdr>
      <w:divsChild>
        <w:div w:id="23139411">
          <w:marLeft w:val="0"/>
          <w:marRight w:val="0"/>
          <w:marTop w:val="0"/>
          <w:marBottom w:val="0"/>
          <w:divBdr>
            <w:top w:val="none" w:sz="0" w:space="0" w:color="auto"/>
            <w:left w:val="none" w:sz="0" w:space="0" w:color="auto"/>
            <w:bottom w:val="none" w:sz="0" w:space="0" w:color="auto"/>
            <w:right w:val="none" w:sz="0" w:space="0" w:color="auto"/>
          </w:divBdr>
        </w:div>
        <w:div w:id="415055602">
          <w:marLeft w:val="0"/>
          <w:marRight w:val="0"/>
          <w:marTop w:val="0"/>
          <w:marBottom w:val="0"/>
          <w:divBdr>
            <w:top w:val="none" w:sz="0" w:space="0" w:color="auto"/>
            <w:left w:val="none" w:sz="0" w:space="0" w:color="auto"/>
            <w:bottom w:val="none" w:sz="0" w:space="0" w:color="auto"/>
            <w:right w:val="none" w:sz="0" w:space="0" w:color="auto"/>
          </w:divBdr>
        </w:div>
        <w:div w:id="728845382">
          <w:marLeft w:val="0"/>
          <w:marRight w:val="0"/>
          <w:marTop w:val="0"/>
          <w:marBottom w:val="0"/>
          <w:divBdr>
            <w:top w:val="none" w:sz="0" w:space="0" w:color="auto"/>
            <w:left w:val="none" w:sz="0" w:space="0" w:color="auto"/>
            <w:bottom w:val="none" w:sz="0" w:space="0" w:color="auto"/>
            <w:right w:val="none" w:sz="0" w:space="0" w:color="auto"/>
          </w:divBdr>
        </w:div>
        <w:div w:id="794523024">
          <w:marLeft w:val="0"/>
          <w:marRight w:val="0"/>
          <w:marTop w:val="0"/>
          <w:marBottom w:val="0"/>
          <w:divBdr>
            <w:top w:val="none" w:sz="0" w:space="0" w:color="auto"/>
            <w:left w:val="none" w:sz="0" w:space="0" w:color="auto"/>
            <w:bottom w:val="none" w:sz="0" w:space="0" w:color="auto"/>
            <w:right w:val="none" w:sz="0" w:space="0" w:color="auto"/>
          </w:divBdr>
        </w:div>
        <w:div w:id="1336768272">
          <w:marLeft w:val="0"/>
          <w:marRight w:val="0"/>
          <w:marTop w:val="0"/>
          <w:marBottom w:val="0"/>
          <w:divBdr>
            <w:top w:val="none" w:sz="0" w:space="0" w:color="auto"/>
            <w:left w:val="none" w:sz="0" w:space="0" w:color="auto"/>
            <w:bottom w:val="none" w:sz="0" w:space="0" w:color="auto"/>
            <w:right w:val="none" w:sz="0" w:space="0" w:color="auto"/>
          </w:divBdr>
        </w:div>
        <w:div w:id="1411466608">
          <w:marLeft w:val="0"/>
          <w:marRight w:val="0"/>
          <w:marTop w:val="0"/>
          <w:marBottom w:val="0"/>
          <w:divBdr>
            <w:top w:val="none" w:sz="0" w:space="0" w:color="auto"/>
            <w:left w:val="none" w:sz="0" w:space="0" w:color="auto"/>
            <w:bottom w:val="none" w:sz="0" w:space="0" w:color="auto"/>
            <w:right w:val="none" w:sz="0" w:space="0" w:color="auto"/>
          </w:divBdr>
        </w:div>
        <w:div w:id="1685664225">
          <w:marLeft w:val="0"/>
          <w:marRight w:val="0"/>
          <w:marTop w:val="0"/>
          <w:marBottom w:val="0"/>
          <w:divBdr>
            <w:top w:val="none" w:sz="0" w:space="0" w:color="auto"/>
            <w:left w:val="none" w:sz="0" w:space="0" w:color="auto"/>
            <w:bottom w:val="none" w:sz="0" w:space="0" w:color="auto"/>
            <w:right w:val="none" w:sz="0" w:space="0" w:color="auto"/>
          </w:divBdr>
        </w:div>
        <w:div w:id="1741245271">
          <w:marLeft w:val="0"/>
          <w:marRight w:val="0"/>
          <w:marTop w:val="0"/>
          <w:marBottom w:val="0"/>
          <w:divBdr>
            <w:top w:val="none" w:sz="0" w:space="0" w:color="auto"/>
            <w:left w:val="none" w:sz="0" w:space="0" w:color="auto"/>
            <w:bottom w:val="none" w:sz="0" w:space="0" w:color="auto"/>
            <w:right w:val="none" w:sz="0" w:space="0" w:color="auto"/>
          </w:divBdr>
        </w:div>
        <w:div w:id="1773158856">
          <w:marLeft w:val="0"/>
          <w:marRight w:val="0"/>
          <w:marTop w:val="0"/>
          <w:marBottom w:val="0"/>
          <w:divBdr>
            <w:top w:val="none" w:sz="0" w:space="0" w:color="auto"/>
            <w:left w:val="none" w:sz="0" w:space="0" w:color="auto"/>
            <w:bottom w:val="none" w:sz="0" w:space="0" w:color="auto"/>
            <w:right w:val="none" w:sz="0" w:space="0" w:color="auto"/>
          </w:divBdr>
        </w:div>
      </w:divsChild>
    </w:div>
    <w:div w:id="2092778081">
      <w:bodyDiv w:val="1"/>
      <w:marLeft w:val="0"/>
      <w:marRight w:val="0"/>
      <w:marTop w:val="0"/>
      <w:marBottom w:val="0"/>
      <w:divBdr>
        <w:top w:val="none" w:sz="0" w:space="0" w:color="auto"/>
        <w:left w:val="none" w:sz="0" w:space="0" w:color="auto"/>
        <w:bottom w:val="none" w:sz="0" w:space="0" w:color="auto"/>
        <w:right w:val="none" w:sz="0" w:space="0" w:color="auto"/>
      </w:divBdr>
    </w:div>
    <w:div w:id="2110151235">
      <w:bodyDiv w:val="1"/>
      <w:marLeft w:val="0"/>
      <w:marRight w:val="0"/>
      <w:marTop w:val="0"/>
      <w:marBottom w:val="0"/>
      <w:divBdr>
        <w:top w:val="none" w:sz="0" w:space="0" w:color="auto"/>
        <w:left w:val="none" w:sz="0" w:space="0" w:color="auto"/>
        <w:bottom w:val="none" w:sz="0" w:space="0" w:color="auto"/>
        <w:right w:val="none" w:sz="0" w:space="0" w:color="auto"/>
      </w:divBdr>
    </w:div>
    <w:div w:id="2122651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9" Type="http://schemas.microsoft.com/office/2007/relationships/diagramDrawing" Target="diagrams/drawing2.xml"/><Relationship Id="rId21" Type="http://schemas.openxmlformats.org/officeDocument/2006/relationships/header" Target="header4.xml"/><Relationship Id="rId34" Type="http://schemas.openxmlformats.org/officeDocument/2006/relationships/image" Target="media/image3.svg"/><Relationship Id="rId42" Type="http://schemas.openxmlformats.org/officeDocument/2006/relationships/diagramQuickStyle" Target="diagrams/quickStyle3.xml"/><Relationship Id="rId47" Type="http://schemas.openxmlformats.org/officeDocument/2006/relationships/chart" Target="charts/chart2.xml"/><Relationship Id="rId50" Type="http://schemas.openxmlformats.org/officeDocument/2006/relationships/footer" Target="footer7.xml"/><Relationship Id="rId55"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diagramLayout" Target="diagrams/layout1.xml"/><Relationship Id="rId11" Type="http://schemas.openxmlformats.org/officeDocument/2006/relationships/webSettings" Target="webSettings.xml"/><Relationship Id="rId24" Type="http://schemas.openxmlformats.org/officeDocument/2006/relationships/footer" Target="footer5.xml"/><Relationship Id="rId32" Type="http://schemas.microsoft.com/office/2007/relationships/diagramDrawing" Target="diagrams/drawing1.xml"/><Relationship Id="rId37" Type="http://schemas.openxmlformats.org/officeDocument/2006/relationships/diagramQuickStyle" Target="diagrams/quickStyle2.xml"/><Relationship Id="rId40" Type="http://schemas.openxmlformats.org/officeDocument/2006/relationships/diagramData" Target="diagrams/data3.xml"/><Relationship Id="rId45" Type="http://schemas.openxmlformats.org/officeDocument/2006/relationships/chart" Target="charts/chart1.xml"/><Relationship Id="rId53" Type="http://schemas.openxmlformats.org/officeDocument/2006/relationships/footer" Target="footer9.xml"/><Relationship Id="rId5" Type="http://schemas.openxmlformats.org/officeDocument/2006/relationships/customXml" Target="../customXml/item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diagramColors" Target="diagrams/colors1.xml"/><Relationship Id="rId44" Type="http://schemas.microsoft.com/office/2007/relationships/diagramDrawing" Target="diagrams/drawing3.xml"/><Relationship Id="rId52"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yperlink" Target="https://eur-lex.europa.eu/legal-content/EN/TXT/?uri=CELEX%3A12016E325" TargetMode="External"/><Relationship Id="rId30" Type="http://schemas.openxmlformats.org/officeDocument/2006/relationships/diagramQuickStyle" Target="diagrams/quickStyle1.xml"/><Relationship Id="rId35" Type="http://schemas.openxmlformats.org/officeDocument/2006/relationships/diagramData" Target="diagrams/data2.xml"/><Relationship Id="rId43" Type="http://schemas.openxmlformats.org/officeDocument/2006/relationships/diagramColors" Target="diagrams/colors3.xml"/><Relationship Id="rId48" Type="http://schemas.openxmlformats.org/officeDocument/2006/relationships/header" Target="header7.xml"/><Relationship Id="rId56" Type="http://schemas.openxmlformats.org/officeDocument/2006/relationships/theme" Target="theme/theme1.xml"/><Relationship Id="rId8" Type="http://schemas.openxmlformats.org/officeDocument/2006/relationships/numbering" Target="numbering.xml"/><Relationship Id="rId51" Type="http://schemas.openxmlformats.org/officeDocument/2006/relationships/footer" Target="footer8.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image" Target="media/image2.png"/><Relationship Id="rId38" Type="http://schemas.openxmlformats.org/officeDocument/2006/relationships/diagramColors" Target="diagrams/colors2.xml"/><Relationship Id="rId46" Type="http://schemas.openxmlformats.org/officeDocument/2006/relationships/image" Target="media/image4.emf"/><Relationship Id="rId20" Type="http://schemas.openxmlformats.org/officeDocument/2006/relationships/footer" Target="footer3.xml"/><Relationship Id="rId41" Type="http://schemas.openxmlformats.org/officeDocument/2006/relationships/diagramLayout" Target="diagrams/layout3.xml"/><Relationship Id="rId54"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diagramData" Target="diagrams/data1.xml"/><Relationship Id="rId36" Type="http://schemas.openxmlformats.org/officeDocument/2006/relationships/diagramLayout" Target="diagrams/layout2.xml"/><Relationship Id="rId49" Type="http://schemas.openxmlformats.org/officeDocument/2006/relationships/header" Target="header8.xml"/></Relationships>
</file>

<file path=word/_rels/footnotes.xml.rels><?xml version="1.0" encoding="UTF-8" standalone="yes"?>
<Relationships xmlns="http://schemas.openxmlformats.org/package/2006/relationships"><Relationship Id="rId8" Type="http://schemas.openxmlformats.org/officeDocument/2006/relationships/hyperlink" Target="https://anti-fraud.ec.europa.eu/document/download/951f690a-7925-4ac1-bdbb-07ff1375ee8a_en?filename=pif-report-2024_en.pdf" TargetMode="External"/><Relationship Id="rId3" Type="http://schemas.openxmlformats.org/officeDocument/2006/relationships/hyperlink" Target="https://anti-fraud.ec.europa.eu/system/files/2022-09/pif-report-2021_en_0.pdf" TargetMode="External"/><Relationship Id="rId7" Type="http://schemas.openxmlformats.org/officeDocument/2006/relationships/hyperlink" Target="https://eur-lex.europa.eu/legal-content/EN/TXT/?uri=CELEX%3A52025PC0565&amp;qid=1753801752960" TargetMode="External"/><Relationship Id="rId2" Type="http://schemas.openxmlformats.org/officeDocument/2006/relationships/hyperlink" Target="https://anti-fraud.ec.europa.eu/system/files/2022-09/pif-report-2021_en_0.pdf" TargetMode="External"/><Relationship Id="rId1" Type="http://schemas.openxmlformats.org/officeDocument/2006/relationships/hyperlink" Target="https://oeil.secure.europarl.europa.eu/oeil/en/procedure-file?reference=2024/2083(INI)" TargetMode="External"/><Relationship Id="rId6" Type="http://schemas.openxmlformats.org/officeDocument/2006/relationships/hyperlink" Target="https://op.europa.eu/webpub/olaf/pif-report-2023/en/" TargetMode="External"/><Relationship Id="rId5" Type="http://schemas.openxmlformats.org/officeDocument/2006/relationships/hyperlink" Target="https://www.eppo.europa.eu/assets/annual-report-2024/pdfs/EPPO_Annual_Report_2024_en.pdf" TargetMode="External"/><Relationship Id="rId10" Type="http://schemas.openxmlformats.org/officeDocument/2006/relationships/hyperlink" Target="https://www.europol.europa.eu/cms/sites/default/files/documents/EU-SOCTA-2025.pdf" TargetMode="External"/><Relationship Id="rId4" Type="http://schemas.openxmlformats.org/officeDocument/2006/relationships/hyperlink" Target="https://ec.europa.eu/olaf-report/2024/index_en.html" TargetMode="External"/><Relationship Id="rId9" Type="http://schemas.openxmlformats.org/officeDocument/2006/relationships/hyperlink" Target="https://anti-fraud.ec.europa.eu/document/download/ac7fe82e-c7df-44c0-8df7-277f73032d4b_en?filename=pif-report-2021_en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OLAF\C\1\C.1.001%20-%20Strategic%20Analysis\PIF%20REPORTS\PIF%20Report%202025\Questionnaires\PIF%20Questionnaire\Content_Export_10cd4206-3be0-8a79-0579-f02690899793_PIF_QUEST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OLAF\C\1\C.1.001%20-%20Strategic%20Analysis\PIF%20REPORTS\PIF%20Report%202024\Source%20data%20for%20figures_PIF2024_cor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bordoaa\AppData\Local\Microsoft\Windows\INetCache\Content.Outlook\Q13RBWYK\PIF%20report%202025_Contribution_B4%20charts%20(002).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Areas!$B$2</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Areas!$A$3:$A$14</c:f>
              <c:strCache>
                <c:ptCount val="12"/>
                <c:pt idx="0">
                  <c:v> Customs/Tor/Illicit Trade</c:v>
                </c:pt>
                <c:pt idx="1">
                  <c:v> AFCOS</c:v>
                </c:pt>
                <c:pt idx="2">
                  <c:v> Fraud Definition</c:v>
                </c:pt>
                <c:pt idx="3">
                  <c:v> Other </c:v>
                </c:pt>
                <c:pt idx="4">
                  <c:v> Whistleblower</c:v>
                </c:pt>
                <c:pt idx="5">
                  <c:v> Organised Crime</c:v>
                </c:pt>
                <c:pt idx="6">
                  <c:v> Financial Crime (Including Money Laundering)</c:v>
                </c:pt>
                <c:pt idx="7">
                  <c:v> Corruption</c:v>
                </c:pt>
                <c:pt idx="8">
                  <c:v> Public Procurement </c:v>
                </c:pt>
                <c:pt idx="9">
                  <c:v> Antifraud or Anticorruption Strategy</c:v>
                </c:pt>
                <c:pt idx="10">
                  <c:v> Conflict of Interest</c:v>
                </c:pt>
                <c:pt idx="11">
                  <c:v> Shared Management and Control of the EU Funds</c:v>
                </c:pt>
              </c:strCache>
            </c:strRef>
          </c:cat>
          <c:val>
            <c:numRef>
              <c:f>Areas!$B$3:$B$14</c:f>
              <c:numCache>
                <c:formatCode>General</c:formatCode>
                <c:ptCount val="12"/>
                <c:pt idx="0">
                  <c:v>6</c:v>
                </c:pt>
                <c:pt idx="1">
                  <c:v>7</c:v>
                </c:pt>
                <c:pt idx="2">
                  <c:v>9</c:v>
                </c:pt>
                <c:pt idx="3">
                  <c:v>11</c:v>
                </c:pt>
                <c:pt idx="4">
                  <c:v>11</c:v>
                </c:pt>
                <c:pt idx="5">
                  <c:v>16</c:v>
                </c:pt>
                <c:pt idx="6">
                  <c:v>21</c:v>
                </c:pt>
                <c:pt idx="7">
                  <c:v>21</c:v>
                </c:pt>
                <c:pt idx="8">
                  <c:v>22</c:v>
                </c:pt>
                <c:pt idx="9">
                  <c:v>24</c:v>
                </c:pt>
                <c:pt idx="10">
                  <c:v>26</c:v>
                </c:pt>
                <c:pt idx="11">
                  <c:v>36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525-4196-87B2-6813B9245492}"/>
            </c:ext>
          </c:extLst>
        </c:ser>
        <c:dLbls>
          <c:showLegendKey val="0"/>
          <c:showVal val="0"/>
          <c:showCatName val="0"/>
          <c:showSerName val="0"/>
          <c:showPercent val="0"/>
          <c:showBubbleSize val="0"/>
        </c:dLbls>
        <c:gapWidth val="182"/>
        <c:axId val="93494367"/>
        <c:axId val="93495327"/>
      </c:barChart>
      <c:catAx>
        <c:axId val="934943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95327"/>
        <c:crosses val="autoZero"/>
        <c:auto val="1"/>
        <c:lblAlgn val="ctr"/>
        <c:lblOffset val="100"/>
        <c:noMultiLvlLbl val="0"/>
      </c:catAx>
      <c:valAx>
        <c:axId val="934953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Number of mentions</a:t>
                </a:r>
                <a:r>
                  <a:rPr lang="en-IE" baseline="0"/>
                  <a:t> (total=210)</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943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2"/>
          <c:tx>
            <c:v>Fraudulent - Irregular amounts (in EUR million)</c:v>
          </c:tx>
          <c:spPr>
            <a:solidFill>
              <a:schemeClr val="accent2"/>
            </a:solidFill>
            <a:ln>
              <a:noFill/>
            </a:ln>
            <a:effectLst/>
          </c:spPr>
          <c:invertIfNegative val="0"/>
          <c:cat>
            <c:numRef>
              <c:f>'data for Figure 5'!$G$80:$G$84</c:f>
              <c:numCache>
                <c:formatCode>0</c:formatCode>
                <c:ptCount val="5"/>
                <c:pt idx="0">
                  <c:v>2021</c:v>
                </c:pt>
                <c:pt idx="1">
                  <c:v>2022</c:v>
                </c:pt>
                <c:pt idx="2">
                  <c:v>2023</c:v>
                </c:pt>
                <c:pt idx="3">
                  <c:v>2024</c:v>
                </c:pt>
                <c:pt idx="4">
                  <c:v>2025</c:v>
                </c:pt>
              </c:numCache>
            </c:numRef>
          </c:cat>
          <c:val>
            <c:numRef>
              <c:f>'data for Figure 5'!$I$80:$I$84</c:f>
              <c:numCache>
                <c:formatCode>#,##0</c:formatCode>
                <c:ptCount val="5"/>
                <c:pt idx="0">
                  <c:v>357294827</c:v>
                </c:pt>
                <c:pt idx="1">
                  <c:v>267114287</c:v>
                </c:pt>
                <c:pt idx="2">
                  <c:v>236231277</c:v>
                </c:pt>
                <c:pt idx="3">
                  <c:v>540408145</c:v>
                </c:pt>
                <c:pt idx="4">
                  <c:v>274283587</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618-4C07-A9ED-EFE3716EAAE2}"/>
            </c:ext>
          </c:extLst>
        </c:ser>
        <c:ser>
          <c:idx val="3"/>
          <c:order val="3"/>
          <c:tx>
            <c:strRef>
              <c:f>'data for Figure 5'!$K$79</c:f>
              <c:strCache>
                <c:ptCount val="1"/>
                <c:pt idx="0">
                  <c:v>Non-fradulent - Irregular amounts (in EUR million)</c:v>
                </c:pt>
              </c:strCache>
            </c:strRef>
          </c:tx>
          <c:spPr>
            <a:solidFill>
              <a:schemeClr val="accent4"/>
            </a:solidFill>
            <a:ln>
              <a:noFill/>
            </a:ln>
            <a:effectLst/>
          </c:spPr>
          <c:invertIfNegative val="0"/>
          <c:cat>
            <c:numRef>
              <c:f>'data for Figure 5'!$G$80:$G$84</c:f>
              <c:numCache>
                <c:formatCode>0</c:formatCode>
                <c:ptCount val="5"/>
                <c:pt idx="0">
                  <c:v>2021</c:v>
                </c:pt>
                <c:pt idx="1">
                  <c:v>2022</c:v>
                </c:pt>
                <c:pt idx="2">
                  <c:v>2023</c:v>
                </c:pt>
                <c:pt idx="3">
                  <c:v>2024</c:v>
                </c:pt>
                <c:pt idx="4">
                  <c:v>2025</c:v>
                </c:pt>
              </c:numCache>
            </c:numRef>
          </c:cat>
          <c:val>
            <c:numRef>
              <c:f>'data for Figure 5'!$K$80:$K$84</c:f>
              <c:numCache>
                <c:formatCode>#,##0</c:formatCode>
                <c:ptCount val="5"/>
                <c:pt idx="0">
                  <c:v>1257711303</c:v>
                </c:pt>
                <c:pt idx="1">
                  <c:v>1448688213</c:v>
                </c:pt>
                <c:pt idx="2">
                  <c:v>1260575306</c:v>
                </c:pt>
                <c:pt idx="3">
                  <c:v>1317625485</c:v>
                </c:pt>
                <c:pt idx="4">
                  <c:v>1821588927</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618-4C07-A9ED-EFE3716EAAE2}"/>
            </c:ext>
          </c:extLst>
        </c:ser>
        <c:dLbls>
          <c:showLegendKey val="0"/>
          <c:showVal val="0"/>
          <c:showCatName val="0"/>
          <c:showSerName val="0"/>
          <c:showPercent val="0"/>
          <c:showBubbleSize val="0"/>
        </c:dLbls>
        <c:gapWidth val="150"/>
        <c:overlap val="100"/>
        <c:axId val="378792751"/>
        <c:axId val="378790831"/>
      </c:barChart>
      <c:lineChart>
        <c:grouping val="standard"/>
        <c:varyColors val="0"/>
        <c:ser>
          <c:idx val="0"/>
          <c:order val="0"/>
          <c:tx>
            <c:v>Fraudulent - N° of cases</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 for Figure 5'!$G$80:$G$84</c:f>
              <c:numCache>
                <c:formatCode>0</c:formatCode>
                <c:ptCount val="5"/>
                <c:pt idx="0">
                  <c:v>2021</c:v>
                </c:pt>
                <c:pt idx="1">
                  <c:v>2022</c:v>
                </c:pt>
                <c:pt idx="2">
                  <c:v>2023</c:v>
                </c:pt>
                <c:pt idx="3">
                  <c:v>2024</c:v>
                </c:pt>
                <c:pt idx="4">
                  <c:v>2025</c:v>
                </c:pt>
              </c:numCache>
            </c:numRef>
          </c:cat>
          <c:val>
            <c:numRef>
              <c:f>'data for Figure 5'!$H$80:$H$84</c:f>
              <c:numCache>
                <c:formatCode>#,##0</c:formatCode>
                <c:ptCount val="5"/>
                <c:pt idx="0">
                  <c:v>1077</c:v>
                </c:pt>
                <c:pt idx="1">
                  <c:v>1129</c:v>
                </c:pt>
                <c:pt idx="2">
                  <c:v>1101</c:v>
                </c:pt>
                <c:pt idx="3">
                  <c:v>1456</c:v>
                </c:pt>
                <c:pt idx="4">
                  <c:v>986</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7618-4C07-A9ED-EFE3716EAAE2}"/>
            </c:ext>
          </c:extLst>
        </c:ser>
        <c:ser>
          <c:idx val="2"/>
          <c:order val="1"/>
          <c:tx>
            <c:v>Non-fraudulent - N° of cases</c:v>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 for Figure 5'!$G$80:$G$84</c:f>
              <c:numCache>
                <c:formatCode>0</c:formatCode>
                <c:ptCount val="5"/>
                <c:pt idx="0">
                  <c:v>2021</c:v>
                </c:pt>
                <c:pt idx="1">
                  <c:v>2022</c:v>
                </c:pt>
                <c:pt idx="2">
                  <c:v>2023</c:v>
                </c:pt>
                <c:pt idx="3">
                  <c:v>2024</c:v>
                </c:pt>
                <c:pt idx="4">
                  <c:v>2025</c:v>
                </c:pt>
              </c:numCache>
            </c:numRef>
          </c:cat>
          <c:val>
            <c:numRef>
              <c:f>'data for Figure 5'!$J$80:$J$84</c:f>
              <c:numCache>
                <c:formatCode>#,##0</c:formatCode>
                <c:ptCount val="5"/>
                <c:pt idx="0">
                  <c:v>11283</c:v>
                </c:pt>
                <c:pt idx="1">
                  <c:v>11989</c:v>
                </c:pt>
                <c:pt idx="2">
                  <c:v>12752</c:v>
                </c:pt>
                <c:pt idx="3">
                  <c:v>12625</c:v>
                </c:pt>
                <c:pt idx="4">
                  <c:v>12024</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7618-4C07-A9ED-EFE3716EAAE2}"/>
            </c:ext>
          </c:extLst>
        </c:ser>
        <c:dLbls>
          <c:showLegendKey val="0"/>
          <c:showVal val="0"/>
          <c:showCatName val="0"/>
          <c:showSerName val="0"/>
          <c:showPercent val="0"/>
          <c:showBubbleSize val="0"/>
        </c:dLbls>
        <c:marker val="1"/>
        <c:smooth val="0"/>
        <c:axId val="378794671"/>
        <c:axId val="378790351"/>
      </c:lineChart>
      <c:catAx>
        <c:axId val="37879467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790351"/>
        <c:crosses val="autoZero"/>
        <c:auto val="1"/>
        <c:lblAlgn val="ctr"/>
        <c:lblOffset val="100"/>
        <c:noMultiLvlLbl val="0"/>
      </c:catAx>
      <c:valAx>
        <c:axId val="3787903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 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794671"/>
        <c:crosses val="autoZero"/>
        <c:crossBetween val="between"/>
      </c:valAx>
      <c:valAx>
        <c:axId val="378790831"/>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Irregular amounts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792751"/>
        <c:crosses val="max"/>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catAx>
        <c:axId val="378792751"/>
        <c:scaling>
          <c:orientation val="minMax"/>
        </c:scaling>
        <c:delete val="1"/>
        <c:axPos val="b"/>
        <c:numFmt formatCode="0" sourceLinked="1"/>
        <c:majorTickMark val="out"/>
        <c:minorTickMark val="none"/>
        <c:tickLblPos val="nextTo"/>
        <c:crossAx val="378790831"/>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1559831132521"/>
          <c:y val="0.11572521194407558"/>
          <c:w val="0.57662168914974454"/>
          <c:h val="0.63717580043682609"/>
        </c:manualLayout>
      </c:layout>
      <c:barChart>
        <c:barDir val="col"/>
        <c:grouping val="clustered"/>
        <c:varyColors val="0"/>
        <c:ser>
          <c:idx val="1"/>
          <c:order val="0"/>
          <c:tx>
            <c:strRef>
              <c:f>'TOR1'!$B$2</c:f>
              <c:strCache>
                <c:ptCount val="1"/>
                <c:pt idx="0">
                  <c:v>  Estimated and established amount</c:v>
                </c:pt>
              </c:strCache>
            </c:strRef>
          </c:tx>
          <c:spPr>
            <a:solidFill>
              <a:srgbClr val="A50021"/>
            </a:solidFill>
          </c:spPr>
          <c:invertIfNegative val="0"/>
          <c:cat>
            <c:numRef>
              <c:f>'[6]Ann 1'!$O$57:$O$61</c:f>
              <c:numCache>
                <c:formatCode>General</c:formatCode>
                <c:ptCount val="5"/>
                <c:pt idx="0">
                  <c:v>2017</c:v>
                </c:pt>
                <c:pt idx="1">
                  <c:v>2018</c:v>
                </c:pt>
                <c:pt idx="2">
                  <c:v>2019</c:v>
                </c:pt>
                <c:pt idx="3">
                  <c:v>2020</c:v>
                </c:pt>
                <c:pt idx="4">
                  <c:v>2021</c:v>
                </c:pt>
              </c:numCache>
            </c:numRef>
          </c:cat>
          <c:val>
            <c:numRef>
              <c:f>'TOR1'!$B$3:$B$7</c:f>
              <c:numCache>
                <c:formatCode>#,##0</c:formatCode>
                <c:ptCount val="5"/>
                <c:pt idx="0">
                  <c:v>586120410.47000003</c:v>
                </c:pt>
                <c:pt idx="1">
                  <c:v>837080942.30000007</c:v>
                </c:pt>
                <c:pt idx="2">
                  <c:v>488024325.54000002</c:v>
                </c:pt>
                <c:pt idx="3">
                  <c:v>544459681.26000011</c:v>
                </c:pt>
                <c:pt idx="4">
                  <c:v>824702507.37999988</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662-4436-94D3-A6613E799C2C}"/>
            </c:ext>
          </c:extLst>
        </c:ser>
        <c:dLbls>
          <c:showLegendKey val="0"/>
          <c:showVal val="0"/>
          <c:showCatName val="0"/>
          <c:showSerName val="0"/>
          <c:showPercent val="0"/>
          <c:showBubbleSize val="0"/>
        </c:dLbls>
        <c:gapWidth val="150"/>
        <c:axId val="71955584"/>
        <c:axId val="71957120"/>
      </c:barChart>
      <c:lineChart>
        <c:grouping val="standard"/>
        <c:varyColors val="0"/>
        <c:ser>
          <c:idx val="2"/>
          <c:order val="1"/>
          <c:tx>
            <c:strRef>
              <c:f>'TOR1'!$C$2</c:f>
              <c:strCache>
                <c:ptCount val="1"/>
                <c:pt idx="0">
                  <c:v>   Number of cases</c:v>
                </c:pt>
              </c:strCache>
            </c:strRef>
          </c:tx>
          <c:spPr>
            <a:ln w="25400">
              <a:solidFill>
                <a:srgbClr val="FFCCCC"/>
              </a:solidFill>
            </a:ln>
          </c:spPr>
          <c:marker>
            <c:symbol val="circle"/>
            <c:size val="7"/>
          </c:marker>
          <c:dLbls>
            <c:spPr>
              <a:noFill/>
              <a:ln>
                <a:noFill/>
              </a:ln>
              <a:effectLst/>
            </c:spPr>
            <c:dLblPos val="t"/>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ext>
            </c:extLst>
          </c:dLbls>
          <c:cat>
            <c:numRef>
              <c:f>'TOR1'!$A$3:$A$7</c:f>
              <c:numCache>
                <c:formatCode>General</c:formatCode>
                <c:ptCount val="5"/>
                <c:pt idx="0">
                  <c:v>2021</c:v>
                </c:pt>
                <c:pt idx="1">
                  <c:v>2022</c:v>
                </c:pt>
                <c:pt idx="2">
                  <c:v>2023</c:v>
                </c:pt>
                <c:pt idx="3">
                  <c:v>2024</c:v>
                </c:pt>
                <c:pt idx="4">
                  <c:v>2025</c:v>
                </c:pt>
              </c:numCache>
            </c:numRef>
          </c:cat>
          <c:val>
            <c:numRef>
              <c:f>'TOR1'!$C$3:$C$7</c:f>
              <c:numCache>
                <c:formatCode>#,##0</c:formatCode>
                <c:ptCount val="5"/>
                <c:pt idx="0">
                  <c:v>4569</c:v>
                </c:pt>
                <c:pt idx="1">
                  <c:v>5183</c:v>
                </c:pt>
                <c:pt idx="2">
                  <c:v>5619</c:v>
                </c:pt>
                <c:pt idx="3">
                  <c:v>5447</c:v>
                </c:pt>
                <c:pt idx="4">
                  <c:v>4390</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662-4436-94D3-A6613E799C2C}"/>
            </c:ext>
          </c:extLst>
        </c:ser>
        <c:dLbls>
          <c:showLegendKey val="0"/>
          <c:showVal val="0"/>
          <c:showCatName val="0"/>
          <c:showSerName val="0"/>
          <c:showPercent val="0"/>
          <c:showBubbleSize val="0"/>
        </c:dLbls>
        <c:marker val="1"/>
        <c:smooth val="0"/>
        <c:axId val="203440896"/>
        <c:axId val="203443200"/>
      </c:lineChart>
      <c:catAx>
        <c:axId val="203440896"/>
        <c:scaling>
          <c:orientation val="minMax"/>
        </c:scaling>
        <c:delete val="0"/>
        <c:axPos val="b"/>
        <c:numFmt formatCode="General" sourceLinked="1"/>
        <c:majorTickMark val="out"/>
        <c:minorTickMark val="none"/>
        <c:tickLblPos val="nextTo"/>
        <c:spPr>
          <a:noFill/>
          <a:ln w="7032" cap="flat" cmpd="sng" algn="ctr">
            <a:solidFill>
              <a:schemeClr val="tx1">
                <a:lumMod val="65000"/>
                <a:lumOff val="35000"/>
              </a:schemeClr>
            </a:solidFill>
            <a:round/>
          </a:ln>
          <a:effectLst/>
        </c:spPr>
        <c:txPr>
          <a:bodyPr rot="-60000000" spcFirstLastPara="1" vertOverflow="ellipsis" vert="horz" wrap="square" anchor="ctr" anchorCtr="1"/>
          <a:lstStyle/>
          <a:p>
            <a:pPr>
              <a:defRPr sz="664"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443200"/>
        <c:crosses val="autoZero"/>
        <c:auto val="1"/>
        <c:lblAlgn val="ctr"/>
        <c:lblOffset val="100"/>
        <c:noMultiLvlLbl val="0"/>
      </c:catAx>
      <c:valAx>
        <c:axId val="203443200"/>
        <c:scaling>
          <c:orientation val="minMax"/>
          <c:max val="6000"/>
          <c:min val="0"/>
        </c:scaling>
        <c:delete val="0"/>
        <c:axPos val="l"/>
        <c:majorGridlines>
          <c:spPr>
            <a:ln w="7032" cap="flat" cmpd="sng" algn="ctr">
              <a:solidFill>
                <a:schemeClr val="tx1">
                  <a:lumMod val="15000"/>
                  <a:lumOff val="85000"/>
                </a:schemeClr>
              </a:solidFill>
              <a:round/>
            </a:ln>
            <a:effectLst/>
          </c:spPr>
        </c:majorGridlines>
        <c:title>
          <c:tx>
            <c:rich>
              <a:bodyPr/>
              <a:lstStyle/>
              <a:p>
                <a:pPr>
                  <a:defRPr sz="664" b="0" i="0" u="none" strike="noStrike" baseline="0">
                    <a:solidFill>
                      <a:sysClr val="windowText" lastClr="000000"/>
                    </a:solidFill>
                    <a:latin typeface="Arial"/>
                    <a:ea typeface="Arial"/>
                    <a:cs typeface="Arial"/>
                  </a:defRPr>
                </a:pPr>
                <a:r>
                  <a:rPr lang="fr-BE" sz="664">
                    <a:solidFill>
                      <a:sysClr val="windowText" lastClr="000000"/>
                    </a:solidFill>
                  </a:rPr>
                  <a:t>Number of cases</a:t>
                </a:r>
              </a:p>
            </c:rich>
          </c:tx>
          <c:layout>
            <c:manualLayout>
              <c:xMode val="edge"/>
              <c:yMode val="edge"/>
              <c:x val="0.12730721285089866"/>
              <c:y val="0.10853162585446051"/>
            </c:manualLayout>
          </c:layout>
          <c:overlay val="0"/>
          <c:spPr>
            <a:noFill/>
            <a:ln w="18752">
              <a:noFill/>
            </a:ln>
          </c:spPr>
        </c:title>
        <c:numFmt formatCode="#,##0" sourceLinked="1"/>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664"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440896"/>
        <c:crosses val="autoZero"/>
        <c:crossBetween val="between"/>
        <c:majorUnit val="1000"/>
        <c:minorUnit val="500"/>
      </c:valAx>
      <c:catAx>
        <c:axId val="71955584"/>
        <c:scaling>
          <c:orientation val="minMax"/>
        </c:scaling>
        <c:delete val="1"/>
        <c:axPos val="b"/>
        <c:numFmt formatCode="General" sourceLinked="1"/>
        <c:majorTickMark val="out"/>
        <c:minorTickMark val="none"/>
        <c:tickLblPos val="nextTo"/>
        <c:crossAx val="71957120"/>
        <c:crosses val="autoZero"/>
        <c:auto val="1"/>
        <c:lblAlgn val="ctr"/>
        <c:lblOffset val="100"/>
        <c:noMultiLvlLbl val="0"/>
      </c:catAx>
      <c:valAx>
        <c:axId val="71957120"/>
        <c:scaling>
          <c:orientation val="minMax"/>
        </c:scaling>
        <c:delete val="0"/>
        <c:axPos val="r"/>
        <c:numFmt formatCode="#,##0" sourceLinked="1"/>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664"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1955584"/>
        <c:crosses val="max"/>
        <c:crossBetween val="between"/>
        <c:dispUnits>
          <c:builtInUnit val="millions"/>
          <c:dispUnitsLbl>
            <c:layout>
              <c:manualLayout>
                <c:xMode val="edge"/>
                <c:yMode val="edge"/>
                <c:x val="0.87529286893698377"/>
                <c:y val="8.5629393826500116E-2"/>
              </c:manualLayout>
            </c:layout>
            <c:tx>
              <c:rich>
                <a:bodyPr rot="-5400000" spcFirstLastPara="1" vertOverflow="ellipsis" vert="horz" wrap="square" anchor="ctr" anchorCtr="1"/>
                <a:lstStyle/>
                <a:p>
                  <a:pPr>
                    <a:defRPr sz="664"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BE" sz="664">
                      <a:solidFill>
                        <a:sysClr val="windowText" lastClr="000000"/>
                      </a:solidFill>
                      <a:latin typeface="Arial" panose="020B0604020202020204" pitchFamily="34" charset="0"/>
                      <a:cs typeface="Arial" panose="020B0604020202020204" pitchFamily="34" charset="0"/>
                    </a:rPr>
                    <a:t>Amounts</a:t>
                  </a:r>
                  <a:r>
                    <a:rPr lang="fr-BE" sz="664" baseline="0">
                      <a:solidFill>
                        <a:sysClr val="windowText" lastClr="000000"/>
                      </a:solidFill>
                      <a:latin typeface="Arial" panose="020B0604020202020204" pitchFamily="34" charset="0"/>
                      <a:cs typeface="Arial" panose="020B0604020202020204" pitchFamily="34" charset="0"/>
                    </a:rPr>
                    <a:t> in</a:t>
                  </a:r>
                  <a:r>
                    <a:rPr lang="fr-BE" sz="664">
                      <a:solidFill>
                        <a:sysClr val="windowText" lastClr="000000"/>
                      </a:solidFill>
                      <a:latin typeface="Arial" panose="020B0604020202020204" pitchFamily="34" charset="0"/>
                      <a:cs typeface="Arial" panose="020B0604020202020204" pitchFamily="34" charset="0"/>
                    </a:rPr>
                    <a:t> million</a:t>
                  </a:r>
                  <a:r>
                    <a:rPr lang="fr-BE" sz="664" baseline="0">
                      <a:solidFill>
                        <a:sysClr val="windowText" lastClr="000000"/>
                      </a:solidFill>
                      <a:latin typeface="Arial" panose="020B0604020202020204" pitchFamily="34" charset="0"/>
                      <a:cs typeface="Arial" panose="020B0604020202020204" pitchFamily="34" charset="0"/>
                    </a:rPr>
                    <a:t> EUR</a:t>
                  </a:r>
                  <a:endParaRPr lang="fr-BE" sz="900">
                    <a:solidFill>
                      <a:sysClr val="windowText" lastClr="000000"/>
                    </a:solidFill>
                    <a:latin typeface="Arial" panose="020B0604020202020204" pitchFamily="34" charset="0"/>
                    <a:cs typeface="Arial" panose="020B0604020202020204" pitchFamily="34" charset="0"/>
                  </a:endParaRPr>
                </a:p>
              </c:rich>
            </c:tx>
            <c:spPr>
              <a:noFill/>
              <a:ln w="18752">
                <a:noFill/>
              </a:ln>
            </c:spPr>
          </c:dispUnitsLbl>
        </c:dispUnits>
      </c:valAx>
      <c:spPr>
        <a:noFill/>
        <a:ln w="25400">
          <a:noFill/>
        </a:ln>
      </c:spPr>
    </c:plotArea>
    <c:legend>
      <c:legendPos val="b"/>
      <c:layout>
        <c:manualLayout>
          <c:xMode val="edge"/>
          <c:yMode val="edge"/>
          <c:x val="0.17737875829259964"/>
          <c:y val="0.83904910272987598"/>
          <c:w val="0.67274755492199789"/>
          <c:h val="5.797192692638406E-2"/>
        </c:manualLayout>
      </c:layout>
      <c:overlay val="0"/>
      <c:spPr>
        <a:noFill/>
        <a:ln w="18752">
          <a:noFill/>
        </a:ln>
      </c:spPr>
      <c:txPr>
        <a:bodyPr rot="0" spcFirstLastPara="1" vertOverflow="ellipsis" vert="horz" wrap="square" anchor="ctr" anchorCtr="1"/>
        <a:lstStyle/>
        <a:p>
          <a:pPr>
            <a:defRPr sz="664"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a:noFill/>
    </a:ln>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014382-430D-4DC8-96A0-63CAF00C8C25}"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en-IE"/>
        </a:p>
      </dgm:t>
    </dgm:pt>
    <dgm:pt modelId="{34A78A7B-DE37-4986-ACBB-0B0E47DC2EE1}">
      <dgm:prSet phldrT="[Text]"/>
      <dgm:spPr>
        <a:solidFill>
          <a:schemeClr val="accent6">
            <a:lumMod val="75000"/>
          </a:schemeClr>
        </a:solidFill>
      </dgm:spPr>
      <dgm:t>
        <a:bodyPr/>
        <a:lstStyle/>
        <a:p>
          <a:r>
            <a:rPr lang="en-IE"/>
            <a:t>Prevention</a:t>
          </a:r>
        </a:p>
      </dgm:t>
    </dgm:pt>
    <dgm:pt modelId="{B184BFD2-6983-44E0-B0FB-B19103DEBB0F}" type="parTrans" cxnId="{BD9E8789-61AE-4C55-978A-FDE2721B0427}">
      <dgm:prSet/>
      <dgm:spPr/>
      <dgm:t>
        <a:bodyPr/>
        <a:lstStyle/>
        <a:p>
          <a:endParaRPr lang="en-IE"/>
        </a:p>
      </dgm:t>
    </dgm:pt>
    <dgm:pt modelId="{366D0EBC-023B-47A1-815C-F3217E348720}" type="sibTrans" cxnId="{BD9E8789-61AE-4C55-978A-FDE2721B0427}">
      <dgm:prSet/>
      <dgm:spPr/>
      <dgm:t>
        <a:bodyPr/>
        <a:lstStyle/>
        <a:p>
          <a:endParaRPr lang="en-IE"/>
        </a:p>
      </dgm:t>
    </dgm:pt>
    <dgm:pt modelId="{FF9F3DC9-049F-4D28-ABEE-671DD65ED7D8}">
      <dgm:prSet phldrT="[Text]"/>
      <dgm:spPr/>
      <dgm:t>
        <a:bodyPr/>
        <a:lstStyle/>
        <a:p>
          <a:r>
            <a:rPr lang="en-IE"/>
            <a:t>Detection</a:t>
          </a:r>
        </a:p>
      </dgm:t>
    </dgm:pt>
    <dgm:pt modelId="{769121B1-490F-4EC6-ACC5-CE8204B7DB73}" type="parTrans" cxnId="{CBE68015-FC63-41F8-887B-CE3EA1AD7369}">
      <dgm:prSet/>
      <dgm:spPr/>
      <dgm:t>
        <a:bodyPr/>
        <a:lstStyle/>
        <a:p>
          <a:endParaRPr lang="en-IE"/>
        </a:p>
      </dgm:t>
    </dgm:pt>
    <dgm:pt modelId="{A738076F-8D51-4531-BB1C-71FCCE8FDA86}" type="sibTrans" cxnId="{CBE68015-FC63-41F8-887B-CE3EA1AD7369}">
      <dgm:prSet/>
      <dgm:spPr/>
      <dgm:t>
        <a:bodyPr/>
        <a:lstStyle/>
        <a:p>
          <a:endParaRPr lang="en-IE"/>
        </a:p>
      </dgm:t>
    </dgm:pt>
    <dgm:pt modelId="{BBD37982-447C-4E1A-83A2-276FEEAA6B96}">
      <dgm:prSet phldrT="[Text]"/>
      <dgm:spPr>
        <a:solidFill>
          <a:schemeClr val="accent2">
            <a:lumMod val="75000"/>
          </a:schemeClr>
        </a:solidFill>
      </dgm:spPr>
      <dgm:t>
        <a:bodyPr/>
        <a:lstStyle/>
        <a:p>
          <a:r>
            <a:rPr lang="en-IE"/>
            <a:t>Investigation and prosecution</a:t>
          </a:r>
        </a:p>
      </dgm:t>
    </dgm:pt>
    <dgm:pt modelId="{09CBF942-8404-4392-BF62-7C1CED23C018}" type="parTrans" cxnId="{3BE58ACE-1525-4914-B9EE-0EB79267E140}">
      <dgm:prSet/>
      <dgm:spPr/>
      <dgm:t>
        <a:bodyPr/>
        <a:lstStyle/>
        <a:p>
          <a:endParaRPr lang="en-IE"/>
        </a:p>
      </dgm:t>
    </dgm:pt>
    <dgm:pt modelId="{76EE1536-1ED4-475C-B8EB-6C734C2E1340}" type="sibTrans" cxnId="{3BE58ACE-1525-4914-B9EE-0EB79267E140}">
      <dgm:prSet/>
      <dgm:spPr/>
      <dgm:t>
        <a:bodyPr/>
        <a:lstStyle/>
        <a:p>
          <a:endParaRPr lang="en-IE"/>
        </a:p>
      </dgm:t>
    </dgm:pt>
    <dgm:pt modelId="{FF8F5072-E942-41C4-9B08-BCFD2781AC27}">
      <dgm:prSet phldrT="[Text]"/>
      <dgm:spPr>
        <a:solidFill>
          <a:srgbClr val="7030A0"/>
        </a:solidFill>
      </dgm:spPr>
      <dgm:t>
        <a:bodyPr/>
        <a:lstStyle/>
        <a:p>
          <a:r>
            <a:rPr lang="en-IE"/>
            <a:t>Recovery and sanctioning</a:t>
          </a:r>
        </a:p>
      </dgm:t>
    </dgm:pt>
    <dgm:pt modelId="{958E1253-3D95-4A1E-9DC9-5FADDB085379}" type="parTrans" cxnId="{97A0CF1E-DA43-47A0-AEBE-E4DA283EE003}">
      <dgm:prSet/>
      <dgm:spPr/>
      <dgm:t>
        <a:bodyPr/>
        <a:lstStyle/>
        <a:p>
          <a:endParaRPr lang="en-IE"/>
        </a:p>
      </dgm:t>
    </dgm:pt>
    <dgm:pt modelId="{EC8B068E-312A-465B-85D4-CA078A16DE70}" type="sibTrans" cxnId="{97A0CF1E-DA43-47A0-AEBE-E4DA283EE003}">
      <dgm:prSet/>
      <dgm:spPr/>
      <dgm:t>
        <a:bodyPr/>
        <a:lstStyle/>
        <a:p>
          <a:endParaRPr lang="en-IE"/>
        </a:p>
      </dgm:t>
    </dgm:pt>
    <dgm:pt modelId="{FC5E2756-0EF3-44DC-BB2B-27AF5D798A46}" type="pres">
      <dgm:prSet presAssocID="{00014382-430D-4DC8-96A0-63CAF00C8C25}" presName="cycleMatrixDiagram" presStyleCnt="0">
        <dgm:presLayoutVars>
          <dgm:chMax val="1"/>
          <dgm:dir/>
          <dgm:animLvl val="lvl"/>
          <dgm:resizeHandles val="exact"/>
        </dgm:presLayoutVars>
      </dgm:prSet>
      <dgm:spPr/>
    </dgm:pt>
    <dgm:pt modelId="{98CF104C-D476-4E4C-BAB3-4779E5CE8F6E}" type="pres">
      <dgm:prSet presAssocID="{00014382-430D-4DC8-96A0-63CAF00C8C25}" presName="children" presStyleCnt="0"/>
      <dgm:spPr/>
    </dgm:pt>
    <dgm:pt modelId="{22B9F7AF-9436-4928-8BC7-60456975BB95}" type="pres">
      <dgm:prSet presAssocID="{00014382-430D-4DC8-96A0-63CAF00C8C25}" presName="childPlaceholder" presStyleCnt="0"/>
      <dgm:spPr/>
    </dgm:pt>
    <dgm:pt modelId="{1AC6CFDC-34E8-4237-84DD-B5CE0005C011}" type="pres">
      <dgm:prSet presAssocID="{00014382-430D-4DC8-96A0-63CAF00C8C25}" presName="circle" presStyleCnt="0"/>
      <dgm:spPr/>
    </dgm:pt>
    <dgm:pt modelId="{6D317439-09A2-48F1-9653-784692831A0C}" type="pres">
      <dgm:prSet presAssocID="{00014382-430D-4DC8-96A0-63CAF00C8C25}" presName="quadrant1" presStyleLbl="node1" presStyleIdx="0" presStyleCnt="4">
        <dgm:presLayoutVars>
          <dgm:chMax val="1"/>
          <dgm:bulletEnabled val="1"/>
        </dgm:presLayoutVars>
      </dgm:prSet>
      <dgm:spPr/>
    </dgm:pt>
    <dgm:pt modelId="{5548D124-C208-4C46-8CE8-72CBE36A4EDC}" type="pres">
      <dgm:prSet presAssocID="{00014382-430D-4DC8-96A0-63CAF00C8C25}" presName="quadrant2" presStyleLbl="node1" presStyleIdx="1" presStyleCnt="4">
        <dgm:presLayoutVars>
          <dgm:chMax val="1"/>
          <dgm:bulletEnabled val="1"/>
        </dgm:presLayoutVars>
      </dgm:prSet>
      <dgm:spPr/>
    </dgm:pt>
    <dgm:pt modelId="{C2743773-8C6D-4974-9BCA-7AACD06CF25B}" type="pres">
      <dgm:prSet presAssocID="{00014382-430D-4DC8-96A0-63CAF00C8C25}" presName="quadrant3" presStyleLbl="node1" presStyleIdx="2" presStyleCnt="4">
        <dgm:presLayoutVars>
          <dgm:chMax val="1"/>
          <dgm:bulletEnabled val="1"/>
        </dgm:presLayoutVars>
      </dgm:prSet>
      <dgm:spPr/>
    </dgm:pt>
    <dgm:pt modelId="{7DDF3084-16B5-4CCC-AD89-F97B3A69E1C7}" type="pres">
      <dgm:prSet presAssocID="{00014382-430D-4DC8-96A0-63CAF00C8C25}" presName="quadrant4" presStyleLbl="node1" presStyleIdx="3" presStyleCnt="4">
        <dgm:presLayoutVars>
          <dgm:chMax val="1"/>
          <dgm:bulletEnabled val="1"/>
        </dgm:presLayoutVars>
      </dgm:prSet>
      <dgm:spPr/>
    </dgm:pt>
    <dgm:pt modelId="{0CB374D2-4E4E-4F04-B678-FF636DCFA8E1}" type="pres">
      <dgm:prSet presAssocID="{00014382-430D-4DC8-96A0-63CAF00C8C25}" presName="quadrantPlaceholder" presStyleCnt="0"/>
      <dgm:spPr/>
    </dgm:pt>
    <dgm:pt modelId="{8CE5A19A-7D12-4AB9-8D51-41A414397C45}" type="pres">
      <dgm:prSet presAssocID="{00014382-430D-4DC8-96A0-63CAF00C8C25}" presName="center1" presStyleLbl="fgShp" presStyleIdx="0" presStyleCnt="2"/>
      <dgm:spPr/>
    </dgm:pt>
    <dgm:pt modelId="{EF108F39-3A1D-417B-97BB-CCD6D27B21C6}" type="pres">
      <dgm:prSet presAssocID="{00014382-430D-4DC8-96A0-63CAF00C8C25}" presName="center2" presStyleLbl="fgShp" presStyleIdx="1" presStyleCnt="2"/>
      <dgm:spPr/>
    </dgm:pt>
  </dgm:ptLst>
  <dgm:cxnLst>
    <dgm:cxn modelId="{D3BBC808-AD07-46EB-B6F0-DA497FFD562D}" type="presOf" srcId="{FF9F3DC9-049F-4D28-ABEE-671DD65ED7D8}" destId="{5548D124-C208-4C46-8CE8-72CBE36A4EDC}" srcOrd="0" destOrd="0" presId="urn:microsoft.com/office/officeart/2005/8/layout/cycle4"/>
    <dgm:cxn modelId="{CBE68015-FC63-41F8-887B-CE3EA1AD7369}" srcId="{00014382-430D-4DC8-96A0-63CAF00C8C25}" destId="{FF9F3DC9-049F-4D28-ABEE-671DD65ED7D8}" srcOrd="1" destOrd="0" parTransId="{769121B1-490F-4EC6-ACC5-CE8204B7DB73}" sibTransId="{A738076F-8D51-4531-BB1C-71FCCE8FDA86}"/>
    <dgm:cxn modelId="{5185501B-46EF-4FC0-BD6A-D0652A4EBC21}" type="presOf" srcId="{BBD37982-447C-4E1A-83A2-276FEEAA6B96}" destId="{C2743773-8C6D-4974-9BCA-7AACD06CF25B}" srcOrd="0" destOrd="0" presId="urn:microsoft.com/office/officeart/2005/8/layout/cycle4"/>
    <dgm:cxn modelId="{97A0CF1E-DA43-47A0-AEBE-E4DA283EE003}" srcId="{00014382-430D-4DC8-96A0-63CAF00C8C25}" destId="{FF8F5072-E942-41C4-9B08-BCFD2781AC27}" srcOrd="3" destOrd="0" parTransId="{958E1253-3D95-4A1E-9DC9-5FADDB085379}" sibTransId="{EC8B068E-312A-465B-85D4-CA078A16DE70}"/>
    <dgm:cxn modelId="{1A90C32A-7CD1-4CC1-A713-709D53F1082E}" type="presOf" srcId="{FF8F5072-E942-41C4-9B08-BCFD2781AC27}" destId="{7DDF3084-16B5-4CCC-AD89-F97B3A69E1C7}" srcOrd="0" destOrd="0" presId="urn:microsoft.com/office/officeart/2005/8/layout/cycle4"/>
    <dgm:cxn modelId="{65565D62-1F79-4E32-B1DA-FD361285059A}" type="presOf" srcId="{34A78A7B-DE37-4986-ACBB-0B0E47DC2EE1}" destId="{6D317439-09A2-48F1-9653-784692831A0C}" srcOrd="0" destOrd="0" presId="urn:microsoft.com/office/officeart/2005/8/layout/cycle4"/>
    <dgm:cxn modelId="{BD9E8789-61AE-4C55-978A-FDE2721B0427}" srcId="{00014382-430D-4DC8-96A0-63CAF00C8C25}" destId="{34A78A7B-DE37-4986-ACBB-0B0E47DC2EE1}" srcOrd="0" destOrd="0" parTransId="{B184BFD2-6983-44E0-B0FB-B19103DEBB0F}" sibTransId="{366D0EBC-023B-47A1-815C-F3217E348720}"/>
    <dgm:cxn modelId="{3BE58ACE-1525-4914-B9EE-0EB79267E140}" srcId="{00014382-430D-4DC8-96A0-63CAF00C8C25}" destId="{BBD37982-447C-4E1A-83A2-276FEEAA6B96}" srcOrd="2" destOrd="0" parTransId="{09CBF942-8404-4392-BF62-7C1CED23C018}" sibTransId="{76EE1536-1ED4-475C-B8EB-6C734C2E1340}"/>
    <dgm:cxn modelId="{8A4FA3EA-273C-42E8-BFD8-7D84BF0D19C4}" type="presOf" srcId="{00014382-430D-4DC8-96A0-63CAF00C8C25}" destId="{FC5E2756-0EF3-44DC-BB2B-27AF5D798A46}" srcOrd="0" destOrd="0" presId="urn:microsoft.com/office/officeart/2005/8/layout/cycle4"/>
    <dgm:cxn modelId="{22F0E5FA-4F2A-4FCA-A9BD-63874F17F85C}" type="presParOf" srcId="{FC5E2756-0EF3-44DC-BB2B-27AF5D798A46}" destId="{98CF104C-D476-4E4C-BAB3-4779E5CE8F6E}" srcOrd="0" destOrd="0" presId="urn:microsoft.com/office/officeart/2005/8/layout/cycle4"/>
    <dgm:cxn modelId="{AACAA8DC-F93E-4C56-AD02-CF6326E10AD1}" type="presParOf" srcId="{98CF104C-D476-4E4C-BAB3-4779E5CE8F6E}" destId="{22B9F7AF-9436-4928-8BC7-60456975BB95}" srcOrd="0" destOrd="0" presId="urn:microsoft.com/office/officeart/2005/8/layout/cycle4"/>
    <dgm:cxn modelId="{B909AB11-7CA7-4348-9BA6-5DDFC4636D38}" type="presParOf" srcId="{FC5E2756-0EF3-44DC-BB2B-27AF5D798A46}" destId="{1AC6CFDC-34E8-4237-84DD-B5CE0005C011}" srcOrd="1" destOrd="0" presId="urn:microsoft.com/office/officeart/2005/8/layout/cycle4"/>
    <dgm:cxn modelId="{A91333E0-48B8-417F-94E8-EB72663F2C1C}" type="presParOf" srcId="{1AC6CFDC-34E8-4237-84DD-B5CE0005C011}" destId="{6D317439-09A2-48F1-9653-784692831A0C}" srcOrd="0" destOrd="0" presId="urn:microsoft.com/office/officeart/2005/8/layout/cycle4"/>
    <dgm:cxn modelId="{233A2E54-C748-47BC-B312-A26DB8ED1CC6}" type="presParOf" srcId="{1AC6CFDC-34E8-4237-84DD-B5CE0005C011}" destId="{5548D124-C208-4C46-8CE8-72CBE36A4EDC}" srcOrd="1" destOrd="0" presId="urn:microsoft.com/office/officeart/2005/8/layout/cycle4"/>
    <dgm:cxn modelId="{1BF32223-9054-48BE-A68B-E05E455E7AD2}" type="presParOf" srcId="{1AC6CFDC-34E8-4237-84DD-B5CE0005C011}" destId="{C2743773-8C6D-4974-9BCA-7AACD06CF25B}" srcOrd="2" destOrd="0" presId="urn:microsoft.com/office/officeart/2005/8/layout/cycle4"/>
    <dgm:cxn modelId="{65CDDE2C-B570-4CE2-9905-6A2FAF7C8F1C}" type="presParOf" srcId="{1AC6CFDC-34E8-4237-84DD-B5CE0005C011}" destId="{7DDF3084-16B5-4CCC-AD89-F97B3A69E1C7}" srcOrd="3" destOrd="0" presId="urn:microsoft.com/office/officeart/2005/8/layout/cycle4"/>
    <dgm:cxn modelId="{8233B389-6C7F-449E-B4DB-CA4CA0EABCED}" type="presParOf" srcId="{1AC6CFDC-34E8-4237-84DD-B5CE0005C011}" destId="{0CB374D2-4E4E-4F04-B678-FF636DCFA8E1}" srcOrd="4" destOrd="0" presId="urn:microsoft.com/office/officeart/2005/8/layout/cycle4"/>
    <dgm:cxn modelId="{BBE3F4EC-E449-44A6-B33E-1B9711CA1C7A}" type="presParOf" srcId="{FC5E2756-0EF3-44DC-BB2B-27AF5D798A46}" destId="{8CE5A19A-7D12-4AB9-8D51-41A414397C45}" srcOrd="2" destOrd="0" presId="urn:microsoft.com/office/officeart/2005/8/layout/cycle4"/>
    <dgm:cxn modelId="{009E1A7E-7500-4C58-A89C-41F2B8B19FA1}" type="presParOf" srcId="{FC5E2756-0EF3-44DC-BB2B-27AF5D798A46}" destId="{EF108F39-3A1D-417B-97BB-CCD6D27B21C6}" srcOrd="3" destOrd="0" presId="urn:microsoft.com/office/officeart/2005/8/layout/cycle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0447D1A-1479-48A5-94EB-5BC92DA549C8}"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IE"/>
        </a:p>
      </dgm:t>
    </dgm:pt>
    <dgm:pt modelId="{65945CDF-AE2B-4B8F-85AF-1EF7CB893E93}">
      <dgm:prSet phldrT="[Text]"/>
      <dgm:spPr>
        <a:solidFill>
          <a:schemeClr val="accent6">
            <a:lumMod val="20000"/>
            <a:lumOff val="80000"/>
          </a:schemeClr>
        </a:solidFill>
      </dgm:spPr>
      <dgm:t>
        <a:bodyPr/>
        <a:lstStyle/>
        <a:p>
          <a:r>
            <a:rPr lang="en-IE">
              <a:solidFill>
                <a:sysClr val="windowText" lastClr="000000"/>
              </a:solidFill>
            </a:rPr>
            <a:t>Methodological note</a:t>
          </a:r>
        </a:p>
      </dgm:t>
    </dgm:pt>
    <dgm:pt modelId="{9B9C11CD-0DDA-495E-9334-44731566993E}" type="parTrans" cxnId="{A4049C6D-F9B4-4CE9-9BBD-D0C609E2CB13}">
      <dgm:prSet/>
      <dgm:spPr/>
      <dgm:t>
        <a:bodyPr/>
        <a:lstStyle/>
        <a:p>
          <a:endParaRPr lang="en-IE"/>
        </a:p>
      </dgm:t>
    </dgm:pt>
    <dgm:pt modelId="{C26646A3-550C-4BEB-96B2-29C8E1073B2C}" type="sibTrans" cxnId="{A4049C6D-F9B4-4CE9-9BBD-D0C609E2CB13}">
      <dgm:prSet/>
      <dgm:spPr/>
      <dgm:t>
        <a:bodyPr/>
        <a:lstStyle/>
        <a:p>
          <a:endParaRPr lang="en-IE"/>
        </a:p>
      </dgm:t>
    </dgm:pt>
    <dgm:pt modelId="{04357ABA-E52C-4541-8CD9-BBA01750C119}">
      <dgm:prSet phldrT="[Text]"/>
      <dgm:spPr>
        <a:solidFill>
          <a:schemeClr val="accent4">
            <a:lumMod val="20000"/>
            <a:lumOff val="80000"/>
          </a:schemeClr>
        </a:solidFill>
      </dgm:spPr>
      <dgm:t>
        <a:bodyPr/>
        <a:lstStyle/>
        <a:p>
          <a:r>
            <a:rPr lang="en-IE">
              <a:solidFill>
                <a:sysClr val="windowText" lastClr="000000"/>
              </a:solidFill>
            </a:rPr>
            <a:t>Focus point</a:t>
          </a:r>
        </a:p>
      </dgm:t>
    </dgm:pt>
    <dgm:pt modelId="{A76D6E57-D4B9-45BC-BBF5-D8B6B455D1B0}" type="parTrans" cxnId="{45193B7C-55DD-4CF2-AF8F-079BF2F24C85}">
      <dgm:prSet/>
      <dgm:spPr/>
      <dgm:t>
        <a:bodyPr/>
        <a:lstStyle/>
        <a:p>
          <a:endParaRPr lang="en-IE"/>
        </a:p>
      </dgm:t>
    </dgm:pt>
    <dgm:pt modelId="{3B37F75D-C688-4A74-9925-F1DF6EC976AF}" type="sibTrans" cxnId="{45193B7C-55DD-4CF2-AF8F-079BF2F24C85}">
      <dgm:prSet/>
      <dgm:spPr/>
      <dgm:t>
        <a:bodyPr/>
        <a:lstStyle/>
        <a:p>
          <a:endParaRPr lang="en-IE"/>
        </a:p>
      </dgm:t>
    </dgm:pt>
    <dgm:pt modelId="{9DEF064C-16AB-4EB5-90F2-EF52695977D4}">
      <dgm:prSet phldrT="[Text]"/>
      <dgm:spPr/>
      <dgm:t>
        <a:bodyPr/>
        <a:lstStyle/>
        <a:p>
          <a:r>
            <a:rPr lang="en-IE">
              <a:solidFill>
                <a:sysClr val="windowText" lastClr="000000"/>
              </a:solidFill>
            </a:rPr>
            <a:t>Snapshot</a:t>
          </a:r>
        </a:p>
      </dgm:t>
    </dgm:pt>
    <dgm:pt modelId="{87FE311F-8245-46C1-B9D7-B56BC5F103E4}" type="parTrans" cxnId="{D6281414-3BDC-4321-A5B5-A889EAB8493B}">
      <dgm:prSet/>
      <dgm:spPr/>
      <dgm:t>
        <a:bodyPr/>
        <a:lstStyle/>
        <a:p>
          <a:endParaRPr lang="en-IE"/>
        </a:p>
      </dgm:t>
    </dgm:pt>
    <dgm:pt modelId="{3304B300-18F6-4065-B1E3-628471905AB6}" type="sibTrans" cxnId="{D6281414-3BDC-4321-A5B5-A889EAB8493B}">
      <dgm:prSet/>
      <dgm:spPr/>
      <dgm:t>
        <a:bodyPr/>
        <a:lstStyle/>
        <a:p>
          <a:endParaRPr lang="en-IE"/>
        </a:p>
      </dgm:t>
    </dgm:pt>
    <dgm:pt modelId="{C25C33AB-674A-46EB-A960-6D1D426A8BF1}">
      <dgm:prSet phldrT="[Text]"/>
      <dgm:spPr>
        <a:solidFill>
          <a:schemeClr val="accent1">
            <a:tint val="60000"/>
            <a:hueOff val="0"/>
            <a:satOff val="0"/>
            <a:lumOff val="0"/>
            <a:alpha val="0"/>
          </a:schemeClr>
        </a:solidFill>
        <a:ln>
          <a:noFill/>
        </a:ln>
      </dgm:spPr>
      <dgm:t>
        <a:bodyPr/>
        <a:lstStyle/>
        <a:p>
          <a:endParaRPr lang="en-IE">
            <a:solidFill>
              <a:sysClr val="windowText" lastClr="000000"/>
            </a:solidFill>
            <a:effectLst>
              <a:outerShdw blurRad="50800" dist="50800" dir="5400000" algn="ctr" rotWithShape="0">
                <a:schemeClr val="bg1">
                  <a:alpha val="1000"/>
                </a:schemeClr>
              </a:outerShdw>
            </a:effectLst>
          </a:endParaRPr>
        </a:p>
      </dgm:t>
    </dgm:pt>
    <dgm:pt modelId="{65A95102-5CFD-4446-9893-EBA998D66516}" type="sibTrans" cxnId="{2BAA9174-AA14-4156-9066-151CA31012CC}">
      <dgm:prSet/>
      <dgm:spPr/>
      <dgm:t>
        <a:bodyPr/>
        <a:lstStyle/>
        <a:p>
          <a:endParaRPr lang="en-IE"/>
        </a:p>
      </dgm:t>
    </dgm:pt>
    <dgm:pt modelId="{76D80196-8E24-4B53-B228-52E29699FEF4}" type="parTrans" cxnId="{2BAA9174-AA14-4156-9066-151CA31012CC}">
      <dgm:prSet/>
      <dgm:spPr/>
      <dgm:t>
        <a:bodyPr/>
        <a:lstStyle/>
        <a:p>
          <a:endParaRPr lang="en-IE"/>
        </a:p>
      </dgm:t>
    </dgm:pt>
    <dgm:pt modelId="{07648A91-C18E-408E-A70C-D40373D14D1C}">
      <dgm:prSet phldrT="[Text]"/>
      <dgm:spPr>
        <a:solidFill>
          <a:schemeClr val="accent2">
            <a:lumMod val="20000"/>
            <a:lumOff val="80000"/>
          </a:schemeClr>
        </a:solidFill>
      </dgm:spPr>
      <dgm:t>
        <a:bodyPr/>
        <a:lstStyle/>
        <a:p>
          <a:r>
            <a:rPr lang="en-IE">
              <a:solidFill>
                <a:sysClr val="windowText" lastClr="000000"/>
              </a:solidFill>
            </a:rPr>
            <a:t>Recommendation</a:t>
          </a:r>
        </a:p>
      </dgm:t>
    </dgm:pt>
    <dgm:pt modelId="{AE13B25F-7D2C-40FD-B79C-4510C4177A42}" type="parTrans" cxnId="{0F668E8F-AE20-4B95-8FC3-512E82776980}">
      <dgm:prSet/>
      <dgm:spPr/>
      <dgm:t>
        <a:bodyPr/>
        <a:lstStyle/>
        <a:p>
          <a:endParaRPr lang="en-IE"/>
        </a:p>
      </dgm:t>
    </dgm:pt>
    <dgm:pt modelId="{8ABD6AB0-5F80-4B4A-A717-559ECA113602}" type="sibTrans" cxnId="{0F668E8F-AE20-4B95-8FC3-512E82776980}">
      <dgm:prSet/>
      <dgm:spPr/>
      <dgm:t>
        <a:bodyPr/>
        <a:lstStyle/>
        <a:p>
          <a:endParaRPr lang="en-IE"/>
        </a:p>
      </dgm:t>
    </dgm:pt>
    <dgm:pt modelId="{848F1C52-F033-4F77-A26A-03C05936D178}" type="pres">
      <dgm:prSet presAssocID="{90447D1A-1479-48A5-94EB-5BC92DA549C8}" presName="diagram" presStyleCnt="0">
        <dgm:presLayoutVars>
          <dgm:chMax val="1"/>
          <dgm:dir/>
          <dgm:animLvl val="ctr"/>
          <dgm:resizeHandles val="exact"/>
        </dgm:presLayoutVars>
      </dgm:prSet>
      <dgm:spPr/>
    </dgm:pt>
    <dgm:pt modelId="{410C6B95-3550-4AE1-B9CF-AB40CC224046}" type="pres">
      <dgm:prSet presAssocID="{90447D1A-1479-48A5-94EB-5BC92DA549C8}" presName="matrix" presStyleCnt="0"/>
      <dgm:spPr/>
    </dgm:pt>
    <dgm:pt modelId="{720ABA43-C522-4F98-9D53-FAA4A79A2A77}" type="pres">
      <dgm:prSet presAssocID="{90447D1A-1479-48A5-94EB-5BC92DA549C8}" presName="tile1" presStyleLbl="node1" presStyleIdx="0" presStyleCnt="4"/>
      <dgm:spPr/>
    </dgm:pt>
    <dgm:pt modelId="{D80D6D85-EC23-43A3-A7EC-AF40CA8710FC}" type="pres">
      <dgm:prSet presAssocID="{90447D1A-1479-48A5-94EB-5BC92DA549C8}" presName="tile1text" presStyleLbl="node1" presStyleIdx="0" presStyleCnt="4">
        <dgm:presLayoutVars>
          <dgm:chMax val="0"/>
          <dgm:chPref val="0"/>
          <dgm:bulletEnabled val="1"/>
        </dgm:presLayoutVars>
      </dgm:prSet>
      <dgm:spPr/>
    </dgm:pt>
    <dgm:pt modelId="{AA47D71D-0AD3-485B-A964-DB7219F3034D}" type="pres">
      <dgm:prSet presAssocID="{90447D1A-1479-48A5-94EB-5BC92DA549C8}" presName="tile2" presStyleLbl="node1" presStyleIdx="1" presStyleCnt="4"/>
      <dgm:spPr/>
    </dgm:pt>
    <dgm:pt modelId="{8B7FF0F0-5165-41AD-8E95-20AE1D4306DE}" type="pres">
      <dgm:prSet presAssocID="{90447D1A-1479-48A5-94EB-5BC92DA549C8}" presName="tile2text" presStyleLbl="node1" presStyleIdx="1" presStyleCnt="4">
        <dgm:presLayoutVars>
          <dgm:chMax val="0"/>
          <dgm:chPref val="0"/>
          <dgm:bulletEnabled val="1"/>
        </dgm:presLayoutVars>
      </dgm:prSet>
      <dgm:spPr/>
    </dgm:pt>
    <dgm:pt modelId="{BE1682D3-D0AE-4A59-A577-09E7C0486787}" type="pres">
      <dgm:prSet presAssocID="{90447D1A-1479-48A5-94EB-5BC92DA549C8}" presName="tile3" presStyleLbl="node1" presStyleIdx="2" presStyleCnt="4"/>
      <dgm:spPr/>
    </dgm:pt>
    <dgm:pt modelId="{8C49DBBF-AF32-4DE4-A12A-5CA04C9BE1CA}" type="pres">
      <dgm:prSet presAssocID="{90447D1A-1479-48A5-94EB-5BC92DA549C8}" presName="tile3text" presStyleLbl="node1" presStyleIdx="2" presStyleCnt="4">
        <dgm:presLayoutVars>
          <dgm:chMax val="0"/>
          <dgm:chPref val="0"/>
          <dgm:bulletEnabled val="1"/>
        </dgm:presLayoutVars>
      </dgm:prSet>
      <dgm:spPr/>
    </dgm:pt>
    <dgm:pt modelId="{05636082-4F4E-410C-8BF1-48265CB836C1}" type="pres">
      <dgm:prSet presAssocID="{90447D1A-1479-48A5-94EB-5BC92DA549C8}" presName="tile4" presStyleLbl="node1" presStyleIdx="3" presStyleCnt="4"/>
      <dgm:spPr/>
    </dgm:pt>
    <dgm:pt modelId="{F768F369-305C-4FA1-B832-942DE373415A}" type="pres">
      <dgm:prSet presAssocID="{90447D1A-1479-48A5-94EB-5BC92DA549C8}" presName="tile4text" presStyleLbl="node1" presStyleIdx="3" presStyleCnt="4">
        <dgm:presLayoutVars>
          <dgm:chMax val="0"/>
          <dgm:chPref val="0"/>
          <dgm:bulletEnabled val="1"/>
        </dgm:presLayoutVars>
      </dgm:prSet>
      <dgm:spPr/>
    </dgm:pt>
    <dgm:pt modelId="{AC68819F-FDE1-4D8E-A920-127E68BEFD99}" type="pres">
      <dgm:prSet presAssocID="{90447D1A-1479-48A5-94EB-5BC92DA549C8}" presName="centerTile" presStyleLbl="fgShp" presStyleIdx="0" presStyleCnt="1">
        <dgm:presLayoutVars>
          <dgm:chMax val="0"/>
          <dgm:chPref val="0"/>
        </dgm:presLayoutVars>
      </dgm:prSet>
      <dgm:spPr/>
    </dgm:pt>
  </dgm:ptLst>
  <dgm:cxnLst>
    <dgm:cxn modelId="{4D8D6307-A3B5-4735-914B-7C480D64D625}" type="presOf" srcId="{04357ABA-E52C-4541-8CD9-BBA01750C119}" destId="{AA47D71D-0AD3-485B-A964-DB7219F3034D}" srcOrd="0" destOrd="0" presId="urn:microsoft.com/office/officeart/2005/8/layout/matrix1"/>
    <dgm:cxn modelId="{D6281414-3BDC-4321-A5B5-A889EAB8493B}" srcId="{C25C33AB-674A-46EB-A960-6D1D426A8BF1}" destId="{9DEF064C-16AB-4EB5-90F2-EF52695977D4}" srcOrd="3" destOrd="0" parTransId="{87FE311F-8245-46C1-B9D7-B56BC5F103E4}" sibTransId="{3304B300-18F6-4065-B1E3-628471905AB6}"/>
    <dgm:cxn modelId="{EE390D1A-F651-493B-8FFF-7C0BD8DC3CAF}" type="presOf" srcId="{90447D1A-1479-48A5-94EB-5BC92DA549C8}" destId="{848F1C52-F033-4F77-A26A-03C05936D178}" srcOrd="0" destOrd="0" presId="urn:microsoft.com/office/officeart/2005/8/layout/matrix1"/>
    <dgm:cxn modelId="{0FD42C1F-11C3-47F6-9235-8D515894D1AA}" type="presOf" srcId="{07648A91-C18E-408E-A70C-D40373D14D1C}" destId="{BE1682D3-D0AE-4A59-A577-09E7C0486787}" srcOrd="0" destOrd="0" presId="urn:microsoft.com/office/officeart/2005/8/layout/matrix1"/>
    <dgm:cxn modelId="{8005AB39-4355-4293-B8C8-CE185B285C1E}" type="presOf" srcId="{07648A91-C18E-408E-A70C-D40373D14D1C}" destId="{8C49DBBF-AF32-4DE4-A12A-5CA04C9BE1CA}" srcOrd="1" destOrd="0" presId="urn:microsoft.com/office/officeart/2005/8/layout/matrix1"/>
    <dgm:cxn modelId="{A4049C6D-F9B4-4CE9-9BBD-D0C609E2CB13}" srcId="{C25C33AB-674A-46EB-A960-6D1D426A8BF1}" destId="{65945CDF-AE2B-4B8F-85AF-1EF7CB893E93}" srcOrd="0" destOrd="0" parTransId="{9B9C11CD-0DDA-495E-9334-44731566993E}" sibTransId="{C26646A3-550C-4BEB-96B2-29C8E1073B2C}"/>
    <dgm:cxn modelId="{51E9D64F-1B78-40DC-B545-B737238028AD}" type="presOf" srcId="{9DEF064C-16AB-4EB5-90F2-EF52695977D4}" destId="{F768F369-305C-4FA1-B832-942DE373415A}" srcOrd="1" destOrd="0" presId="urn:microsoft.com/office/officeart/2005/8/layout/matrix1"/>
    <dgm:cxn modelId="{2BAA9174-AA14-4156-9066-151CA31012CC}" srcId="{90447D1A-1479-48A5-94EB-5BC92DA549C8}" destId="{C25C33AB-674A-46EB-A960-6D1D426A8BF1}" srcOrd="0" destOrd="0" parTransId="{76D80196-8E24-4B53-B228-52E29699FEF4}" sibTransId="{65A95102-5CFD-4446-9893-EBA998D66516}"/>
    <dgm:cxn modelId="{45193B7C-55DD-4CF2-AF8F-079BF2F24C85}" srcId="{C25C33AB-674A-46EB-A960-6D1D426A8BF1}" destId="{04357ABA-E52C-4541-8CD9-BBA01750C119}" srcOrd="1" destOrd="0" parTransId="{A76D6E57-D4B9-45BC-BBF5-D8B6B455D1B0}" sibTransId="{3B37F75D-C688-4A74-9925-F1DF6EC976AF}"/>
    <dgm:cxn modelId="{289DA283-2B3C-4ECD-A27F-25B5C430F86E}" type="presOf" srcId="{65945CDF-AE2B-4B8F-85AF-1EF7CB893E93}" destId="{720ABA43-C522-4F98-9D53-FAA4A79A2A77}" srcOrd="0" destOrd="0" presId="urn:microsoft.com/office/officeart/2005/8/layout/matrix1"/>
    <dgm:cxn modelId="{AE36D188-B98C-4883-9A90-4F4DF2A5AE76}" type="presOf" srcId="{9DEF064C-16AB-4EB5-90F2-EF52695977D4}" destId="{05636082-4F4E-410C-8BF1-48265CB836C1}" srcOrd="0" destOrd="0" presId="urn:microsoft.com/office/officeart/2005/8/layout/matrix1"/>
    <dgm:cxn modelId="{0F668E8F-AE20-4B95-8FC3-512E82776980}" srcId="{C25C33AB-674A-46EB-A960-6D1D426A8BF1}" destId="{07648A91-C18E-408E-A70C-D40373D14D1C}" srcOrd="2" destOrd="0" parTransId="{AE13B25F-7D2C-40FD-B79C-4510C4177A42}" sibTransId="{8ABD6AB0-5F80-4B4A-A717-559ECA113602}"/>
    <dgm:cxn modelId="{687D3BC4-C2E8-49E0-B663-A10BF17EB134}" type="presOf" srcId="{65945CDF-AE2B-4B8F-85AF-1EF7CB893E93}" destId="{D80D6D85-EC23-43A3-A7EC-AF40CA8710FC}" srcOrd="1" destOrd="0" presId="urn:microsoft.com/office/officeart/2005/8/layout/matrix1"/>
    <dgm:cxn modelId="{64CA4BC5-9A7F-473C-9E76-934983DB0E66}" type="presOf" srcId="{C25C33AB-674A-46EB-A960-6D1D426A8BF1}" destId="{AC68819F-FDE1-4D8E-A920-127E68BEFD99}" srcOrd="0" destOrd="0" presId="urn:microsoft.com/office/officeart/2005/8/layout/matrix1"/>
    <dgm:cxn modelId="{5C07E1D8-D10F-46B2-8A02-70BA537D3F7B}" type="presOf" srcId="{04357ABA-E52C-4541-8CD9-BBA01750C119}" destId="{8B7FF0F0-5165-41AD-8E95-20AE1D4306DE}" srcOrd="1" destOrd="0" presId="urn:microsoft.com/office/officeart/2005/8/layout/matrix1"/>
    <dgm:cxn modelId="{293D65DD-4516-4028-B455-0AAD9C8237AD}" type="presParOf" srcId="{848F1C52-F033-4F77-A26A-03C05936D178}" destId="{410C6B95-3550-4AE1-B9CF-AB40CC224046}" srcOrd="0" destOrd="0" presId="urn:microsoft.com/office/officeart/2005/8/layout/matrix1"/>
    <dgm:cxn modelId="{9DAF4F4C-2B94-4F52-8BE0-812B357AB51B}" type="presParOf" srcId="{410C6B95-3550-4AE1-B9CF-AB40CC224046}" destId="{720ABA43-C522-4F98-9D53-FAA4A79A2A77}" srcOrd="0" destOrd="0" presId="urn:microsoft.com/office/officeart/2005/8/layout/matrix1"/>
    <dgm:cxn modelId="{C0BBFD4A-330E-4690-AC45-7B547F92A971}" type="presParOf" srcId="{410C6B95-3550-4AE1-B9CF-AB40CC224046}" destId="{D80D6D85-EC23-43A3-A7EC-AF40CA8710FC}" srcOrd="1" destOrd="0" presId="urn:microsoft.com/office/officeart/2005/8/layout/matrix1"/>
    <dgm:cxn modelId="{1D7F8902-9A2A-4F53-A7D0-7C11948A09F6}" type="presParOf" srcId="{410C6B95-3550-4AE1-B9CF-AB40CC224046}" destId="{AA47D71D-0AD3-485B-A964-DB7219F3034D}" srcOrd="2" destOrd="0" presId="urn:microsoft.com/office/officeart/2005/8/layout/matrix1"/>
    <dgm:cxn modelId="{32C81CCE-6524-4550-B86B-96F3007E2A01}" type="presParOf" srcId="{410C6B95-3550-4AE1-B9CF-AB40CC224046}" destId="{8B7FF0F0-5165-41AD-8E95-20AE1D4306DE}" srcOrd="3" destOrd="0" presId="urn:microsoft.com/office/officeart/2005/8/layout/matrix1"/>
    <dgm:cxn modelId="{6FCA25CC-1C29-4983-BA14-7EA083953987}" type="presParOf" srcId="{410C6B95-3550-4AE1-B9CF-AB40CC224046}" destId="{BE1682D3-D0AE-4A59-A577-09E7C0486787}" srcOrd="4" destOrd="0" presId="urn:microsoft.com/office/officeart/2005/8/layout/matrix1"/>
    <dgm:cxn modelId="{CF876F0C-4D02-45DB-BB37-03C729A2D87E}" type="presParOf" srcId="{410C6B95-3550-4AE1-B9CF-AB40CC224046}" destId="{8C49DBBF-AF32-4DE4-A12A-5CA04C9BE1CA}" srcOrd="5" destOrd="0" presId="urn:microsoft.com/office/officeart/2005/8/layout/matrix1"/>
    <dgm:cxn modelId="{41E8F6AC-1B0C-40B5-B352-52FFFDD1FC6C}" type="presParOf" srcId="{410C6B95-3550-4AE1-B9CF-AB40CC224046}" destId="{05636082-4F4E-410C-8BF1-48265CB836C1}" srcOrd="6" destOrd="0" presId="urn:microsoft.com/office/officeart/2005/8/layout/matrix1"/>
    <dgm:cxn modelId="{9C6EE2D2-A7BF-4B31-B09C-0B5574821CBE}" type="presParOf" srcId="{410C6B95-3550-4AE1-B9CF-AB40CC224046}" destId="{F768F369-305C-4FA1-B832-942DE373415A}" srcOrd="7" destOrd="0" presId="urn:microsoft.com/office/officeart/2005/8/layout/matrix1"/>
    <dgm:cxn modelId="{ED83E0F0-3AB1-4364-9827-B52933C9ABBD}" type="presParOf" srcId="{848F1C52-F033-4F77-A26A-03C05936D178}" destId="{AC68819F-FDE1-4D8E-A920-127E68BEFD99}" srcOrd="1" destOrd="0" presId="urn:microsoft.com/office/officeart/2005/8/layout/matrix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9374FCB-0AA3-479D-A252-1ABBC43FE262}"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en-IE"/>
        </a:p>
      </dgm:t>
    </dgm:pt>
    <dgm:pt modelId="{515300CF-316B-4190-8129-F8C6C85AE18C}">
      <dgm:prSet phldrT="[Text]"/>
      <dgm:spPr>
        <a:solidFill>
          <a:schemeClr val="accent6">
            <a:lumMod val="75000"/>
          </a:schemeClr>
        </a:solidFill>
      </dgm:spPr>
      <dgm:t>
        <a:bodyPr/>
        <a:lstStyle/>
        <a:p>
          <a:r>
            <a:rPr lang="en-IE"/>
            <a:t>Prevention</a:t>
          </a:r>
        </a:p>
      </dgm:t>
    </dgm:pt>
    <dgm:pt modelId="{7DC80992-3673-42FA-8387-36CABDC710B6}" type="parTrans" cxnId="{E5B169DD-E920-41DA-966A-9DD6D626FDD1}">
      <dgm:prSet/>
      <dgm:spPr/>
      <dgm:t>
        <a:bodyPr/>
        <a:lstStyle/>
        <a:p>
          <a:endParaRPr lang="en-IE"/>
        </a:p>
      </dgm:t>
    </dgm:pt>
    <dgm:pt modelId="{7A315B37-4D82-4E45-BBBD-ECCA2778DEA1}" type="sibTrans" cxnId="{E5B169DD-E920-41DA-966A-9DD6D626FDD1}">
      <dgm:prSet/>
      <dgm:spPr/>
      <dgm:t>
        <a:bodyPr/>
        <a:lstStyle/>
        <a:p>
          <a:endParaRPr lang="en-IE"/>
        </a:p>
      </dgm:t>
    </dgm:pt>
    <dgm:pt modelId="{F7AFD4ED-485E-4383-AF79-703F4DEF33DB}">
      <dgm:prSet phldrT="[Text]"/>
      <dgm:spPr/>
      <dgm:t>
        <a:bodyPr/>
        <a:lstStyle/>
        <a:p>
          <a:r>
            <a:rPr lang="en-IE"/>
            <a:t>57 measures (79%)</a:t>
          </a:r>
        </a:p>
      </dgm:t>
    </dgm:pt>
    <dgm:pt modelId="{2387A9DA-95D2-44CC-B5AA-071445571479}" type="parTrans" cxnId="{B76D8B08-4371-469A-9ACD-55AD7EDA4673}">
      <dgm:prSet/>
      <dgm:spPr/>
      <dgm:t>
        <a:bodyPr/>
        <a:lstStyle/>
        <a:p>
          <a:endParaRPr lang="en-IE"/>
        </a:p>
      </dgm:t>
    </dgm:pt>
    <dgm:pt modelId="{8E06B36C-EC22-4936-9DE5-D2D0B243D814}" type="sibTrans" cxnId="{B76D8B08-4371-469A-9ACD-55AD7EDA4673}">
      <dgm:prSet/>
      <dgm:spPr/>
      <dgm:t>
        <a:bodyPr/>
        <a:lstStyle/>
        <a:p>
          <a:endParaRPr lang="en-IE"/>
        </a:p>
      </dgm:t>
    </dgm:pt>
    <dgm:pt modelId="{1826610F-C04C-4B0A-84A7-7643F50115EB}">
      <dgm:prSet phldrT="[Text]"/>
      <dgm:spPr/>
      <dgm:t>
        <a:bodyPr/>
        <a:lstStyle/>
        <a:p>
          <a:r>
            <a:rPr lang="en-IE"/>
            <a:t>Detection</a:t>
          </a:r>
        </a:p>
      </dgm:t>
    </dgm:pt>
    <dgm:pt modelId="{F652B9DE-5F10-4A72-8F97-348FC2261E7E}" type="parTrans" cxnId="{D52655AE-0303-462C-8FFB-4057B980ABB2}">
      <dgm:prSet/>
      <dgm:spPr/>
      <dgm:t>
        <a:bodyPr/>
        <a:lstStyle/>
        <a:p>
          <a:endParaRPr lang="en-IE"/>
        </a:p>
      </dgm:t>
    </dgm:pt>
    <dgm:pt modelId="{D6D7E0F9-7424-480F-B13E-253CF5105CCE}" type="sibTrans" cxnId="{D52655AE-0303-462C-8FFB-4057B980ABB2}">
      <dgm:prSet/>
      <dgm:spPr/>
      <dgm:t>
        <a:bodyPr/>
        <a:lstStyle/>
        <a:p>
          <a:endParaRPr lang="en-IE"/>
        </a:p>
      </dgm:t>
    </dgm:pt>
    <dgm:pt modelId="{EDE09D60-E794-44AB-8504-B7FBB24D67B3}">
      <dgm:prSet phldrT="[Text]"/>
      <dgm:spPr/>
      <dgm:t>
        <a:bodyPr/>
        <a:lstStyle/>
        <a:p>
          <a:r>
            <a:rPr lang="en-IE"/>
            <a:t>48 measures (67%)</a:t>
          </a:r>
        </a:p>
      </dgm:t>
    </dgm:pt>
    <dgm:pt modelId="{C780B295-2725-4C67-B817-CB92EE486BF1}" type="parTrans" cxnId="{040F43B6-E983-4137-9D91-B45A95CB347C}">
      <dgm:prSet/>
      <dgm:spPr/>
      <dgm:t>
        <a:bodyPr/>
        <a:lstStyle/>
        <a:p>
          <a:endParaRPr lang="en-IE"/>
        </a:p>
      </dgm:t>
    </dgm:pt>
    <dgm:pt modelId="{4BEB2073-D4AA-4BFA-89C9-55BB593DCC28}" type="sibTrans" cxnId="{040F43B6-E983-4137-9D91-B45A95CB347C}">
      <dgm:prSet/>
      <dgm:spPr/>
      <dgm:t>
        <a:bodyPr/>
        <a:lstStyle/>
        <a:p>
          <a:endParaRPr lang="en-IE"/>
        </a:p>
      </dgm:t>
    </dgm:pt>
    <dgm:pt modelId="{12A75D9B-5C39-4B15-8697-3CB84E36D12C}">
      <dgm:prSet phldrT="[Text]"/>
      <dgm:spPr>
        <a:solidFill>
          <a:schemeClr val="accent2">
            <a:lumMod val="75000"/>
          </a:schemeClr>
        </a:solidFill>
      </dgm:spPr>
      <dgm:t>
        <a:bodyPr/>
        <a:lstStyle/>
        <a:p>
          <a:r>
            <a:rPr lang="en-IE"/>
            <a:t>Investigation and prosecution</a:t>
          </a:r>
        </a:p>
      </dgm:t>
    </dgm:pt>
    <dgm:pt modelId="{5BE1356E-4CB1-4328-A54E-A2AB91D467A5}" type="parTrans" cxnId="{BE95824D-8F7F-4384-A853-DAD62C86064C}">
      <dgm:prSet/>
      <dgm:spPr/>
      <dgm:t>
        <a:bodyPr/>
        <a:lstStyle/>
        <a:p>
          <a:endParaRPr lang="en-IE"/>
        </a:p>
      </dgm:t>
    </dgm:pt>
    <dgm:pt modelId="{EC034016-E8E1-4096-9BF1-13AF7AE0D513}" type="sibTrans" cxnId="{BE95824D-8F7F-4384-A853-DAD62C86064C}">
      <dgm:prSet/>
      <dgm:spPr/>
      <dgm:t>
        <a:bodyPr/>
        <a:lstStyle/>
        <a:p>
          <a:endParaRPr lang="en-IE"/>
        </a:p>
      </dgm:t>
    </dgm:pt>
    <dgm:pt modelId="{C28132E5-C7DC-4D02-B48C-1F7A9A3A5BFC}">
      <dgm:prSet phldrT="[Text]"/>
      <dgm:spPr/>
      <dgm:t>
        <a:bodyPr/>
        <a:lstStyle/>
        <a:p>
          <a:r>
            <a:rPr lang="en-IE"/>
            <a:t>26 measures (36%)</a:t>
          </a:r>
        </a:p>
      </dgm:t>
    </dgm:pt>
    <dgm:pt modelId="{5793750D-75F6-4263-9E54-600A58A0E81B}" type="parTrans" cxnId="{0B70C16C-A575-4106-BA90-0F060FACC01E}">
      <dgm:prSet/>
      <dgm:spPr/>
      <dgm:t>
        <a:bodyPr/>
        <a:lstStyle/>
        <a:p>
          <a:endParaRPr lang="en-IE"/>
        </a:p>
      </dgm:t>
    </dgm:pt>
    <dgm:pt modelId="{BB5668C6-649B-4367-B025-8C00B8232FEE}" type="sibTrans" cxnId="{0B70C16C-A575-4106-BA90-0F060FACC01E}">
      <dgm:prSet/>
      <dgm:spPr/>
      <dgm:t>
        <a:bodyPr/>
        <a:lstStyle/>
        <a:p>
          <a:endParaRPr lang="en-IE"/>
        </a:p>
      </dgm:t>
    </dgm:pt>
    <dgm:pt modelId="{0C609B2F-2C48-4E9C-9408-AB3F402EAA3B}">
      <dgm:prSet phldrT="[Text]"/>
      <dgm:spPr>
        <a:solidFill>
          <a:srgbClr val="7030A0"/>
        </a:solidFill>
      </dgm:spPr>
      <dgm:t>
        <a:bodyPr/>
        <a:lstStyle/>
        <a:p>
          <a:r>
            <a:rPr lang="en-IE"/>
            <a:t>Recovery and sactioning</a:t>
          </a:r>
        </a:p>
      </dgm:t>
    </dgm:pt>
    <dgm:pt modelId="{C17B6A4C-1552-4D61-A07E-1BC773D3A2A0}" type="parTrans" cxnId="{71ACFA66-89EB-4AF9-A4E1-A289FD5FD188}">
      <dgm:prSet/>
      <dgm:spPr/>
      <dgm:t>
        <a:bodyPr/>
        <a:lstStyle/>
        <a:p>
          <a:endParaRPr lang="en-IE"/>
        </a:p>
      </dgm:t>
    </dgm:pt>
    <dgm:pt modelId="{D69B995C-10D7-43D9-9087-027E38AF3FB4}" type="sibTrans" cxnId="{71ACFA66-89EB-4AF9-A4E1-A289FD5FD188}">
      <dgm:prSet/>
      <dgm:spPr/>
      <dgm:t>
        <a:bodyPr/>
        <a:lstStyle/>
        <a:p>
          <a:endParaRPr lang="en-IE"/>
        </a:p>
      </dgm:t>
    </dgm:pt>
    <dgm:pt modelId="{219A2EB4-BB65-4E7B-A684-252AEAFECF91}">
      <dgm:prSet phldrT="[Text]"/>
      <dgm:spPr/>
      <dgm:t>
        <a:bodyPr/>
        <a:lstStyle/>
        <a:p>
          <a:r>
            <a:rPr lang="en-IE"/>
            <a:t>21 measures (29%)</a:t>
          </a:r>
        </a:p>
      </dgm:t>
      <dgm:extLst>
        <a:ext uri="{E40237B7-FDA0-4F09-8148-C483321AD2D9}">
          <dgm14:cNvPr xmlns:dgm14="http://schemas.microsoft.com/office/drawing/2010/diagram" id="0" name="" descr="The figure represents a cycle matrix, mentioning the four stages of the anti-fraud cycle. For each stage are also indicated the number of measures reported by the Member States: 1) for prevention, 57 measures, representing 79% of all measures reported; 2) for detection, 48 measures, 67%; 3) for investigation and prosecution, 26 measures, 36%; and 4) for recovery and sanctioning, 21 measures, 29%). &#10;The sum is not 100% because each measure can address more than one stage of the anti-fraud cycle."/>
        </a:ext>
      </dgm:extLst>
    </dgm:pt>
    <dgm:pt modelId="{86711978-1EFF-4523-9F88-E414CC872D3F}" type="parTrans" cxnId="{B0B4BE82-24DF-423D-A357-8B2ACA21AAE2}">
      <dgm:prSet/>
      <dgm:spPr/>
      <dgm:t>
        <a:bodyPr/>
        <a:lstStyle/>
        <a:p>
          <a:endParaRPr lang="en-IE"/>
        </a:p>
      </dgm:t>
    </dgm:pt>
    <dgm:pt modelId="{49910E7F-5387-470A-BA7E-F641842E16AC}" type="sibTrans" cxnId="{B0B4BE82-24DF-423D-A357-8B2ACA21AAE2}">
      <dgm:prSet/>
      <dgm:spPr/>
      <dgm:t>
        <a:bodyPr/>
        <a:lstStyle/>
        <a:p>
          <a:endParaRPr lang="en-IE"/>
        </a:p>
      </dgm:t>
    </dgm:pt>
    <dgm:pt modelId="{C470733D-850E-465A-8608-E4E1469DD8E1}" type="pres">
      <dgm:prSet presAssocID="{39374FCB-0AA3-479D-A252-1ABBC43FE262}" presName="cycleMatrixDiagram" presStyleCnt="0">
        <dgm:presLayoutVars>
          <dgm:chMax val="1"/>
          <dgm:dir/>
          <dgm:animLvl val="lvl"/>
          <dgm:resizeHandles val="exact"/>
        </dgm:presLayoutVars>
      </dgm:prSet>
      <dgm:spPr/>
    </dgm:pt>
    <dgm:pt modelId="{95314E29-5F0D-46C3-A507-6B522BFC72C2}" type="pres">
      <dgm:prSet presAssocID="{39374FCB-0AA3-479D-A252-1ABBC43FE262}" presName="children" presStyleCnt="0"/>
      <dgm:spPr/>
    </dgm:pt>
    <dgm:pt modelId="{088C1599-345C-47D0-A0F4-CE928B34F170}" type="pres">
      <dgm:prSet presAssocID="{39374FCB-0AA3-479D-A252-1ABBC43FE262}" presName="child1group" presStyleCnt="0"/>
      <dgm:spPr/>
    </dgm:pt>
    <dgm:pt modelId="{D231D7C1-8E8E-4AF1-B49A-3B278C234681}" type="pres">
      <dgm:prSet presAssocID="{39374FCB-0AA3-479D-A252-1ABBC43FE262}" presName="child1" presStyleLbl="bgAcc1" presStyleIdx="0" presStyleCnt="4"/>
      <dgm:spPr/>
    </dgm:pt>
    <dgm:pt modelId="{537C54FA-5E5B-4CFA-8E0C-0D7E9292D7A3}" type="pres">
      <dgm:prSet presAssocID="{39374FCB-0AA3-479D-A252-1ABBC43FE262}" presName="child1Text" presStyleLbl="bgAcc1" presStyleIdx="0" presStyleCnt="4">
        <dgm:presLayoutVars>
          <dgm:bulletEnabled val="1"/>
        </dgm:presLayoutVars>
      </dgm:prSet>
      <dgm:spPr/>
    </dgm:pt>
    <dgm:pt modelId="{20F3A8AD-4A30-40A6-9EA1-6E83AF718440}" type="pres">
      <dgm:prSet presAssocID="{39374FCB-0AA3-479D-A252-1ABBC43FE262}" presName="child2group" presStyleCnt="0"/>
      <dgm:spPr/>
    </dgm:pt>
    <dgm:pt modelId="{D8AC6CA7-9065-4436-9536-8DFAD1B1E2A1}" type="pres">
      <dgm:prSet presAssocID="{39374FCB-0AA3-479D-A252-1ABBC43FE262}" presName="child2" presStyleLbl="bgAcc1" presStyleIdx="1" presStyleCnt="4"/>
      <dgm:spPr/>
    </dgm:pt>
    <dgm:pt modelId="{5634B0BF-05EE-4AD8-AF1B-7C31FBB33972}" type="pres">
      <dgm:prSet presAssocID="{39374FCB-0AA3-479D-A252-1ABBC43FE262}" presName="child2Text" presStyleLbl="bgAcc1" presStyleIdx="1" presStyleCnt="4">
        <dgm:presLayoutVars>
          <dgm:bulletEnabled val="1"/>
        </dgm:presLayoutVars>
      </dgm:prSet>
      <dgm:spPr/>
    </dgm:pt>
    <dgm:pt modelId="{15AD2214-03D3-4D26-BFAC-FE8D5057E03E}" type="pres">
      <dgm:prSet presAssocID="{39374FCB-0AA3-479D-A252-1ABBC43FE262}" presName="child3group" presStyleCnt="0"/>
      <dgm:spPr/>
    </dgm:pt>
    <dgm:pt modelId="{928880AC-9499-4F13-B628-FEA33E7B3EA9}" type="pres">
      <dgm:prSet presAssocID="{39374FCB-0AA3-479D-A252-1ABBC43FE262}" presName="child3" presStyleLbl="bgAcc1" presStyleIdx="2" presStyleCnt="4"/>
      <dgm:spPr/>
    </dgm:pt>
    <dgm:pt modelId="{F1940040-E6A6-4CCE-9A37-33C9B3A9F063}" type="pres">
      <dgm:prSet presAssocID="{39374FCB-0AA3-479D-A252-1ABBC43FE262}" presName="child3Text" presStyleLbl="bgAcc1" presStyleIdx="2" presStyleCnt="4">
        <dgm:presLayoutVars>
          <dgm:bulletEnabled val="1"/>
        </dgm:presLayoutVars>
      </dgm:prSet>
      <dgm:spPr/>
    </dgm:pt>
    <dgm:pt modelId="{BC11FF93-4AD8-49E3-8187-1B85880C8E3E}" type="pres">
      <dgm:prSet presAssocID="{39374FCB-0AA3-479D-A252-1ABBC43FE262}" presName="child4group" presStyleCnt="0"/>
      <dgm:spPr/>
    </dgm:pt>
    <dgm:pt modelId="{A7EB0915-66A9-4E27-9531-947676C320B2}" type="pres">
      <dgm:prSet presAssocID="{39374FCB-0AA3-479D-A252-1ABBC43FE262}" presName="child4" presStyleLbl="bgAcc1" presStyleIdx="3" presStyleCnt="4"/>
      <dgm:spPr/>
    </dgm:pt>
    <dgm:pt modelId="{636FBEB4-C5B0-42B2-956F-86C86D56CB37}" type="pres">
      <dgm:prSet presAssocID="{39374FCB-0AA3-479D-A252-1ABBC43FE262}" presName="child4Text" presStyleLbl="bgAcc1" presStyleIdx="3" presStyleCnt="4">
        <dgm:presLayoutVars>
          <dgm:bulletEnabled val="1"/>
        </dgm:presLayoutVars>
      </dgm:prSet>
      <dgm:spPr/>
    </dgm:pt>
    <dgm:pt modelId="{B38A569E-0E26-47D3-A71C-212E20798D81}" type="pres">
      <dgm:prSet presAssocID="{39374FCB-0AA3-479D-A252-1ABBC43FE262}" presName="childPlaceholder" presStyleCnt="0"/>
      <dgm:spPr/>
    </dgm:pt>
    <dgm:pt modelId="{4F041A9C-3153-4A32-815C-68B81084F6B2}" type="pres">
      <dgm:prSet presAssocID="{39374FCB-0AA3-479D-A252-1ABBC43FE262}" presName="circle" presStyleCnt="0"/>
      <dgm:spPr/>
    </dgm:pt>
    <dgm:pt modelId="{5AF7F724-A1FC-4C8C-91F7-61EBECC3554B}" type="pres">
      <dgm:prSet presAssocID="{39374FCB-0AA3-479D-A252-1ABBC43FE262}" presName="quadrant1" presStyleLbl="node1" presStyleIdx="0" presStyleCnt="4">
        <dgm:presLayoutVars>
          <dgm:chMax val="1"/>
          <dgm:bulletEnabled val="1"/>
        </dgm:presLayoutVars>
      </dgm:prSet>
      <dgm:spPr/>
    </dgm:pt>
    <dgm:pt modelId="{0A5D35F8-B21B-45C9-9FC7-86A8C7F940CE}" type="pres">
      <dgm:prSet presAssocID="{39374FCB-0AA3-479D-A252-1ABBC43FE262}" presName="quadrant2" presStyleLbl="node1" presStyleIdx="1" presStyleCnt="4">
        <dgm:presLayoutVars>
          <dgm:chMax val="1"/>
          <dgm:bulletEnabled val="1"/>
        </dgm:presLayoutVars>
      </dgm:prSet>
      <dgm:spPr/>
    </dgm:pt>
    <dgm:pt modelId="{E32D9F95-D2DA-41E0-BF37-4C4B1631BD5D}" type="pres">
      <dgm:prSet presAssocID="{39374FCB-0AA3-479D-A252-1ABBC43FE262}" presName="quadrant3" presStyleLbl="node1" presStyleIdx="2" presStyleCnt="4">
        <dgm:presLayoutVars>
          <dgm:chMax val="1"/>
          <dgm:bulletEnabled val="1"/>
        </dgm:presLayoutVars>
      </dgm:prSet>
      <dgm:spPr/>
    </dgm:pt>
    <dgm:pt modelId="{B83897A6-3BFE-4158-93F5-AA9BCCB95EF8}" type="pres">
      <dgm:prSet presAssocID="{39374FCB-0AA3-479D-A252-1ABBC43FE262}" presName="quadrant4" presStyleLbl="node1" presStyleIdx="3" presStyleCnt="4">
        <dgm:presLayoutVars>
          <dgm:chMax val="1"/>
          <dgm:bulletEnabled val="1"/>
        </dgm:presLayoutVars>
      </dgm:prSet>
      <dgm:spPr/>
    </dgm:pt>
    <dgm:pt modelId="{537E0BB1-7ADA-4BDB-9BF7-2E1435677F68}" type="pres">
      <dgm:prSet presAssocID="{39374FCB-0AA3-479D-A252-1ABBC43FE262}" presName="quadrantPlaceholder" presStyleCnt="0"/>
      <dgm:spPr/>
    </dgm:pt>
    <dgm:pt modelId="{8C5F7B11-50E5-40A6-AA1F-D9E0A3EA72CE}" type="pres">
      <dgm:prSet presAssocID="{39374FCB-0AA3-479D-A252-1ABBC43FE262}" presName="center1" presStyleLbl="fgShp" presStyleIdx="0" presStyleCnt="2"/>
      <dgm:spPr/>
    </dgm:pt>
    <dgm:pt modelId="{2B3F59B1-E611-4576-920F-3F1D365A06CC}" type="pres">
      <dgm:prSet presAssocID="{39374FCB-0AA3-479D-A252-1ABBC43FE262}" presName="center2" presStyleLbl="fgShp" presStyleIdx="1" presStyleCnt="2"/>
      <dgm:spPr/>
    </dgm:pt>
  </dgm:ptLst>
  <dgm:cxnLst>
    <dgm:cxn modelId="{B76D8B08-4371-469A-9ACD-55AD7EDA4673}" srcId="{515300CF-316B-4190-8129-F8C6C85AE18C}" destId="{F7AFD4ED-485E-4383-AF79-703F4DEF33DB}" srcOrd="0" destOrd="0" parTransId="{2387A9DA-95D2-44CC-B5AA-071445571479}" sibTransId="{8E06B36C-EC22-4936-9DE5-D2D0B243D814}"/>
    <dgm:cxn modelId="{09A81F1E-E283-4C79-8412-491F3852E9E9}" type="presOf" srcId="{F7AFD4ED-485E-4383-AF79-703F4DEF33DB}" destId="{D231D7C1-8E8E-4AF1-B49A-3B278C234681}" srcOrd="0" destOrd="0" presId="urn:microsoft.com/office/officeart/2005/8/layout/cycle4"/>
    <dgm:cxn modelId="{6B055B2B-3ED3-487D-92E7-2B5E051F3856}" type="presOf" srcId="{219A2EB4-BB65-4E7B-A684-252AEAFECF91}" destId="{A7EB0915-66A9-4E27-9531-947676C320B2}" srcOrd="0" destOrd="0" presId="urn:microsoft.com/office/officeart/2005/8/layout/cycle4"/>
    <dgm:cxn modelId="{D4043B3A-9DFD-448C-8B47-DD065087E9D2}" type="presOf" srcId="{12A75D9B-5C39-4B15-8697-3CB84E36D12C}" destId="{E32D9F95-D2DA-41E0-BF37-4C4B1631BD5D}" srcOrd="0" destOrd="0" presId="urn:microsoft.com/office/officeart/2005/8/layout/cycle4"/>
    <dgm:cxn modelId="{2CA8CB64-F35F-45D5-B090-0175531CD069}" type="presOf" srcId="{1826610F-C04C-4B0A-84A7-7643F50115EB}" destId="{0A5D35F8-B21B-45C9-9FC7-86A8C7F940CE}" srcOrd="0" destOrd="0" presId="urn:microsoft.com/office/officeart/2005/8/layout/cycle4"/>
    <dgm:cxn modelId="{71ACFA66-89EB-4AF9-A4E1-A289FD5FD188}" srcId="{39374FCB-0AA3-479D-A252-1ABBC43FE262}" destId="{0C609B2F-2C48-4E9C-9408-AB3F402EAA3B}" srcOrd="3" destOrd="0" parTransId="{C17B6A4C-1552-4D61-A07E-1BC773D3A2A0}" sibTransId="{D69B995C-10D7-43D9-9087-027E38AF3FB4}"/>
    <dgm:cxn modelId="{C4324067-3D04-4F39-8DAE-9CBCB38FA0FA}" type="presOf" srcId="{EDE09D60-E794-44AB-8504-B7FBB24D67B3}" destId="{D8AC6CA7-9065-4436-9536-8DFAD1B1E2A1}" srcOrd="0" destOrd="0" presId="urn:microsoft.com/office/officeart/2005/8/layout/cycle4"/>
    <dgm:cxn modelId="{D0E05A47-ED8A-4443-A3FB-CD3C13F4B085}" type="presOf" srcId="{C28132E5-C7DC-4D02-B48C-1F7A9A3A5BFC}" destId="{928880AC-9499-4F13-B628-FEA33E7B3EA9}" srcOrd="0" destOrd="0" presId="urn:microsoft.com/office/officeart/2005/8/layout/cycle4"/>
    <dgm:cxn modelId="{0B70C16C-A575-4106-BA90-0F060FACC01E}" srcId="{12A75D9B-5C39-4B15-8697-3CB84E36D12C}" destId="{C28132E5-C7DC-4D02-B48C-1F7A9A3A5BFC}" srcOrd="0" destOrd="0" parTransId="{5793750D-75F6-4263-9E54-600A58A0E81B}" sibTransId="{BB5668C6-649B-4367-B025-8C00B8232FEE}"/>
    <dgm:cxn modelId="{177EE74C-B36E-4EB3-8113-E8B26BBA7DAE}" type="presOf" srcId="{F7AFD4ED-485E-4383-AF79-703F4DEF33DB}" destId="{537C54FA-5E5B-4CFA-8E0C-0D7E9292D7A3}" srcOrd="1" destOrd="0" presId="urn:microsoft.com/office/officeart/2005/8/layout/cycle4"/>
    <dgm:cxn modelId="{BE95824D-8F7F-4384-A853-DAD62C86064C}" srcId="{39374FCB-0AA3-479D-A252-1ABBC43FE262}" destId="{12A75D9B-5C39-4B15-8697-3CB84E36D12C}" srcOrd="2" destOrd="0" parTransId="{5BE1356E-4CB1-4328-A54E-A2AB91D467A5}" sibTransId="{EC034016-E8E1-4096-9BF1-13AF7AE0D513}"/>
    <dgm:cxn modelId="{A8132A75-57B7-4EBB-98F3-1BF67FEFF703}" type="presOf" srcId="{39374FCB-0AA3-479D-A252-1ABBC43FE262}" destId="{C470733D-850E-465A-8608-E4E1469DD8E1}" srcOrd="0" destOrd="0" presId="urn:microsoft.com/office/officeart/2005/8/layout/cycle4"/>
    <dgm:cxn modelId="{D4E0477A-04E7-47C3-829F-6B92ED454666}" type="presOf" srcId="{219A2EB4-BB65-4E7B-A684-252AEAFECF91}" destId="{636FBEB4-C5B0-42B2-956F-86C86D56CB37}" srcOrd="1" destOrd="0" presId="urn:microsoft.com/office/officeart/2005/8/layout/cycle4"/>
    <dgm:cxn modelId="{B0B4BE82-24DF-423D-A357-8B2ACA21AAE2}" srcId="{0C609B2F-2C48-4E9C-9408-AB3F402EAA3B}" destId="{219A2EB4-BB65-4E7B-A684-252AEAFECF91}" srcOrd="0" destOrd="0" parTransId="{86711978-1EFF-4523-9F88-E414CC872D3F}" sibTransId="{49910E7F-5387-470A-BA7E-F641842E16AC}"/>
    <dgm:cxn modelId="{D52655AE-0303-462C-8FFB-4057B980ABB2}" srcId="{39374FCB-0AA3-479D-A252-1ABBC43FE262}" destId="{1826610F-C04C-4B0A-84A7-7643F50115EB}" srcOrd="1" destOrd="0" parTransId="{F652B9DE-5F10-4A72-8F97-348FC2261E7E}" sibTransId="{D6D7E0F9-7424-480F-B13E-253CF5105CCE}"/>
    <dgm:cxn modelId="{040F43B6-E983-4137-9D91-B45A95CB347C}" srcId="{1826610F-C04C-4B0A-84A7-7643F50115EB}" destId="{EDE09D60-E794-44AB-8504-B7FBB24D67B3}" srcOrd="0" destOrd="0" parTransId="{C780B295-2725-4C67-B817-CB92EE486BF1}" sibTransId="{4BEB2073-D4AA-4BFA-89C9-55BB593DCC28}"/>
    <dgm:cxn modelId="{CA2158B9-1CF4-475F-897C-C2DEF3E3C355}" type="presOf" srcId="{EDE09D60-E794-44AB-8504-B7FBB24D67B3}" destId="{5634B0BF-05EE-4AD8-AF1B-7C31FBB33972}" srcOrd="1" destOrd="0" presId="urn:microsoft.com/office/officeart/2005/8/layout/cycle4"/>
    <dgm:cxn modelId="{16B8CABB-FDBA-47A1-B1D7-E0DB4A74DB58}" type="presOf" srcId="{0C609B2F-2C48-4E9C-9408-AB3F402EAA3B}" destId="{B83897A6-3BFE-4158-93F5-AA9BCCB95EF8}" srcOrd="0" destOrd="0" presId="urn:microsoft.com/office/officeart/2005/8/layout/cycle4"/>
    <dgm:cxn modelId="{634BB3D8-D204-4E2F-8861-4CA80615B7BC}" type="presOf" srcId="{515300CF-316B-4190-8129-F8C6C85AE18C}" destId="{5AF7F724-A1FC-4C8C-91F7-61EBECC3554B}" srcOrd="0" destOrd="0" presId="urn:microsoft.com/office/officeart/2005/8/layout/cycle4"/>
    <dgm:cxn modelId="{E5B169DD-E920-41DA-966A-9DD6D626FDD1}" srcId="{39374FCB-0AA3-479D-A252-1ABBC43FE262}" destId="{515300CF-316B-4190-8129-F8C6C85AE18C}" srcOrd="0" destOrd="0" parTransId="{7DC80992-3673-42FA-8387-36CABDC710B6}" sibTransId="{7A315B37-4D82-4E45-BBBD-ECCA2778DEA1}"/>
    <dgm:cxn modelId="{5CA269FE-65C7-47F3-AA49-FA0A588AFACA}" type="presOf" srcId="{C28132E5-C7DC-4D02-B48C-1F7A9A3A5BFC}" destId="{F1940040-E6A6-4CCE-9A37-33C9B3A9F063}" srcOrd="1" destOrd="0" presId="urn:microsoft.com/office/officeart/2005/8/layout/cycle4"/>
    <dgm:cxn modelId="{48A77D11-899A-4996-BB3D-0040D7B78266}" type="presParOf" srcId="{C470733D-850E-465A-8608-E4E1469DD8E1}" destId="{95314E29-5F0D-46C3-A507-6B522BFC72C2}" srcOrd="0" destOrd="0" presId="urn:microsoft.com/office/officeart/2005/8/layout/cycle4"/>
    <dgm:cxn modelId="{FCF1CE34-31F2-43D7-814C-F25F1AD7BCE7}" type="presParOf" srcId="{95314E29-5F0D-46C3-A507-6B522BFC72C2}" destId="{088C1599-345C-47D0-A0F4-CE928B34F170}" srcOrd="0" destOrd="0" presId="urn:microsoft.com/office/officeart/2005/8/layout/cycle4"/>
    <dgm:cxn modelId="{44667710-8537-4A73-88D4-7721FD357A73}" type="presParOf" srcId="{088C1599-345C-47D0-A0F4-CE928B34F170}" destId="{D231D7C1-8E8E-4AF1-B49A-3B278C234681}" srcOrd="0" destOrd="0" presId="urn:microsoft.com/office/officeart/2005/8/layout/cycle4"/>
    <dgm:cxn modelId="{54555B44-6D56-47BD-97D6-580185643C60}" type="presParOf" srcId="{088C1599-345C-47D0-A0F4-CE928B34F170}" destId="{537C54FA-5E5B-4CFA-8E0C-0D7E9292D7A3}" srcOrd="1" destOrd="0" presId="urn:microsoft.com/office/officeart/2005/8/layout/cycle4"/>
    <dgm:cxn modelId="{7726A815-887B-413A-B78C-9513E6D3D870}" type="presParOf" srcId="{95314E29-5F0D-46C3-A507-6B522BFC72C2}" destId="{20F3A8AD-4A30-40A6-9EA1-6E83AF718440}" srcOrd="1" destOrd="0" presId="urn:microsoft.com/office/officeart/2005/8/layout/cycle4"/>
    <dgm:cxn modelId="{DD5DA79A-D7B9-4EAC-AA87-8A7DE6654311}" type="presParOf" srcId="{20F3A8AD-4A30-40A6-9EA1-6E83AF718440}" destId="{D8AC6CA7-9065-4436-9536-8DFAD1B1E2A1}" srcOrd="0" destOrd="0" presId="urn:microsoft.com/office/officeart/2005/8/layout/cycle4"/>
    <dgm:cxn modelId="{06C41B22-27F2-486D-9CD8-B2EFC12FA0C4}" type="presParOf" srcId="{20F3A8AD-4A30-40A6-9EA1-6E83AF718440}" destId="{5634B0BF-05EE-4AD8-AF1B-7C31FBB33972}" srcOrd="1" destOrd="0" presId="urn:microsoft.com/office/officeart/2005/8/layout/cycle4"/>
    <dgm:cxn modelId="{A18F236B-0497-4DBD-A5C7-CC024A099A5C}" type="presParOf" srcId="{95314E29-5F0D-46C3-A507-6B522BFC72C2}" destId="{15AD2214-03D3-4D26-BFAC-FE8D5057E03E}" srcOrd="2" destOrd="0" presId="urn:microsoft.com/office/officeart/2005/8/layout/cycle4"/>
    <dgm:cxn modelId="{48296D41-85CE-4F8A-8C31-159C6479DEDE}" type="presParOf" srcId="{15AD2214-03D3-4D26-BFAC-FE8D5057E03E}" destId="{928880AC-9499-4F13-B628-FEA33E7B3EA9}" srcOrd="0" destOrd="0" presId="urn:microsoft.com/office/officeart/2005/8/layout/cycle4"/>
    <dgm:cxn modelId="{D692235B-AAC5-462B-90C6-14B9E8EA697A}" type="presParOf" srcId="{15AD2214-03D3-4D26-BFAC-FE8D5057E03E}" destId="{F1940040-E6A6-4CCE-9A37-33C9B3A9F063}" srcOrd="1" destOrd="0" presId="urn:microsoft.com/office/officeart/2005/8/layout/cycle4"/>
    <dgm:cxn modelId="{CF79F0C0-3DDB-4168-8F32-C8480D7786F1}" type="presParOf" srcId="{95314E29-5F0D-46C3-A507-6B522BFC72C2}" destId="{BC11FF93-4AD8-49E3-8187-1B85880C8E3E}" srcOrd="3" destOrd="0" presId="urn:microsoft.com/office/officeart/2005/8/layout/cycle4"/>
    <dgm:cxn modelId="{AD4775E4-6F31-4D4D-8FFE-C5B347A535F8}" type="presParOf" srcId="{BC11FF93-4AD8-49E3-8187-1B85880C8E3E}" destId="{A7EB0915-66A9-4E27-9531-947676C320B2}" srcOrd="0" destOrd="0" presId="urn:microsoft.com/office/officeart/2005/8/layout/cycle4"/>
    <dgm:cxn modelId="{055CB14C-5FA2-4C43-930F-1156B430E2E6}" type="presParOf" srcId="{BC11FF93-4AD8-49E3-8187-1B85880C8E3E}" destId="{636FBEB4-C5B0-42B2-956F-86C86D56CB37}" srcOrd="1" destOrd="0" presId="urn:microsoft.com/office/officeart/2005/8/layout/cycle4"/>
    <dgm:cxn modelId="{DF0CBED0-7B7C-4D11-AD57-3EEEB54D2FF9}" type="presParOf" srcId="{95314E29-5F0D-46C3-A507-6B522BFC72C2}" destId="{B38A569E-0E26-47D3-A71C-212E20798D81}" srcOrd="4" destOrd="0" presId="urn:microsoft.com/office/officeart/2005/8/layout/cycle4"/>
    <dgm:cxn modelId="{334DBA9D-F54F-4E24-BB4F-57005D7ED4B2}" type="presParOf" srcId="{C470733D-850E-465A-8608-E4E1469DD8E1}" destId="{4F041A9C-3153-4A32-815C-68B81084F6B2}" srcOrd="1" destOrd="0" presId="urn:microsoft.com/office/officeart/2005/8/layout/cycle4"/>
    <dgm:cxn modelId="{A2019F48-A43A-4647-8222-01F036393E7E}" type="presParOf" srcId="{4F041A9C-3153-4A32-815C-68B81084F6B2}" destId="{5AF7F724-A1FC-4C8C-91F7-61EBECC3554B}" srcOrd="0" destOrd="0" presId="urn:microsoft.com/office/officeart/2005/8/layout/cycle4"/>
    <dgm:cxn modelId="{C4B42768-7537-4BE8-A312-DF619FA0342B}" type="presParOf" srcId="{4F041A9C-3153-4A32-815C-68B81084F6B2}" destId="{0A5D35F8-B21B-45C9-9FC7-86A8C7F940CE}" srcOrd="1" destOrd="0" presId="urn:microsoft.com/office/officeart/2005/8/layout/cycle4"/>
    <dgm:cxn modelId="{14000124-5CC8-4D9B-9595-8C455821E7BE}" type="presParOf" srcId="{4F041A9C-3153-4A32-815C-68B81084F6B2}" destId="{E32D9F95-D2DA-41E0-BF37-4C4B1631BD5D}" srcOrd="2" destOrd="0" presId="urn:microsoft.com/office/officeart/2005/8/layout/cycle4"/>
    <dgm:cxn modelId="{62ECB86D-4E08-48B6-B3D4-7492E9A0392A}" type="presParOf" srcId="{4F041A9C-3153-4A32-815C-68B81084F6B2}" destId="{B83897A6-3BFE-4158-93F5-AA9BCCB95EF8}" srcOrd="3" destOrd="0" presId="urn:microsoft.com/office/officeart/2005/8/layout/cycle4"/>
    <dgm:cxn modelId="{AF8AC4E3-5AE5-41F7-8164-E40F041FFA8D}" type="presParOf" srcId="{4F041A9C-3153-4A32-815C-68B81084F6B2}" destId="{537E0BB1-7ADA-4BDB-9BF7-2E1435677F68}" srcOrd="4" destOrd="0" presId="urn:microsoft.com/office/officeart/2005/8/layout/cycle4"/>
    <dgm:cxn modelId="{62EB8904-C34B-4300-9A12-EE5250985033}" type="presParOf" srcId="{C470733D-850E-465A-8608-E4E1469DD8E1}" destId="{8C5F7B11-50E5-40A6-AA1F-D9E0A3EA72CE}" srcOrd="2" destOrd="0" presId="urn:microsoft.com/office/officeart/2005/8/layout/cycle4"/>
    <dgm:cxn modelId="{6F02F631-9141-4482-9288-14BC50FFACFA}" type="presParOf" srcId="{C470733D-850E-465A-8608-E4E1469DD8E1}" destId="{2B3F59B1-E611-4576-920F-3F1D365A06CC}" srcOrd="3" destOrd="0" presId="urn:microsoft.com/office/officeart/2005/8/layout/cycle4"/>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317439-09A2-48F1-9653-784692831A0C}">
      <dsp:nvSpPr>
        <dsp:cNvPr id="0" name=""/>
        <dsp:cNvSpPr/>
      </dsp:nvSpPr>
      <dsp:spPr>
        <a:xfrm>
          <a:off x="1322094" y="181952"/>
          <a:ext cx="1382198" cy="1382198"/>
        </a:xfrm>
        <a:prstGeom prst="pieWedge">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Prevention</a:t>
          </a:r>
        </a:p>
      </dsp:txBody>
      <dsp:txXfrm>
        <a:off x="1726930" y="586788"/>
        <a:ext cx="977362" cy="977362"/>
      </dsp:txXfrm>
    </dsp:sp>
    <dsp:sp modelId="{5548D124-C208-4C46-8CE8-72CBE36A4EDC}">
      <dsp:nvSpPr>
        <dsp:cNvPr id="0" name=""/>
        <dsp:cNvSpPr/>
      </dsp:nvSpPr>
      <dsp:spPr>
        <a:xfrm rot="5400000">
          <a:off x="2768136" y="181952"/>
          <a:ext cx="1382198" cy="1382198"/>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Detection</a:t>
          </a:r>
        </a:p>
      </dsp:txBody>
      <dsp:txXfrm rot="-5400000">
        <a:off x="2768136" y="586788"/>
        <a:ext cx="977362" cy="977362"/>
      </dsp:txXfrm>
    </dsp:sp>
    <dsp:sp modelId="{C2743773-8C6D-4974-9BCA-7AACD06CF25B}">
      <dsp:nvSpPr>
        <dsp:cNvPr id="0" name=""/>
        <dsp:cNvSpPr/>
      </dsp:nvSpPr>
      <dsp:spPr>
        <a:xfrm rot="10800000">
          <a:off x="2768136" y="1627993"/>
          <a:ext cx="1382198" cy="1382198"/>
        </a:xfrm>
        <a:prstGeom prst="pieWedge">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Investigation and prosecution</a:t>
          </a:r>
        </a:p>
      </dsp:txBody>
      <dsp:txXfrm rot="10800000">
        <a:off x="2768136" y="1627993"/>
        <a:ext cx="977362" cy="977362"/>
      </dsp:txXfrm>
    </dsp:sp>
    <dsp:sp modelId="{7DDF3084-16B5-4CCC-AD89-F97B3A69E1C7}">
      <dsp:nvSpPr>
        <dsp:cNvPr id="0" name=""/>
        <dsp:cNvSpPr/>
      </dsp:nvSpPr>
      <dsp:spPr>
        <a:xfrm rot="16200000">
          <a:off x="1322094" y="1627993"/>
          <a:ext cx="1382198" cy="1382198"/>
        </a:xfrm>
        <a:prstGeom prst="pieWedge">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Recovery and sanctioning</a:t>
          </a:r>
        </a:p>
      </dsp:txBody>
      <dsp:txXfrm rot="5400000">
        <a:off x="1726930" y="1627993"/>
        <a:ext cx="977362" cy="977362"/>
      </dsp:txXfrm>
    </dsp:sp>
    <dsp:sp modelId="{8CE5A19A-7D12-4AB9-8D51-41A414397C45}">
      <dsp:nvSpPr>
        <dsp:cNvPr id="0" name=""/>
        <dsp:cNvSpPr/>
      </dsp:nvSpPr>
      <dsp:spPr>
        <a:xfrm>
          <a:off x="2497602" y="1308779"/>
          <a:ext cx="477225" cy="41497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F108F39-3A1D-417B-97BB-CCD6D27B21C6}">
      <dsp:nvSpPr>
        <dsp:cNvPr id="0" name=""/>
        <dsp:cNvSpPr/>
      </dsp:nvSpPr>
      <dsp:spPr>
        <a:xfrm rot="10800000">
          <a:off x="2497602" y="1468386"/>
          <a:ext cx="477225" cy="41497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0ABA43-C522-4F98-9D53-FAA4A79A2A77}">
      <dsp:nvSpPr>
        <dsp:cNvPr id="0" name=""/>
        <dsp:cNvSpPr/>
      </dsp:nvSpPr>
      <dsp:spPr>
        <a:xfrm rot="16200000">
          <a:off x="570071" y="-570071"/>
          <a:ext cx="1596072" cy="2736215"/>
        </a:xfrm>
        <a:prstGeom prst="round1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0" tIns="177800" rIns="177800" bIns="177800" numCol="1" spcCol="1270" anchor="ctr" anchorCtr="0">
          <a:noAutofit/>
        </a:bodyPr>
        <a:lstStyle/>
        <a:p>
          <a:pPr marL="0" lvl="0" indent="0" algn="ctr" defTabSz="1111250">
            <a:lnSpc>
              <a:spcPct val="90000"/>
            </a:lnSpc>
            <a:spcBef>
              <a:spcPct val="0"/>
            </a:spcBef>
            <a:spcAft>
              <a:spcPct val="35000"/>
            </a:spcAft>
            <a:buNone/>
          </a:pPr>
          <a:r>
            <a:rPr lang="en-IE" sz="2500" kern="1200">
              <a:solidFill>
                <a:sysClr val="windowText" lastClr="000000"/>
              </a:solidFill>
            </a:rPr>
            <a:t>Methodological note</a:t>
          </a:r>
        </a:p>
      </dsp:txBody>
      <dsp:txXfrm rot="5400000">
        <a:off x="0" y="0"/>
        <a:ext cx="2736215" cy="1197054"/>
      </dsp:txXfrm>
    </dsp:sp>
    <dsp:sp modelId="{AA47D71D-0AD3-485B-A964-DB7219F3034D}">
      <dsp:nvSpPr>
        <dsp:cNvPr id="0" name=""/>
        <dsp:cNvSpPr/>
      </dsp:nvSpPr>
      <dsp:spPr>
        <a:xfrm>
          <a:off x="2736215" y="0"/>
          <a:ext cx="2736215" cy="1596072"/>
        </a:xfrm>
        <a:prstGeom prst="round1Rect">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0" tIns="177800" rIns="177800" bIns="177800" numCol="1" spcCol="1270" anchor="ctr" anchorCtr="0">
          <a:noAutofit/>
        </a:bodyPr>
        <a:lstStyle/>
        <a:p>
          <a:pPr marL="0" lvl="0" indent="0" algn="ctr" defTabSz="1111250">
            <a:lnSpc>
              <a:spcPct val="90000"/>
            </a:lnSpc>
            <a:spcBef>
              <a:spcPct val="0"/>
            </a:spcBef>
            <a:spcAft>
              <a:spcPct val="35000"/>
            </a:spcAft>
            <a:buNone/>
          </a:pPr>
          <a:r>
            <a:rPr lang="en-IE" sz="2500" kern="1200">
              <a:solidFill>
                <a:sysClr val="windowText" lastClr="000000"/>
              </a:solidFill>
            </a:rPr>
            <a:t>Focus point</a:t>
          </a:r>
        </a:p>
      </dsp:txBody>
      <dsp:txXfrm>
        <a:off x="2736215" y="0"/>
        <a:ext cx="2736215" cy="1197054"/>
      </dsp:txXfrm>
    </dsp:sp>
    <dsp:sp modelId="{BE1682D3-D0AE-4A59-A577-09E7C0486787}">
      <dsp:nvSpPr>
        <dsp:cNvPr id="0" name=""/>
        <dsp:cNvSpPr/>
      </dsp:nvSpPr>
      <dsp:spPr>
        <a:xfrm rot="10800000">
          <a:off x="0" y="1596072"/>
          <a:ext cx="2736215" cy="1596072"/>
        </a:xfrm>
        <a:prstGeom prst="round1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0" tIns="177800" rIns="177800" bIns="177800" numCol="1" spcCol="1270" anchor="ctr" anchorCtr="0">
          <a:noAutofit/>
        </a:bodyPr>
        <a:lstStyle/>
        <a:p>
          <a:pPr marL="0" lvl="0" indent="0" algn="ctr" defTabSz="1111250">
            <a:lnSpc>
              <a:spcPct val="90000"/>
            </a:lnSpc>
            <a:spcBef>
              <a:spcPct val="0"/>
            </a:spcBef>
            <a:spcAft>
              <a:spcPct val="35000"/>
            </a:spcAft>
            <a:buNone/>
          </a:pPr>
          <a:r>
            <a:rPr lang="en-IE" sz="2500" kern="1200">
              <a:solidFill>
                <a:sysClr val="windowText" lastClr="000000"/>
              </a:solidFill>
            </a:rPr>
            <a:t>Recommendation</a:t>
          </a:r>
        </a:p>
      </dsp:txBody>
      <dsp:txXfrm rot="10800000">
        <a:off x="0" y="1995090"/>
        <a:ext cx="2736215" cy="1197054"/>
      </dsp:txXfrm>
    </dsp:sp>
    <dsp:sp modelId="{05636082-4F4E-410C-8BF1-48265CB836C1}">
      <dsp:nvSpPr>
        <dsp:cNvPr id="0" name=""/>
        <dsp:cNvSpPr/>
      </dsp:nvSpPr>
      <dsp:spPr>
        <a:xfrm rot="5400000">
          <a:off x="3306286" y="1026001"/>
          <a:ext cx="1596072" cy="2736215"/>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0" tIns="177800" rIns="177800" bIns="177800" numCol="1" spcCol="1270" anchor="ctr" anchorCtr="0">
          <a:noAutofit/>
        </a:bodyPr>
        <a:lstStyle/>
        <a:p>
          <a:pPr marL="0" lvl="0" indent="0" algn="ctr" defTabSz="1111250">
            <a:lnSpc>
              <a:spcPct val="90000"/>
            </a:lnSpc>
            <a:spcBef>
              <a:spcPct val="0"/>
            </a:spcBef>
            <a:spcAft>
              <a:spcPct val="35000"/>
            </a:spcAft>
            <a:buNone/>
          </a:pPr>
          <a:r>
            <a:rPr lang="en-IE" sz="2500" kern="1200">
              <a:solidFill>
                <a:sysClr val="windowText" lastClr="000000"/>
              </a:solidFill>
            </a:rPr>
            <a:t>Snapshot</a:t>
          </a:r>
        </a:p>
      </dsp:txBody>
      <dsp:txXfrm rot="-5400000">
        <a:off x="2736215" y="1995090"/>
        <a:ext cx="2736215" cy="1197054"/>
      </dsp:txXfrm>
    </dsp:sp>
    <dsp:sp modelId="{AC68819F-FDE1-4D8E-A920-127E68BEFD99}">
      <dsp:nvSpPr>
        <dsp:cNvPr id="0" name=""/>
        <dsp:cNvSpPr/>
      </dsp:nvSpPr>
      <dsp:spPr>
        <a:xfrm>
          <a:off x="1915350" y="1197054"/>
          <a:ext cx="1641729" cy="798036"/>
        </a:xfrm>
        <a:prstGeom prst="roundRect">
          <a:avLst/>
        </a:prstGeom>
        <a:solidFill>
          <a:schemeClr val="accent1">
            <a:tint val="60000"/>
            <a:hueOff val="0"/>
            <a:satOff val="0"/>
            <a:lumOff val="0"/>
            <a:alpha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0" tIns="95250" rIns="95250" bIns="95250" numCol="1" spcCol="1270" anchor="ctr" anchorCtr="0">
          <a:noAutofit/>
        </a:bodyPr>
        <a:lstStyle/>
        <a:p>
          <a:pPr marL="0" lvl="0" indent="0" algn="ctr" defTabSz="1111250">
            <a:lnSpc>
              <a:spcPct val="90000"/>
            </a:lnSpc>
            <a:spcBef>
              <a:spcPct val="0"/>
            </a:spcBef>
            <a:spcAft>
              <a:spcPct val="35000"/>
            </a:spcAft>
            <a:buNone/>
          </a:pPr>
          <a:endParaRPr lang="en-IE" sz="2500" kern="1200">
            <a:solidFill>
              <a:sysClr val="windowText" lastClr="000000"/>
            </a:solidFill>
            <a:effectLst>
              <a:outerShdw blurRad="50800" dist="50800" dir="5400000" algn="ctr" rotWithShape="0">
                <a:schemeClr val="bg1">
                  <a:alpha val="1000"/>
                </a:schemeClr>
              </a:outerShdw>
            </a:effectLst>
          </a:endParaRPr>
        </a:p>
      </dsp:txBody>
      <dsp:txXfrm>
        <a:off x="1954307" y="1236011"/>
        <a:ext cx="1563815" cy="72012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8880AC-9499-4F13-B628-FEA33E7B3EA9}">
      <dsp:nvSpPr>
        <dsp:cNvPr id="0" name=""/>
        <dsp:cNvSpPr/>
      </dsp:nvSpPr>
      <dsp:spPr>
        <a:xfrm>
          <a:off x="3234189" y="2170658"/>
          <a:ext cx="1576919" cy="102148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t" anchorCtr="0">
          <a:noAutofit/>
        </a:bodyPr>
        <a:lstStyle/>
        <a:p>
          <a:pPr marL="114300" lvl="1" indent="-114300" algn="l" defTabSz="577850">
            <a:lnSpc>
              <a:spcPct val="90000"/>
            </a:lnSpc>
            <a:spcBef>
              <a:spcPct val="0"/>
            </a:spcBef>
            <a:spcAft>
              <a:spcPct val="15000"/>
            </a:spcAft>
            <a:buChar char="•"/>
          </a:pPr>
          <a:r>
            <a:rPr lang="en-IE" sz="1300" kern="1200"/>
            <a:t>26 measures (36%)</a:t>
          </a:r>
        </a:p>
      </dsp:txBody>
      <dsp:txXfrm>
        <a:off x="3729704" y="2448469"/>
        <a:ext cx="1058965" cy="721236"/>
      </dsp:txXfrm>
    </dsp:sp>
    <dsp:sp modelId="{A7EB0915-66A9-4E27-9531-947676C320B2}">
      <dsp:nvSpPr>
        <dsp:cNvPr id="0" name=""/>
        <dsp:cNvSpPr/>
      </dsp:nvSpPr>
      <dsp:spPr>
        <a:xfrm>
          <a:off x="661320" y="2170658"/>
          <a:ext cx="1576919" cy="102148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t" anchorCtr="0">
          <a:noAutofit/>
        </a:bodyPr>
        <a:lstStyle/>
        <a:p>
          <a:pPr marL="114300" lvl="1" indent="-114300" algn="l" defTabSz="577850">
            <a:lnSpc>
              <a:spcPct val="90000"/>
            </a:lnSpc>
            <a:spcBef>
              <a:spcPct val="0"/>
            </a:spcBef>
            <a:spcAft>
              <a:spcPct val="15000"/>
            </a:spcAft>
            <a:buChar char="•"/>
          </a:pPr>
          <a:r>
            <a:rPr lang="en-IE" sz="1300" kern="1200"/>
            <a:t>21 measures (29%)</a:t>
          </a:r>
        </a:p>
      </dsp:txBody>
      <dsp:txXfrm>
        <a:off x="683759" y="2448469"/>
        <a:ext cx="1058965" cy="721236"/>
      </dsp:txXfrm>
    </dsp:sp>
    <dsp:sp modelId="{D8AC6CA7-9065-4436-9536-8DFAD1B1E2A1}">
      <dsp:nvSpPr>
        <dsp:cNvPr id="0" name=""/>
        <dsp:cNvSpPr/>
      </dsp:nvSpPr>
      <dsp:spPr>
        <a:xfrm>
          <a:off x="3234189" y="0"/>
          <a:ext cx="1576919" cy="102148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t" anchorCtr="0">
          <a:noAutofit/>
        </a:bodyPr>
        <a:lstStyle/>
        <a:p>
          <a:pPr marL="114300" lvl="1" indent="-114300" algn="l" defTabSz="577850">
            <a:lnSpc>
              <a:spcPct val="90000"/>
            </a:lnSpc>
            <a:spcBef>
              <a:spcPct val="0"/>
            </a:spcBef>
            <a:spcAft>
              <a:spcPct val="15000"/>
            </a:spcAft>
            <a:buChar char="•"/>
          </a:pPr>
          <a:r>
            <a:rPr lang="en-IE" sz="1300" kern="1200"/>
            <a:t>48 measures (67%)</a:t>
          </a:r>
        </a:p>
      </dsp:txBody>
      <dsp:txXfrm>
        <a:off x="3729704" y="22439"/>
        <a:ext cx="1058965" cy="721236"/>
      </dsp:txXfrm>
    </dsp:sp>
    <dsp:sp modelId="{D231D7C1-8E8E-4AF1-B49A-3B278C234681}">
      <dsp:nvSpPr>
        <dsp:cNvPr id="0" name=""/>
        <dsp:cNvSpPr/>
      </dsp:nvSpPr>
      <dsp:spPr>
        <a:xfrm>
          <a:off x="661320" y="0"/>
          <a:ext cx="1576919" cy="102148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t" anchorCtr="0">
          <a:noAutofit/>
        </a:bodyPr>
        <a:lstStyle/>
        <a:p>
          <a:pPr marL="114300" lvl="1" indent="-114300" algn="l" defTabSz="577850">
            <a:lnSpc>
              <a:spcPct val="90000"/>
            </a:lnSpc>
            <a:spcBef>
              <a:spcPct val="0"/>
            </a:spcBef>
            <a:spcAft>
              <a:spcPct val="15000"/>
            </a:spcAft>
            <a:buChar char="•"/>
          </a:pPr>
          <a:r>
            <a:rPr lang="en-IE" sz="1300" kern="1200"/>
            <a:t>57 measures (79%)</a:t>
          </a:r>
        </a:p>
      </dsp:txBody>
      <dsp:txXfrm>
        <a:off x="683759" y="22439"/>
        <a:ext cx="1058965" cy="721236"/>
      </dsp:txXfrm>
    </dsp:sp>
    <dsp:sp modelId="{5AF7F724-A1FC-4C8C-91F7-61EBECC3554B}">
      <dsp:nvSpPr>
        <dsp:cNvPr id="0" name=""/>
        <dsp:cNvSpPr/>
      </dsp:nvSpPr>
      <dsp:spPr>
        <a:xfrm>
          <a:off x="1322094" y="181952"/>
          <a:ext cx="1382198" cy="1382198"/>
        </a:xfrm>
        <a:prstGeom prst="pieWedge">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Prevention</a:t>
          </a:r>
        </a:p>
      </dsp:txBody>
      <dsp:txXfrm>
        <a:off x="1726930" y="586788"/>
        <a:ext cx="977362" cy="977362"/>
      </dsp:txXfrm>
    </dsp:sp>
    <dsp:sp modelId="{0A5D35F8-B21B-45C9-9FC7-86A8C7F940CE}">
      <dsp:nvSpPr>
        <dsp:cNvPr id="0" name=""/>
        <dsp:cNvSpPr/>
      </dsp:nvSpPr>
      <dsp:spPr>
        <a:xfrm rot="5400000">
          <a:off x="2768136" y="181952"/>
          <a:ext cx="1382198" cy="1382198"/>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Detection</a:t>
          </a:r>
        </a:p>
      </dsp:txBody>
      <dsp:txXfrm rot="-5400000">
        <a:off x="2768136" y="586788"/>
        <a:ext cx="977362" cy="977362"/>
      </dsp:txXfrm>
    </dsp:sp>
    <dsp:sp modelId="{E32D9F95-D2DA-41E0-BF37-4C4B1631BD5D}">
      <dsp:nvSpPr>
        <dsp:cNvPr id="0" name=""/>
        <dsp:cNvSpPr/>
      </dsp:nvSpPr>
      <dsp:spPr>
        <a:xfrm rot="10800000">
          <a:off x="2768136" y="1627993"/>
          <a:ext cx="1382198" cy="1382198"/>
        </a:xfrm>
        <a:prstGeom prst="pieWedge">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Investigation and prosecution</a:t>
          </a:r>
        </a:p>
      </dsp:txBody>
      <dsp:txXfrm rot="10800000">
        <a:off x="2768136" y="1627993"/>
        <a:ext cx="977362" cy="977362"/>
      </dsp:txXfrm>
    </dsp:sp>
    <dsp:sp modelId="{B83897A6-3BFE-4158-93F5-AA9BCCB95EF8}">
      <dsp:nvSpPr>
        <dsp:cNvPr id="0" name=""/>
        <dsp:cNvSpPr/>
      </dsp:nvSpPr>
      <dsp:spPr>
        <a:xfrm rot="16200000">
          <a:off x="1322094" y="1627993"/>
          <a:ext cx="1382198" cy="1382198"/>
        </a:xfrm>
        <a:prstGeom prst="pieWedge">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IE" sz="1200" kern="1200"/>
            <a:t>Recovery and sactioning</a:t>
          </a:r>
        </a:p>
      </dsp:txBody>
      <dsp:txXfrm rot="5400000">
        <a:off x="1726930" y="1627993"/>
        <a:ext cx="977362" cy="977362"/>
      </dsp:txXfrm>
    </dsp:sp>
    <dsp:sp modelId="{8C5F7B11-50E5-40A6-AA1F-D9E0A3EA72CE}">
      <dsp:nvSpPr>
        <dsp:cNvPr id="0" name=""/>
        <dsp:cNvSpPr/>
      </dsp:nvSpPr>
      <dsp:spPr>
        <a:xfrm>
          <a:off x="2497602" y="1308779"/>
          <a:ext cx="477225" cy="41497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B3F59B1-E611-4576-920F-3F1D365A06CC}">
      <dsp:nvSpPr>
        <dsp:cNvPr id="0" name=""/>
        <dsp:cNvSpPr/>
      </dsp:nvSpPr>
      <dsp:spPr>
        <a:xfrm rot="10800000">
          <a:off x="2497602" y="1468386"/>
          <a:ext cx="477225" cy="41497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3.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TOCHeading>Contents</TOCHeading>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TechHistoryCreatedBy>Document created by</TechHistoryCreatedBy>
  <TechHistoryDate>Date</TechHistoryDate>
  <TechHistory>Document History</TechHistory>
  <TechHistoryComment>Comment</TechHistoryComment>
  <TechHistoryVersion>Version</TechHistoryVersion>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TechPropsRefno>Reference Number:</TechPropsRefno>
  <TechPropsRevised>Revised by:</TechPropsRevised>
  <TechPropsVersion>Version:</TechPropsVersion>
  <TechPropsApproved>Approved by:</TechPropsApproved>
  <TechPropsAuthors>Authors:</TechPropsAuthors>
  <TechPropsPublic>Public:</TechPropsPublic>
  <TechPropsDate>Date:</TechPropsDate>
  <TechFooterVersion>Document Version</TechFooterVersion>
  <TechFooterDated>dated</TechFooterDated>
  <LabelPictureSeq>Figure {SEQ Figure \* ARABIC }: </LabelPictureSeq>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LabelFormattedFigureSeqEC>Figure {field: SEQ Figure \* ARABIC }: </LabelFormattedFigureSeqEC>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Author Role="Creator" AuthorRoleName="Writer" AuthorRoleId="a4fbaff4-b07c-48b4-a21e-e7b9eedf3796">
  <Id>ebab0b06-132a-4722-b111-58c14cc28097</Id>
  <Names>
    <Latin>
      <FirstName>Andrea</FirstName>
      <LastName>BORDONI</LastName>
    </Latin>
    <Greek>
      <FirstName/>
      <LastName/>
    </Greek>
    <Cyrillic>
      <FirstName/>
      <LastName/>
    </Cyrillic>
    <DocumentScript>
      <FirstName>Andrea</FirstName>
      <LastName>BORDONI</LastName>
      <FullName>Andrea BORDONI, Madeleine PUMBERGER</FullName>
    </DocumentScript>
  </Names>
  <Initials>AB</Initials>
  <Gender>m</Gender>
  <Email>Andrea.BORDONI@ec.europa.eu</Email>
  <Service>OLAF.C.1</Service>
  <Function ADCode="40" ShowInSignature="true" ShowInHeader="false" HeaderText="">Deputy Head of Unit</Function>
  <WebAddress/>
  <FunctionalMailbox/>
  <InheritedWebAddress>WebAddress</InheritedWebAddress>
  <OrgaEntity1>
    <Id>4860eea2-955d-4a36-8fc6-a21b0a853276</Id>
    <LogicalLevel>1</LogicalLevel>
    <Name>OLAF</Name>
    <HeadLine1>EUROPEAN ANTI-FRAUD OFFICE</HeadLine1>
    <HeadLine2/>
    <PrimaryAddressId>f03b5801-04c9-4931-aa17-c6d6c70bc579</PrimaryAddressId>
    <SecondaryAddressId/>
    <WebAddress>WebAddress</WebAddress>
    <InheritedWebAddress>WebAddress</InheritedWebAddress>
    <ShowInHeader>true</ShowInHeader>
  </OrgaEntity1>
  <OrgaEntity2>
    <Id>b15a73a9-fed8-4740-99a9-40ed6e43144e</Id>
    <LogicalLevel>2</LogicalLevel>
    <Name>OLAF.C</Name>
    <HeadLine1>Anti-Fraud Knowledge Centre</HeadLine1>
    <HeadLine2/>
    <PrimaryAddressId>f03b5801-04c9-4931-aa17-c6d6c70bc579</PrimaryAddressId>
    <SecondaryAddressId/>
    <WebAddress/>
    <InheritedWebAddress>WebAddress</InheritedWebAddress>
    <ShowInHeader>true</ShowInHeader>
  </OrgaEntity2>
  <OrgaEntity3>
    <Id>36abc2e7-3dfe-401c-a1bb-9b0677bbf6b8</Id>
    <LogicalLevel>3</LogicalLevel>
    <Name>OLAF.C.1</Name>
    <HeadLine1>Anti-Corruption, Anti-Fraud Strategy and Analysis</HeadLine1>
    <HeadLine2/>
    <PrimaryAddressId>f03b5801-04c9-4931-aa17-c6d6c70bc579</PrimaryAddressId>
    <SecondaryAddressId/>
    <WebAddress/>
    <InheritedWebAddress>WebAddress</InheritedWebAddress>
    <ShowInHeader>true</ShowInHeader>
  </OrgaEntity3>
  <Hierarchy>
    <OrgaEntity>
      <Id>4860eea2-955d-4a36-8fc6-a21b0a853276</Id>
      <LogicalLevel>1</LogicalLevel>
      <Name>OLAF</Name>
      <HeadLine1>EUROPEAN ANTI-FRAUD OFFICE</HeadLine1>
      <HeadLine2/>
      <PrimaryAddressId>f03b5801-04c9-4931-aa17-c6d6c70bc579</PrimaryAddressId>
      <SecondaryAddressId/>
      <WebAddress>WebAddress</WebAddress>
      <InheritedWebAddress>WebAddress</InheritedWebAddress>
      <ShowInHeader>true</ShowInHeader>
    </OrgaEntity>
    <OrgaEntity>
      <Id>b15a73a9-fed8-4740-99a9-40ed6e43144e</Id>
      <LogicalLevel>2</LogicalLevel>
      <Name>OLAF.C</Name>
      <HeadLine1>Anti-Fraud Knowledge Centre</HeadLine1>
      <HeadLine2/>
      <PrimaryAddressId>f03b5801-04c9-4931-aa17-c6d6c70bc579</PrimaryAddressId>
      <SecondaryAddressId/>
      <WebAddress/>
      <InheritedWebAddress>WebAddress</InheritedWebAddress>
      <ShowInHeader>true</ShowInHeader>
    </OrgaEntity>
    <OrgaEntity>
      <Id>36abc2e7-3dfe-401c-a1bb-9b0677bbf6b8</Id>
      <LogicalLevel>3</LogicalLevel>
      <Name>OLAF.C.1</Name>
      <HeadLine1>Anti-Corruption, Anti-Fraud Strategy and Analysis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+32 229-67737</Phone>
    <Office>J-30 06/015</Office>
  </MainWorkplace>
  <Workplaces>
    <Workplace IsMain="true">
      <AddressId>f03b5801-04c9-4931-aa17-c6d6c70bc579</AddressId>
      <Fax/>
      <Phone>+32 229-67737</Phone>
      <Office>J-30 06/015</Office>
    </Workplace>
    <Workplace IsMain="false">
      <AddressId>1264fb81-f6bb-475e-9f9d-a937d3be6ee2</AddressId>
      <Fax/>
      <Phone/>
      <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3" ma:contentTypeDescription="Create a new document." ma:contentTypeScope="" ma:versionID="a1f7c9d592cf6cf4cc522d75dd9e580f">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5303ec63a02bd1a1dbdf47b37727795b"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3e2ab6-bfcc-471f-b238-dfe8f669eded}"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10.0.43105.0</Version>
    <Date>2022-05-20T17:29:16</Date>
    <Language>EN</Language>
    <Note/>
  </Created>
  <Edited>
    <Version/>
    <Date/>
  </Edited>
  <DocumentModel>
    <Id>34954475-997f-4cb0-a95b-7f65298f3d8c</Id>
    <Name>Report (long)</Name>
  </DocumentModel>
  <DocumentDate>2022-06-20T00:00:00</DocumentDate>
  <DocumentVersion>1.1</DocumentVersion>
  <CompatibilityMode>Eurolook10</CompatibilityMode>
  <DocumentMetadata>
    <EC_SecurityDateMarkingDate MetadataSerializationType="SimpleValue"/>
    <EC_SecurityReleasability MetadataSerializationType="SimpleValue"/>
    <EC_SecurityDistributionWorkingGroup MetadataSerializationType="SimpleValue"/>
    <EC_SecurityDistributionDG MetadataSerializationType="SimpleValue"/>
    <EC_SecurityDistributionSensitive MetadataSerializationType="SimpleValue"/>
    <EC_SecurityDistributionSpecialHandling MetadataSerializationType="SimpleValue"/>
    <EC_SecurityMarking MetadataSerializationType="SimpleValue"/>
    <EC_SecurityDateMarking MetadataSerializationType="SimpleValue"/>
    <EC_SecurityDateMarkingEvent MetadataSerializationType="SimpleValue"/>
  </DocumentMetadata>
</EurolookProperties>
</file>

<file path=customXml/item7.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Props1.xml><?xml version="1.0" encoding="utf-8"?>
<ds:datastoreItem xmlns:ds="http://schemas.openxmlformats.org/officeDocument/2006/customXml" ds:itemID="{2E72F8EB-97BE-464F-88FC-CAFB2B367DFA}">
  <ds:schemaRefs>
    <ds:schemaRef ds:uri="http://schemas.openxmlformats.org/officeDocument/2006/bibliography"/>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7816110-6CF9-4EFA-B2F9-8353C7D2C589}">
  <ds:schemaRefs/>
</ds:datastoreItem>
</file>

<file path=customXml/itemProps4.xml><?xml version="1.0" encoding="utf-8"?>
<ds:datastoreItem xmlns:ds="http://schemas.openxmlformats.org/officeDocument/2006/customXml" ds:itemID="{D6DFAE85-9ED2-4B85-9A50-A5B0A01DB403}">
  <ds:schemaRefs>
    <ds:schemaRef ds:uri="http://schemas.microsoft.com/sharepoint/v3/contenttype/forms"/>
  </ds:schemaRefs>
</ds:datastoreItem>
</file>

<file path=customXml/itemProps5.xml><?xml version="1.0" encoding="utf-8"?>
<ds:datastoreItem xmlns:ds="http://schemas.openxmlformats.org/officeDocument/2006/customXml" ds:itemID="{D74725A1-F883-4B60-B90C-D8A4575D4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5CB3772D-76D6-4C28-A9FD-4ACEB1F71473}">
  <ds:schemaRefs>
    <ds:schemaRef ds:uri="http://schemas.microsoft.com/office/2006/metadata/properties"/>
    <ds:schemaRef ds:uri="http://schemas.microsoft.com/office/infopath/2007/PartnerControls"/>
    <ds:schemaRef ds:uri="e1debc6b-b43f-4dc7-a7b0-dc87a290d3c1"/>
    <ds:schemaRef ds:uri="1bece07b-d03c-423c-b8a0-beed4db0bbc2"/>
  </ds:schemaRefs>
</ds:datastoreItem>
</file>

<file path=docMetadata/LabelInfo.xml><?xml version="1.0" encoding="utf-8"?>
<clbl:labelList xmlns:clbl="http://schemas.microsoft.com/office/2020/mipLabelMetadata">
  <clbl:label id="{6bd9ddd1-4d20-43f6-abfa-fc3c07406f94}" enabled="1" method="Privilege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Eurolook.dotm</Template>
  <TotalTime>5</TotalTime>
  <Pages>62</Pages>
  <Words>21073</Words>
  <Characters>119279</Characters>
  <Application>Microsoft Office Word</Application>
  <DocSecurity>0</DocSecurity>
  <PresentationFormat>Microsoft Word 14.0</PresentationFormat>
  <Lines>2773</Lines>
  <Paragraphs>1525</Paragraphs>
  <ScaleCrop>true</ScaleCrop>
  <HeadingPairs>
    <vt:vector size="2" baseType="variant">
      <vt:variant>
        <vt:lpstr>Title</vt:lpstr>
      </vt:variant>
      <vt:variant>
        <vt:i4>1</vt:i4>
      </vt:variant>
    </vt:vector>
  </HeadingPairs>
  <TitlesOfParts>
    <vt:vector size="1" baseType="lpstr">
      <vt:lpstr>35th Annual Report on the protection of the EU financial interests and the fight against fraud</vt:lpstr>
    </vt:vector>
  </TitlesOfParts>
  <Manager/>
  <Company/>
  <LinksUpToDate>false</LinksUpToDate>
  <CharactersWithSpaces>138827</CharactersWithSpaces>
  <SharedDoc>false</SharedDoc>
  <HLinks>
    <vt:vector size="480" baseType="variant">
      <vt:variant>
        <vt:i4>4784229</vt:i4>
      </vt:variant>
      <vt:variant>
        <vt:i4>468</vt:i4>
      </vt:variant>
      <vt:variant>
        <vt:i4>0</vt:i4>
      </vt:variant>
      <vt:variant>
        <vt:i4>5</vt:i4>
      </vt:variant>
      <vt:variant>
        <vt:lpwstr/>
      </vt:variant>
      <vt:variant>
        <vt:lpwstr>_The_protection_of</vt:lpwstr>
      </vt:variant>
      <vt:variant>
        <vt:i4>3604525</vt:i4>
      </vt:variant>
      <vt:variant>
        <vt:i4>456</vt:i4>
      </vt:variant>
      <vt:variant>
        <vt:i4>0</vt:i4>
      </vt:variant>
      <vt:variant>
        <vt:i4>5</vt:i4>
      </vt:variant>
      <vt:variant>
        <vt:lpwstr/>
      </vt:variant>
      <vt:variant>
        <vt:lpwstr>_Cohesion_policy</vt:lpwstr>
      </vt:variant>
      <vt:variant>
        <vt:i4>786466</vt:i4>
      </vt:variant>
      <vt:variant>
        <vt:i4>453</vt:i4>
      </vt:variant>
      <vt:variant>
        <vt:i4>0</vt:i4>
      </vt:variant>
      <vt:variant>
        <vt:i4>5</vt:i4>
      </vt:variant>
      <vt:variant>
        <vt:lpwstr/>
      </vt:variant>
      <vt:variant>
        <vt:lpwstr>_Agriculture</vt:lpwstr>
      </vt:variant>
      <vt:variant>
        <vt:i4>540672025</vt:i4>
      </vt:variant>
      <vt:variant>
        <vt:i4>450</vt:i4>
      </vt:variant>
      <vt:variant>
        <vt:i4>0</vt:i4>
      </vt:variant>
      <vt:variant>
        <vt:i4>5</vt:i4>
      </vt:variant>
      <vt:variant>
        <vt:lpwstr/>
      </vt:variant>
      <vt:variant>
        <vt:lpwstr>_Revenue_–_traditional_1</vt:lpwstr>
      </vt:variant>
      <vt:variant>
        <vt:i4>1966080</vt:i4>
      </vt:variant>
      <vt:variant>
        <vt:i4>411</vt:i4>
      </vt:variant>
      <vt:variant>
        <vt:i4>0</vt:i4>
      </vt:variant>
      <vt:variant>
        <vt:i4>5</vt:i4>
      </vt:variant>
      <vt:variant>
        <vt:lpwstr/>
      </vt:variant>
      <vt:variant>
        <vt:lpwstr>_Organised_crime</vt:lpwstr>
      </vt:variant>
      <vt:variant>
        <vt:i4>1376295</vt:i4>
      </vt:variant>
      <vt:variant>
        <vt:i4>408</vt:i4>
      </vt:variant>
      <vt:variant>
        <vt:i4>0</vt:i4>
      </vt:variant>
      <vt:variant>
        <vt:i4>5</vt:i4>
      </vt:variant>
      <vt:variant>
        <vt:lpwstr/>
      </vt:variant>
      <vt:variant>
        <vt:lpwstr>_Recovery_and_Resilience</vt:lpwstr>
      </vt:variant>
      <vt:variant>
        <vt:i4>1966080</vt:i4>
      </vt:variant>
      <vt:variant>
        <vt:i4>396</vt:i4>
      </vt:variant>
      <vt:variant>
        <vt:i4>0</vt:i4>
      </vt:variant>
      <vt:variant>
        <vt:i4>5</vt:i4>
      </vt:variant>
      <vt:variant>
        <vt:lpwstr/>
      </vt:variant>
      <vt:variant>
        <vt:lpwstr>_Organised_crime</vt:lpwstr>
      </vt:variant>
      <vt:variant>
        <vt:i4>1376295</vt:i4>
      </vt:variant>
      <vt:variant>
        <vt:i4>393</vt:i4>
      </vt:variant>
      <vt:variant>
        <vt:i4>0</vt:i4>
      </vt:variant>
      <vt:variant>
        <vt:i4>5</vt:i4>
      </vt:variant>
      <vt:variant>
        <vt:lpwstr/>
      </vt:variant>
      <vt:variant>
        <vt:lpwstr>_Recovery_and_Resilience</vt:lpwstr>
      </vt:variant>
      <vt:variant>
        <vt:i4>2752559</vt:i4>
      </vt:variant>
      <vt:variant>
        <vt:i4>384</vt:i4>
      </vt:variant>
      <vt:variant>
        <vt:i4>0</vt:i4>
      </vt:variant>
      <vt:variant>
        <vt:i4>5</vt:i4>
      </vt:variant>
      <vt:variant>
        <vt:lpwstr/>
      </vt:variant>
      <vt:variant>
        <vt:lpwstr>_Methodological_approach</vt:lpwstr>
      </vt:variant>
      <vt:variant>
        <vt:i4>5767212</vt:i4>
      </vt:variant>
      <vt:variant>
        <vt:i4>369</vt:i4>
      </vt:variant>
      <vt:variant>
        <vt:i4>0</vt:i4>
      </vt:variant>
      <vt:variant>
        <vt:i4>5</vt:i4>
      </vt:variant>
      <vt:variant>
        <vt:lpwstr/>
      </vt:variant>
      <vt:variant>
        <vt:lpwstr>_National_anti-fraud_strategies</vt:lpwstr>
      </vt:variant>
      <vt:variant>
        <vt:i4>537591878</vt:i4>
      </vt:variant>
      <vt:variant>
        <vt:i4>330</vt:i4>
      </vt:variant>
      <vt:variant>
        <vt:i4>0</vt:i4>
      </vt:variant>
      <vt:variant>
        <vt:i4>5</vt:i4>
      </vt:variant>
      <vt:variant>
        <vt:lpwstr/>
      </vt:variant>
      <vt:variant>
        <vt:lpwstr>_Revenue_–_traditional</vt:lpwstr>
      </vt:variant>
      <vt:variant>
        <vt:i4>1966112</vt:i4>
      </vt:variant>
      <vt:variant>
        <vt:i4>324</vt:i4>
      </vt:variant>
      <vt:variant>
        <vt:i4>0</vt:i4>
      </vt:variant>
      <vt:variant>
        <vt:i4>5</vt:i4>
      </vt:variant>
      <vt:variant>
        <vt:lpwstr/>
      </vt:variant>
      <vt:variant>
        <vt:lpwstr>_Conclusions_and_recommendations</vt:lpwstr>
      </vt:variant>
      <vt:variant>
        <vt:i4>5963881</vt:i4>
      </vt:variant>
      <vt:variant>
        <vt:i4>321</vt:i4>
      </vt:variant>
      <vt:variant>
        <vt:i4>0</vt:i4>
      </vt:variant>
      <vt:variant>
        <vt:i4>5</vt:i4>
      </vt:variant>
      <vt:variant>
        <vt:lpwstr/>
      </vt:variant>
      <vt:variant>
        <vt:lpwstr>_Digitalisation_of_the</vt:lpwstr>
      </vt:variant>
      <vt:variant>
        <vt:i4>5177378</vt:i4>
      </vt:variant>
      <vt:variant>
        <vt:i4>318</vt:i4>
      </vt:variant>
      <vt:variant>
        <vt:i4>0</vt:i4>
      </vt:variant>
      <vt:variant>
        <vt:i4>5</vt:i4>
      </vt:variant>
      <vt:variant>
        <vt:lpwstr/>
      </vt:variant>
      <vt:variant>
        <vt:lpwstr>_The_EU_anti-fraud</vt:lpwstr>
      </vt:variant>
      <vt:variant>
        <vt:i4>5111877</vt:i4>
      </vt:variant>
      <vt:variant>
        <vt:i4>315</vt:i4>
      </vt:variant>
      <vt:variant>
        <vt:i4>0</vt:i4>
      </vt:variant>
      <vt:variant>
        <vt:i4>5</vt:i4>
      </vt:variant>
      <vt:variant>
        <vt:lpwstr>https://eur-lex.europa.eu/legal-content/EN/TXT/?uri=CELEX%3A12016E325</vt:lpwstr>
      </vt:variant>
      <vt:variant>
        <vt:lpwstr/>
      </vt:variant>
      <vt:variant>
        <vt:i4>1310771</vt:i4>
      </vt:variant>
      <vt:variant>
        <vt:i4>308</vt:i4>
      </vt:variant>
      <vt:variant>
        <vt:i4>0</vt:i4>
      </vt:variant>
      <vt:variant>
        <vt:i4>5</vt:i4>
      </vt:variant>
      <vt:variant>
        <vt:lpwstr/>
      </vt:variant>
      <vt:variant>
        <vt:lpwstr>_Toc232158695</vt:lpwstr>
      </vt:variant>
      <vt:variant>
        <vt:i4>1310771</vt:i4>
      </vt:variant>
      <vt:variant>
        <vt:i4>302</vt:i4>
      </vt:variant>
      <vt:variant>
        <vt:i4>0</vt:i4>
      </vt:variant>
      <vt:variant>
        <vt:i4>5</vt:i4>
      </vt:variant>
      <vt:variant>
        <vt:lpwstr/>
      </vt:variant>
      <vt:variant>
        <vt:lpwstr>_Toc232158694</vt:lpwstr>
      </vt:variant>
      <vt:variant>
        <vt:i4>1310771</vt:i4>
      </vt:variant>
      <vt:variant>
        <vt:i4>296</vt:i4>
      </vt:variant>
      <vt:variant>
        <vt:i4>0</vt:i4>
      </vt:variant>
      <vt:variant>
        <vt:i4>5</vt:i4>
      </vt:variant>
      <vt:variant>
        <vt:lpwstr/>
      </vt:variant>
      <vt:variant>
        <vt:lpwstr>_Toc232158693</vt:lpwstr>
      </vt:variant>
      <vt:variant>
        <vt:i4>1310771</vt:i4>
      </vt:variant>
      <vt:variant>
        <vt:i4>290</vt:i4>
      </vt:variant>
      <vt:variant>
        <vt:i4>0</vt:i4>
      </vt:variant>
      <vt:variant>
        <vt:i4>5</vt:i4>
      </vt:variant>
      <vt:variant>
        <vt:lpwstr/>
      </vt:variant>
      <vt:variant>
        <vt:lpwstr>_Toc232158692</vt:lpwstr>
      </vt:variant>
      <vt:variant>
        <vt:i4>1310771</vt:i4>
      </vt:variant>
      <vt:variant>
        <vt:i4>284</vt:i4>
      </vt:variant>
      <vt:variant>
        <vt:i4>0</vt:i4>
      </vt:variant>
      <vt:variant>
        <vt:i4>5</vt:i4>
      </vt:variant>
      <vt:variant>
        <vt:lpwstr/>
      </vt:variant>
      <vt:variant>
        <vt:lpwstr>_Toc232158691</vt:lpwstr>
      </vt:variant>
      <vt:variant>
        <vt:i4>1376307</vt:i4>
      </vt:variant>
      <vt:variant>
        <vt:i4>278</vt:i4>
      </vt:variant>
      <vt:variant>
        <vt:i4>0</vt:i4>
      </vt:variant>
      <vt:variant>
        <vt:i4>5</vt:i4>
      </vt:variant>
      <vt:variant>
        <vt:lpwstr/>
      </vt:variant>
      <vt:variant>
        <vt:lpwstr>_Toc232158689</vt:lpwstr>
      </vt:variant>
      <vt:variant>
        <vt:i4>1376307</vt:i4>
      </vt:variant>
      <vt:variant>
        <vt:i4>272</vt:i4>
      </vt:variant>
      <vt:variant>
        <vt:i4>0</vt:i4>
      </vt:variant>
      <vt:variant>
        <vt:i4>5</vt:i4>
      </vt:variant>
      <vt:variant>
        <vt:lpwstr/>
      </vt:variant>
      <vt:variant>
        <vt:lpwstr>_Toc232158688</vt:lpwstr>
      </vt:variant>
      <vt:variant>
        <vt:i4>1376307</vt:i4>
      </vt:variant>
      <vt:variant>
        <vt:i4>266</vt:i4>
      </vt:variant>
      <vt:variant>
        <vt:i4>0</vt:i4>
      </vt:variant>
      <vt:variant>
        <vt:i4>5</vt:i4>
      </vt:variant>
      <vt:variant>
        <vt:lpwstr/>
      </vt:variant>
      <vt:variant>
        <vt:lpwstr>_Toc232158687</vt:lpwstr>
      </vt:variant>
      <vt:variant>
        <vt:i4>1376307</vt:i4>
      </vt:variant>
      <vt:variant>
        <vt:i4>260</vt:i4>
      </vt:variant>
      <vt:variant>
        <vt:i4>0</vt:i4>
      </vt:variant>
      <vt:variant>
        <vt:i4>5</vt:i4>
      </vt:variant>
      <vt:variant>
        <vt:lpwstr/>
      </vt:variant>
      <vt:variant>
        <vt:lpwstr>_Toc232158686</vt:lpwstr>
      </vt:variant>
      <vt:variant>
        <vt:i4>1376307</vt:i4>
      </vt:variant>
      <vt:variant>
        <vt:i4>254</vt:i4>
      </vt:variant>
      <vt:variant>
        <vt:i4>0</vt:i4>
      </vt:variant>
      <vt:variant>
        <vt:i4>5</vt:i4>
      </vt:variant>
      <vt:variant>
        <vt:lpwstr/>
      </vt:variant>
      <vt:variant>
        <vt:lpwstr>_Toc232158685</vt:lpwstr>
      </vt:variant>
      <vt:variant>
        <vt:i4>1376307</vt:i4>
      </vt:variant>
      <vt:variant>
        <vt:i4>248</vt:i4>
      </vt:variant>
      <vt:variant>
        <vt:i4>0</vt:i4>
      </vt:variant>
      <vt:variant>
        <vt:i4>5</vt:i4>
      </vt:variant>
      <vt:variant>
        <vt:lpwstr/>
      </vt:variant>
      <vt:variant>
        <vt:lpwstr>_Toc232158684</vt:lpwstr>
      </vt:variant>
      <vt:variant>
        <vt:i4>1376307</vt:i4>
      </vt:variant>
      <vt:variant>
        <vt:i4>242</vt:i4>
      </vt:variant>
      <vt:variant>
        <vt:i4>0</vt:i4>
      </vt:variant>
      <vt:variant>
        <vt:i4>5</vt:i4>
      </vt:variant>
      <vt:variant>
        <vt:lpwstr/>
      </vt:variant>
      <vt:variant>
        <vt:lpwstr>_Toc232158683</vt:lpwstr>
      </vt:variant>
      <vt:variant>
        <vt:i4>1376307</vt:i4>
      </vt:variant>
      <vt:variant>
        <vt:i4>236</vt:i4>
      </vt:variant>
      <vt:variant>
        <vt:i4>0</vt:i4>
      </vt:variant>
      <vt:variant>
        <vt:i4>5</vt:i4>
      </vt:variant>
      <vt:variant>
        <vt:lpwstr/>
      </vt:variant>
      <vt:variant>
        <vt:lpwstr>_Toc232158682</vt:lpwstr>
      </vt:variant>
      <vt:variant>
        <vt:i4>1376307</vt:i4>
      </vt:variant>
      <vt:variant>
        <vt:i4>230</vt:i4>
      </vt:variant>
      <vt:variant>
        <vt:i4>0</vt:i4>
      </vt:variant>
      <vt:variant>
        <vt:i4>5</vt:i4>
      </vt:variant>
      <vt:variant>
        <vt:lpwstr/>
      </vt:variant>
      <vt:variant>
        <vt:lpwstr>_Toc232158681</vt:lpwstr>
      </vt:variant>
      <vt:variant>
        <vt:i4>1376307</vt:i4>
      </vt:variant>
      <vt:variant>
        <vt:i4>224</vt:i4>
      </vt:variant>
      <vt:variant>
        <vt:i4>0</vt:i4>
      </vt:variant>
      <vt:variant>
        <vt:i4>5</vt:i4>
      </vt:variant>
      <vt:variant>
        <vt:lpwstr/>
      </vt:variant>
      <vt:variant>
        <vt:lpwstr>_Toc232158680</vt:lpwstr>
      </vt:variant>
      <vt:variant>
        <vt:i4>1703987</vt:i4>
      </vt:variant>
      <vt:variant>
        <vt:i4>218</vt:i4>
      </vt:variant>
      <vt:variant>
        <vt:i4>0</vt:i4>
      </vt:variant>
      <vt:variant>
        <vt:i4>5</vt:i4>
      </vt:variant>
      <vt:variant>
        <vt:lpwstr/>
      </vt:variant>
      <vt:variant>
        <vt:lpwstr>_Toc232158679</vt:lpwstr>
      </vt:variant>
      <vt:variant>
        <vt:i4>1703987</vt:i4>
      </vt:variant>
      <vt:variant>
        <vt:i4>212</vt:i4>
      </vt:variant>
      <vt:variant>
        <vt:i4>0</vt:i4>
      </vt:variant>
      <vt:variant>
        <vt:i4>5</vt:i4>
      </vt:variant>
      <vt:variant>
        <vt:lpwstr/>
      </vt:variant>
      <vt:variant>
        <vt:lpwstr>_Toc232158678</vt:lpwstr>
      </vt:variant>
      <vt:variant>
        <vt:i4>1703987</vt:i4>
      </vt:variant>
      <vt:variant>
        <vt:i4>206</vt:i4>
      </vt:variant>
      <vt:variant>
        <vt:i4>0</vt:i4>
      </vt:variant>
      <vt:variant>
        <vt:i4>5</vt:i4>
      </vt:variant>
      <vt:variant>
        <vt:lpwstr/>
      </vt:variant>
      <vt:variant>
        <vt:lpwstr>_Toc232158677</vt:lpwstr>
      </vt:variant>
      <vt:variant>
        <vt:i4>1703987</vt:i4>
      </vt:variant>
      <vt:variant>
        <vt:i4>200</vt:i4>
      </vt:variant>
      <vt:variant>
        <vt:i4>0</vt:i4>
      </vt:variant>
      <vt:variant>
        <vt:i4>5</vt:i4>
      </vt:variant>
      <vt:variant>
        <vt:lpwstr/>
      </vt:variant>
      <vt:variant>
        <vt:lpwstr>_Toc232158676</vt:lpwstr>
      </vt:variant>
      <vt:variant>
        <vt:i4>1703987</vt:i4>
      </vt:variant>
      <vt:variant>
        <vt:i4>194</vt:i4>
      </vt:variant>
      <vt:variant>
        <vt:i4>0</vt:i4>
      </vt:variant>
      <vt:variant>
        <vt:i4>5</vt:i4>
      </vt:variant>
      <vt:variant>
        <vt:lpwstr/>
      </vt:variant>
      <vt:variant>
        <vt:lpwstr>_Toc232158675</vt:lpwstr>
      </vt:variant>
      <vt:variant>
        <vt:i4>1703987</vt:i4>
      </vt:variant>
      <vt:variant>
        <vt:i4>188</vt:i4>
      </vt:variant>
      <vt:variant>
        <vt:i4>0</vt:i4>
      </vt:variant>
      <vt:variant>
        <vt:i4>5</vt:i4>
      </vt:variant>
      <vt:variant>
        <vt:lpwstr/>
      </vt:variant>
      <vt:variant>
        <vt:lpwstr>_Toc232158674</vt:lpwstr>
      </vt:variant>
      <vt:variant>
        <vt:i4>1703987</vt:i4>
      </vt:variant>
      <vt:variant>
        <vt:i4>182</vt:i4>
      </vt:variant>
      <vt:variant>
        <vt:i4>0</vt:i4>
      </vt:variant>
      <vt:variant>
        <vt:i4>5</vt:i4>
      </vt:variant>
      <vt:variant>
        <vt:lpwstr/>
      </vt:variant>
      <vt:variant>
        <vt:lpwstr>_Toc232158673</vt:lpwstr>
      </vt:variant>
      <vt:variant>
        <vt:i4>1703987</vt:i4>
      </vt:variant>
      <vt:variant>
        <vt:i4>176</vt:i4>
      </vt:variant>
      <vt:variant>
        <vt:i4>0</vt:i4>
      </vt:variant>
      <vt:variant>
        <vt:i4>5</vt:i4>
      </vt:variant>
      <vt:variant>
        <vt:lpwstr/>
      </vt:variant>
      <vt:variant>
        <vt:lpwstr>_Toc232158672</vt:lpwstr>
      </vt:variant>
      <vt:variant>
        <vt:i4>1703987</vt:i4>
      </vt:variant>
      <vt:variant>
        <vt:i4>170</vt:i4>
      </vt:variant>
      <vt:variant>
        <vt:i4>0</vt:i4>
      </vt:variant>
      <vt:variant>
        <vt:i4>5</vt:i4>
      </vt:variant>
      <vt:variant>
        <vt:lpwstr/>
      </vt:variant>
      <vt:variant>
        <vt:lpwstr>_Toc232158671</vt:lpwstr>
      </vt:variant>
      <vt:variant>
        <vt:i4>1703987</vt:i4>
      </vt:variant>
      <vt:variant>
        <vt:i4>164</vt:i4>
      </vt:variant>
      <vt:variant>
        <vt:i4>0</vt:i4>
      </vt:variant>
      <vt:variant>
        <vt:i4>5</vt:i4>
      </vt:variant>
      <vt:variant>
        <vt:lpwstr/>
      </vt:variant>
      <vt:variant>
        <vt:lpwstr>_Toc232158670</vt:lpwstr>
      </vt:variant>
      <vt:variant>
        <vt:i4>1769523</vt:i4>
      </vt:variant>
      <vt:variant>
        <vt:i4>158</vt:i4>
      </vt:variant>
      <vt:variant>
        <vt:i4>0</vt:i4>
      </vt:variant>
      <vt:variant>
        <vt:i4>5</vt:i4>
      </vt:variant>
      <vt:variant>
        <vt:lpwstr/>
      </vt:variant>
      <vt:variant>
        <vt:lpwstr>_Toc232158669</vt:lpwstr>
      </vt:variant>
      <vt:variant>
        <vt:i4>1769523</vt:i4>
      </vt:variant>
      <vt:variant>
        <vt:i4>152</vt:i4>
      </vt:variant>
      <vt:variant>
        <vt:i4>0</vt:i4>
      </vt:variant>
      <vt:variant>
        <vt:i4>5</vt:i4>
      </vt:variant>
      <vt:variant>
        <vt:lpwstr/>
      </vt:variant>
      <vt:variant>
        <vt:lpwstr>_Toc232158668</vt:lpwstr>
      </vt:variant>
      <vt:variant>
        <vt:i4>1769523</vt:i4>
      </vt:variant>
      <vt:variant>
        <vt:i4>146</vt:i4>
      </vt:variant>
      <vt:variant>
        <vt:i4>0</vt:i4>
      </vt:variant>
      <vt:variant>
        <vt:i4>5</vt:i4>
      </vt:variant>
      <vt:variant>
        <vt:lpwstr/>
      </vt:variant>
      <vt:variant>
        <vt:lpwstr>_Toc232158667</vt:lpwstr>
      </vt:variant>
      <vt:variant>
        <vt:i4>1769523</vt:i4>
      </vt:variant>
      <vt:variant>
        <vt:i4>140</vt:i4>
      </vt:variant>
      <vt:variant>
        <vt:i4>0</vt:i4>
      </vt:variant>
      <vt:variant>
        <vt:i4>5</vt:i4>
      </vt:variant>
      <vt:variant>
        <vt:lpwstr/>
      </vt:variant>
      <vt:variant>
        <vt:lpwstr>_Toc232158666</vt:lpwstr>
      </vt:variant>
      <vt:variant>
        <vt:i4>1769523</vt:i4>
      </vt:variant>
      <vt:variant>
        <vt:i4>134</vt:i4>
      </vt:variant>
      <vt:variant>
        <vt:i4>0</vt:i4>
      </vt:variant>
      <vt:variant>
        <vt:i4>5</vt:i4>
      </vt:variant>
      <vt:variant>
        <vt:lpwstr/>
      </vt:variant>
      <vt:variant>
        <vt:lpwstr>_Toc232158665</vt:lpwstr>
      </vt:variant>
      <vt:variant>
        <vt:i4>1769523</vt:i4>
      </vt:variant>
      <vt:variant>
        <vt:i4>128</vt:i4>
      </vt:variant>
      <vt:variant>
        <vt:i4>0</vt:i4>
      </vt:variant>
      <vt:variant>
        <vt:i4>5</vt:i4>
      </vt:variant>
      <vt:variant>
        <vt:lpwstr/>
      </vt:variant>
      <vt:variant>
        <vt:lpwstr>_Toc232158664</vt:lpwstr>
      </vt:variant>
      <vt:variant>
        <vt:i4>1769523</vt:i4>
      </vt:variant>
      <vt:variant>
        <vt:i4>122</vt:i4>
      </vt:variant>
      <vt:variant>
        <vt:i4>0</vt:i4>
      </vt:variant>
      <vt:variant>
        <vt:i4>5</vt:i4>
      </vt:variant>
      <vt:variant>
        <vt:lpwstr/>
      </vt:variant>
      <vt:variant>
        <vt:lpwstr>_Toc232158663</vt:lpwstr>
      </vt:variant>
      <vt:variant>
        <vt:i4>1769523</vt:i4>
      </vt:variant>
      <vt:variant>
        <vt:i4>116</vt:i4>
      </vt:variant>
      <vt:variant>
        <vt:i4>0</vt:i4>
      </vt:variant>
      <vt:variant>
        <vt:i4>5</vt:i4>
      </vt:variant>
      <vt:variant>
        <vt:lpwstr/>
      </vt:variant>
      <vt:variant>
        <vt:lpwstr>_Toc232158662</vt:lpwstr>
      </vt:variant>
      <vt:variant>
        <vt:i4>1769523</vt:i4>
      </vt:variant>
      <vt:variant>
        <vt:i4>110</vt:i4>
      </vt:variant>
      <vt:variant>
        <vt:i4>0</vt:i4>
      </vt:variant>
      <vt:variant>
        <vt:i4>5</vt:i4>
      </vt:variant>
      <vt:variant>
        <vt:lpwstr/>
      </vt:variant>
      <vt:variant>
        <vt:lpwstr>_Toc232158661</vt:lpwstr>
      </vt:variant>
      <vt:variant>
        <vt:i4>1769523</vt:i4>
      </vt:variant>
      <vt:variant>
        <vt:i4>104</vt:i4>
      </vt:variant>
      <vt:variant>
        <vt:i4>0</vt:i4>
      </vt:variant>
      <vt:variant>
        <vt:i4>5</vt:i4>
      </vt:variant>
      <vt:variant>
        <vt:lpwstr/>
      </vt:variant>
      <vt:variant>
        <vt:lpwstr>_Toc232158660</vt:lpwstr>
      </vt:variant>
      <vt:variant>
        <vt:i4>1572915</vt:i4>
      </vt:variant>
      <vt:variant>
        <vt:i4>98</vt:i4>
      </vt:variant>
      <vt:variant>
        <vt:i4>0</vt:i4>
      </vt:variant>
      <vt:variant>
        <vt:i4>5</vt:i4>
      </vt:variant>
      <vt:variant>
        <vt:lpwstr/>
      </vt:variant>
      <vt:variant>
        <vt:lpwstr>_Toc232158659</vt:lpwstr>
      </vt:variant>
      <vt:variant>
        <vt:i4>1572915</vt:i4>
      </vt:variant>
      <vt:variant>
        <vt:i4>92</vt:i4>
      </vt:variant>
      <vt:variant>
        <vt:i4>0</vt:i4>
      </vt:variant>
      <vt:variant>
        <vt:i4>5</vt:i4>
      </vt:variant>
      <vt:variant>
        <vt:lpwstr/>
      </vt:variant>
      <vt:variant>
        <vt:lpwstr>_Toc232158658</vt:lpwstr>
      </vt:variant>
      <vt:variant>
        <vt:i4>1572915</vt:i4>
      </vt:variant>
      <vt:variant>
        <vt:i4>86</vt:i4>
      </vt:variant>
      <vt:variant>
        <vt:i4>0</vt:i4>
      </vt:variant>
      <vt:variant>
        <vt:i4>5</vt:i4>
      </vt:variant>
      <vt:variant>
        <vt:lpwstr/>
      </vt:variant>
      <vt:variant>
        <vt:lpwstr>_Toc232158657</vt:lpwstr>
      </vt:variant>
      <vt:variant>
        <vt:i4>1572915</vt:i4>
      </vt:variant>
      <vt:variant>
        <vt:i4>80</vt:i4>
      </vt:variant>
      <vt:variant>
        <vt:i4>0</vt:i4>
      </vt:variant>
      <vt:variant>
        <vt:i4>5</vt:i4>
      </vt:variant>
      <vt:variant>
        <vt:lpwstr/>
      </vt:variant>
      <vt:variant>
        <vt:lpwstr>_Toc232158656</vt:lpwstr>
      </vt:variant>
      <vt:variant>
        <vt:i4>1572915</vt:i4>
      </vt:variant>
      <vt:variant>
        <vt:i4>74</vt:i4>
      </vt:variant>
      <vt:variant>
        <vt:i4>0</vt:i4>
      </vt:variant>
      <vt:variant>
        <vt:i4>5</vt:i4>
      </vt:variant>
      <vt:variant>
        <vt:lpwstr/>
      </vt:variant>
      <vt:variant>
        <vt:lpwstr>_Toc232158655</vt:lpwstr>
      </vt:variant>
      <vt:variant>
        <vt:i4>1572915</vt:i4>
      </vt:variant>
      <vt:variant>
        <vt:i4>68</vt:i4>
      </vt:variant>
      <vt:variant>
        <vt:i4>0</vt:i4>
      </vt:variant>
      <vt:variant>
        <vt:i4>5</vt:i4>
      </vt:variant>
      <vt:variant>
        <vt:lpwstr/>
      </vt:variant>
      <vt:variant>
        <vt:lpwstr>_Toc232158654</vt:lpwstr>
      </vt:variant>
      <vt:variant>
        <vt:i4>1572915</vt:i4>
      </vt:variant>
      <vt:variant>
        <vt:i4>62</vt:i4>
      </vt:variant>
      <vt:variant>
        <vt:i4>0</vt:i4>
      </vt:variant>
      <vt:variant>
        <vt:i4>5</vt:i4>
      </vt:variant>
      <vt:variant>
        <vt:lpwstr/>
      </vt:variant>
      <vt:variant>
        <vt:lpwstr>_Toc232158653</vt:lpwstr>
      </vt:variant>
      <vt:variant>
        <vt:i4>1572915</vt:i4>
      </vt:variant>
      <vt:variant>
        <vt:i4>56</vt:i4>
      </vt:variant>
      <vt:variant>
        <vt:i4>0</vt:i4>
      </vt:variant>
      <vt:variant>
        <vt:i4>5</vt:i4>
      </vt:variant>
      <vt:variant>
        <vt:lpwstr/>
      </vt:variant>
      <vt:variant>
        <vt:lpwstr>_Toc232158652</vt:lpwstr>
      </vt:variant>
      <vt:variant>
        <vt:i4>1572915</vt:i4>
      </vt:variant>
      <vt:variant>
        <vt:i4>50</vt:i4>
      </vt:variant>
      <vt:variant>
        <vt:i4>0</vt:i4>
      </vt:variant>
      <vt:variant>
        <vt:i4>5</vt:i4>
      </vt:variant>
      <vt:variant>
        <vt:lpwstr/>
      </vt:variant>
      <vt:variant>
        <vt:lpwstr>_Toc232158651</vt:lpwstr>
      </vt:variant>
      <vt:variant>
        <vt:i4>1572915</vt:i4>
      </vt:variant>
      <vt:variant>
        <vt:i4>44</vt:i4>
      </vt:variant>
      <vt:variant>
        <vt:i4>0</vt:i4>
      </vt:variant>
      <vt:variant>
        <vt:i4>5</vt:i4>
      </vt:variant>
      <vt:variant>
        <vt:lpwstr/>
      </vt:variant>
      <vt:variant>
        <vt:lpwstr>_Toc232158650</vt:lpwstr>
      </vt:variant>
      <vt:variant>
        <vt:i4>1638451</vt:i4>
      </vt:variant>
      <vt:variant>
        <vt:i4>38</vt:i4>
      </vt:variant>
      <vt:variant>
        <vt:i4>0</vt:i4>
      </vt:variant>
      <vt:variant>
        <vt:i4>5</vt:i4>
      </vt:variant>
      <vt:variant>
        <vt:lpwstr/>
      </vt:variant>
      <vt:variant>
        <vt:lpwstr>_Toc232158649</vt:lpwstr>
      </vt:variant>
      <vt:variant>
        <vt:i4>1638451</vt:i4>
      </vt:variant>
      <vt:variant>
        <vt:i4>32</vt:i4>
      </vt:variant>
      <vt:variant>
        <vt:i4>0</vt:i4>
      </vt:variant>
      <vt:variant>
        <vt:i4>5</vt:i4>
      </vt:variant>
      <vt:variant>
        <vt:lpwstr/>
      </vt:variant>
      <vt:variant>
        <vt:lpwstr>_Toc232158648</vt:lpwstr>
      </vt:variant>
      <vt:variant>
        <vt:i4>1638451</vt:i4>
      </vt:variant>
      <vt:variant>
        <vt:i4>26</vt:i4>
      </vt:variant>
      <vt:variant>
        <vt:i4>0</vt:i4>
      </vt:variant>
      <vt:variant>
        <vt:i4>5</vt:i4>
      </vt:variant>
      <vt:variant>
        <vt:lpwstr/>
      </vt:variant>
      <vt:variant>
        <vt:lpwstr>_Toc232158647</vt:lpwstr>
      </vt:variant>
      <vt:variant>
        <vt:i4>1638451</vt:i4>
      </vt:variant>
      <vt:variant>
        <vt:i4>20</vt:i4>
      </vt:variant>
      <vt:variant>
        <vt:i4>0</vt:i4>
      </vt:variant>
      <vt:variant>
        <vt:i4>5</vt:i4>
      </vt:variant>
      <vt:variant>
        <vt:lpwstr/>
      </vt:variant>
      <vt:variant>
        <vt:lpwstr>_Toc232158646</vt:lpwstr>
      </vt:variant>
      <vt:variant>
        <vt:i4>1638451</vt:i4>
      </vt:variant>
      <vt:variant>
        <vt:i4>14</vt:i4>
      </vt:variant>
      <vt:variant>
        <vt:i4>0</vt:i4>
      </vt:variant>
      <vt:variant>
        <vt:i4>5</vt:i4>
      </vt:variant>
      <vt:variant>
        <vt:lpwstr/>
      </vt:variant>
      <vt:variant>
        <vt:lpwstr>_Toc232158645</vt:lpwstr>
      </vt:variant>
      <vt:variant>
        <vt:i4>1638451</vt:i4>
      </vt:variant>
      <vt:variant>
        <vt:i4>8</vt:i4>
      </vt:variant>
      <vt:variant>
        <vt:i4>0</vt:i4>
      </vt:variant>
      <vt:variant>
        <vt:i4>5</vt:i4>
      </vt:variant>
      <vt:variant>
        <vt:lpwstr/>
      </vt:variant>
      <vt:variant>
        <vt:lpwstr>_Toc232158644</vt:lpwstr>
      </vt:variant>
      <vt:variant>
        <vt:i4>1638451</vt:i4>
      </vt:variant>
      <vt:variant>
        <vt:i4>2</vt:i4>
      </vt:variant>
      <vt:variant>
        <vt:i4>0</vt:i4>
      </vt:variant>
      <vt:variant>
        <vt:i4>5</vt:i4>
      </vt:variant>
      <vt:variant>
        <vt:lpwstr/>
      </vt:variant>
      <vt:variant>
        <vt:lpwstr>_Toc232158643</vt:lpwstr>
      </vt:variant>
      <vt:variant>
        <vt:i4>5767188</vt:i4>
      </vt:variant>
      <vt:variant>
        <vt:i4>39</vt:i4>
      </vt:variant>
      <vt:variant>
        <vt:i4>0</vt:i4>
      </vt:variant>
      <vt:variant>
        <vt:i4>5</vt:i4>
      </vt:variant>
      <vt:variant>
        <vt:lpwstr>https://www.europol.europa.eu/cms/sites/default/files/documents/EU-SOCTA-2025.pdf</vt:lpwstr>
      </vt:variant>
      <vt:variant>
        <vt:lpwstr>page=43&amp;zoom=100,0,0</vt:lpwstr>
      </vt:variant>
      <vt:variant>
        <vt:i4>983089</vt:i4>
      </vt:variant>
      <vt:variant>
        <vt:i4>36</vt:i4>
      </vt:variant>
      <vt:variant>
        <vt:i4>0</vt:i4>
      </vt:variant>
      <vt:variant>
        <vt:i4>5</vt:i4>
      </vt:variant>
      <vt:variant>
        <vt:lpwstr>https://anti-fraud.ec.europa.eu/document/download/ac7fe82e-c7df-44c0-8df7-277f73032d4b_en?filename=pif-report-2021_en_0.pdf</vt:lpwstr>
      </vt:variant>
      <vt:variant>
        <vt:lpwstr/>
      </vt:variant>
      <vt:variant>
        <vt:i4>1966080</vt:i4>
      </vt:variant>
      <vt:variant>
        <vt:i4>33</vt:i4>
      </vt:variant>
      <vt:variant>
        <vt:i4>0</vt:i4>
      </vt:variant>
      <vt:variant>
        <vt:i4>5</vt:i4>
      </vt:variant>
      <vt:variant>
        <vt:lpwstr/>
      </vt:variant>
      <vt:variant>
        <vt:lpwstr>_Organised_crime</vt:lpwstr>
      </vt:variant>
      <vt:variant>
        <vt:i4>6815817</vt:i4>
      </vt:variant>
      <vt:variant>
        <vt:i4>30</vt:i4>
      </vt:variant>
      <vt:variant>
        <vt:i4>0</vt:i4>
      </vt:variant>
      <vt:variant>
        <vt:i4>5</vt:i4>
      </vt:variant>
      <vt:variant>
        <vt:lpwstr/>
      </vt:variant>
      <vt:variant>
        <vt:lpwstr>_Data_sources_1</vt:lpwstr>
      </vt:variant>
      <vt:variant>
        <vt:i4>7012444</vt:i4>
      </vt:variant>
      <vt:variant>
        <vt:i4>27</vt:i4>
      </vt:variant>
      <vt:variant>
        <vt:i4>0</vt:i4>
      </vt:variant>
      <vt:variant>
        <vt:i4>5</vt:i4>
      </vt:variant>
      <vt:variant>
        <vt:lpwstr/>
      </vt:variant>
      <vt:variant>
        <vt:lpwstr>_Prevention</vt:lpwstr>
      </vt:variant>
      <vt:variant>
        <vt:i4>655375</vt:i4>
      </vt:variant>
      <vt:variant>
        <vt:i4>24</vt:i4>
      </vt:variant>
      <vt:variant>
        <vt:i4>0</vt:i4>
      </vt:variant>
      <vt:variant>
        <vt:i4>5</vt:i4>
      </vt:variant>
      <vt:variant>
        <vt:lpwstr>https://anti-fraud.ec.europa.eu/document/download/951f690a-7925-4ac1-bdbb-07ff1375ee8a_en?filename=pif-report-2024_en.pdf</vt:lpwstr>
      </vt:variant>
      <vt:variant>
        <vt:lpwstr/>
      </vt:variant>
      <vt:variant>
        <vt:i4>1638406</vt:i4>
      </vt:variant>
      <vt:variant>
        <vt:i4>21</vt:i4>
      </vt:variant>
      <vt:variant>
        <vt:i4>0</vt:i4>
      </vt:variant>
      <vt:variant>
        <vt:i4>5</vt:i4>
      </vt:variant>
      <vt:variant>
        <vt:lpwstr>https://eur-lex.europa.eu/legal-content/EN/TXT/?uri=CELEX%3A52025PC0565&amp;qid=1753801752960</vt:lpwstr>
      </vt:variant>
      <vt:variant>
        <vt:lpwstr/>
      </vt:variant>
      <vt:variant>
        <vt:i4>4587584</vt:i4>
      </vt:variant>
      <vt:variant>
        <vt:i4>18</vt:i4>
      </vt:variant>
      <vt:variant>
        <vt:i4>0</vt:i4>
      </vt:variant>
      <vt:variant>
        <vt:i4>5</vt:i4>
      </vt:variant>
      <vt:variant>
        <vt:lpwstr>https://op.europa.eu/webpub/olaf/pif-report-2023/en/</vt:lpwstr>
      </vt:variant>
      <vt:variant>
        <vt:lpwstr>subchapter1-2</vt:lpwstr>
      </vt:variant>
      <vt:variant>
        <vt:i4>4325395</vt:i4>
      </vt:variant>
      <vt:variant>
        <vt:i4>15</vt:i4>
      </vt:variant>
      <vt:variant>
        <vt:i4>0</vt:i4>
      </vt:variant>
      <vt:variant>
        <vt:i4>5</vt:i4>
      </vt:variant>
      <vt:variant>
        <vt:lpwstr>https://www.eppo.europa.eu/assets/annual-report-2024/pdfs/EPPO_Annual_Report_2024_en.pdf</vt:lpwstr>
      </vt:variant>
      <vt:variant>
        <vt:lpwstr/>
      </vt:variant>
      <vt:variant>
        <vt:i4>196641</vt:i4>
      </vt:variant>
      <vt:variant>
        <vt:i4>12</vt:i4>
      </vt:variant>
      <vt:variant>
        <vt:i4>0</vt:i4>
      </vt:variant>
      <vt:variant>
        <vt:i4>5</vt:i4>
      </vt:variant>
      <vt:variant>
        <vt:lpwstr>https://ec.europa.eu/olaf-report/2024/index_en.html</vt:lpwstr>
      </vt:variant>
      <vt:variant>
        <vt:lpwstr/>
      </vt:variant>
      <vt:variant>
        <vt:i4>3670065</vt:i4>
      </vt:variant>
      <vt:variant>
        <vt:i4>9</vt:i4>
      </vt:variant>
      <vt:variant>
        <vt:i4>0</vt:i4>
      </vt:variant>
      <vt:variant>
        <vt:i4>5</vt:i4>
      </vt:variant>
      <vt:variant>
        <vt:lpwstr>https://anti-fraud.ec.europa.eu/system/files/2022-09/pif-report-2021_en_0.pdf</vt:lpwstr>
      </vt:variant>
      <vt:variant>
        <vt:lpwstr/>
      </vt:variant>
      <vt:variant>
        <vt:i4>3670065</vt:i4>
      </vt:variant>
      <vt:variant>
        <vt:i4>3</vt:i4>
      </vt:variant>
      <vt:variant>
        <vt:i4>0</vt:i4>
      </vt:variant>
      <vt:variant>
        <vt:i4>5</vt:i4>
      </vt:variant>
      <vt:variant>
        <vt:lpwstr>https://anti-fraud.ec.europa.eu/system/files/2022-09/pif-report-2021_en_0.pdf</vt:lpwstr>
      </vt:variant>
      <vt:variant>
        <vt:lpwstr/>
      </vt:variant>
      <vt:variant>
        <vt:i4>3997747</vt:i4>
      </vt:variant>
      <vt:variant>
        <vt:i4>0</vt:i4>
      </vt:variant>
      <vt:variant>
        <vt:i4>0</vt:i4>
      </vt:variant>
      <vt:variant>
        <vt:i4>5</vt:i4>
      </vt:variant>
      <vt:variant>
        <vt:lpwstr>https://oeil.secure.europarl.europa.eu/oeil/en/procedure-file?reference=2024/2083(INI)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2021</dc:subject>
  <dc:creator/>
  <cp:keywords/>
  <dc:description/>
  <cp:lastModifiedBy>VANROY Anne (SG)</cp:lastModifiedBy>
  <cp:revision>6</cp:revision>
  <dcterms:created xsi:type="dcterms:W3CDTF">2026-07-16T08:37:00Z</dcterms:created>
  <dcterms:modified xsi:type="dcterms:W3CDTF">2026-07-25T13:08:00Z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CP-005</vt:lpwstr>
  </property>
  <property fmtid="{D5CDD505-2E9C-101B-9397-08002B2CF9AE}" pid="7" name="Last edited using">
    <vt:lpwstr>LW 9.2, Build 20250828</vt:lpwstr>
  </property>
  <property fmtid="{D5CDD505-2E9C-101B-9397-08002B2CF9AE}" pid="8" name="Created using">
    <vt:lpwstr>LW 7.0, Build 20190717</vt:lpwstr>
  </property>
  <property fmtid="{D5CDD505-2E9C-101B-9397-08002B2CF9AE}" pid="9" name="_LW_INVALIDATED__LW_INVALIDATED__LW_INVALIDATED__LW_INVALIDATED__LW_INVALIDATED__LW_INVALIDATED__LW_INVALIDATED__LW_INVALIDATED__LW_INVALIDATED__LW_INVALIDATED_EurolookVersion">
    <vt:lpwstr>10.0</vt:lpwstr>
  </property>
  <property fmtid="{D5CDD505-2E9C-101B-9397-08002B2CF9AE}" pid="10" name="_LW_INVALIDATED__LW_INVALIDATED__LW_INVALIDATED__LW_INVALIDATED__LW_INVALIDATED__LW_INVALIDATED__LW_INVALIDATED__LW_INVALIDATED__LW_INVALIDATED__LW_INVALIDATED_ELDocType">
    <vt:lpwstr>tech.dot</vt:lpwstr>
  </property>
  <property fmtid="{D5CDD505-2E9C-101B-9397-08002B2CF9AE}" pid="11" name="MSIP_Label_6bd9ddd1-4d20-43f6-abfa-fc3c07406f94_Enabled">
    <vt:lpwstr>true</vt:lpwstr>
  </property>
  <property fmtid="{D5CDD505-2E9C-101B-9397-08002B2CF9AE}" pid="12" name="MSIP_Label_6bd9ddd1-4d20-43f6-abfa-fc3c07406f94_SetDate">
    <vt:lpwstr>2025-06-21T16:52:00Z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8e135799-6e83-4fe8-99e3-e5d6814aafee</vt:lpwstr>
  </property>
  <property fmtid="{D5CDD505-2E9C-101B-9397-08002B2CF9AE}" pid="17" name="MSIP_Label_6bd9ddd1-4d20-43f6-abfa-fc3c07406f94_ContentBits">
    <vt:lpwstr>0</vt:lpwstr>
  </property>
  <property fmtid="{D5CDD505-2E9C-101B-9397-08002B2CF9AE}" pid="18" name="ContentTypeId">
    <vt:lpwstr>0x010100263B1F5D7841074CBE2E963D24797DAD</vt:lpwstr>
  </property>
  <property fmtid="{D5CDD505-2E9C-101B-9397-08002B2CF9AE}" pid="19" name="MediaServiceImageTags">
    <vt:lpwstr/>
  </property>
</Properties>
</file>