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header206.xml" ContentType="application/vnd.openxmlformats-officedocument.wordprocessingml.header+xml"/>
  <Override PartName="/word/footer205.xml" ContentType="application/vnd.openxmlformats-officedocument.wordprocessingml.foot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header209.xml" ContentType="application/vnd.openxmlformats-officedocument.wordprocessingml.header+xml"/>
  <Override PartName="/word/footer208.xml" ContentType="application/vnd.openxmlformats-officedocument.wordprocessingml.foot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header212.xml" ContentType="application/vnd.openxmlformats-officedocument.wordprocessingml.header+xml"/>
  <Override PartName="/word/footer211.xml" ContentType="application/vnd.openxmlformats-officedocument.wordprocessingml.foot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header215.xml" ContentType="application/vnd.openxmlformats-officedocument.wordprocessingml.header+xml"/>
  <Override PartName="/word/footer214.xml" ContentType="application/vnd.openxmlformats-officedocument.wordprocessingml.foot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header218.xml" ContentType="application/vnd.openxmlformats-officedocument.wordprocessingml.header+xml"/>
  <Override PartName="/word/footer217.xml" ContentType="application/vnd.openxmlformats-officedocument.wordprocessingml.foot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header221.xml" ContentType="application/vnd.openxmlformats-officedocument.wordprocessingml.header+xml"/>
  <Override PartName="/word/footer220.xml" ContentType="application/vnd.openxmlformats-officedocument.wordprocessingml.foot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header224.xml" ContentType="application/vnd.openxmlformats-officedocument.wordprocessingml.header+xml"/>
  <Override PartName="/word/footer223.xml" ContentType="application/vnd.openxmlformats-officedocument.wordprocessingml.foot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7ECEA" w14:textId="66023413" w:rsidR="00FB4822" w:rsidRPr="00DE4E4F" w:rsidRDefault="00A92D67" w:rsidP="00A92D67">
      <w:pPr>
        <w:pStyle w:val="Pagedecouverture"/>
        <w:rPr>
          <w:noProof/>
        </w:rPr>
      </w:pPr>
      <w:bookmarkStart w:id="0" w:name="LW_BM_COVERPAGE"/>
      <w:r>
        <w:rPr>
          <w:noProof/>
        </w:rPr>
        <w:pict w14:anchorId="7C6102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2FBD151-5F98-4E1A-B891-859DD5D2CC47" style="width:455.25pt;height:372.75pt">
            <v:imagedata r:id="rId11" o:title=""/>
          </v:shape>
        </w:pict>
      </w:r>
    </w:p>
    <w:bookmarkEnd w:id="0"/>
    <w:p w14:paraId="5FADCECE" w14:textId="77777777" w:rsidR="0067105D" w:rsidRPr="00DE4E4F" w:rsidRDefault="0067105D" w:rsidP="0067105D">
      <w:pPr>
        <w:rPr>
          <w:noProof/>
        </w:rPr>
        <w:sectPr w:rsidR="0067105D" w:rsidRPr="00DE4E4F" w:rsidSect="00A92D67">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2"/>
          <w:cols w:space="720"/>
          <w:docGrid w:linePitch="360"/>
        </w:sectPr>
      </w:pPr>
    </w:p>
    <w:p w14:paraId="26C976AB" w14:textId="77777777" w:rsidR="001B186F" w:rsidRPr="00DE4E4F" w:rsidRDefault="0074517F">
      <w:pPr>
        <w:spacing w:before="120" w:after="120" w:line="240" w:lineRule="auto"/>
        <w:jc w:val="center"/>
        <w:rPr>
          <w:rFonts w:ascii="Times New Roman" w:hAnsi="Times New Roman" w:cs="Times New Roman"/>
          <w:b/>
          <w:bCs/>
          <w:noProof/>
          <w:u w:val="single"/>
        </w:rPr>
      </w:pPr>
      <w:bookmarkStart w:id="1" w:name="_GoBack"/>
      <w:bookmarkEnd w:id="1"/>
      <w:r w:rsidRPr="00DE4E4F">
        <w:rPr>
          <w:rFonts w:ascii="Times New Roman" w:hAnsi="Times New Roman" w:cs="Times New Roman"/>
          <w:b/>
          <w:bCs/>
          <w:noProof/>
          <w:u w:val="single"/>
        </w:rPr>
        <w:lastRenderedPageBreak/>
        <w:t>ANNEX</w:t>
      </w:r>
    </w:p>
    <w:p w14:paraId="19DA4ADA" w14:textId="77777777" w:rsidR="001B186F" w:rsidRPr="00DE4E4F" w:rsidRDefault="001B186F">
      <w:pPr>
        <w:spacing w:before="120" w:after="120" w:line="240" w:lineRule="auto"/>
        <w:jc w:val="center"/>
        <w:rPr>
          <w:rFonts w:ascii="Times New Roman" w:hAnsi="Times New Roman" w:cs="Times New Roman"/>
          <w:b/>
          <w:bCs/>
          <w:noProof/>
        </w:rPr>
      </w:pPr>
    </w:p>
    <w:p w14:paraId="667640AB" w14:textId="77777777" w:rsidR="001B186F" w:rsidRPr="00DE4E4F" w:rsidRDefault="0074517F">
      <w:pPr>
        <w:keepNext/>
        <w:tabs>
          <w:tab w:val="num" w:pos="850"/>
        </w:tabs>
        <w:spacing w:before="360" w:after="0" w:line="259" w:lineRule="auto"/>
        <w:jc w:val="both"/>
        <w:outlineLvl w:val="0"/>
        <w:rPr>
          <w:rFonts w:ascii="Times New Roman" w:hAnsi="Times New Roman"/>
          <w:b/>
          <w:smallCaps/>
          <w:noProof/>
          <w:sz w:val="24"/>
        </w:rPr>
      </w:pPr>
      <w:r w:rsidRPr="00DE4E4F">
        <w:rPr>
          <w:rFonts w:ascii="Times New Roman" w:hAnsi="Times New Roman"/>
          <w:b/>
          <w:smallCaps/>
          <w:noProof/>
          <w:sz w:val="24"/>
        </w:rPr>
        <w:t>SECTION 1: REFORMS AND INVESTMENTS UNDER THE RECOVERY AND RESILIENCE PLAN</w:t>
      </w:r>
    </w:p>
    <w:p w14:paraId="619BD828" w14:textId="77777777" w:rsidR="001B186F" w:rsidRPr="00DE4E4F" w:rsidRDefault="001B186F">
      <w:pPr>
        <w:spacing w:before="120" w:after="120" w:line="240" w:lineRule="auto"/>
        <w:jc w:val="both"/>
        <w:rPr>
          <w:rFonts w:ascii="Times New Roman" w:hAnsi="Times New Roman" w:cs="Times New Roman"/>
          <w:noProof/>
          <w:sz w:val="24"/>
        </w:rPr>
      </w:pPr>
    </w:p>
    <w:p w14:paraId="32C04FEC" w14:textId="77777777" w:rsidR="001B186F" w:rsidRPr="00DE4E4F" w:rsidRDefault="0074517F">
      <w:pPr>
        <w:pStyle w:val="ListParagraph"/>
        <w:keepNext/>
        <w:numPr>
          <w:ilvl w:val="0"/>
          <w:numId w:val="19"/>
        </w:numPr>
        <w:spacing w:before="240" w:after="240" w:line="259" w:lineRule="auto"/>
        <w:ind w:left="714" w:hanging="357"/>
        <w:contextualSpacing w:val="0"/>
        <w:jc w:val="both"/>
        <w:outlineLvl w:val="1"/>
        <w:rPr>
          <w:rFonts w:ascii="Times New Roman" w:hAnsi="Times New Roman"/>
          <w:b/>
          <w:noProof/>
          <w:sz w:val="24"/>
          <w:u w:val="single"/>
        </w:rPr>
      </w:pPr>
      <w:r w:rsidRPr="00DE4E4F">
        <w:rPr>
          <w:rFonts w:ascii="Times New Roman" w:hAnsi="Times New Roman"/>
          <w:b/>
          <w:noProof/>
          <w:sz w:val="24"/>
          <w:u w:val="single"/>
        </w:rPr>
        <w:t xml:space="preserve">Description of Reforms and Investments </w:t>
      </w:r>
    </w:p>
    <w:p w14:paraId="16C6DEF6" w14:textId="77777777" w:rsidR="001B186F" w:rsidRPr="00DE4E4F" w:rsidRDefault="0074517F">
      <w:pPr>
        <w:pStyle w:val="ListParagraph"/>
        <w:numPr>
          <w:ilvl w:val="0"/>
          <w:numId w:val="20"/>
        </w:numPr>
        <w:spacing w:before="240" w:after="120" w:line="240" w:lineRule="auto"/>
        <w:ind w:left="363" w:hanging="357"/>
        <w:jc w:val="both"/>
        <w:outlineLvl w:val="3"/>
        <w:rPr>
          <w:rFonts w:ascii="Times New Roman" w:hAnsi="Times New Roman" w:cs="Times New Roman"/>
          <w:b/>
          <w:bCs/>
          <w:noProof/>
          <w:sz w:val="24"/>
        </w:rPr>
      </w:pPr>
      <w:r w:rsidRPr="00DE4E4F">
        <w:rPr>
          <w:rFonts w:ascii="Times New Roman" w:hAnsi="Times New Roman"/>
          <w:b/>
          <w:noProof/>
          <w:sz w:val="24"/>
        </w:rPr>
        <w:t>COMPONENT 1.1: POWER UP</w:t>
      </w:r>
    </w:p>
    <w:p w14:paraId="66644F1E" w14:textId="3A0E66B1" w:rsidR="001B186F" w:rsidRPr="00DE4E4F" w:rsidRDefault="0074517F">
      <w:pPr>
        <w:jc w:val="both"/>
        <w:rPr>
          <w:rFonts w:ascii="Times New Roman" w:hAnsi="Times New Roman"/>
          <w:noProof/>
          <w:sz w:val="24"/>
        </w:rPr>
      </w:pPr>
      <w:r w:rsidRPr="00DE4E4F">
        <w:rPr>
          <w:rFonts w:ascii="Times New Roman" w:hAnsi="Times New Roman"/>
          <w:noProof/>
          <w:sz w:val="24"/>
        </w:rPr>
        <w:t>This component of the Greek recovery and resilience plan targets reforms and investments to increase the weight of renewable energy sources in the electricity system and facilitate Greece’s process of decarbonisation. Reforms shall simplify licensing rules for renewable energy investment, make the electricity market more efficient, and secure the financial sustainability of support schemes. The component also includes key investments in networks to complete the interconnection with the Cyclades islands and make electricity distribution more environment-friendly and able to absorb a greater share of renewable energy. Storage systems shall also support the decarbonisation of the economy through accumulating surplus renewable electricity. Land rehabilitation shall also be supported in areas currently used as lignite mines, as a step of the just transition process in the territories most affected by the phase-out of lignite. The component is in line with the National Energy and Climate Plan (NECP) and supports addressing the country-specific recommendations on public and private investment (Country Specific Recommendation 3 of 2020 and Country Specific Recommendation 2 of 2019).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13C243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u w:val="single"/>
        </w:rPr>
        <w:t>A.1. Description of the reforms and investments for non-repayable financial support</w:t>
      </w:r>
    </w:p>
    <w:p w14:paraId="6B47190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 xml:space="preserve">Investment: </w:t>
      </w:r>
      <w:r w:rsidRPr="00DE4E4F">
        <w:rPr>
          <w:rFonts w:ascii="Times New Roman" w:hAnsi="Times New Roman"/>
          <w:noProof/>
          <w:sz w:val="24"/>
        </w:rPr>
        <w:t>Support of the installation of storage systems to enhance renewable energy (RES) penetration (measure ID: 16926)</w:t>
      </w:r>
    </w:p>
    <w:p w14:paraId="21988F8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alleviate network congestion and increase the flexibility of the electricity system. The measure consists of the installation of battery energy storage systems and the construction of a pumped hydro storage system.</w:t>
      </w:r>
    </w:p>
    <w:p w14:paraId="74C6909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 xml:space="preserve">Investment: </w:t>
      </w:r>
      <w:r w:rsidRPr="00DE4E4F">
        <w:rPr>
          <w:rFonts w:ascii="Times New Roman" w:hAnsi="Times New Roman"/>
          <w:noProof/>
          <w:sz w:val="24"/>
        </w:rPr>
        <w:t>Revitalization actions in Just transition territories (measure ID: 16871)</w:t>
      </w:r>
    </w:p>
    <w:p w14:paraId="00A608A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the revitalisation of Just transition territories. The measure consists of grants for financing land rehabilitation in the transferred areas of former lignite mines in Western Macedonia and Megalopolis. </w:t>
      </w:r>
    </w:p>
    <w:p w14:paraId="7CA7158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Interventions for the electricity interconnection of islands and investments in the electricity network (measure ID: 16870)</w:t>
      </w:r>
    </w:p>
    <w:p w14:paraId="30F1EFF4" w14:textId="0BD75AF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invest in the energy system security with the interconnection of islands and the execution of investments in the electricity network. The investment consists of the construction of electricity interconnection of the Cyclades Islands (Phase D), the upgrading of Extra High Voltage Centre (EHVC) Koumoundouros, </w:t>
      </w:r>
      <w:r w:rsidRPr="00DE4E4F">
        <w:rPr>
          <w:rFonts w:ascii="Times New Roman" w:hAnsi="Times New Roman" w:cs="Times New Roman"/>
          <w:noProof/>
          <w:color w:val="000000" w:themeColor="text1"/>
          <w:sz w:val="24"/>
          <w:szCs w:val="24"/>
        </w:rPr>
        <w:t xml:space="preserve">and the </w:t>
      </w:r>
      <w:r w:rsidR="00DA3D50" w:rsidRPr="00DE4E4F">
        <w:rPr>
          <w:rFonts w:ascii="Times New Roman" w:hAnsi="Times New Roman" w:cs="Times New Roman"/>
          <w:noProof/>
          <w:color w:val="000000" w:themeColor="text1"/>
          <w:sz w:val="24"/>
          <w:szCs w:val="24"/>
        </w:rPr>
        <w:t xml:space="preserve">installation of transmission towers for the </w:t>
      </w:r>
      <w:r w:rsidRPr="00DE4E4F">
        <w:rPr>
          <w:rFonts w:ascii="Times New Roman" w:hAnsi="Times New Roman" w:cs="Times New Roman"/>
          <w:noProof/>
          <w:color w:val="000000" w:themeColor="text1"/>
          <w:sz w:val="24"/>
          <w:szCs w:val="24"/>
        </w:rPr>
        <w:t xml:space="preserve">construction of an overhead line connecting </w:t>
      </w:r>
      <w:r w:rsidRPr="00DE4E4F">
        <w:rPr>
          <w:rFonts w:ascii="Times New Roman" w:eastAsiaTheme="minorEastAsia" w:hAnsi="Times New Roman" w:cs="Times New Roman"/>
          <w:noProof/>
          <w:sz w:val="24"/>
          <w:szCs w:val="24"/>
        </w:rPr>
        <w:t xml:space="preserve">Extra High Voltage Center (EHVC) Corinth and EHVC Koumoundouros. </w:t>
      </w:r>
    </w:p>
    <w:p w14:paraId="4C8F381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Investment: </w:t>
      </w:r>
      <w:r w:rsidRPr="00DE4E4F">
        <w:rPr>
          <w:rFonts w:ascii="Times New Roman" w:hAnsi="Times New Roman"/>
          <w:noProof/>
          <w:sz w:val="24"/>
          <w:szCs w:val="24"/>
        </w:rPr>
        <w:t>Hellenic Electricity Distribution Network Operator (HEDNO) network upgrades aiming at enhancing resilience and protecting the environment (measure ID: 16901)</w:t>
      </w:r>
    </w:p>
    <w:p w14:paraId="2D6772A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investment consists of undergrounding and rerouting of the electricity distribution network in settlements of special importance from a cultural or tourism point of view as well as city areas, with priority given to areas where the infrastructure is vulnerable to extreme weather. It aims to improve the resilience of the distribution network and contribute to the protection of the environment. The implementation of the investment shall be completed by 31 December 2025.</w:t>
      </w:r>
    </w:p>
    <w:p w14:paraId="74A6D951" w14:textId="011E7A33"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Hellenic Electricity Distribution Network Operator (HEDNO) network</w:t>
      </w:r>
      <w:r w:rsidR="006B7878" w:rsidRPr="00DE4E4F">
        <w:rPr>
          <w:rFonts w:ascii="Times New Roman" w:hAnsi="Times New Roman"/>
          <w:noProof/>
          <w:sz w:val="24"/>
          <w:szCs w:val="24"/>
        </w:rPr>
        <w:t xml:space="preserve"> upgrades</w:t>
      </w:r>
      <w:r w:rsidRPr="00DE4E4F">
        <w:rPr>
          <w:rFonts w:ascii="Times New Roman" w:hAnsi="Times New Roman"/>
          <w:noProof/>
          <w:sz w:val="24"/>
          <w:szCs w:val="24"/>
        </w:rPr>
        <w:t xml:space="preserve"> (measure ID: 16900)</w:t>
      </w:r>
    </w:p>
    <w:p w14:paraId="3FEBF86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support the resilience and reliability the electricity distribution network. The measure consists in the replacement of bare conductors in the overhead network, installation of insulating covers, and undergrounding or rerouting of electricity lines in forest areas, and city zones. </w:t>
      </w:r>
    </w:p>
    <w:p w14:paraId="5AA56A8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Hellenic Electricity Distribution Network Operator (HEDNO) High Voltage/Medium Voltage substations (measure ID: 16899)</w:t>
      </w:r>
    </w:p>
    <w:p w14:paraId="16F5629D" w14:textId="730B3BB1"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mitigate the congestion of the electricity distribution network. the measure consists of the increase of the capacity of existing substations of the network.</w:t>
      </w:r>
      <w:r w:rsidR="00DE4C0C" w:rsidRPr="00DE4E4F">
        <w:rPr>
          <w:rFonts w:ascii="Times New Roman" w:hAnsi="Times New Roman"/>
          <w:noProof/>
          <w:sz w:val="24"/>
          <w:szCs w:val="24"/>
        </w:rPr>
        <w:t xml:space="preserve"> </w:t>
      </w:r>
    </w:p>
    <w:p w14:paraId="5ED4EE2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Restructuring and enhancement of the Renewable Energy Sources-Combined Heat and Power (RES-CHP) Account revenues (measure ID: 16865)</w:t>
      </w:r>
    </w:p>
    <w:p w14:paraId="29C08B09" w14:textId="77777777"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 xml:space="preserve">The reform consists of: (a) the restructuring of the existing remuneration structure for RES Producers, through the establishment for new RES units (commissioned after 1 January 2021) of a New RES-CHP Account replacing the current one complemented by new mechanisms that shall guarantee the financial viability of both of the existing and the New RES-CHP Accounts; and (b) the introduction of a Guarantees of Origin trading system, of an extraordinary “Covid-19 Duty” for RES producers and Suppliers, and of a permanent “carbon tax” on diesel fuel. The measures shall ensure the viability of the existing installed RES capacity and shall facilitate the financing of new projects in RES, as any unexpected inflows/outflows leading to a negative impact on the RES account(s) shall be addressed through the regulatory fees that shall be passed on to the customers. </w:t>
      </w:r>
    </w:p>
    <w:p w14:paraId="5AA2955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implementation of the reform, including an increase of 3 Gigawatt in the electricity production capacity from renewable energy sources, shall be completed by 30 June 2025.</w:t>
      </w:r>
    </w:p>
    <w:p w14:paraId="2A47DF8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Streamline the efficient operation of the new electricity market model and the development of new RES plants to reach NECP targets through the implementation of monitoring mechanism, the participation of demand response and an extensive reform of the licensing procedure for new RES (measure ID: 16860)</w:t>
      </w:r>
    </w:p>
    <w:p w14:paraId="22563AD8" w14:textId="5697DA39" w:rsidR="001B186F" w:rsidRPr="00DE4E4F" w:rsidRDefault="00DE4C0C">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br w:type="page"/>
      </w:r>
      <w:r w:rsidR="0074517F" w:rsidRPr="00DE4E4F">
        <w:rPr>
          <w:rFonts w:ascii="Times New Roman" w:hAnsi="Times New Roman"/>
          <w:noProof/>
          <w:sz w:val="24"/>
          <w:szCs w:val="24"/>
        </w:rPr>
        <w:t>The reform consists of streamlining of the licensing framework for RES, including simplification and digitalisation of procedures, short and binding administrative response times and accountability procedures for unnecessary delays, reduction of the necessary documentation and procedures, as well as a new dedicated framework for offshore RES plants. The aim is to accelerate the doubling of the installed capacity of RES in view of the lignite phase-out in Greece.</w:t>
      </w:r>
    </w:p>
    <w:p w14:paraId="611C484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Finally, the reform shall also establish a market monitoring system for the National Regulatory Authority (RAE) and the participation of demand-side response (DSR) in the balancing market. </w:t>
      </w:r>
    </w:p>
    <w:p w14:paraId="150DEDD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implementation of the reform shall be completed by 30 June 2022.</w:t>
      </w:r>
    </w:p>
    <w:p w14:paraId="1E8674BB" w14:textId="77777777" w:rsidR="001B186F" w:rsidRPr="00DE4E4F" w:rsidRDefault="001B186F" w:rsidP="791DA19A">
      <w:pPr>
        <w:spacing w:before="120" w:after="120" w:line="240" w:lineRule="auto"/>
        <w:jc w:val="both"/>
        <w:rPr>
          <w:rFonts w:ascii="Times New Roman" w:hAnsi="Times New Roman" w:cs="Times New Roman"/>
          <w:noProof/>
          <w:sz w:val="24"/>
          <w:szCs w:val="24"/>
        </w:rPr>
      </w:pPr>
    </w:p>
    <w:p w14:paraId="4FA25E44" w14:textId="43873E09" w:rsidR="5578A404" w:rsidRPr="00DE4E4F" w:rsidRDefault="12D58E0E" w:rsidP="09B94FC5">
      <w:pPr>
        <w:spacing w:before="120" w:after="120" w:line="240" w:lineRule="auto"/>
        <w:jc w:val="both"/>
        <w:rPr>
          <w:noProof/>
        </w:rPr>
      </w:pPr>
      <w:r w:rsidRPr="00DE4E4F">
        <w:rPr>
          <w:rFonts w:ascii="Times New Roman" w:hAnsi="Times New Roman" w:cs="Times New Roman"/>
          <w:b/>
          <w:noProof/>
          <w:sz w:val="24"/>
          <w:szCs w:val="24"/>
        </w:rPr>
        <w:t>Investment</w:t>
      </w:r>
      <w:r w:rsidRPr="00DE4E4F">
        <w:rPr>
          <w:rFonts w:ascii="Times New Roman" w:hAnsi="Times New Roman" w:cs="Times New Roman"/>
          <w:noProof/>
          <w:sz w:val="24"/>
          <w:szCs w:val="24"/>
        </w:rPr>
        <w:t xml:space="preserve">: Contribution of DES ADMIE in IPTO’s share capital increase </w:t>
      </w:r>
      <w:r w:rsidR="5578A404" w:rsidRPr="00DE4E4F">
        <w:rPr>
          <w:rFonts w:ascii="Times New Roman" w:hAnsi="Times New Roman" w:cs="Times New Roman"/>
          <w:noProof/>
          <w:sz w:val="24"/>
          <w:szCs w:val="24"/>
        </w:rPr>
        <w:t>(measure ID 16880)</w:t>
      </w:r>
    </w:p>
    <w:p w14:paraId="77989269" w14:textId="0FCCC29E" w:rsidR="001B186F" w:rsidRPr="00DE4E4F" w:rsidRDefault="00897759">
      <w:pPr>
        <w:spacing w:before="120" w:after="12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objective of the measure is to contribute to the share capital increase of EUR 1 billion to the Independent Power Transmission Operator (IPTO). The measure consists in the transfer of a</w:t>
      </w:r>
      <w:r w:rsidR="003F7096" w:rsidRPr="00DE4E4F">
        <w:rPr>
          <w:rFonts w:ascii="Times New Roman" w:hAnsi="Times New Roman" w:cs="Times New Roman"/>
          <w:noProof/>
          <w:sz w:val="24"/>
          <w:szCs w:val="24"/>
        </w:rPr>
        <w:t>n</w:t>
      </w:r>
      <w:r w:rsidRPr="00DE4E4F">
        <w:rPr>
          <w:rFonts w:ascii="Times New Roman" w:hAnsi="Times New Roman" w:cs="Times New Roman"/>
          <w:noProof/>
          <w:sz w:val="24"/>
          <w:szCs w:val="24"/>
        </w:rPr>
        <w:t xml:space="preserve"> </w:t>
      </w:r>
      <w:r w:rsidR="003F7096" w:rsidRPr="00DE4E4F">
        <w:rPr>
          <w:rFonts w:ascii="Times New Roman" w:hAnsi="Times New Roman" w:cs="Times New Roman"/>
          <w:noProof/>
          <w:sz w:val="24"/>
          <w:szCs w:val="24"/>
        </w:rPr>
        <w:t>amount</w:t>
      </w:r>
      <w:r w:rsidRPr="00DE4E4F">
        <w:rPr>
          <w:rFonts w:ascii="Times New Roman" w:hAnsi="Times New Roman" w:cs="Times New Roman"/>
          <w:noProof/>
          <w:sz w:val="24"/>
          <w:szCs w:val="24"/>
        </w:rPr>
        <w:t xml:space="preserve"> of EUR 370,9 million from Greece to DES ADMIE (entity holding shares </w:t>
      </w:r>
      <w:r w:rsidR="00C15D08" w:rsidRPr="00DE4E4F">
        <w:rPr>
          <w:rFonts w:ascii="Times New Roman" w:hAnsi="Times New Roman" w:cs="Times New Roman"/>
          <w:noProof/>
          <w:sz w:val="24"/>
          <w:szCs w:val="24"/>
        </w:rPr>
        <w:t xml:space="preserve">on behalf </w:t>
      </w:r>
      <w:r w:rsidRPr="00DE4E4F">
        <w:rPr>
          <w:rFonts w:ascii="Times New Roman" w:hAnsi="Times New Roman" w:cs="Times New Roman"/>
          <w:noProof/>
          <w:sz w:val="24"/>
          <w:szCs w:val="24"/>
        </w:rPr>
        <w:t>of the Greek State in IPTO) to contribute to IPTO’s share capital increase, including through ADMIE Holding.</w:t>
      </w:r>
    </w:p>
    <w:p w14:paraId="72103474" w14:textId="77777777" w:rsidR="00897759" w:rsidRPr="00DE4E4F" w:rsidRDefault="00897759" w:rsidP="00897759">
      <w:pPr>
        <w:rPr>
          <w:rFonts w:ascii="Times New Roman" w:hAnsi="Times New Roman" w:cs="Times New Roman"/>
          <w:b/>
          <w:noProof/>
          <w:sz w:val="24"/>
          <w:szCs w:val="24"/>
        </w:rPr>
      </w:pPr>
    </w:p>
    <w:p w14:paraId="149BCEC9" w14:textId="2C53B9F5" w:rsidR="00897759" w:rsidRPr="00DE4E4F" w:rsidRDefault="00897759" w:rsidP="00897759">
      <w:pPr>
        <w:rPr>
          <w:rFonts w:ascii="Times New Roman" w:hAnsi="Times New Roman" w:cs="Times New Roman"/>
          <w:noProof/>
          <w:sz w:val="24"/>
          <w:szCs w:val="24"/>
        </w:rPr>
        <w:sectPr w:rsidR="00897759" w:rsidRPr="00DE4E4F" w:rsidSect="0067105D">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pgNumType w:start="2"/>
          <w:cols w:space="720"/>
          <w:docGrid w:linePitch="360"/>
        </w:sectPr>
      </w:pPr>
    </w:p>
    <w:p w14:paraId="6FD8F1AA"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rPr>
      </w:pPr>
      <w:r w:rsidRPr="00DE4E4F">
        <w:rPr>
          <w:rFonts w:ascii="Times New Roman" w:hAnsi="Times New Roman"/>
          <w:b/>
          <w:noProof/>
          <w:sz w:val="24"/>
          <w:u w:val="single"/>
        </w:rPr>
        <w:t>A.2. Milestones, targets, indicators, and timetable for monitoring and implementation for non-repayable financial support</w:t>
      </w:r>
    </w:p>
    <w:p w14:paraId="70BC0B3A"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Top investment 1: Interventions for the electricity interconnection of islands and the upgrading of the electricity network</w:t>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46"/>
        <w:gridCol w:w="1173"/>
        <w:gridCol w:w="1513"/>
        <w:gridCol w:w="1690"/>
        <w:gridCol w:w="951"/>
        <w:gridCol w:w="1047"/>
        <w:gridCol w:w="651"/>
        <w:gridCol w:w="896"/>
        <w:gridCol w:w="10"/>
        <w:gridCol w:w="887"/>
        <w:gridCol w:w="3411"/>
      </w:tblGrid>
      <w:tr w:rsidR="005467DA" w:rsidRPr="00DE4E4F" w14:paraId="78786DB4" w14:textId="77777777">
        <w:trPr>
          <w:trHeight w:val="675"/>
          <w:tblHeader/>
        </w:trPr>
        <w:tc>
          <w:tcPr>
            <w:tcW w:w="738" w:type="dxa"/>
            <w:vMerge w:val="restart"/>
            <w:shd w:val="clear" w:color="auto" w:fill="BDD7EE"/>
            <w:vAlign w:val="center"/>
            <w:hideMark/>
          </w:tcPr>
          <w:p w14:paraId="7907B5AA" w14:textId="77777777" w:rsidR="001B186F" w:rsidRPr="00DE4E4F" w:rsidRDefault="0074517F">
            <w:pPr>
              <w:spacing w:before="120" w:after="120" w:line="240" w:lineRule="auto"/>
              <w:jc w:val="center"/>
              <w:rPr>
                <w:rFonts w:ascii="Times New Roman" w:hAnsi="Times New Roman"/>
                <w:b/>
                <w:noProof/>
                <w:sz w:val="18"/>
              </w:rPr>
            </w:pPr>
            <w:r w:rsidRPr="00DE4E4F">
              <w:rPr>
                <w:rFonts w:ascii="Times New Roman" w:hAnsi="Times New Roman"/>
                <w:b/>
                <w:noProof/>
                <w:sz w:val="18"/>
              </w:rPr>
              <w:t>Seq.</w:t>
            </w:r>
            <w:r w:rsidRPr="00DE4E4F">
              <w:rPr>
                <w:rFonts w:ascii="Times New Roman" w:hAnsi="Times New Roman"/>
                <w:b/>
                <w:noProof/>
                <w:sz w:val="18"/>
              </w:rPr>
              <w:br/>
              <w:t>No</w:t>
            </w:r>
          </w:p>
        </w:tc>
        <w:tc>
          <w:tcPr>
            <w:tcW w:w="1946" w:type="dxa"/>
            <w:vMerge w:val="restart"/>
            <w:shd w:val="clear" w:color="auto" w:fill="BDD7EE"/>
            <w:vAlign w:val="center"/>
            <w:hideMark/>
          </w:tcPr>
          <w:p w14:paraId="37D135DE"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Related Measure (Reform or Investment)</w:t>
            </w:r>
          </w:p>
        </w:tc>
        <w:tc>
          <w:tcPr>
            <w:tcW w:w="1173" w:type="dxa"/>
            <w:vMerge w:val="restart"/>
            <w:shd w:val="clear" w:color="auto" w:fill="BDD7EE"/>
            <w:vAlign w:val="center"/>
            <w:hideMark/>
          </w:tcPr>
          <w:p w14:paraId="700C49E8"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Milestone / Target</w:t>
            </w:r>
          </w:p>
        </w:tc>
        <w:tc>
          <w:tcPr>
            <w:tcW w:w="1513" w:type="dxa"/>
            <w:vMerge w:val="restart"/>
            <w:shd w:val="clear" w:color="auto" w:fill="BDD7EE"/>
            <w:vAlign w:val="center"/>
            <w:hideMark/>
          </w:tcPr>
          <w:p w14:paraId="227C3554"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Name</w:t>
            </w:r>
          </w:p>
        </w:tc>
        <w:tc>
          <w:tcPr>
            <w:tcW w:w="1690" w:type="dxa"/>
            <w:vMerge w:val="restart"/>
            <w:shd w:val="clear" w:color="auto" w:fill="BDD7EE"/>
            <w:vAlign w:val="center"/>
            <w:hideMark/>
          </w:tcPr>
          <w:p w14:paraId="1216AEA9"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Qualitative indicators (for milestones)</w:t>
            </w:r>
          </w:p>
        </w:tc>
        <w:tc>
          <w:tcPr>
            <w:tcW w:w="2649" w:type="dxa"/>
            <w:gridSpan w:val="3"/>
            <w:shd w:val="clear" w:color="auto" w:fill="BDD7EE"/>
            <w:vAlign w:val="center"/>
            <w:hideMark/>
          </w:tcPr>
          <w:p w14:paraId="0B374664"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 xml:space="preserve">Quantitative indicators </w:t>
            </w:r>
            <w:r w:rsidRPr="00DE4E4F">
              <w:rPr>
                <w:rFonts w:ascii="Times New Roman" w:hAnsi="Times New Roman"/>
                <w:b/>
                <w:noProof/>
                <w:sz w:val="18"/>
              </w:rPr>
              <w:br/>
              <w:t>(for targets)</w:t>
            </w:r>
          </w:p>
        </w:tc>
        <w:tc>
          <w:tcPr>
            <w:tcW w:w="1793" w:type="dxa"/>
            <w:gridSpan w:val="3"/>
            <w:shd w:val="clear" w:color="auto" w:fill="BDD7EE"/>
            <w:vAlign w:val="center"/>
            <w:hideMark/>
          </w:tcPr>
          <w:p w14:paraId="62941842" w14:textId="77777777" w:rsidR="001B186F" w:rsidRPr="00DE4E4F" w:rsidRDefault="0074517F">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Indicative timeline for completion</w:t>
            </w:r>
          </w:p>
        </w:tc>
        <w:tc>
          <w:tcPr>
            <w:tcW w:w="3411" w:type="dxa"/>
            <w:vMerge w:val="restart"/>
            <w:shd w:val="clear" w:color="auto" w:fill="BDD7EE"/>
            <w:vAlign w:val="center"/>
            <w:hideMark/>
          </w:tcPr>
          <w:p w14:paraId="66738313"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b/>
                <w:noProof/>
                <w:sz w:val="18"/>
              </w:rPr>
              <w:t>Description of each milestone and target</w:t>
            </w:r>
          </w:p>
        </w:tc>
      </w:tr>
      <w:tr w:rsidR="005467DA" w:rsidRPr="00DE4E4F" w14:paraId="64B9D64C" w14:textId="77777777">
        <w:trPr>
          <w:trHeight w:val="268"/>
          <w:tblHeader/>
        </w:trPr>
        <w:tc>
          <w:tcPr>
            <w:tcW w:w="738" w:type="dxa"/>
            <w:vMerge/>
            <w:vAlign w:val="center"/>
          </w:tcPr>
          <w:p w14:paraId="3F15919F"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946" w:type="dxa"/>
            <w:vMerge/>
            <w:vAlign w:val="center"/>
          </w:tcPr>
          <w:p w14:paraId="398044B9"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173" w:type="dxa"/>
            <w:vMerge/>
            <w:vAlign w:val="center"/>
          </w:tcPr>
          <w:p w14:paraId="08D93D62"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513" w:type="dxa"/>
            <w:vMerge/>
            <w:vAlign w:val="center"/>
          </w:tcPr>
          <w:p w14:paraId="111499B8"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690" w:type="dxa"/>
            <w:vMerge/>
            <w:vAlign w:val="center"/>
          </w:tcPr>
          <w:p w14:paraId="5E59D566"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951" w:type="dxa"/>
            <w:shd w:val="clear" w:color="auto" w:fill="BDD7EE"/>
            <w:vAlign w:val="center"/>
          </w:tcPr>
          <w:p w14:paraId="375C94AE"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047" w:type="dxa"/>
            <w:shd w:val="clear" w:color="auto" w:fill="BDD7EE"/>
            <w:vAlign w:val="center"/>
          </w:tcPr>
          <w:p w14:paraId="75C09CE4"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651" w:type="dxa"/>
            <w:shd w:val="clear" w:color="auto" w:fill="BDD7EE"/>
            <w:vAlign w:val="center"/>
          </w:tcPr>
          <w:p w14:paraId="794FD42E"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96" w:type="dxa"/>
            <w:shd w:val="clear" w:color="auto" w:fill="BDD7EE"/>
            <w:vAlign w:val="center"/>
          </w:tcPr>
          <w:p w14:paraId="068BE492"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97" w:type="dxa"/>
            <w:gridSpan w:val="2"/>
            <w:shd w:val="clear" w:color="auto" w:fill="BDD7EE"/>
            <w:vAlign w:val="center"/>
          </w:tcPr>
          <w:p w14:paraId="3FCC7241"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411" w:type="dxa"/>
            <w:vMerge/>
            <w:vAlign w:val="center"/>
          </w:tcPr>
          <w:p w14:paraId="214810D1"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r>
      <w:tr w:rsidR="00DE2B08" w:rsidRPr="00DE4E4F" w14:paraId="6FB8DF87" w14:textId="77777777">
        <w:tc>
          <w:tcPr>
            <w:tcW w:w="738" w:type="dxa"/>
            <w:shd w:val="clear" w:color="auto" w:fill="C6EFCE"/>
            <w:noWrap/>
          </w:tcPr>
          <w:p w14:paraId="485F208A"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1</w:t>
            </w:r>
          </w:p>
        </w:tc>
        <w:tc>
          <w:tcPr>
            <w:tcW w:w="1946" w:type="dxa"/>
            <w:shd w:val="clear" w:color="auto" w:fill="C6EFCE"/>
            <w:noWrap/>
          </w:tcPr>
          <w:p w14:paraId="04701C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- 16870_Interventions for the electricity interconnection of islands and the upgrading of the electricity network</w:t>
            </w:r>
          </w:p>
        </w:tc>
        <w:tc>
          <w:tcPr>
            <w:tcW w:w="1173" w:type="dxa"/>
            <w:shd w:val="clear" w:color="auto" w:fill="C6EFCE"/>
            <w:noWrap/>
          </w:tcPr>
          <w:p w14:paraId="5BFFA1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13" w:type="dxa"/>
            <w:shd w:val="clear" w:color="auto" w:fill="C6EFCE"/>
            <w:noWrap/>
          </w:tcPr>
          <w:p w14:paraId="78D21136"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Interconnection of islands - contract awards</w:t>
            </w:r>
          </w:p>
        </w:tc>
        <w:tc>
          <w:tcPr>
            <w:tcW w:w="1690" w:type="dxa"/>
            <w:shd w:val="clear" w:color="auto" w:fill="C6EFCE"/>
            <w:noWrap/>
          </w:tcPr>
          <w:p w14:paraId="2DEB4C3D" w14:textId="77777777" w:rsidR="001B186F" w:rsidRPr="00DE4E4F" w:rsidRDefault="0074517F">
            <w:pPr>
              <w:spacing w:after="12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Notification of award of all contracts</w:t>
            </w:r>
          </w:p>
        </w:tc>
        <w:tc>
          <w:tcPr>
            <w:tcW w:w="951" w:type="dxa"/>
            <w:shd w:val="clear" w:color="auto" w:fill="C6EFCE"/>
            <w:noWrap/>
          </w:tcPr>
          <w:p w14:paraId="36D8914F"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1047" w:type="dxa"/>
            <w:shd w:val="clear" w:color="auto" w:fill="C6EFCE"/>
            <w:noWrap/>
          </w:tcPr>
          <w:p w14:paraId="2D4B52AD"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651" w:type="dxa"/>
            <w:shd w:val="clear" w:color="auto" w:fill="C6EFCE"/>
            <w:noWrap/>
          </w:tcPr>
          <w:p w14:paraId="3DAF7B8F"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906" w:type="dxa"/>
            <w:gridSpan w:val="2"/>
            <w:shd w:val="clear" w:color="auto" w:fill="C6EFCE"/>
            <w:noWrap/>
          </w:tcPr>
          <w:p w14:paraId="1023E615"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87" w:type="dxa"/>
            <w:shd w:val="clear" w:color="auto" w:fill="C6EFCE"/>
            <w:noWrap/>
          </w:tcPr>
          <w:p w14:paraId="4C3E71E5"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411" w:type="dxa"/>
            <w:shd w:val="clear" w:color="auto" w:fill="C6EFCE"/>
            <w:noWrap/>
          </w:tcPr>
          <w:p w14:paraId="12A435D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the award of all contracts by Independent Power Transmission Operator (IPTO) for the complete installation of:</w:t>
            </w:r>
          </w:p>
          <w:p w14:paraId="40B300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Naxos - Thira cable connection;</w:t>
            </w:r>
          </w:p>
          <w:p w14:paraId="2E2074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Extra High Voltage Cable (EHVC) Koumoundoros – Korinthos (parts 1 and 2); and</w:t>
            </w:r>
          </w:p>
          <w:p w14:paraId="2E1B7DE1"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3) Substations Milos, Folegandros, Serifos and cable connections Lavrio-Serifos, Serifos-Milos, Milos-Folegandros, Folegandros-Thira.</w:t>
            </w:r>
          </w:p>
        </w:tc>
      </w:tr>
      <w:tr w:rsidR="00DE2B08" w:rsidRPr="00DE4E4F" w14:paraId="28CCD133" w14:textId="77777777">
        <w:tc>
          <w:tcPr>
            <w:tcW w:w="738" w:type="dxa"/>
            <w:shd w:val="clear" w:color="auto" w:fill="C6EFCE"/>
            <w:noWrap/>
            <w:hideMark/>
          </w:tcPr>
          <w:p w14:paraId="22642020" w14:textId="77777777" w:rsidR="001B186F" w:rsidRPr="00DE4E4F" w:rsidRDefault="0074517F">
            <w:pPr>
              <w:spacing w:before="120" w:after="120" w:line="240" w:lineRule="auto"/>
              <w:rPr>
                <w:rFonts w:ascii="Times New Roman" w:hAnsi="Times New Roman" w:cs="Times New Roman"/>
                <w:noProof/>
                <w:sz w:val="24"/>
                <w:szCs w:val="24"/>
              </w:rPr>
            </w:pPr>
            <w:r w:rsidRPr="00DE4E4F">
              <w:rPr>
                <w:rFonts w:ascii="Times New Roman" w:hAnsi="Times New Roman" w:cs="Times New Roman"/>
                <w:noProof/>
                <w:color w:val="006100"/>
                <w:sz w:val="18"/>
                <w:szCs w:val="18"/>
              </w:rPr>
              <w:t>3</w:t>
            </w:r>
          </w:p>
        </w:tc>
        <w:tc>
          <w:tcPr>
            <w:tcW w:w="1946" w:type="dxa"/>
            <w:shd w:val="clear" w:color="auto" w:fill="C6EFCE"/>
            <w:noWrap/>
            <w:hideMark/>
          </w:tcPr>
          <w:p w14:paraId="76313C9F"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1 - 1.1. Power up - 16870_Interventions for the electricity interconnection of islands and the investments in the electricity network</w:t>
            </w:r>
          </w:p>
        </w:tc>
        <w:tc>
          <w:tcPr>
            <w:tcW w:w="1173" w:type="dxa"/>
            <w:shd w:val="clear" w:color="auto" w:fill="C6EFCE"/>
            <w:noWrap/>
            <w:hideMark/>
          </w:tcPr>
          <w:p w14:paraId="59EF8729"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Milestone</w:t>
            </w:r>
          </w:p>
        </w:tc>
        <w:tc>
          <w:tcPr>
            <w:tcW w:w="1513" w:type="dxa"/>
            <w:shd w:val="clear" w:color="auto" w:fill="C6EFCE"/>
            <w:noWrap/>
            <w:hideMark/>
          </w:tcPr>
          <w:p w14:paraId="55212335"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 xml:space="preserve">Interconnection of islands </w:t>
            </w:r>
          </w:p>
        </w:tc>
        <w:tc>
          <w:tcPr>
            <w:tcW w:w="1690" w:type="dxa"/>
            <w:shd w:val="clear" w:color="auto" w:fill="C6EFCE"/>
            <w:noWrap/>
            <w:hideMark/>
          </w:tcPr>
          <w:p w14:paraId="735096FF"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Completion of works, certified by IPTO</w:t>
            </w:r>
          </w:p>
        </w:tc>
        <w:tc>
          <w:tcPr>
            <w:tcW w:w="951" w:type="dxa"/>
            <w:shd w:val="clear" w:color="auto" w:fill="C6EFCE"/>
            <w:noWrap/>
            <w:hideMark/>
          </w:tcPr>
          <w:p w14:paraId="75BDA04E"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 xml:space="preserve"> </w:t>
            </w:r>
          </w:p>
        </w:tc>
        <w:tc>
          <w:tcPr>
            <w:tcW w:w="1047" w:type="dxa"/>
            <w:shd w:val="clear" w:color="auto" w:fill="C6EFCE"/>
            <w:noWrap/>
            <w:hideMark/>
          </w:tcPr>
          <w:p w14:paraId="06BBD14B"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 xml:space="preserve"> </w:t>
            </w:r>
          </w:p>
        </w:tc>
        <w:tc>
          <w:tcPr>
            <w:tcW w:w="651" w:type="dxa"/>
            <w:shd w:val="clear" w:color="auto" w:fill="C6EFCE"/>
            <w:noWrap/>
            <w:hideMark/>
          </w:tcPr>
          <w:p w14:paraId="6E58CE95"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 xml:space="preserve"> </w:t>
            </w:r>
          </w:p>
        </w:tc>
        <w:tc>
          <w:tcPr>
            <w:tcW w:w="906" w:type="dxa"/>
            <w:gridSpan w:val="2"/>
            <w:shd w:val="clear" w:color="auto" w:fill="C6EFCE"/>
            <w:noWrap/>
            <w:hideMark/>
          </w:tcPr>
          <w:p w14:paraId="5FFA2E00"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Q4</w:t>
            </w:r>
          </w:p>
        </w:tc>
        <w:tc>
          <w:tcPr>
            <w:tcW w:w="887" w:type="dxa"/>
            <w:shd w:val="clear" w:color="auto" w:fill="C6EFCE"/>
            <w:noWrap/>
            <w:hideMark/>
          </w:tcPr>
          <w:p w14:paraId="1BC3AA37" w14:textId="77777777" w:rsidR="001B186F" w:rsidRPr="00DE4E4F" w:rsidRDefault="0074517F">
            <w:pPr>
              <w:spacing w:after="120" w:line="240" w:lineRule="auto"/>
              <w:rPr>
                <w:rFonts w:ascii="Times New Roman" w:hAnsi="Times New Roman" w:cs="Times New Roman"/>
                <w:noProof/>
                <w:sz w:val="24"/>
              </w:rPr>
            </w:pPr>
            <w:r w:rsidRPr="00DE4E4F">
              <w:rPr>
                <w:rFonts w:ascii="Times New Roman" w:hAnsi="Times New Roman" w:cs="Times New Roman"/>
                <w:noProof/>
                <w:color w:val="006100"/>
                <w:sz w:val="18"/>
              </w:rPr>
              <w:t>2025 </w:t>
            </w:r>
          </w:p>
        </w:tc>
        <w:tc>
          <w:tcPr>
            <w:tcW w:w="3411" w:type="dxa"/>
            <w:shd w:val="clear" w:color="auto" w:fill="C6EFCE"/>
            <w:noWrap/>
            <w:hideMark/>
          </w:tcPr>
          <w:p w14:paraId="3C65CF41" w14:textId="304A6AA8" w:rsidR="001B186F" w:rsidRPr="00DE4E4F" w:rsidRDefault="0074517F">
            <w:pPr>
              <w:spacing w:after="120" w:line="240" w:lineRule="auto"/>
              <w:rPr>
                <w:rFonts w:ascii="Times New Roman" w:hAnsi="Times New Roman" w:cs="Times New Roman"/>
                <w:noProof/>
                <w:color w:val="006100"/>
              </w:rPr>
            </w:pPr>
            <w:r w:rsidRPr="00DE4E4F">
              <w:rPr>
                <w:rFonts w:ascii="Times New Roman" w:hAnsi="Times New Roman" w:cs="Times New Roman"/>
                <w:noProof/>
                <w:color w:val="006100"/>
                <w:sz w:val="18"/>
                <w:szCs w:val="18"/>
              </w:rPr>
              <w:t>Construction of the Cyclades Interconnection (Phase D), upgrade of the EHVC Koumoundouros GIS 400kV and the</w:t>
            </w:r>
            <w:r w:rsidR="00142209" w:rsidRPr="00DE4E4F">
              <w:rPr>
                <w:rFonts w:ascii="Times New Roman" w:hAnsi="Times New Roman" w:cs="Times New Roman"/>
                <w:noProof/>
                <w:color w:val="006100"/>
                <w:sz w:val="18"/>
                <w:szCs w:val="18"/>
              </w:rPr>
              <w:t xml:space="preserve"> installation of 170 new transmission towers and conductor stringing on 39 transmission towers (new transmission line or </w:t>
            </w:r>
            <w:r w:rsidR="00DE4E4F" w:rsidRPr="00DE4E4F">
              <w:rPr>
                <w:rFonts w:ascii="Times New Roman" w:hAnsi="Times New Roman" w:cs="Times New Roman"/>
                <w:noProof/>
                <w:color w:val="006100"/>
                <w:sz w:val="18"/>
                <w:szCs w:val="18"/>
              </w:rPr>
              <w:t>realignments</w:t>
            </w:r>
            <w:r w:rsidR="00142209" w:rsidRPr="00DE4E4F">
              <w:rPr>
                <w:rFonts w:ascii="Times New Roman" w:hAnsi="Times New Roman" w:cs="Times New Roman"/>
                <w:noProof/>
                <w:color w:val="006100"/>
                <w:sz w:val="18"/>
                <w:szCs w:val="18"/>
              </w:rPr>
              <w:t>) for the</w:t>
            </w:r>
            <w:r w:rsidRPr="00DE4E4F">
              <w:rPr>
                <w:rFonts w:ascii="Times New Roman" w:hAnsi="Times New Roman" w:cs="Times New Roman"/>
                <w:noProof/>
                <w:color w:val="006100"/>
                <w:sz w:val="18"/>
                <w:szCs w:val="18"/>
              </w:rPr>
              <w:t xml:space="preserve"> overhead line connecting EHVC Corinth and EHVC Koumoundouros.</w:t>
            </w:r>
            <w:r w:rsidR="00DE4C0C" w:rsidRPr="00DE4E4F">
              <w:rPr>
                <w:rFonts w:ascii="Times New Roman" w:hAnsi="Times New Roman" w:cs="Times New Roman"/>
                <w:noProof/>
                <w:color w:val="006100"/>
                <w:sz w:val="18"/>
                <w:szCs w:val="18"/>
              </w:rPr>
              <w:t xml:space="preserve"> </w:t>
            </w:r>
          </w:p>
        </w:tc>
      </w:tr>
    </w:tbl>
    <w:p w14:paraId="54824A2C" w14:textId="77777777" w:rsidR="001B186F" w:rsidRPr="00DE4E4F" w:rsidRDefault="001B186F">
      <w:pPr>
        <w:keepNext/>
        <w:keepLines/>
        <w:spacing w:before="240" w:after="240" w:line="240" w:lineRule="auto"/>
        <w:jc w:val="both"/>
        <w:outlineLvl w:val="4"/>
        <w:rPr>
          <w:rFonts w:ascii="Cambria" w:hAnsi="Cambria"/>
          <w:noProof/>
          <w:color w:val="365F91"/>
          <w:sz w:val="24"/>
        </w:rPr>
        <w:sectPr w:rsidR="001B186F" w:rsidRPr="00DE4E4F">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564601D" w14:textId="77777777" w:rsidR="001B186F" w:rsidRPr="00DE4E4F" w:rsidRDefault="0074517F">
      <w:pPr>
        <w:keepNext/>
        <w:keepLines/>
        <w:spacing w:before="2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Key reform 1: Restructuring and enhancement of the RES-CHP account revenues - Streamline the efficient operation of the new electricity market model and the development of new RES plants to reach NECP targets through the implementation of monitoring mechanism, the participation of demand response and an extensive reform of the licensing procedure for new RES</w:t>
      </w:r>
    </w:p>
    <w:tbl>
      <w:tblPr>
        <w:tblW w:w="14737" w:type="dxa"/>
        <w:tblLook w:val="04A0" w:firstRow="1" w:lastRow="0" w:firstColumn="1" w:lastColumn="0" w:noHBand="0" w:noVBand="1"/>
      </w:tblPr>
      <w:tblGrid>
        <w:gridCol w:w="828"/>
        <w:gridCol w:w="1920"/>
        <w:gridCol w:w="1080"/>
        <w:gridCol w:w="1226"/>
        <w:gridCol w:w="1629"/>
        <w:gridCol w:w="1248"/>
        <w:gridCol w:w="994"/>
        <w:gridCol w:w="648"/>
        <w:gridCol w:w="956"/>
        <w:gridCol w:w="956"/>
        <w:gridCol w:w="3278"/>
      </w:tblGrid>
      <w:tr w:rsidR="00682269" w:rsidRPr="00DE4E4F" w14:paraId="74992913" w14:textId="77777777" w:rsidTr="000A4A2F">
        <w:trPr>
          <w:trHeight w:val="699"/>
          <w:tblHeader/>
        </w:trPr>
        <w:tc>
          <w:tcPr>
            <w:tcW w:w="828"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C8021E"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Seq. No.</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205FA9D"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Related Measure (Reform or Investment)</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0A6C17FB"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Milestone / Target</w:t>
            </w:r>
          </w:p>
        </w:tc>
        <w:tc>
          <w:tcPr>
            <w:tcW w:w="1200" w:type="dxa"/>
            <w:vMerge w:val="restart"/>
            <w:tcBorders>
              <w:top w:val="single" w:sz="4" w:space="0" w:color="auto"/>
              <w:left w:val="nil"/>
              <w:bottom w:val="single" w:sz="4" w:space="0" w:color="auto"/>
              <w:right w:val="single" w:sz="4" w:space="0" w:color="auto"/>
            </w:tcBorders>
            <w:shd w:val="clear" w:color="auto" w:fill="B8CCE4"/>
            <w:noWrap/>
            <w:vAlign w:val="center"/>
          </w:tcPr>
          <w:p w14:paraId="6FE09B79"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Name</w:t>
            </w:r>
          </w:p>
        </w:tc>
        <w:tc>
          <w:tcPr>
            <w:tcW w:w="1629" w:type="dxa"/>
            <w:vMerge w:val="restart"/>
            <w:tcBorders>
              <w:top w:val="single" w:sz="4" w:space="0" w:color="auto"/>
              <w:left w:val="single" w:sz="4" w:space="0" w:color="auto"/>
              <w:bottom w:val="single" w:sz="4" w:space="0" w:color="auto"/>
              <w:right w:val="single" w:sz="4" w:space="0" w:color="auto"/>
            </w:tcBorders>
            <w:shd w:val="clear" w:color="auto" w:fill="B8CCE4"/>
            <w:noWrap/>
            <w:vAlign w:val="center"/>
          </w:tcPr>
          <w:p w14:paraId="16B96001"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Qualitative indicators (for milestones)</w:t>
            </w:r>
          </w:p>
        </w:tc>
        <w:tc>
          <w:tcPr>
            <w:tcW w:w="2890" w:type="dxa"/>
            <w:gridSpan w:val="3"/>
            <w:tcBorders>
              <w:top w:val="single" w:sz="4" w:space="0" w:color="auto"/>
              <w:left w:val="nil"/>
              <w:bottom w:val="single" w:sz="4" w:space="0" w:color="auto"/>
              <w:right w:val="single" w:sz="4" w:space="0" w:color="auto"/>
            </w:tcBorders>
            <w:shd w:val="clear" w:color="auto" w:fill="B8CCE4"/>
            <w:noWrap/>
            <w:vAlign w:val="center"/>
          </w:tcPr>
          <w:p w14:paraId="60A4C155"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Quantitative indicators (for targets)</w:t>
            </w:r>
          </w:p>
        </w:tc>
        <w:tc>
          <w:tcPr>
            <w:tcW w:w="1912" w:type="dxa"/>
            <w:gridSpan w:val="2"/>
            <w:tcBorders>
              <w:top w:val="single" w:sz="4" w:space="0" w:color="auto"/>
              <w:left w:val="nil"/>
              <w:bottom w:val="single" w:sz="4" w:space="0" w:color="auto"/>
              <w:right w:val="single" w:sz="4" w:space="0" w:color="auto"/>
            </w:tcBorders>
            <w:shd w:val="clear" w:color="auto" w:fill="B8CCE4"/>
            <w:noWrap/>
            <w:vAlign w:val="center"/>
          </w:tcPr>
          <w:p w14:paraId="2B99B1D9"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Indicative timeline for completion</w:t>
            </w:r>
          </w:p>
        </w:tc>
        <w:tc>
          <w:tcPr>
            <w:tcW w:w="3278" w:type="dxa"/>
            <w:vMerge w:val="restart"/>
            <w:tcBorders>
              <w:top w:val="single" w:sz="4" w:space="0" w:color="auto"/>
              <w:left w:val="nil"/>
              <w:bottom w:val="single" w:sz="4" w:space="0" w:color="auto"/>
              <w:right w:val="single" w:sz="4" w:space="0" w:color="auto"/>
            </w:tcBorders>
            <w:shd w:val="clear" w:color="auto" w:fill="B8CCE4"/>
            <w:noWrap/>
            <w:vAlign w:val="center"/>
          </w:tcPr>
          <w:p w14:paraId="42488EC0" w14:textId="77777777" w:rsidR="001B186F" w:rsidRPr="00DE4E4F" w:rsidRDefault="0074517F" w:rsidP="000A4A2F">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Description of each milestone and target</w:t>
            </w:r>
          </w:p>
        </w:tc>
      </w:tr>
      <w:tr w:rsidR="00682269" w:rsidRPr="00DE4E4F" w14:paraId="6A39D204" w14:textId="77777777" w:rsidTr="000A4A2F">
        <w:trPr>
          <w:trHeight w:val="557"/>
          <w:tblHeader/>
        </w:trPr>
        <w:tc>
          <w:tcPr>
            <w:tcW w:w="828"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32C9A920"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920"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7D6A07C3"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080"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67B8CD8E"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200" w:type="dxa"/>
            <w:vMerge/>
            <w:tcBorders>
              <w:top w:val="single" w:sz="4" w:space="0" w:color="auto"/>
              <w:left w:val="nil"/>
              <w:bottom w:val="single" w:sz="4" w:space="0" w:color="auto"/>
              <w:right w:val="single" w:sz="4" w:space="0" w:color="auto"/>
            </w:tcBorders>
            <w:shd w:val="clear" w:color="auto" w:fill="B8CCE4"/>
            <w:noWrap/>
            <w:vAlign w:val="center"/>
          </w:tcPr>
          <w:p w14:paraId="37B2BB65"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629" w:type="dxa"/>
            <w:vMerge/>
            <w:tcBorders>
              <w:top w:val="single" w:sz="4" w:space="0" w:color="auto"/>
              <w:left w:val="single" w:sz="4" w:space="0" w:color="auto"/>
              <w:bottom w:val="single" w:sz="4" w:space="0" w:color="auto"/>
              <w:right w:val="single" w:sz="4" w:space="0" w:color="auto"/>
            </w:tcBorders>
            <w:shd w:val="clear" w:color="auto" w:fill="B8CCE4"/>
            <w:noWrap/>
            <w:vAlign w:val="center"/>
          </w:tcPr>
          <w:p w14:paraId="5ECBE05D"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248" w:type="dxa"/>
            <w:tcBorders>
              <w:top w:val="single" w:sz="4" w:space="0" w:color="auto"/>
              <w:left w:val="nil"/>
              <w:bottom w:val="single" w:sz="4" w:space="0" w:color="auto"/>
              <w:right w:val="single" w:sz="4" w:space="0" w:color="auto"/>
            </w:tcBorders>
            <w:shd w:val="clear" w:color="auto" w:fill="B8CCE4"/>
            <w:noWrap/>
            <w:vAlign w:val="center"/>
          </w:tcPr>
          <w:p w14:paraId="4E6B4559"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4" w:type="dxa"/>
            <w:tcBorders>
              <w:top w:val="single" w:sz="4" w:space="0" w:color="auto"/>
              <w:left w:val="nil"/>
              <w:bottom w:val="single" w:sz="4" w:space="0" w:color="auto"/>
              <w:right w:val="single" w:sz="4" w:space="0" w:color="auto"/>
            </w:tcBorders>
            <w:shd w:val="clear" w:color="auto" w:fill="B8CCE4"/>
            <w:vAlign w:val="center"/>
          </w:tcPr>
          <w:p w14:paraId="045040F3"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648" w:type="dxa"/>
            <w:tcBorders>
              <w:top w:val="single" w:sz="4" w:space="0" w:color="auto"/>
              <w:left w:val="nil"/>
              <w:bottom w:val="single" w:sz="4" w:space="0" w:color="auto"/>
              <w:right w:val="single" w:sz="4" w:space="0" w:color="auto"/>
            </w:tcBorders>
            <w:shd w:val="clear" w:color="auto" w:fill="B8CCE4"/>
            <w:vAlign w:val="center"/>
          </w:tcPr>
          <w:p w14:paraId="15D8670C"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956" w:type="dxa"/>
            <w:tcBorders>
              <w:top w:val="single" w:sz="4" w:space="0" w:color="auto"/>
              <w:left w:val="nil"/>
              <w:bottom w:val="single" w:sz="4" w:space="0" w:color="auto"/>
              <w:right w:val="single" w:sz="4" w:space="0" w:color="auto"/>
            </w:tcBorders>
            <w:shd w:val="clear" w:color="auto" w:fill="B8CCE4"/>
            <w:noWrap/>
            <w:vAlign w:val="center"/>
          </w:tcPr>
          <w:p w14:paraId="29F5F6C0"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956" w:type="dxa"/>
            <w:tcBorders>
              <w:top w:val="single" w:sz="4" w:space="0" w:color="auto"/>
              <w:left w:val="nil"/>
              <w:bottom w:val="single" w:sz="4" w:space="0" w:color="auto"/>
              <w:right w:val="single" w:sz="4" w:space="0" w:color="auto"/>
            </w:tcBorders>
            <w:shd w:val="clear" w:color="auto" w:fill="B8CCE4"/>
            <w:vAlign w:val="center"/>
          </w:tcPr>
          <w:p w14:paraId="5C07F0DA"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278" w:type="dxa"/>
            <w:vMerge/>
            <w:tcBorders>
              <w:top w:val="single" w:sz="4" w:space="0" w:color="auto"/>
              <w:left w:val="nil"/>
              <w:bottom w:val="single" w:sz="4" w:space="0" w:color="auto"/>
              <w:right w:val="single" w:sz="4" w:space="0" w:color="auto"/>
            </w:tcBorders>
            <w:shd w:val="clear" w:color="auto" w:fill="B8CCE4"/>
            <w:noWrap/>
          </w:tcPr>
          <w:p w14:paraId="37AFB183"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r>
      <w:tr w:rsidR="00682269" w:rsidRPr="00DE4E4F" w14:paraId="2C41CE57" w14:textId="77777777" w:rsidTr="000A4A2F">
        <w:tc>
          <w:tcPr>
            <w:tcW w:w="828" w:type="dxa"/>
            <w:tcBorders>
              <w:top w:val="single" w:sz="4" w:space="0" w:color="auto"/>
              <w:left w:val="single" w:sz="4" w:space="0" w:color="auto"/>
              <w:bottom w:val="single" w:sz="4" w:space="0" w:color="auto"/>
              <w:right w:val="single" w:sz="4" w:space="0" w:color="auto"/>
            </w:tcBorders>
            <w:shd w:val="clear" w:color="auto" w:fill="C6EFCE"/>
            <w:noWrap/>
          </w:tcPr>
          <w:p w14:paraId="473AE51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w:t>
            </w:r>
          </w:p>
        </w:tc>
        <w:tc>
          <w:tcPr>
            <w:tcW w:w="1920" w:type="dxa"/>
            <w:tcBorders>
              <w:top w:val="single" w:sz="4" w:space="0" w:color="auto"/>
              <w:left w:val="nil"/>
              <w:bottom w:val="single" w:sz="4" w:space="0" w:color="auto"/>
              <w:right w:val="single" w:sz="4" w:space="0" w:color="auto"/>
            </w:tcBorders>
            <w:shd w:val="clear" w:color="auto" w:fill="C6EFCE"/>
            <w:noWrap/>
          </w:tcPr>
          <w:p w14:paraId="3973133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- 16865_Restructuring and enhancement of the RES CHP Account revenues</w:t>
            </w:r>
          </w:p>
        </w:tc>
        <w:tc>
          <w:tcPr>
            <w:tcW w:w="1080" w:type="dxa"/>
            <w:tcBorders>
              <w:top w:val="single" w:sz="4" w:space="0" w:color="auto"/>
              <w:left w:val="nil"/>
              <w:bottom w:val="single" w:sz="4" w:space="0" w:color="auto"/>
              <w:right w:val="single" w:sz="4" w:space="0" w:color="auto"/>
            </w:tcBorders>
            <w:shd w:val="clear" w:color="auto" w:fill="C6EFCE"/>
            <w:noWrap/>
          </w:tcPr>
          <w:p w14:paraId="0EB62FB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0" w:type="dxa"/>
            <w:tcBorders>
              <w:top w:val="single" w:sz="4" w:space="0" w:color="auto"/>
              <w:left w:val="nil"/>
              <w:bottom w:val="single" w:sz="4" w:space="0" w:color="auto"/>
              <w:right w:val="single" w:sz="4" w:space="0" w:color="auto"/>
            </w:tcBorders>
            <w:shd w:val="clear" w:color="auto" w:fill="C6EFCE"/>
            <w:noWrap/>
          </w:tcPr>
          <w:p w14:paraId="7E50E1B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 account — legislation to amend L. 4001/2011; entry into force of all relevant decisions, including codes, by ministries, by the National Regulatory Authority (RAE) and by the Administrator of Renewable Energy Sources and Guarantees of Origin (DAPEEP).</w:t>
            </w:r>
          </w:p>
        </w:tc>
        <w:tc>
          <w:tcPr>
            <w:tcW w:w="1629" w:type="dxa"/>
            <w:tcBorders>
              <w:top w:val="single" w:sz="4" w:space="0" w:color="auto"/>
              <w:left w:val="nil"/>
              <w:bottom w:val="single" w:sz="4" w:space="0" w:color="auto"/>
              <w:right w:val="single" w:sz="4" w:space="0" w:color="auto"/>
            </w:tcBorders>
            <w:shd w:val="clear" w:color="auto" w:fill="C6EFCE"/>
            <w:noWrap/>
          </w:tcPr>
          <w:p w14:paraId="7FF0BED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and relevant executive decisions.</w:t>
            </w:r>
          </w:p>
        </w:tc>
        <w:tc>
          <w:tcPr>
            <w:tcW w:w="1248" w:type="dxa"/>
            <w:tcBorders>
              <w:top w:val="single" w:sz="4" w:space="0" w:color="auto"/>
              <w:left w:val="nil"/>
              <w:bottom w:val="single" w:sz="4" w:space="0" w:color="auto"/>
              <w:right w:val="single" w:sz="4" w:space="0" w:color="auto"/>
            </w:tcBorders>
            <w:shd w:val="clear" w:color="auto" w:fill="C6EFCE"/>
            <w:noWrap/>
          </w:tcPr>
          <w:p w14:paraId="51D70EE8"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4" w:type="dxa"/>
            <w:tcBorders>
              <w:top w:val="single" w:sz="4" w:space="0" w:color="auto"/>
              <w:left w:val="nil"/>
              <w:bottom w:val="single" w:sz="4" w:space="0" w:color="auto"/>
              <w:right w:val="single" w:sz="4" w:space="0" w:color="auto"/>
            </w:tcBorders>
            <w:shd w:val="clear" w:color="auto" w:fill="C6EFCE"/>
            <w:noWrap/>
          </w:tcPr>
          <w:p w14:paraId="4263C667"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648" w:type="dxa"/>
            <w:tcBorders>
              <w:top w:val="single" w:sz="4" w:space="0" w:color="auto"/>
              <w:left w:val="nil"/>
              <w:bottom w:val="single" w:sz="4" w:space="0" w:color="auto"/>
              <w:right w:val="single" w:sz="4" w:space="0" w:color="auto"/>
            </w:tcBorders>
            <w:shd w:val="clear" w:color="auto" w:fill="C6EFCE"/>
            <w:noWrap/>
          </w:tcPr>
          <w:p w14:paraId="08BF3B6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56" w:type="dxa"/>
            <w:tcBorders>
              <w:top w:val="single" w:sz="4" w:space="0" w:color="auto"/>
              <w:left w:val="nil"/>
              <w:bottom w:val="single" w:sz="4" w:space="0" w:color="auto"/>
              <w:right w:val="single" w:sz="4" w:space="0" w:color="auto"/>
            </w:tcBorders>
            <w:shd w:val="clear" w:color="auto" w:fill="C6EFCE"/>
            <w:noWrap/>
          </w:tcPr>
          <w:p w14:paraId="2B55C98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top w:val="single" w:sz="4" w:space="0" w:color="auto"/>
              <w:left w:val="nil"/>
              <w:bottom w:val="single" w:sz="4" w:space="0" w:color="auto"/>
              <w:right w:val="single" w:sz="4" w:space="0" w:color="auto"/>
            </w:tcBorders>
            <w:shd w:val="clear" w:color="auto" w:fill="C6EFCE"/>
            <w:noWrap/>
          </w:tcPr>
          <w:p w14:paraId="152169A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278" w:type="dxa"/>
            <w:tcBorders>
              <w:top w:val="single" w:sz="4" w:space="0" w:color="auto"/>
              <w:left w:val="nil"/>
              <w:bottom w:val="single" w:sz="4" w:space="0" w:color="auto"/>
              <w:right w:val="single" w:sz="4" w:space="0" w:color="auto"/>
            </w:tcBorders>
            <w:shd w:val="clear" w:color="auto" w:fill="C6EFCE"/>
            <w:noWrap/>
          </w:tcPr>
          <w:p w14:paraId="3DE01B0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Establishment of the new Renewable Energy Sources (RES) account, for units commissioned from 1 January 2021 onwards, including amending legislation, ministerial decision, and regulatory decisions (codes). The new RES account will include mechanisms to ensure its financial viability, also in case of unforeseen imbalances.</w:t>
            </w:r>
          </w:p>
          <w:p w14:paraId="597A3EE0"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p w14:paraId="41CAF4F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Entry into force of a Guarantees of Origin trading system that shall allow consumers to voluntarily support RES electricity.</w:t>
            </w:r>
          </w:p>
          <w:p w14:paraId="2224563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Guarantees of Origin (GO) system shall include: </w:t>
            </w:r>
          </w:p>
          <w:p w14:paraId="670B3A97" w14:textId="77777777" w:rsidR="001B186F" w:rsidRPr="00DE4E4F" w:rsidRDefault="0074517F" w:rsidP="000A4A2F">
            <w:pPr>
              <w:numPr>
                <w:ilvl w:val="0"/>
                <w:numId w:val="21"/>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a GO issuance/auctioning scheme for Feed-in tariffs RES</w:t>
            </w:r>
          </w:p>
          <w:p w14:paraId="34D393D0" w14:textId="77777777" w:rsidR="001B186F" w:rsidRPr="00DE4E4F" w:rsidRDefault="0074517F" w:rsidP="000A4A2F">
            <w:pPr>
              <w:numPr>
                <w:ilvl w:val="0"/>
                <w:numId w:val="21"/>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Accreditation of “green” retail products</w:t>
            </w:r>
          </w:p>
          <w:p w14:paraId="5DBCBA3E" w14:textId="1A9B91D4" w:rsidR="001B186F" w:rsidRPr="00DE4E4F" w:rsidRDefault="0074517F" w:rsidP="000A4A2F">
            <w:pPr>
              <w:numPr>
                <w:ilvl w:val="0"/>
                <w:numId w:val="21"/>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Accreditation of “green business” standards. </w:t>
            </w:r>
          </w:p>
        </w:tc>
      </w:tr>
      <w:tr w:rsidR="00682269" w:rsidRPr="00DE4E4F" w14:paraId="3299E0A7" w14:textId="77777777" w:rsidTr="000A4A2F">
        <w:tc>
          <w:tcPr>
            <w:tcW w:w="828" w:type="dxa"/>
            <w:tcBorders>
              <w:top w:val="nil"/>
              <w:left w:val="single" w:sz="4" w:space="0" w:color="auto"/>
              <w:bottom w:val="single" w:sz="4" w:space="0" w:color="auto"/>
              <w:right w:val="single" w:sz="4" w:space="0" w:color="auto"/>
            </w:tcBorders>
            <w:shd w:val="clear" w:color="auto" w:fill="C6EFCE"/>
            <w:noWrap/>
          </w:tcPr>
          <w:p w14:paraId="7395B61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w:t>
            </w:r>
          </w:p>
        </w:tc>
        <w:tc>
          <w:tcPr>
            <w:tcW w:w="1920" w:type="dxa"/>
            <w:tcBorders>
              <w:top w:val="nil"/>
              <w:left w:val="nil"/>
              <w:bottom w:val="single" w:sz="4" w:space="0" w:color="auto"/>
              <w:right w:val="single" w:sz="4" w:space="0" w:color="auto"/>
            </w:tcBorders>
            <w:shd w:val="clear" w:color="auto" w:fill="C6EFCE"/>
            <w:noWrap/>
          </w:tcPr>
          <w:p w14:paraId="5176C1E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- 16860_Streamline the efficient operation of the new electricity market model and the development of new RES plants to reach NECP targets through the implementation of monitoring mechanism, the participation of demand response and an extensive reform of the licensing procedure for new RES</w:t>
            </w:r>
          </w:p>
        </w:tc>
        <w:tc>
          <w:tcPr>
            <w:tcW w:w="1080" w:type="dxa"/>
            <w:tcBorders>
              <w:top w:val="nil"/>
              <w:left w:val="nil"/>
              <w:bottom w:val="single" w:sz="4" w:space="0" w:color="auto"/>
              <w:right w:val="single" w:sz="4" w:space="0" w:color="auto"/>
            </w:tcBorders>
            <w:shd w:val="clear" w:color="auto" w:fill="C6EFCE"/>
            <w:noWrap/>
          </w:tcPr>
          <w:p w14:paraId="53F9B46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0" w:type="dxa"/>
            <w:tcBorders>
              <w:top w:val="nil"/>
              <w:left w:val="nil"/>
              <w:bottom w:val="single" w:sz="4" w:space="0" w:color="auto"/>
              <w:right w:val="single" w:sz="4" w:space="0" w:color="auto"/>
            </w:tcBorders>
            <w:shd w:val="clear" w:color="auto" w:fill="C6EFCE"/>
            <w:noWrap/>
          </w:tcPr>
          <w:p w14:paraId="2D89B19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 account — market reforms and simplification of licensing</w:t>
            </w:r>
          </w:p>
        </w:tc>
        <w:tc>
          <w:tcPr>
            <w:tcW w:w="1629" w:type="dxa"/>
            <w:tcBorders>
              <w:top w:val="nil"/>
              <w:left w:val="nil"/>
              <w:bottom w:val="single" w:sz="4" w:space="0" w:color="auto"/>
              <w:right w:val="single" w:sz="4" w:space="0" w:color="auto"/>
            </w:tcBorders>
            <w:shd w:val="clear" w:color="auto" w:fill="C6EFCE"/>
            <w:noWrap/>
          </w:tcPr>
          <w:p w14:paraId="166E210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all relevant legislation, including ministerial decisions, and regulatory framework by RAE and DAPEEP</w:t>
            </w:r>
          </w:p>
        </w:tc>
        <w:tc>
          <w:tcPr>
            <w:tcW w:w="1248" w:type="dxa"/>
            <w:tcBorders>
              <w:top w:val="nil"/>
              <w:left w:val="nil"/>
              <w:bottom w:val="single" w:sz="4" w:space="0" w:color="auto"/>
              <w:right w:val="single" w:sz="4" w:space="0" w:color="auto"/>
            </w:tcBorders>
            <w:shd w:val="clear" w:color="auto" w:fill="C6EFCE"/>
            <w:noWrap/>
          </w:tcPr>
          <w:p w14:paraId="19F6E8F6"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4" w:type="dxa"/>
            <w:tcBorders>
              <w:top w:val="nil"/>
              <w:left w:val="nil"/>
              <w:bottom w:val="single" w:sz="4" w:space="0" w:color="auto"/>
              <w:right w:val="single" w:sz="4" w:space="0" w:color="auto"/>
            </w:tcBorders>
            <w:shd w:val="clear" w:color="auto" w:fill="C6EFCE"/>
            <w:noWrap/>
          </w:tcPr>
          <w:p w14:paraId="3053D4C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648" w:type="dxa"/>
            <w:tcBorders>
              <w:top w:val="nil"/>
              <w:left w:val="nil"/>
              <w:bottom w:val="single" w:sz="4" w:space="0" w:color="auto"/>
              <w:right w:val="single" w:sz="4" w:space="0" w:color="auto"/>
            </w:tcBorders>
            <w:shd w:val="clear" w:color="auto" w:fill="C6EFCE"/>
            <w:noWrap/>
          </w:tcPr>
          <w:p w14:paraId="1B176F20"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56" w:type="dxa"/>
            <w:tcBorders>
              <w:top w:val="nil"/>
              <w:left w:val="nil"/>
              <w:bottom w:val="single" w:sz="4" w:space="0" w:color="auto"/>
              <w:right w:val="single" w:sz="4" w:space="0" w:color="auto"/>
            </w:tcBorders>
            <w:shd w:val="clear" w:color="auto" w:fill="C6EFCE"/>
            <w:noWrap/>
          </w:tcPr>
          <w:p w14:paraId="6D0EF05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top w:val="nil"/>
              <w:left w:val="nil"/>
              <w:bottom w:val="single" w:sz="4" w:space="0" w:color="auto"/>
              <w:right w:val="single" w:sz="4" w:space="0" w:color="auto"/>
            </w:tcBorders>
            <w:shd w:val="clear" w:color="auto" w:fill="C6EFCE"/>
            <w:noWrap/>
          </w:tcPr>
          <w:p w14:paraId="71284CD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278" w:type="dxa"/>
            <w:tcBorders>
              <w:top w:val="nil"/>
              <w:left w:val="nil"/>
              <w:bottom w:val="single" w:sz="4" w:space="0" w:color="auto"/>
              <w:right w:val="single" w:sz="4" w:space="0" w:color="auto"/>
            </w:tcBorders>
            <w:shd w:val="clear" w:color="auto" w:fill="C6EFCE"/>
            <w:noWrap/>
          </w:tcPr>
          <w:p w14:paraId="3219D14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Establishment and full operation of a Market Monitoring and Surveillance Mechanism as well as full participation of Demand Side Response in the balancing market.</w:t>
            </w:r>
          </w:p>
          <w:p w14:paraId="237DF7D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Completion of reform on simplification of RES licensing, including simplification and digitalisation of procedures, short and binding administrative response times and accountability procedures for unnecessary delays, reduction of the necessary documentation and procedures, as well as a new dedicated framework for offshore RES plants.</w:t>
            </w:r>
          </w:p>
        </w:tc>
      </w:tr>
      <w:tr w:rsidR="00682269" w:rsidRPr="00DE4E4F" w14:paraId="3E0B6270" w14:textId="77777777" w:rsidTr="000A4A2F">
        <w:tc>
          <w:tcPr>
            <w:tcW w:w="828" w:type="dxa"/>
            <w:tcBorders>
              <w:top w:val="nil"/>
              <w:left w:val="single" w:sz="4" w:space="0" w:color="auto"/>
              <w:bottom w:val="single" w:sz="4" w:space="0" w:color="auto"/>
              <w:right w:val="single" w:sz="4" w:space="0" w:color="auto"/>
            </w:tcBorders>
            <w:shd w:val="clear" w:color="auto" w:fill="C6EFCE"/>
            <w:noWrap/>
          </w:tcPr>
          <w:p w14:paraId="544C2F9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w:t>
            </w:r>
          </w:p>
        </w:tc>
        <w:tc>
          <w:tcPr>
            <w:tcW w:w="1920" w:type="dxa"/>
            <w:tcBorders>
              <w:top w:val="nil"/>
              <w:left w:val="nil"/>
              <w:bottom w:val="single" w:sz="4" w:space="0" w:color="auto"/>
              <w:right w:val="single" w:sz="4" w:space="0" w:color="auto"/>
            </w:tcBorders>
            <w:shd w:val="clear" w:color="auto" w:fill="C6EFCE"/>
            <w:noWrap/>
          </w:tcPr>
          <w:p w14:paraId="09C9EA2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- 16865_Restructuring and enhancement of the RES CHP Account revenues</w:t>
            </w:r>
          </w:p>
        </w:tc>
        <w:tc>
          <w:tcPr>
            <w:tcW w:w="1080" w:type="dxa"/>
            <w:tcBorders>
              <w:top w:val="nil"/>
              <w:left w:val="nil"/>
              <w:bottom w:val="single" w:sz="4" w:space="0" w:color="auto"/>
              <w:right w:val="single" w:sz="4" w:space="0" w:color="auto"/>
            </w:tcBorders>
            <w:shd w:val="clear" w:color="auto" w:fill="C6EFCE"/>
            <w:noWrap/>
          </w:tcPr>
          <w:p w14:paraId="2227B1A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00" w:type="dxa"/>
            <w:tcBorders>
              <w:top w:val="nil"/>
              <w:left w:val="nil"/>
              <w:bottom w:val="single" w:sz="4" w:space="0" w:color="auto"/>
              <w:right w:val="single" w:sz="4" w:space="0" w:color="auto"/>
            </w:tcBorders>
            <w:shd w:val="clear" w:color="auto" w:fill="C6EFCE"/>
            <w:noWrap/>
          </w:tcPr>
          <w:p w14:paraId="67D7405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 account — capacity increase target 1</w:t>
            </w:r>
          </w:p>
        </w:tc>
        <w:tc>
          <w:tcPr>
            <w:tcW w:w="1629" w:type="dxa"/>
            <w:tcBorders>
              <w:top w:val="nil"/>
              <w:left w:val="nil"/>
              <w:bottom w:val="single" w:sz="4" w:space="0" w:color="auto"/>
              <w:right w:val="single" w:sz="4" w:space="0" w:color="auto"/>
            </w:tcBorders>
            <w:shd w:val="clear" w:color="auto" w:fill="C6EFCE"/>
            <w:noWrap/>
          </w:tcPr>
          <w:p w14:paraId="47CB2570"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248" w:type="dxa"/>
            <w:tcBorders>
              <w:top w:val="nil"/>
              <w:left w:val="nil"/>
              <w:bottom w:val="single" w:sz="4" w:space="0" w:color="auto"/>
              <w:right w:val="single" w:sz="4" w:space="0" w:color="auto"/>
            </w:tcBorders>
            <w:shd w:val="clear" w:color="auto" w:fill="C6EFCE"/>
            <w:noWrap/>
          </w:tcPr>
          <w:p w14:paraId="5768148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capacity (GW) of renewable energy sources put in operation</w:t>
            </w:r>
          </w:p>
        </w:tc>
        <w:tc>
          <w:tcPr>
            <w:tcW w:w="994" w:type="dxa"/>
            <w:tcBorders>
              <w:top w:val="nil"/>
              <w:left w:val="nil"/>
              <w:bottom w:val="single" w:sz="4" w:space="0" w:color="auto"/>
              <w:right w:val="single" w:sz="4" w:space="0" w:color="auto"/>
            </w:tcBorders>
            <w:shd w:val="clear" w:color="auto" w:fill="C6EFCE"/>
            <w:noWrap/>
          </w:tcPr>
          <w:p w14:paraId="4EE7520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648" w:type="dxa"/>
            <w:tcBorders>
              <w:top w:val="nil"/>
              <w:left w:val="nil"/>
              <w:bottom w:val="single" w:sz="4" w:space="0" w:color="auto"/>
              <w:right w:val="single" w:sz="4" w:space="0" w:color="auto"/>
            </w:tcBorders>
            <w:shd w:val="clear" w:color="auto" w:fill="C6EFCE"/>
            <w:noWrap/>
          </w:tcPr>
          <w:p w14:paraId="1B42ED7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w:t>
            </w:r>
          </w:p>
        </w:tc>
        <w:tc>
          <w:tcPr>
            <w:tcW w:w="956" w:type="dxa"/>
            <w:tcBorders>
              <w:top w:val="nil"/>
              <w:left w:val="nil"/>
              <w:bottom w:val="single" w:sz="4" w:space="0" w:color="auto"/>
              <w:right w:val="single" w:sz="4" w:space="0" w:color="auto"/>
            </w:tcBorders>
            <w:shd w:val="clear" w:color="auto" w:fill="C6EFCE"/>
            <w:noWrap/>
          </w:tcPr>
          <w:p w14:paraId="719C27D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top w:val="nil"/>
              <w:left w:val="nil"/>
              <w:bottom w:val="single" w:sz="4" w:space="0" w:color="auto"/>
              <w:right w:val="single" w:sz="4" w:space="0" w:color="auto"/>
            </w:tcBorders>
            <w:shd w:val="clear" w:color="auto" w:fill="C6EFCE"/>
            <w:noWrap/>
          </w:tcPr>
          <w:p w14:paraId="0EB280B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278" w:type="dxa"/>
            <w:tcBorders>
              <w:top w:val="nil"/>
              <w:left w:val="nil"/>
              <w:bottom w:val="single" w:sz="4" w:space="0" w:color="auto"/>
              <w:right w:val="single" w:sz="4" w:space="0" w:color="auto"/>
            </w:tcBorders>
            <w:shd w:val="clear" w:color="auto" w:fill="C6EFCE"/>
            <w:noWrap/>
          </w:tcPr>
          <w:p w14:paraId="710092C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RES capacity installed and operational</w:t>
            </w:r>
          </w:p>
        </w:tc>
      </w:tr>
      <w:tr w:rsidR="00682269" w:rsidRPr="00DE4E4F" w14:paraId="64FF008B" w14:textId="77777777" w:rsidTr="000A4A2F">
        <w:tc>
          <w:tcPr>
            <w:tcW w:w="828" w:type="dxa"/>
            <w:tcBorders>
              <w:top w:val="nil"/>
              <w:left w:val="single" w:sz="4" w:space="0" w:color="auto"/>
              <w:bottom w:val="single" w:sz="4" w:space="0" w:color="auto"/>
              <w:right w:val="single" w:sz="4" w:space="0" w:color="auto"/>
            </w:tcBorders>
            <w:shd w:val="clear" w:color="auto" w:fill="C6EFCE"/>
            <w:noWrap/>
            <w:hideMark/>
          </w:tcPr>
          <w:p w14:paraId="55CC38A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7</w:t>
            </w:r>
          </w:p>
        </w:tc>
        <w:tc>
          <w:tcPr>
            <w:tcW w:w="1920" w:type="dxa"/>
            <w:tcBorders>
              <w:top w:val="nil"/>
              <w:left w:val="nil"/>
              <w:bottom w:val="single" w:sz="4" w:space="0" w:color="auto"/>
              <w:right w:val="single" w:sz="4" w:space="0" w:color="auto"/>
            </w:tcBorders>
            <w:shd w:val="clear" w:color="auto" w:fill="C6EFCE"/>
            <w:noWrap/>
          </w:tcPr>
          <w:p w14:paraId="16A55F7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- 16865_Restructuring and enhancement of the RES CHP Account revenues</w:t>
            </w:r>
          </w:p>
        </w:tc>
        <w:tc>
          <w:tcPr>
            <w:tcW w:w="1080" w:type="dxa"/>
            <w:tcBorders>
              <w:top w:val="nil"/>
              <w:left w:val="nil"/>
              <w:bottom w:val="single" w:sz="4" w:space="0" w:color="auto"/>
              <w:right w:val="single" w:sz="4" w:space="0" w:color="auto"/>
            </w:tcBorders>
            <w:shd w:val="clear" w:color="auto" w:fill="C6EFCE"/>
            <w:noWrap/>
            <w:hideMark/>
          </w:tcPr>
          <w:p w14:paraId="614B3B8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Target</w:t>
            </w:r>
          </w:p>
        </w:tc>
        <w:tc>
          <w:tcPr>
            <w:tcW w:w="1200" w:type="dxa"/>
            <w:tcBorders>
              <w:top w:val="nil"/>
              <w:left w:val="nil"/>
              <w:bottom w:val="single" w:sz="4" w:space="0" w:color="auto"/>
              <w:right w:val="single" w:sz="4" w:space="0" w:color="auto"/>
            </w:tcBorders>
            <w:shd w:val="clear" w:color="auto" w:fill="C6EFCE"/>
            <w:noWrap/>
            <w:hideMark/>
          </w:tcPr>
          <w:p w14:paraId="1E3897B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 account — capacity increase target 2</w:t>
            </w:r>
          </w:p>
        </w:tc>
        <w:tc>
          <w:tcPr>
            <w:tcW w:w="1629" w:type="dxa"/>
            <w:tcBorders>
              <w:top w:val="nil"/>
              <w:left w:val="nil"/>
              <w:bottom w:val="single" w:sz="4" w:space="0" w:color="auto"/>
              <w:right w:val="single" w:sz="4" w:space="0" w:color="auto"/>
            </w:tcBorders>
            <w:shd w:val="clear" w:color="auto" w:fill="C6EFCE"/>
            <w:noWrap/>
            <w:hideMark/>
          </w:tcPr>
          <w:p w14:paraId="7C204AB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248" w:type="dxa"/>
            <w:tcBorders>
              <w:top w:val="nil"/>
              <w:left w:val="nil"/>
              <w:bottom w:val="single" w:sz="4" w:space="0" w:color="auto"/>
              <w:right w:val="single" w:sz="4" w:space="0" w:color="auto"/>
            </w:tcBorders>
            <w:shd w:val="clear" w:color="auto" w:fill="C6EFCE"/>
            <w:noWrap/>
            <w:hideMark/>
          </w:tcPr>
          <w:p w14:paraId="7DDF8AD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capacity (GW) of renewable energy sources put in operation</w:t>
            </w:r>
          </w:p>
        </w:tc>
        <w:tc>
          <w:tcPr>
            <w:tcW w:w="994" w:type="dxa"/>
            <w:tcBorders>
              <w:top w:val="nil"/>
              <w:left w:val="nil"/>
              <w:bottom w:val="single" w:sz="4" w:space="0" w:color="auto"/>
              <w:right w:val="single" w:sz="4" w:space="0" w:color="auto"/>
            </w:tcBorders>
            <w:shd w:val="clear" w:color="auto" w:fill="C6EFCE"/>
            <w:noWrap/>
            <w:hideMark/>
          </w:tcPr>
          <w:p w14:paraId="03DE998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1</w:t>
            </w:r>
          </w:p>
        </w:tc>
        <w:tc>
          <w:tcPr>
            <w:tcW w:w="648" w:type="dxa"/>
            <w:tcBorders>
              <w:top w:val="nil"/>
              <w:left w:val="nil"/>
              <w:bottom w:val="single" w:sz="4" w:space="0" w:color="auto"/>
              <w:right w:val="single" w:sz="4" w:space="0" w:color="auto"/>
            </w:tcBorders>
            <w:shd w:val="clear" w:color="auto" w:fill="C6EFCE"/>
            <w:noWrap/>
            <w:hideMark/>
          </w:tcPr>
          <w:p w14:paraId="0DB56D4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w:t>
            </w:r>
          </w:p>
        </w:tc>
        <w:tc>
          <w:tcPr>
            <w:tcW w:w="956" w:type="dxa"/>
            <w:tcBorders>
              <w:top w:val="nil"/>
              <w:left w:val="nil"/>
              <w:bottom w:val="single" w:sz="4" w:space="0" w:color="auto"/>
              <w:right w:val="single" w:sz="4" w:space="0" w:color="auto"/>
            </w:tcBorders>
            <w:shd w:val="clear" w:color="auto" w:fill="C6EFCE"/>
            <w:noWrap/>
            <w:hideMark/>
          </w:tcPr>
          <w:p w14:paraId="042EC37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top w:val="nil"/>
              <w:left w:val="nil"/>
              <w:bottom w:val="single" w:sz="4" w:space="0" w:color="auto"/>
              <w:right w:val="single" w:sz="4" w:space="0" w:color="auto"/>
            </w:tcBorders>
            <w:shd w:val="clear" w:color="auto" w:fill="C6EFCE"/>
            <w:noWrap/>
            <w:hideMark/>
          </w:tcPr>
          <w:p w14:paraId="110E8C2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278" w:type="dxa"/>
            <w:tcBorders>
              <w:top w:val="nil"/>
              <w:left w:val="nil"/>
              <w:bottom w:val="single" w:sz="4" w:space="0" w:color="auto"/>
              <w:right w:val="single" w:sz="4" w:space="0" w:color="auto"/>
            </w:tcBorders>
            <w:shd w:val="clear" w:color="auto" w:fill="C6EFCE"/>
            <w:noWrap/>
            <w:hideMark/>
          </w:tcPr>
          <w:p w14:paraId="76242DD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RES capacity installed and operational</w:t>
            </w:r>
          </w:p>
        </w:tc>
      </w:tr>
      <w:tr w:rsidR="00682269" w:rsidRPr="00DE4E4F" w14:paraId="7C6258A9" w14:textId="77777777" w:rsidTr="000A4A2F">
        <w:trPr>
          <w:trHeight w:val="1362"/>
        </w:trPr>
        <w:tc>
          <w:tcPr>
            <w:tcW w:w="828" w:type="dxa"/>
            <w:tcBorders>
              <w:top w:val="nil"/>
              <w:left w:val="single" w:sz="4" w:space="0" w:color="auto"/>
              <w:bottom w:val="single" w:sz="4" w:space="0" w:color="auto"/>
              <w:right w:val="single" w:sz="4" w:space="0" w:color="auto"/>
            </w:tcBorders>
            <w:shd w:val="clear" w:color="auto" w:fill="C6EFCE"/>
            <w:noWrap/>
            <w:hideMark/>
          </w:tcPr>
          <w:p w14:paraId="25C4CF4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8</w:t>
            </w:r>
          </w:p>
        </w:tc>
        <w:tc>
          <w:tcPr>
            <w:tcW w:w="1920" w:type="dxa"/>
            <w:tcBorders>
              <w:top w:val="nil"/>
              <w:left w:val="nil"/>
              <w:bottom w:val="single" w:sz="4" w:space="0" w:color="auto"/>
              <w:right w:val="single" w:sz="4" w:space="0" w:color="auto"/>
            </w:tcBorders>
            <w:shd w:val="clear" w:color="auto" w:fill="C6EFCE"/>
            <w:noWrap/>
          </w:tcPr>
          <w:p w14:paraId="0A51B20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- 16865_Restructuring and enhancement of the RES CHP Account revenues</w:t>
            </w:r>
          </w:p>
        </w:tc>
        <w:tc>
          <w:tcPr>
            <w:tcW w:w="1080" w:type="dxa"/>
            <w:tcBorders>
              <w:top w:val="nil"/>
              <w:left w:val="nil"/>
              <w:bottom w:val="single" w:sz="4" w:space="0" w:color="auto"/>
              <w:right w:val="single" w:sz="4" w:space="0" w:color="auto"/>
            </w:tcBorders>
            <w:shd w:val="clear" w:color="auto" w:fill="C6EFCE"/>
            <w:noWrap/>
            <w:hideMark/>
          </w:tcPr>
          <w:p w14:paraId="7B26EC4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Target</w:t>
            </w:r>
          </w:p>
        </w:tc>
        <w:tc>
          <w:tcPr>
            <w:tcW w:w="1200" w:type="dxa"/>
            <w:tcBorders>
              <w:top w:val="nil"/>
              <w:left w:val="nil"/>
              <w:bottom w:val="single" w:sz="4" w:space="0" w:color="auto"/>
              <w:right w:val="single" w:sz="4" w:space="0" w:color="auto"/>
            </w:tcBorders>
            <w:shd w:val="clear" w:color="auto" w:fill="C6EFCE"/>
            <w:noWrap/>
            <w:hideMark/>
          </w:tcPr>
          <w:p w14:paraId="1F43AC8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 account — capacity increase target 3 </w:t>
            </w:r>
          </w:p>
        </w:tc>
        <w:tc>
          <w:tcPr>
            <w:tcW w:w="1629" w:type="dxa"/>
            <w:tcBorders>
              <w:top w:val="nil"/>
              <w:left w:val="nil"/>
              <w:bottom w:val="single" w:sz="4" w:space="0" w:color="auto"/>
              <w:right w:val="single" w:sz="4" w:space="0" w:color="auto"/>
            </w:tcBorders>
            <w:shd w:val="clear" w:color="auto" w:fill="C6EFCE"/>
            <w:noWrap/>
            <w:hideMark/>
          </w:tcPr>
          <w:p w14:paraId="023D674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248" w:type="dxa"/>
            <w:tcBorders>
              <w:top w:val="nil"/>
              <w:left w:val="nil"/>
              <w:bottom w:val="single" w:sz="4" w:space="0" w:color="auto"/>
              <w:right w:val="single" w:sz="4" w:space="0" w:color="auto"/>
            </w:tcBorders>
            <w:shd w:val="clear" w:color="auto" w:fill="C6EFCE"/>
            <w:noWrap/>
            <w:hideMark/>
          </w:tcPr>
          <w:p w14:paraId="08AF817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capacity (GW) of renewable energy sources put in operation</w:t>
            </w:r>
          </w:p>
        </w:tc>
        <w:tc>
          <w:tcPr>
            <w:tcW w:w="994" w:type="dxa"/>
            <w:tcBorders>
              <w:top w:val="nil"/>
              <w:left w:val="nil"/>
              <w:bottom w:val="single" w:sz="4" w:space="0" w:color="auto"/>
              <w:right w:val="single" w:sz="4" w:space="0" w:color="auto"/>
            </w:tcBorders>
            <w:shd w:val="clear" w:color="auto" w:fill="C6EFCE"/>
            <w:noWrap/>
            <w:hideMark/>
          </w:tcPr>
          <w:p w14:paraId="5006329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2</w:t>
            </w:r>
          </w:p>
        </w:tc>
        <w:tc>
          <w:tcPr>
            <w:tcW w:w="648" w:type="dxa"/>
            <w:tcBorders>
              <w:top w:val="nil"/>
              <w:left w:val="nil"/>
              <w:bottom w:val="single" w:sz="4" w:space="0" w:color="auto"/>
              <w:right w:val="single" w:sz="4" w:space="0" w:color="auto"/>
            </w:tcBorders>
            <w:shd w:val="clear" w:color="auto" w:fill="C6EFCE"/>
            <w:noWrap/>
            <w:hideMark/>
          </w:tcPr>
          <w:p w14:paraId="18D0519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w:t>
            </w:r>
          </w:p>
        </w:tc>
        <w:tc>
          <w:tcPr>
            <w:tcW w:w="956" w:type="dxa"/>
            <w:tcBorders>
              <w:top w:val="nil"/>
              <w:left w:val="nil"/>
              <w:bottom w:val="single" w:sz="4" w:space="0" w:color="auto"/>
              <w:right w:val="single" w:sz="4" w:space="0" w:color="auto"/>
            </w:tcBorders>
            <w:shd w:val="clear" w:color="auto" w:fill="C6EFCE"/>
            <w:noWrap/>
            <w:hideMark/>
          </w:tcPr>
          <w:p w14:paraId="0AD80BD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top w:val="nil"/>
              <w:left w:val="nil"/>
              <w:bottom w:val="single" w:sz="4" w:space="0" w:color="auto"/>
              <w:right w:val="single" w:sz="4" w:space="0" w:color="auto"/>
            </w:tcBorders>
            <w:shd w:val="clear" w:color="auto" w:fill="C6EFCE"/>
            <w:noWrap/>
            <w:hideMark/>
          </w:tcPr>
          <w:p w14:paraId="1D4B111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278" w:type="dxa"/>
            <w:tcBorders>
              <w:top w:val="nil"/>
              <w:left w:val="nil"/>
              <w:bottom w:val="single" w:sz="4" w:space="0" w:color="auto"/>
              <w:right w:val="single" w:sz="4" w:space="0" w:color="auto"/>
            </w:tcBorders>
            <w:shd w:val="clear" w:color="auto" w:fill="C6EFCE"/>
            <w:noWrap/>
            <w:hideMark/>
          </w:tcPr>
          <w:p w14:paraId="63DBA55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RES capacity installed and operational</w:t>
            </w:r>
          </w:p>
        </w:tc>
      </w:tr>
    </w:tbl>
    <w:p w14:paraId="63F040BB" w14:textId="77777777" w:rsidR="001B186F" w:rsidRPr="00DE4E4F" w:rsidRDefault="001B186F">
      <w:pPr>
        <w:keepNext/>
        <w:keepLines/>
        <w:spacing w:before="40" w:after="0" w:line="240" w:lineRule="auto"/>
        <w:jc w:val="both"/>
        <w:outlineLvl w:val="4"/>
        <w:rPr>
          <w:rFonts w:ascii="Cambria" w:hAnsi="Cambria"/>
          <w:noProof/>
          <w:color w:val="365F91"/>
          <w:sz w:val="24"/>
        </w:rPr>
      </w:pPr>
    </w:p>
    <w:p w14:paraId="12F03129" w14:textId="77777777" w:rsidR="001B186F" w:rsidRPr="00DE4E4F" w:rsidRDefault="0074517F">
      <w:pPr>
        <w:spacing w:after="0" w:line="240" w:lineRule="auto"/>
        <w:rPr>
          <w:rFonts w:ascii="Cambria" w:hAnsi="Cambria"/>
          <w:noProof/>
          <w:color w:val="365F91"/>
          <w:sz w:val="24"/>
        </w:rPr>
      </w:pPr>
      <w:r w:rsidRPr="00DE4E4F">
        <w:rPr>
          <w:rFonts w:ascii="Cambria" w:hAnsi="Cambria"/>
          <w:noProof/>
          <w:color w:val="365F91"/>
          <w:sz w:val="24"/>
        </w:rPr>
        <w:br w:type="page"/>
      </w:r>
    </w:p>
    <w:p w14:paraId="239AA29A"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 Power Up</w:t>
      </w:r>
    </w:p>
    <w:p w14:paraId="7E5CA3F7"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430B3982"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Support of the installation of storage systems to enhance RES penetration (ID: 16926)</w:t>
      </w:r>
    </w:p>
    <w:p w14:paraId="20AA16F5"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Revitalization actions of the most affected territories (Just transition territories) (ID: 16871)</w:t>
      </w:r>
    </w:p>
    <w:p w14:paraId="383F699B"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HEDNO network upgrades aiming at enhancing resilience and protecting the environment (ID: 16901)</w:t>
      </w:r>
    </w:p>
    <w:p w14:paraId="73C3266A" w14:textId="6119979E"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rFonts w:ascii="Times New Roman" w:hAnsi="Times New Roman" w:cs="Times New Roman"/>
          <w:noProof/>
          <w:sz w:val="24"/>
          <w:szCs w:val="24"/>
        </w:rPr>
        <w:tab/>
      </w:r>
      <w:r w:rsidR="00EF2065" w:rsidRPr="00DE4E4F">
        <w:rPr>
          <w:rFonts w:ascii="Times New Roman" w:hAnsi="Times New Roman" w:cs="Times New Roman"/>
          <w:noProof/>
          <w:sz w:val="24"/>
          <w:szCs w:val="24"/>
        </w:rPr>
        <w:t>HEDNO network</w:t>
      </w:r>
      <w:r w:rsidRPr="00DE4E4F">
        <w:rPr>
          <w:rFonts w:ascii="Times New Roman" w:hAnsi="Times New Roman" w:cs="Times New Roman"/>
          <w:noProof/>
          <w:sz w:val="24"/>
          <w:szCs w:val="24"/>
        </w:rPr>
        <w:t xml:space="preserve"> </w:t>
      </w:r>
      <w:r w:rsidR="00082329" w:rsidRPr="00DE4E4F">
        <w:rPr>
          <w:rFonts w:ascii="Times New Roman" w:hAnsi="Times New Roman" w:cs="Times New Roman"/>
          <w:noProof/>
          <w:sz w:val="24"/>
          <w:szCs w:val="24"/>
        </w:rPr>
        <w:t xml:space="preserve">upgrades </w:t>
      </w:r>
      <w:r w:rsidRPr="00DE4E4F">
        <w:rPr>
          <w:rFonts w:ascii="Times New Roman" w:hAnsi="Times New Roman" w:cs="Times New Roman"/>
          <w:noProof/>
          <w:sz w:val="24"/>
          <w:szCs w:val="24"/>
        </w:rPr>
        <w:t>(ID: 16900)</w:t>
      </w:r>
    </w:p>
    <w:p w14:paraId="20A598CF" w14:textId="2DDA76D8"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0001211E" w:rsidRPr="00DE4E4F">
        <w:rPr>
          <w:rFonts w:ascii="Times New Roman" w:hAnsi="Times New Roman"/>
          <w:noProof/>
          <w:sz w:val="24"/>
        </w:rPr>
        <w:t>Hellenic Electricity Distribution Network Operator (HEDNO) High Voltage/Medium Voltage Substations</w:t>
      </w:r>
      <w:r w:rsidRPr="00DE4E4F">
        <w:rPr>
          <w:rFonts w:ascii="Times New Roman" w:hAnsi="Times New Roman"/>
          <w:noProof/>
          <w:sz w:val="24"/>
        </w:rPr>
        <w:t xml:space="preserve"> (ID: 16899)</w:t>
      </w:r>
    </w:p>
    <w:tbl>
      <w:tblPr>
        <w:tblW w:w="14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069"/>
        <w:gridCol w:w="1094"/>
        <w:gridCol w:w="1206"/>
        <w:gridCol w:w="1553"/>
        <w:gridCol w:w="1338"/>
        <w:gridCol w:w="927"/>
        <w:gridCol w:w="805"/>
        <w:gridCol w:w="922"/>
        <w:gridCol w:w="720"/>
        <w:gridCol w:w="3331"/>
      </w:tblGrid>
      <w:tr w:rsidR="005F177F" w:rsidRPr="00DE4E4F" w14:paraId="7762C1C1" w14:textId="77777777" w:rsidTr="00C46CD1">
        <w:trPr>
          <w:trHeight w:val="679"/>
          <w:tblHeader/>
          <w:jc w:val="center"/>
        </w:trPr>
        <w:tc>
          <w:tcPr>
            <w:tcW w:w="817" w:type="dxa"/>
            <w:vMerge w:val="restart"/>
            <w:shd w:val="clear" w:color="auto" w:fill="BDD7EE"/>
            <w:vAlign w:val="center"/>
            <w:hideMark/>
          </w:tcPr>
          <w:p w14:paraId="0BE4110C"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2069" w:type="dxa"/>
            <w:vMerge w:val="restart"/>
            <w:shd w:val="clear" w:color="auto" w:fill="BDD7EE"/>
            <w:vAlign w:val="center"/>
            <w:hideMark/>
          </w:tcPr>
          <w:p w14:paraId="476EB6A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Related Measure (Reform or Investment)</w:t>
            </w:r>
          </w:p>
        </w:tc>
        <w:tc>
          <w:tcPr>
            <w:tcW w:w="1094" w:type="dxa"/>
            <w:vMerge w:val="restart"/>
            <w:shd w:val="clear" w:color="auto" w:fill="BDD7EE"/>
            <w:vAlign w:val="center"/>
            <w:hideMark/>
          </w:tcPr>
          <w:p w14:paraId="7D61EE78"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Milestone / Target</w:t>
            </w:r>
          </w:p>
        </w:tc>
        <w:tc>
          <w:tcPr>
            <w:tcW w:w="1206" w:type="dxa"/>
            <w:vMerge w:val="restart"/>
            <w:shd w:val="clear" w:color="auto" w:fill="BDD7EE"/>
            <w:vAlign w:val="center"/>
            <w:hideMark/>
          </w:tcPr>
          <w:p w14:paraId="31066E93"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553" w:type="dxa"/>
            <w:vMerge w:val="restart"/>
            <w:shd w:val="clear" w:color="auto" w:fill="BDD7EE"/>
            <w:vAlign w:val="center"/>
            <w:hideMark/>
          </w:tcPr>
          <w:p w14:paraId="5ECCD65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Qualitative indicators (for milestones)</w:t>
            </w:r>
          </w:p>
        </w:tc>
        <w:tc>
          <w:tcPr>
            <w:tcW w:w="3070" w:type="dxa"/>
            <w:gridSpan w:val="3"/>
            <w:shd w:val="clear" w:color="auto" w:fill="BDD7EE"/>
            <w:vAlign w:val="center"/>
            <w:hideMark/>
          </w:tcPr>
          <w:p w14:paraId="7347B8BF"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Quantitative indicators </w:t>
            </w:r>
            <w:r w:rsidRPr="00DE4E4F">
              <w:rPr>
                <w:rFonts w:ascii="Times New Roman" w:hAnsi="Times New Roman" w:cs="Times New Roman"/>
                <w:b/>
                <w:noProof/>
                <w:sz w:val="18"/>
                <w:szCs w:val="18"/>
              </w:rPr>
              <w:br/>
              <w:t>(for targets)</w:t>
            </w:r>
          </w:p>
        </w:tc>
        <w:tc>
          <w:tcPr>
            <w:tcW w:w="1642" w:type="dxa"/>
            <w:gridSpan w:val="2"/>
            <w:shd w:val="clear" w:color="auto" w:fill="BDD7EE"/>
            <w:vAlign w:val="center"/>
            <w:hideMark/>
          </w:tcPr>
          <w:p w14:paraId="21875BD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Indicative timeline for completion </w:t>
            </w:r>
          </w:p>
        </w:tc>
        <w:tc>
          <w:tcPr>
            <w:tcW w:w="3331" w:type="dxa"/>
            <w:vMerge w:val="restart"/>
            <w:shd w:val="clear" w:color="auto" w:fill="BDD7EE"/>
            <w:vAlign w:val="center"/>
            <w:hideMark/>
          </w:tcPr>
          <w:p w14:paraId="60DC1D73"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5F177F" w:rsidRPr="00DE4E4F" w14:paraId="2376F889" w14:textId="77777777" w:rsidTr="00C46CD1">
        <w:trPr>
          <w:trHeight w:val="593"/>
          <w:tblHeader/>
          <w:jc w:val="center"/>
        </w:trPr>
        <w:tc>
          <w:tcPr>
            <w:tcW w:w="817" w:type="dxa"/>
            <w:vMerge/>
            <w:vAlign w:val="center"/>
            <w:hideMark/>
          </w:tcPr>
          <w:p w14:paraId="22B0086B"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2069" w:type="dxa"/>
            <w:vMerge/>
            <w:vAlign w:val="center"/>
            <w:hideMark/>
          </w:tcPr>
          <w:p w14:paraId="563FBBB9"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094" w:type="dxa"/>
            <w:vMerge/>
            <w:vAlign w:val="center"/>
            <w:hideMark/>
          </w:tcPr>
          <w:p w14:paraId="661193A7"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206" w:type="dxa"/>
            <w:vMerge/>
            <w:vAlign w:val="center"/>
            <w:hideMark/>
          </w:tcPr>
          <w:p w14:paraId="4B5A59A4"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553" w:type="dxa"/>
            <w:vMerge/>
            <w:vAlign w:val="center"/>
            <w:hideMark/>
          </w:tcPr>
          <w:p w14:paraId="642DB89A"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338" w:type="dxa"/>
            <w:shd w:val="clear" w:color="auto" w:fill="BDD7EE"/>
            <w:vAlign w:val="center"/>
            <w:hideMark/>
          </w:tcPr>
          <w:p w14:paraId="490FC57C"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927" w:type="dxa"/>
            <w:shd w:val="clear" w:color="auto" w:fill="BDD7EE"/>
            <w:vAlign w:val="center"/>
            <w:hideMark/>
          </w:tcPr>
          <w:p w14:paraId="7D180235"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805" w:type="dxa"/>
            <w:shd w:val="clear" w:color="auto" w:fill="BDD7EE"/>
            <w:vAlign w:val="center"/>
            <w:hideMark/>
          </w:tcPr>
          <w:p w14:paraId="1D199521"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922" w:type="dxa"/>
            <w:shd w:val="clear" w:color="auto" w:fill="BDD7EE"/>
            <w:vAlign w:val="center"/>
            <w:hideMark/>
          </w:tcPr>
          <w:p w14:paraId="797ADFC9"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720" w:type="dxa"/>
            <w:shd w:val="clear" w:color="auto" w:fill="BDD7EE"/>
            <w:vAlign w:val="center"/>
            <w:hideMark/>
          </w:tcPr>
          <w:p w14:paraId="79E82930"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3331" w:type="dxa"/>
            <w:vMerge/>
            <w:vAlign w:val="center"/>
            <w:hideMark/>
          </w:tcPr>
          <w:p w14:paraId="5A810A5A"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r>
      <w:tr w:rsidR="005F177F" w:rsidRPr="00DE4E4F" w14:paraId="2C075B51" w14:textId="77777777" w:rsidTr="000A4A2F">
        <w:trPr>
          <w:jc w:val="center"/>
        </w:trPr>
        <w:tc>
          <w:tcPr>
            <w:tcW w:w="817" w:type="dxa"/>
            <w:shd w:val="clear" w:color="auto" w:fill="C6EFCE"/>
            <w:noWrap/>
          </w:tcPr>
          <w:p w14:paraId="2629717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w:t>
            </w:r>
          </w:p>
        </w:tc>
        <w:tc>
          <w:tcPr>
            <w:tcW w:w="2069" w:type="dxa"/>
            <w:shd w:val="clear" w:color="auto" w:fill="C6EFCE"/>
            <w:noWrap/>
          </w:tcPr>
          <w:p w14:paraId="1EF1D57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- 16871_Revitalization actions of the most affected territories (Just transition territories)</w:t>
            </w:r>
          </w:p>
        </w:tc>
        <w:tc>
          <w:tcPr>
            <w:tcW w:w="1094" w:type="dxa"/>
            <w:shd w:val="clear" w:color="auto" w:fill="C6EFCE"/>
            <w:noWrap/>
          </w:tcPr>
          <w:p w14:paraId="3E961E4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2014558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Land rehabilitation — framework law</w:t>
            </w:r>
          </w:p>
        </w:tc>
        <w:tc>
          <w:tcPr>
            <w:tcW w:w="1553" w:type="dxa"/>
            <w:shd w:val="clear" w:color="auto" w:fill="C6EFCE"/>
            <w:noWrap/>
          </w:tcPr>
          <w:p w14:paraId="4722A7D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w:t>
            </w:r>
          </w:p>
        </w:tc>
        <w:tc>
          <w:tcPr>
            <w:tcW w:w="1338" w:type="dxa"/>
            <w:shd w:val="clear" w:color="auto" w:fill="C6EFCE"/>
            <w:noWrap/>
          </w:tcPr>
          <w:p w14:paraId="178D9DA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2EE4D7A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1C31AA96"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386A079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20" w:type="dxa"/>
            <w:shd w:val="clear" w:color="auto" w:fill="C6EFCE"/>
            <w:noWrap/>
          </w:tcPr>
          <w:p w14:paraId="56B1460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331" w:type="dxa"/>
            <w:shd w:val="clear" w:color="auto" w:fill="C6EFCE"/>
            <w:noWrap/>
          </w:tcPr>
          <w:p w14:paraId="69D85A2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and entry into force of Framework Program Contract Law determining the geographical areas to be transferred from the Public Power Corporation to the State, the content of the projects’ studies, the division of responsibilities between all involved parties, the governance arrangements, the implementation schedule and the budget.</w:t>
            </w:r>
          </w:p>
        </w:tc>
      </w:tr>
      <w:tr w:rsidR="005F177F" w:rsidRPr="00DE4E4F" w14:paraId="18957338" w14:textId="77777777" w:rsidTr="000A4A2F">
        <w:trPr>
          <w:jc w:val="center"/>
        </w:trPr>
        <w:tc>
          <w:tcPr>
            <w:tcW w:w="817" w:type="dxa"/>
            <w:shd w:val="clear" w:color="auto" w:fill="C6EFCE"/>
            <w:noWrap/>
          </w:tcPr>
          <w:p w14:paraId="3147016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w:t>
            </w:r>
          </w:p>
        </w:tc>
        <w:tc>
          <w:tcPr>
            <w:tcW w:w="2069" w:type="dxa"/>
            <w:shd w:val="clear" w:color="auto" w:fill="C6EFCE"/>
            <w:noWrap/>
          </w:tcPr>
          <w:p w14:paraId="0C0D9121" w14:textId="77777777" w:rsidR="001B186F" w:rsidRPr="00DE4E4F" w:rsidRDefault="0074517F" w:rsidP="000A4A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- 16871_Revitalization actions of the most affected territories (Just transition territories)</w:t>
            </w:r>
          </w:p>
        </w:tc>
        <w:tc>
          <w:tcPr>
            <w:tcW w:w="1094" w:type="dxa"/>
            <w:shd w:val="clear" w:color="auto" w:fill="C6EFCE"/>
            <w:noWrap/>
          </w:tcPr>
          <w:p w14:paraId="7F85681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3BF82B8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Land rehabilitation — urban plans</w:t>
            </w:r>
          </w:p>
        </w:tc>
        <w:tc>
          <w:tcPr>
            <w:tcW w:w="1553" w:type="dxa"/>
            <w:shd w:val="clear" w:color="auto" w:fill="C6EFCE"/>
            <w:noWrap/>
          </w:tcPr>
          <w:p w14:paraId="3AAAB1C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of Special Urban Plans by the Central Council of Town Planning Issues and Disputes; Land rehabilitation (ha) completed and certified by the Independent Certifier</w:t>
            </w:r>
          </w:p>
        </w:tc>
        <w:tc>
          <w:tcPr>
            <w:tcW w:w="1338" w:type="dxa"/>
            <w:shd w:val="clear" w:color="auto" w:fill="C6EFCE"/>
            <w:noWrap/>
          </w:tcPr>
          <w:p w14:paraId="41733A6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7C940E6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56F88956"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17B989E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20" w:type="dxa"/>
            <w:shd w:val="clear" w:color="auto" w:fill="C6EFCE"/>
            <w:noWrap/>
          </w:tcPr>
          <w:p w14:paraId="43EB23D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331" w:type="dxa"/>
            <w:shd w:val="clear" w:color="auto" w:fill="C6EFCE"/>
            <w:noWrap/>
          </w:tcPr>
          <w:p w14:paraId="2ECB34F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Approval of the Special Urban Plans by the Central Council of Town Planning Issues and Disputes. The Special Urban Plans shall define permitted land uses, the general building conditions and restrictions and any other required measure, term or restriction.</w:t>
            </w:r>
          </w:p>
          <w:p w14:paraId="44BCC31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Call by PPC SA (according to Paragraph 6.5.3 of the framework agreement – ratified by Law 4956/2022) to the contracting parties, for the acceptance of 5 438 ha of restored or undisturbed land followed by the certification by the Independent Certifier. </w:t>
            </w:r>
          </w:p>
        </w:tc>
      </w:tr>
      <w:tr w:rsidR="005F177F" w:rsidRPr="00DE4E4F" w14:paraId="1FF5A84B" w14:textId="77777777" w:rsidTr="000A4A2F">
        <w:trPr>
          <w:jc w:val="center"/>
        </w:trPr>
        <w:tc>
          <w:tcPr>
            <w:tcW w:w="817" w:type="dxa"/>
            <w:shd w:val="clear" w:color="auto" w:fill="C6EFCE"/>
            <w:noWrap/>
          </w:tcPr>
          <w:p w14:paraId="3871FCB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w:t>
            </w:r>
          </w:p>
        </w:tc>
        <w:tc>
          <w:tcPr>
            <w:tcW w:w="2069" w:type="dxa"/>
            <w:shd w:val="clear" w:color="auto" w:fill="C6EFCE"/>
            <w:noWrap/>
          </w:tcPr>
          <w:p w14:paraId="07F8DC5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- 16926_Support of the installation of storage systems to enhance RES penetration</w:t>
            </w:r>
          </w:p>
        </w:tc>
        <w:tc>
          <w:tcPr>
            <w:tcW w:w="1094" w:type="dxa"/>
            <w:shd w:val="clear" w:color="auto" w:fill="C6EFCE"/>
            <w:noWrap/>
          </w:tcPr>
          <w:p w14:paraId="712A942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0981A69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Storage — contracts</w:t>
            </w:r>
          </w:p>
        </w:tc>
        <w:tc>
          <w:tcPr>
            <w:tcW w:w="1553" w:type="dxa"/>
            <w:shd w:val="clear" w:color="auto" w:fill="C6EFCE"/>
            <w:noWrap/>
          </w:tcPr>
          <w:p w14:paraId="4DE1627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w:t>
            </w:r>
          </w:p>
        </w:tc>
        <w:tc>
          <w:tcPr>
            <w:tcW w:w="1338" w:type="dxa"/>
            <w:shd w:val="clear" w:color="auto" w:fill="C6EFCE"/>
            <w:noWrap/>
          </w:tcPr>
          <w:p w14:paraId="5A8A9CF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12B45247"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2AC51728"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6616173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7884C5C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331" w:type="dxa"/>
            <w:shd w:val="clear" w:color="auto" w:fill="C6EFCE"/>
            <w:noWrap/>
          </w:tcPr>
          <w:p w14:paraId="18A57E9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 for selected projects (i.e. besides the long-duration Amfilochia Pumped Hydro Storage that is selected through an individual process), for a total of up to 700MW of capacity (and minimum capacity of 500MW).</w:t>
            </w:r>
          </w:p>
        </w:tc>
      </w:tr>
      <w:tr w:rsidR="005F177F" w:rsidRPr="00DE4E4F" w14:paraId="79B52FE8" w14:textId="77777777" w:rsidTr="000A4A2F">
        <w:trPr>
          <w:jc w:val="center"/>
        </w:trPr>
        <w:tc>
          <w:tcPr>
            <w:tcW w:w="817" w:type="dxa"/>
            <w:shd w:val="clear" w:color="auto" w:fill="C6EFCE"/>
            <w:noWrap/>
          </w:tcPr>
          <w:p w14:paraId="2E46056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w:t>
            </w:r>
          </w:p>
        </w:tc>
        <w:tc>
          <w:tcPr>
            <w:tcW w:w="2069" w:type="dxa"/>
            <w:shd w:val="clear" w:color="auto" w:fill="C6EFCE"/>
            <w:noWrap/>
          </w:tcPr>
          <w:p w14:paraId="4F496D0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- 16901_HEDNO network upgrades aiming at enhancing resilience and protecting the environment</w:t>
            </w:r>
          </w:p>
        </w:tc>
        <w:tc>
          <w:tcPr>
            <w:tcW w:w="1094" w:type="dxa"/>
            <w:shd w:val="clear" w:color="auto" w:fill="C6EFCE"/>
            <w:noWrap/>
          </w:tcPr>
          <w:p w14:paraId="4EE852A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41B7917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HEDNO — contracts 1</w:t>
            </w:r>
          </w:p>
        </w:tc>
        <w:tc>
          <w:tcPr>
            <w:tcW w:w="1553" w:type="dxa"/>
            <w:shd w:val="clear" w:color="auto" w:fill="C6EFCE"/>
            <w:noWrap/>
          </w:tcPr>
          <w:p w14:paraId="3A54FA1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w:t>
            </w:r>
          </w:p>
        </w:tc>
        <w:tc>
          <w:tcPr>
            <w:tcW w:w="1338" w:type="dxa"/>
            <w:shd w:val="clear" w:color="auto" w:fill="C6EFCE"/>
            <w:noWrap/>
          </w:tcPr>
          <w:p w14:paraId="690B3F76"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6F8E7C6A"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4847D396"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068CFCA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69C67B3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331" w:type="dxa"/>
            <w:shd w:val="clear" w:color="auto" w:fill="C6EFCE"/>
            <w:noWrap/>
          </w:tcPr>
          <w:p w14:paraId="7E7215A4" w14:textId="2379533C"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 related to Hellenic Electricity Distribution Network Operator (HEDNO) projects on upgrades for resilience and environment),</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which aims to facilitate the further penetration of renewable energy and improve the reliability and resilience of the network, while protecting the environment.</w:t>
            </w:r>
          </w:p>
        </w:tc>
      </w:tr>
      <w:tr w:rsidR="005F177F" w:rsidRPr="00DE4E4F" w14:paraId="5B0C090F" w14:textId="77777777" w:rsidTr="000A4A2F">
        <w:trPr>
          <w:jc w:val="center"/>
        </w:trPr>
        <w:tc>
          <w:tcPr>
            <w:tcW w:w="817" w:type="dxa"/>
            <w:shd w:val="clear" w:color="auto" w:fill="C6EFCE"/>
            <w:noWrap/>
          </w:tcPr>
          <w:p w14:paraId="36FBD6E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w:t>
            </w:r>
          </w:p>
        </w:tc>
        <w:tc>
          <w:tcPr>
            <w:tcW w:w="2069" w:type="dxa"/>
            <w:shd w:val="clear" w:color="auto" w:fill="C6EFCE"/>
            <w:noWrap/>
          </w:tcPr>
          <w:p w14:paraId="766F82D3" w14:textId="19D6D0EB"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- 16900_</w:t>
            </w:r>
            <w:r w:rsidR="00EF2065" w:rsidRPr="00DE4E4F">
              <w:rPr>
                <w:rFonts w:ascii="Times New Roman" w:hAnsi="Times New Roman" w:cs="Times New Roman"/>
                <w:noProof/>
                <w:color w:val="006100"/>
                <w:sz w:val="18"/>
                <w:szCs w:val="18"/>
              </w:rPr>
              <w:t>_HEDNO network</w:t>
            </w:r>
            <w:r w:rsidR="00875129" w:rsidRPr="00DE4E4F">
              <w:rPr>
                <w:rFonts w:ascii="Times New Roman" w:hAnsi="Times New Roman" w:cs="Times New Roman"/>
                <w:noProof/>
                <w:color w:val="006100"/>
                <w:sz w:val="18"/>
                <w:szCs w:val="18"/>
              </w:rPr>
              <w:t xml:space="preserve"> upgrades</w:t>
            </w:r>
          </w:p>
        </w:tc>
        <w:tc>
          <w:tcPr>
            <w:tcW w:w="1094" w:type="dxa"/>
            <w:shd w:val="clear" w:color="auto" w:fill="C6EFCE"/>
            <w:noWrap/>
          </w:tcPr>
          <w:p w14:paraId="2EFAD9F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6889397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HEDNO — contracts 2</w:t>
            </w:r>
          </w:p>
        </w:tc>
        <w:tc>
          <w:tcPr>
            <w:tcW w:w="1553" w:type="dxa"/>
            <w:shd w:val="clear" w:color="auto" w:fill="C6EFCE"/>
            <w:noWrap/>
          </w:tcPr>
          <w:p w14:paraId="736D73E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w:t>
            </w:r>
          </w:p>
        </w:tc>
        <w:tc>
          <w:tcPr>
            <w:tcW w:w="1338" w:type="dxa"/>
            <w:shd w:val="clear" w:color="auto" w:fill="C6EFCE"/>
            <w:noWrap/>
          </w:tcPr>
          <w:p w14:paraId="490516B3"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6344B58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5DF405F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759557A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7D507EB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331" w:type="dxa"/>
            <w:shd w:val="clear" w:color="auto" w:fill="C6EFCE"/>
            <w:noWrap/>
          </w:tcPr>
          <w:p w14:paraId="141A967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 related to HEDNO projects on overhead networks in forest areas, which aims to facilitate the further penetration of renewable energy and improve the reliability and resilience of the network, while protecting the environment.</w:t>
            </w:r>
          </w:p>
        </w:tc>
      </w:tr>
      <w:tr w:rsidR="005F177F" w:rsidRPr="00DE4E4F" w14:paraId="58793484" w14:textId="77777777" w:rsidTr="000A4A2F">
        <w:trPr>
          <w:jc w:val="center"/>
        </w:trPr>
        <w:tc>
          <w:tcPr>
            <w:tcW w:w="817" w:type="dxa"/>
            <w:shd w:val="clear" w:color="auto" w:fill="C6EFCE"/>
            <w:noWrap/>
          </w:tcPr>
          <w:p w14:paraId="77C4618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w:t>
            </w:r>
          </w:p>
        </w:tc>
        <w:tc>
          <w:tcPr>
            <w:tcW w:w="2069" w:type="dxa"/>
            <w:shd w:val="clear" w:color="auto" w:fill="C6EFCE"/>
            <w:noWrap/>
          </w:tcPr>
          <w:p w14:paraId="43DDA8F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- 16899_Installed capacity increase in Hellenic Electricity Distribution Network Operator (HEDNO) HV/MV substations for new RES connection</w:t>
            </w:r>
          </w:p>
        </w:tc>
        <w:tc>
          <w:tcPr>
            <w:tcW w:w="1094" w:type="dxa"/>
            <w:shd w:val="clear" w:color="auto" w:fill="C6EFCE"/>
            <w:noWrap/>
          </w:tcPr>
          <w:p w14:paraId="29A9005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537F3BA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HEDNO — contracts 3</w:t>
            </w:r>
          </w:p>
        </w:tc>
        <w:tc>
          <w:tcPr>
            <w:tcW w:w="1553" w:type="dxa"/>
            <w:shd w:val="clear" w:color="auto" w:fill="C6EFCE"/>
            <w:noWrap/>
          </w:tcPr>
          <w:p w14:paraId="531FA5D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w:t>
            </w:r>
          </w:p>
        </w:tc>
        <w:tc>
          <w:tcPr>
            <w:tcW w:w="1338" w:type="dxa"/>
            <w:shd w:val="clear" w:color="auto" w:fill="C6EFCE"/>
            <w:noWrap/>
          </w:tcPr>
          <w:p w14:paraId="002B24B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122B7B7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292D0E1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4081E8C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52CC836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331" w:type="dxa"/>
            <w:shd w:val="clear" w:color="auto" w:fill="C6EFCE"/>
            <w:noWrap/>
          </w:tcPr>
          <w:p w14:paraId="0AD996C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 related to HEDNO projects on capacity increases of High Voltage/Medium Voltage substations, which aims to facilitate the further penetration of renewable energy and improve the reliability and resilience of the network, while protecting the environment.</w:t>
            </w:r>
          </w:p>
        </w:tc>
      </w:tr>
      <w:tr w:rsidR="005F177F" w:rsidRPr="00DE4E4F" w14:paraId="6639D3CD" w14:textId="77777777" w:rsidTr="000A4A2F">
        <w:trPr>
          <w:jc w:val="center"/>
        </w:trPr>
        <w:tc>
          <w:tcPr>
            <w:tcW w:w="817" w:type="dxa"/>
            <w:shd w:val="clear" w:color="auto" w:fill="C6EFCE"/>
            <w:noWrap/>
          </w:tcPr>
          <w:p w14:paraId="3CE093F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w:t>
            </w:r>
          </w:p>
        </w:tc>
        <w:tc>
          <w:tcPr>
            <w:tcW w:w="2069" w:type="dxa"/>
            <w:shd w:val="clear" w:color="auto" w:fill="C6EFCE"/>
            <w:noWrap/>
          </w:tcPr>
          <w:p w14:paraId="0E98D5F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- 16871_Revitalization actions of the most affected territories (Just transition territories)</w:t>
            </w:r>
          </w:p>
        </w:tc>
        <w:tc>
          <w:tcPr>
            <w:tcW w:w="1094" w:type="dxa"/>
            <w:shd w:val="clear" w:color="auto" w:fill="C6EFCE"/>
            <w:noWrap/>
          </w:tcPr>
          <w:p w14:paraId="1855A59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06" w:type="dxa"/>
            <w:shd w:val="clear" w:color="auto" w:fill="C6EFCE"/>
            <w:noWrap/>
          </w:tcPr>
          <w:p w14:paraId="28BEA6E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Land rehabilitation </w:t>
            </w:r>
          </w:p>
        </w:tc>
        <w:tc>
          <w:tcPr>
            <w:tcW w:w="1553" w:type="dxa"/>
            <w:shd w:val="clear" w:color="auto" w:fill="C6EFCE"/>
            <w:noWrap/>
          </w:tcPr>
          <w:p w14:paraId="3515372B" w14:textId="77777777" w:rsidR="001B186F" w:rsidRPr="00DE4E4F" w:rsidRDefault="001B186F" w:rsidP="000A4A2F">
            <w:pPr>
              <w:spacing w:before="120" w:after="0" w:line="240" w:lineRule="auto"/>
              <w:jc w:val="both"/>
              <w:rPr>
                <w:rFonts w:ascii="Times New Roman" w:eastAsia="Times New Roman" w:hAnsi="Times New Roman" w:cs="Times New Roman"/>
                <w:noProof/>
                <w:color w:val="006100"/>
                <w:sz w:val="18"/>
                <w:szCs w:val="18"/>
                <w:lang w:eastAsia="en-GB"/>
              </w:rPr>
            </w:pPr>
          </w:p>
        </w:tc>
        <w:tc>
          <w:tcPr>
            <w:tcW w:w="1338" w:type="dxa"/>
            <w:shd w:val="clear" w:color="auto" w:fill="C6EFCE"/>
            <w:noWrap/>
          </w:tcPr>
          <w:p w14:paraId="09F24B4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ha </w:t>
            </w:r>
          </w:p>
        </w:tc>
        <w:tc>
          <w:tcPr>
            <w:tcW w:w="927" w:type="dxa"/>
            <w:shd w:val="clear" w:color="auto" w:fill="C6EFCE"/>
            <w:noWrap/>
          </w:tcPr>
          <w:p w14:paraId="2F3DE64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805" w:type="dxa"/>
            <w:shd w:val="clear" w:color="auto" w:fill="C6EFCE"/>
            <w:noWrap/>
          </w:tcPr>
          <w:p w14:paraId="74B7768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8 102</w:t>
            </w:r>
          </w:p>
        </w:tc>
        <w:tc>
          <w:tcPr>
            <w:tcW w:w="922" w:type="dxa"/>
            <w:shd w:val="clear" w:color="auto" w:fill="C6EFCE"/>
            <w:noWrap/>
          </w:tcPr>
          <w:p w14:paraId="3D4AD8E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7B6F26A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31" w:type="dxa"/>
            <w:shd w:val="clear" w:color="auto" w:fill="C6EFCE"/>
            <w:noWrap/>
          </w:tcPr>
          <w:p w14:paraId="722A924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Call by Public Power Corporation (PPC SA) to the contracting parties for the acceptance of a total of 8 102 ha restored or undisturbed land. Rehabilitation works may include but are not limited to earthworks, planting, dismantling or demolitions of infrastructure.</w:t>
            </w:r>
          </w:p>
        </w:tc>
      </w:tr>
      <w:tr w:rsidR="005F177F" w:rsidRPr="00DE4E4F" w14:paraId="6C9A4A65" w14:textId="77777777" w:rsidTr="000A4A2F">
        <w:trPr>
          <w:jc w:val="center"/>
        </w:trPr>
        <w:tc>
          <w:tcPr>
            <w:tcW w:w="817" w:type="dxa"/>
            <w:shd w:val="clear" w:color="auto" w:fill="C6EFCE"/>
            <w:noWrap/>
          </w:tcPr>
          <w:p w14:paraId="537F59F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w:t>
            </w:r>
          </w:p>
        </w:tc>
        <w:tc>
          <w:tcPr>
            <w:tcW w:w="2069" w:type="dxa"/>
            <w:shd w:val="clear" w:color="auto" w:fill="C6EFCE"/>
            <w:noWrap/>
          </w:tcPr>
          <w:p w14:paraId="57ABCB5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1 - 1.1. Power up - 16926_Support of the installation of storage systems to enhance RES penetration</w:t>
            </w:r>
          </w:p>
        </w:tc>
        <w:tc>
          <w:tcPr>
            <w:tcW w:w="1094" w:type="dxa"/>
            <w:shd w:val="clear" w:color="auto" w:fill="C6EFCE"/>
            <w:noWrap/>
          </w:tcPr>
          <w:p w14:paraId="74A4F50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77587291" w14:textId="0631CB4D"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Storage —</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battery storage installed and civil engineering works of the Amfilochia Pumped Hydro Storage Station</w:t>
            </w:r>
          </w:p>
        </w:tc>
        <w:tc>
          <w:tcPr>
            <w:tcW w:w="1553" w:type="dxa"/>
            <w:shd w:val="clear" w:color="auto" w:fill="C6EFCE"/>
            <w:noWrap/>
          </w:tcPr>
          <w:p w14:paraId="173015E5" w14:textId="51DA1E0E"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Installation of </w:t>
            </w:r>
            <w:r w:rsidR="00FF5CD4" w:rsidRPr="00DE4E4F">
              <w:rPr>
                <w:rFonts w:ascii="Times New Roman" w:hAnsi="Times New Roman" w:cs="Times New Roman"/>
                <w:noProof/>
                <w:color w:val="006100"/>
                <w:sz w:val="18"/>
                <w:szCs w:val="18"/>
              </w:rPr>
              <w:t xml:space="preserve">energy storage projects for </w:t>
            </w:r>
            <w:r w:rsidRPr="00DE4E4F">
              <w:rPr>
                <w:rFonts w:ascii="Times New Roman" w:hAnsi="Times New Roman" w:cs="Times New Roman"/>
                <w:noProof/>
                <w:color w:val="006100"/>
                <w:sz w:val="18"/>
                <w:szCs w:val="18"/>
              </w:rPr>
              <w:t xml:space="preserve">700 MW, and civil engineering works </w:t>
            </w:r>
            <w:r w:rsidR="005E56CD" w:rsidRPr="00DE4E4F">
              <w:rPr>
                <w:rFonts w:ascii="Times New Roman" w:hAnsi="Times New Roman" w:cs="Times New Roman"/>
                <w:noProof/>
                <w:color w:val="006100"/>
                <w:sz w:val="18"/>
                <w:szCs w:val="18"/>
              </w:rPr>
              <w:t xml:space="preserve">for eight sub-projects </w:t>
            </w:r>
            <w:r w:rsidRPr="00DE4E4F">
              <w:rPr>
                <w:rFonts w:ascii="Times New Roman" w:hAnsi="Times New Roman" w:cs="Times New Roman"/>
                <w:noProof/>
                <w:color w:val="006100"/>
                <w:sz w:val="18"/>
                <w:szCs w:val="18"/>
              </w:rPr>
              <w:t>of the Amfilochia Pumped Hydro Storage Station executed.</w:t>
            </w:r>
          </w:p>
        </w:tc>
        <w:tc>
          <w:tcPr>
            <w:tcW w:w="1338" w:type="dxa"/>
            <w:shd w:val="clear" w:color="auto" w:fill="C6EFCE"/>
            <w:noWrap/>
          </w:tcPr>
          <w:p w14:paraId="2AC4B75A"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57BAC44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33087D5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67BCFFC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58ADE76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31" w:type="dxa"/>
            <w:shd w:val="clear" w:color="auto" w:fill="C6EFCE"/>
            <w:noWrap/>
          </w:tcPr>
          <w:p w14:paraId="2292963C" w14:textId="56FD21BE"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energy storage projects for 700 MW</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 xml:space="preserve">and civil engineering works for </w:t>
            </w:r>
            <w:r w:rsidR="00BA6FDB" w:rsidRPr="00DE4E4F">
              <w:rPr>
                <w:rFonts w:ascii="Times New Roman" w:hAnsi="Times New Roman" w:cs="Times New Roman"/>
                <w:noProof/>
                <w:color w:val="006100"/>
                <w:sz w:val="18"/>
                <w:szCs w:val="18"/>
              </w:rPr>
              <w:t xml:space="preserve">eight </w:t>
            </w:r>
            <w:r w:rsidRPr="00DE4E4F">
              <w:rPr>
                <w:rFonts w:ascii="Times New Roman" w:hAnsi="Times New Roman" w:cs="Times New Roman"/>
                <w:noProof/>
                <w:color w:val="006100"/>
                <w:sz w:val="18"/>
                <w:szCs w:val="18"/>
              </w:rPr>
              <w:t xml:space="preserve">sub-projects of the Amfilochia Pumped Hydro Storage Station executed. </w:t>
            </w:r>
          </w:p>
        </w:tc>
      </w:tr>
      <w:tr w:rsidR="005F177F" w:rsidRPr="00DE4E4F" w14:paraId="79326025" w14:textId="77777777" w:rsidTr="000A4A2F">
        <w:trPr>
          <w:jc w:val="center"/>
        </w:trPr>
        <w:tc>
          <w:tcPr>
            <w:tcW w:w="817" w:type="dxa"/>
            <w:shd w:val="clear" w:color="auto" w:fill="C6EFCE"/>
            <w:noWrap/>
          </w:tcPr>
          <w:p w14:paraId="7624F34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w:t>
            </w:r>
          </w:p>
        </w:tc>
        <w:tc>
          <w:tcPr>
            <w:tcW w:w="2069" w:type="dxa"/>
            <w:shd w:val="clear" w:color="auto" w:fill="C6EFCE"/>
            <w:noWrap/>
          </w:tcPr>
          <w:p w14:paraId="02961542" w14:textId="48044FCA"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1 - 1.1. Power up - 16900_HEDNO network </w:t>
            </w:r>
            <w:r w:rsidR="56C50D62" w:rsidRPr="00DE4E4F">
              <w:rPr>
                <w:rFonts w:ascii="Times New Roman" w:hAnsi="Times New Roman" w:cs="Times New Roman"/>
                <w:noProof/>
                <w:color w:val="006100"/>
                <w:sz w:val="18"/>
                <w:szCs w:val="18"/>
              </w:rPr>
              <w:t>upgrades</w:t>
            </w:r>
          </w:p>
        </w:tc>
        <w:tc>
          <w:tcPr>
            <w:tcW w:w="1094" w:type="dxa"/>
            <w:shd w:val="clear" w:color="auto" w:fill="C6EFCE"/>
            <w:noWrap/>
          </w:tcPr>
          <w:p w14:paraId="52BA417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4E6D7C4C" w14:textId="6875C316"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HEDNO Network </w:t>
            </w:r>
            <w:r w:rsidR="595D0CE3" w:rsidRPr="00DE4E4F">
              <w:rPr>
                <w:rFonts w:ascii="Times New Roman" w:hAnsi="Times New Roman" w:cs="Times New Roman"/>
                <w:noProof/>
                <w:color w:val="006100"/>
                <w:sz w:val="18"/>
                <w:szCs w:val="18"/>
              </w:rPr>
              <w:t>upgrades</w:t>
            </w:r>
          </w:p>
        </w:tc>
        <w:tc>
          <w:tcPr>
            <w:tcW w:w="1553" w:type="dxa"/>
            <w:shd w:val="clear" w:color="auto" w:fill="C6EFCE"/>
            <w:noWrap/>
          </w:tcPr>
          <w:p w14:paraId="59463DD5" w14:textId="5F16352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Intervention</w:t>
            </w:r>
            <w:r w:rsidR="18B7817A" w:rsidRPr="00DE4E4F">
              <w:rPr>
                <w:rFonts w:ascii="Times New Roman" w:hAnsi="Times New Roman" w:cs="Times New Roman"/>
                <w:noProof/>
                <w:color w:val="006100"/>
                <w:sz w:val="18"/>
                <w:szCs w:val="18"/>
              </w:rPr>
              <w:t>s</w:t>
            </w:r>
            <w:r w:rsidR="005F177F"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in the distribution network </w:t>
            </w:r>
          </w:p>
        </w:tc>
        <w:tc>
          <w:tcPr>
            <w:tcW w:w="1338" w:type="dxa"/>
            <w:shd w:val="clear" w:color="auto" w:fill="C6EFCE"/>
            <w:noWrap/>
          </w:tcPr>
          <w:p w14:paraId="76BF067E"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1969021E"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6C82F39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76C6E42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472AB9E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31" w:type="dxa"/>
            <w:shd w:val="clear" w:color="auto" w:fill="C6EFCE"/>
            <w:noWrap/>
          </w:tcPr>
          <w:p w14:paraId="4D2AACC2" w14:textId="03A153BD" w:rsidR="001B186F" w:rsidRPr="00DE4E4F" w:rsidRDefault="005F17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certificate for i</w:t>
            </w:r>
            <w:r w:rsidR="0074517F" w:rsidRPr="00DE4E4F">
              <w:rPr>
                <w:rFonts w:ascii="Times New Roman" w:hAnsi="Times New Roman" w:cs="Times New Roman"/>
                <w:noProof/>
                <w:color w:val="006100"/>
                <w:sz w:val="18"/>
                <w:szCs w:val="18"/>
              </w:rPr>
              <w:t>nterventions</w:t>
            </w:r>
            <w:r w:rsidR="07BCE5FD" w:rsidRPr="00DE4E4F">
              <w:rPr>
                <w:rFonts w:ascii="Times New Roman" w:hAnsi="Times New Roman" w:cs="Times New Roman"/>
                <w:noProof/>
                <w:color w:val="006100"/>
                <w:sz w:val="18"/>
                <w:szCs w:val="18"/>
              </w:rPr>
              <w:t xml:space="preserve"> </w:t>
            </w:r>
            <w:r w:rsidR="6E0298EA" w:rsidRPr="00DE4E4F">
              <w:rPr>
                <w:rFonts w:ascii="Times New Roman" w:hAnsi="Times New Roman" w:cs="Times New Roman"/>
                <w:noProof/>
                <w:color w:val="006100"/>
                <w:sz w:val="18"/>
                <w:szCs w:val="18"/>
              </w:rPr>
              <w:t>of 3</w:t>
            </w:r>
            <w:r w:rsidR="00DE4C0C" w:rsidRPr="00DE4E4F">
              <w:rPr>
                <w:rFonts w:ascii="Times New Roman" w:hAnsi="Times New Roman" w:cs="Times New Roman"/>
                <w:noProof/>
                <w:color w:val="006100"/>
                <w:sz w:val="18"/>
                <w:szCs w:val="18"/>
              </w:rPr>
              <w:t> </w:t>
            </w:r>
            <w:r w:rsidR="6E0298EA" w:rsidRPr="00DE4E4F">
              <w:rPr>
                <w:rFonts w:ascii="Times New Roman" w:hAnsi="Times New Roman" w:cs="Times New Roman"/>
                <w:noProof/>
                <w:color w:val="006100"/>
                <w:sz w:val="18"/>
                <w:szCs w:val="18"/>
              </w:rPr>
              <w:t>370 km of electricity distribution network</w:t>
            </w:r>
          </w:p>
        </w:tc>
      </w:tr>
      <w:tr w:rsidR="005F177F" w:rsidRPr="00DE4E4F" w14:paraId="5C93EF4C" w14:textId="77777777" w:rsidTr="000A4A2F">
        <w:trPr>
          <w:jc w:val="center"/>
        </w:trPr>
        <w:tc>
          <w:tcPr>
            <w:tcW w:w="817" w:type="dxa"/>
            <w:shd w:val="clear" w:color="auto" w:fill="C6EFCE"/>
            <w:noWrap/>
          </w:tcPr>
          <w:p w14:paraId="1C9F6B3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w:t>
            </w:r>
          </w:p>
        </w:tc>
        <w:tc>
          <w:tcPr>
            <w:tcW w:w="2069" w:type="dxa"/>
            <w:shd w:val="clear" w:color="auto" w:fill="C6EFCE"/>
            <w:noWrap/>
          </w:tcPr>
          <w:p w14:paraId="2AE02B77" w14:textId="64ACFC9B"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1 - 1.1. Power up - 16899_ Hellenic Electricity Distribution Network Operator (HEDNO) HV/MV substations </w:t>
            </w:r>
          </w:p>
        </w:tc>
        <w:tc>
          <w:tcPr>
            <w:tcW w:w="1094" w:type="dxa"/>
            <w:shd w:val="clear" w:color="auto" w:fill="C6EFCE"/>
            <w:noWrap/>
          </w:tcPr>
          <w:p w14:paraId="74F046F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6" w:type="dxa"/>
            <w:shd w:val="clear" w:color="auto" w:fill="C6EFCE"/>
            <w:noWrap/>
          </w:tcPr>
          <w:p w14:paraId="40DEC67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HEDNO —HV/MV substations</w:t>
            </w:r>
          </w:p>
        </w:tc>
        <w:tc>
          <w:tcPr>
            <w:tcW w:w="1553" w:type="dxa"/>
            <w:shd w:val="clear" w:color="auto" w:fill="C6EFCE"/>
            <w:noWrap/>
          </w:tcPr>
          <w:p w14:paraId="3D71D77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Interventions in the distribution network </w:t>
            </w:r>
          </w:p>
        </w:tc>
        <w:tc>
          <w:tcPr>
            <w:tcW w:w="1338" w:type="dxa"/>
            <w:shd w:val="clear" w:color="auto" w:fill="C6EFCE"/>
            <w:noWrap/>
          </w:tcPr>
          <w:p w14:paraId="5363EE8F"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3BC3C73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60BEEFC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1800D0B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72533A1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31" w:type="dxa"/>
            <w:shd w:val="clear" w:color="auto" w:fill="C6EFCE"/>
            <w:noWrap/>
          </w:tcPr>
          <w:p w14:paraId="7DE8871A" w14:textId="4FFBA2CC" w:rsidR="001B186F" w:rsidRPr="00DE4E4F" w:rsidRDefault="007809B1"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w:t>
            </w:r>
            <w:r w:rsidR="005F177F" w:rsidRPr="00DE4E4F">
              <w:rPr>
                <w:rFonts w:ascii="Times New Roman" w:hAnsi="Times New Roman" w:cs="Times New Roman"/>
                <w:noProof/>
                <w:color w:val="006100"/>
                <w:sz w:val="18"/>
                <w:szCs w:val="18"/>
              </w:rPr>
              <w:t xml:space="preserve"> certificate for</w:t>
            </w:r>
            <w:r w:rsidRPr="00DE4E4F">
              <w:rPr>
                <w:rFonts w:ascii="Times New Roman" w:hAnsi="Times New Roman" w:cs="Times New Roman"/>
                <w:noProof/>
                <w:color w:val="006100"/>
                <w:sz w:val="18"/>
                <w:szCs w:val="18"/>
              </w:rPr>
              <w:t xml:space="preserve"> interventions for 14 </w:t>
            </w:r>
            <w:r w:rsidR="0074517F" w:rsidRPr="00DE4E4F">
              <w:rPr>
                <w:rFonts w:ascii="Times New Roman" w:hAnsi="Times New Roman" w:cs="Times New Roman"/>
                <w:noProof/>
                <w:color w:val="006100"/>
                <w:sz w:val="18"/>
                <w:szCs w:val="18"/>
              </w:rPr>
              <w:t>HV/MV substations.</w:t>
            </w:r>
          </w:p>
        </w:tc>
      </w:tr>
      <w:tr w:rsidR="005F177F" w:rsidRPr="00DE4E4F" w14:paraId="5DEAD808" w14:textId="77777777" w:rsidTr="000A4A2F">
        <w:trPr>
          <w:trHeight w:val="300"/>
          <w:jc w:val="center"/>
        </w:trPr>
        <w:tc>
          <w:tcPr>
            <w:tcW w:w="817" w:type="dxa"/>
            <w:shd w:val="clear" w:color="auto" w:fill="C6EFCE"/>
            <w:noWrap/>
          </w:tcPr>
          <w:p w14:paraId="1950E23C" w14:textId="128ECA90" w:rsidR="242B6C7F" w:rsidRPr="00DE4E4F" w:rsidRDefault="7B8BCF69" w:rsidP="000A4A2F">
            <w:pPr>
              <w:spacing w:line="240" w:lineRule="auto"/>
              <w:rPr>
                <w:noProof/>
              </w:rPr>
            </w:pPr>
            <w:r w:rsidRPr="00DE4E4F">
              <w:rPr>
                <w:rFonts w:ascii="Times New Roman" w:hAnsi="Times New Roman" w:cs="Times New Roman"/>
                <w:noProof/>
                <w:color w:val="006100"/>
                <w:sz w:val="18"/>
                <w:szCs w:val="18"/>
              </w:rPr>
              <w:t>387</w:t>
            </w:r>
          </w:p>
        </w:tc>
        <w:tc>
          <w:tcPr>
            <w:tcW w:w="2069" w:type="dxa"/>
            <w:shd w:val="clear" w:color="auto" w:fill="C6EFCE"/>
            <w:noWrap/>
          </w:tcPr>
          <w:p w14:paraId="250B689A" w14:textId="2F5DB57B" w:rsidR="242B6C7F" w:rsidRPr="00DE4E4F" w:rsidRDefault="009B6E49" w:rsidP="000A4A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 </w:t>
            </w:r>
            <w:r w:rsidR="7B8BCF69" w:rsidRPr="00DE4E4F">
              <w:rPr>
                <w:rFonts w:ascii="Times New Roman" w:hAnsi="Times New Roman" w:cs="Times New Roman"/>
                <w:noProof/>
                <w:color w:val="006100"/>
                <w:sz w:val="18"/>
                <w:szCs w:val="18"/>
              </w:rPr>
              <w:t xml:space="preserve">1.1 Power up- 16880_Contribution of DES ADMIE in IPTO’s share capital increase </w:t>
            </w:r>
          </w:p>
        </w:tc>
        <w:tc>
          <w:tcPr>
            <w:tcW w:w="1094" w:type="dxa"/>
            <w:shd w:val="clear" w:color="auto" w:fill="C6EFCE"/>
            <w:noWrap/>
          </w:tcPr>
          <w:p w14:paraId="5B82E37F" w14:textId="3A5B15E4" w:rsidR="242B6C7F" w:rsidRPr="00DE4E4F" w:rsidRDefault="7B8BCF69" w:rsidP="000A4A2F">
            <w:pPr>
              <w:spacing w:line="240" w:lineRule="auto"/>
              <w:rPr>
                <w:noProof/>
              </w:rPr>
            </w:pPr>
            <w:r w:rsidRPr="00DE4E4F">
              <w:rPr>
                <w:rFonts w:ascii="Times New Roman" w:hAnsi="Times New Roman" w:cs="Times New Roman"/>
                <w:noProof/>
                <w:color w:val="006100"/>
                <w:sz w:val="18"/>
                <w:szCs w:val="18"/>
              </w:rPr>
              <w:t>M</w:t>
            </w:r>
            <w:r w:rsidR="009B6E49" w:rsidRPr="00DE4E4F">
              <w:rPr>
                <w:rFonts w:ascii="Times New Roman" w:hAnsi="Times New Roman" w:cs="Times New Roman"/>
                <w:noProof/>
                <w:color w:val="006100"/>
                <w:sz w:val="18"/>
                <w:szCs w:val="18"/>
              </w:rPr>
              <w:t>i</w:t>
            </w:r>
            <w:r w:rsidRPr="00DE4E4F">
              <w:rPr>
                <w:rFonts w:ascii="Times New Roman" w:hAnsi="Times New Roman" w:cs="Times New Roman"/>
                <w:noProof/>
                <w:color w:val="006100"/>
                <w:sz w:val="18"/>
                <w:szCs w:val="18"/>
              </w:rPr>
              <w:t xml:space="preserve">lestone </w:t>
            </w:r>
          </w:p>
        </w:tc>
        <w:tc>
          <w:tcPr>
            <w:tcW w:w="1206" w:type="dxa"/>
            <w:shd w:val="clear" w:color="auto" w:fill="C6EFCE"/>
            <w:noWrap/>
          </w:tcPr>
          <w:p w14:paraId="500D2A1A" w14:textId="2C325877" w:rsidR="242B6C7F" w:rsidRPr="00DE4E4F" w:rsidRDefault="7B8BCF69" w:rsidP="000A4A2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Share capital increase of IPTO</w:t>
            </w:r>
          </w:p>
        </w:tc>
        <w:tc>
          <w:tcPr>
            <w:tcW w:w="1553" w:type="dxa"/>
            <w:shd w:val="clear" w:color="auto" w:fill="C6EFCE"/>
            <w:noWrap/>
          </w:tcPr>
          <w:p w14:paraId="588A1F33" w14:textId="65D7B5A6" w:rsidR="242B6C7F" w:rsidRPr="00DE4E4F" w:rsidRDefault="7B8BCF69" w:rsidP="000A4A2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share capital increase of IPTO</w:t>
            </w:r>
          </w:p>
        </w:tc>
        <w:tc>
          <w:tcPr>
            <w:tcW w:w="1338" w:type="dxa"/>
            <w:shd w:val="clear" w:color="auto" w:fill="C6EFCE"/>
            <w:noWrap/>
          </w:tcPr>
          <w:p w14:paraId="72CE8969" w14:textId="3A45E086" w:rsidR="242B6C7F" w:rsidRPr="00DE4E4F" w:rsidRDefault="242B6C7F" w:rsidP="000A4A2F">
            <w:pPr>
              <w:spacing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6E87F55E" w14:textId="4FF72214" w:rsidR="242B6C7F" w:rsidRPr="00DE4E4F" w:rsidRDefault="242B6C7F" w:rsidP="000A4A2F">
            <w:pPr>
              <w:spacing w:line="240" w:lineRule="auto"/>
              <w:rPr>
                <w:rFonts w:ascii="Times New Roman" w:eastAsia="Times New Roman" w:hAnsi="Times New Roman" w:cs="Times New Roman"/>
                <w:noProof/>
                <w:color w:val="006100"/>
                <w:sz w:val="18"/>
                <w:szCs w:val="18"/>
                <w:lang w:eastAsia="en-GB"/>
              </w:rPr>
            </w:pPr>
          </w:p>
        </w:tc>
        <w:tc>
          <w:tcPr>
            <w:tcW w:w="805" w:type="dxa"/>
            <w:shd w:val="clear" w:color="auto" w:fill="C6EFCE"/>
            <w:noWrap/>
          </w:tcPr>
          <w:p w14:paraId="66BEFDFD" w14:textId="5F1A78BB" w:rsidR="242B6C7F" w:rsidRPr="00DE4E4F" w:rsidRDefault="242B6C7F" w:rsidP="000A4A2F">
            <w:pPr>
              <w:spacing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5EF55012" w14:textId="06863791" w:rsidR="242B6C7F" w:rsidRPr="00DE4E4F" w:rsidRDefault="7B8BCF69" w:rsidP="000A4A2F">
            <w:pPr>
              <w:spacing w:line="240" w:lineRule="auto"/>
              <w:rPr>
                <w:noProof/>
              </w:rPr>
            </w:pPr>
            <w:r w:rsidRPr="00DE4E4F">
              <w:rPr>
                <w:rFonts w:ascii="Times New Roman" w:hAnsi="Times New Roman" w:cs="Times New Roman"/>
                <w:noProof/>
                <w:color w:val="006100"/>
                <w:sz w:val="18"/>
                <w:szCs w:val="18"/>
              </w:rPr>
              <w:t xml:space="preserve">Q2 </w:t>
            </w:r>
          </w:p>
        </w:tc>
        <w:tc>
          <w:tcPr>
            <w:tcW w:w="720" w:type="dxa"/>
            <w:shd w:val="clear" w:color="auto" w:fill="C6EFCE"/>
            <w:noWrap/>
          </w:tcPr>
          <w:p w14:paraId="4F6FC211" w14:textId="7A5E3775" w:rsidR="242B6C7F" w:rsidRPr="00DE4E4F" w:rsidRDefault="7B8BCF69" w:rsidP="000A4A2F">
            <w:pPr>
              <w:spacing w:line="240" w:lineRule="auto"/>
              <w:rPr>
                <w:noProof/>
              </w:rPr>
            </w:pPr>
            <w:r w:rsidRPr="00DE4E4F">
              <w:rPr>
                <w:rFonts w:ascii="Times New Roman" w:hAnsi="Times New Roman" w:cs="Times New Roman"/>
                <w:noProof/>
                <w:color w:val="006100"/>
                <w:sz w:val="18"/>
                <w:szCs w:val="18"/>
              </w:rPr>
              <w:t>2026</w:t>
            </w:r>
          </w:p>
        </w:tc>
        <w:tc>
          <w:tcPr>
            <w:tcW w:w="3331" w:type="dxa"/>
            <w:shd w:val="clear" w:color="auto" w:fill="C6EFCE"/>
            <w:noWrap/>
          </w:tcPr>
          <w:p w14:paraId="30D59D10" w14:textId="77777777" w:rsidR="00897759" w:rsidRPr="00DE4E4F" w:rsidRDefault="007D3099" w:rsidP="00897759">
            <w:pPr>
              <w:spacing w:after="4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r w:rsidR="00897759" w:rsidRPr="00DE4E4F">
              <w:rPr>
                <w:rFonts w:ascii="Times New Roman" w:hAnsi="Times New Roman" w:cs="Times New Roman"/>
                <w:noProof/>
                <w:color w:val="006100"/>
                <w:sz w:val="18"/>
                <w:szCs w:val="18"/>
              </w:rPr>
              <w:t>The fulfilment of the milestone requires:</w:t>
            </w:r>
          </w:p>
          <w:p w14:paraId="0DF74668" w14:textId="1F77B8C8" w:rsidR="00897759" w:rsidRPr="00DE4E4F" w:rsidRDefault="00897759" w:rsidP="00897759">
            <w:pPr>
              <w:spacing w:after="4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-Approval of the Independent Power Transmission Operator’s (IPTO’s) Ten-Year Network Development Plan (2025–2034) by the Decision of the Regulatory Authority for Energy, Waste and Water (RAAEY). </w:t>
            </w:r>
          </w:p>
          <w:p w14:paraId="6254C438" w14:textId="1967F9AA" w:rsidR="00897759" w:rsidRPr="00DE4E4F" w:rsidRDefault="00897759" w:rsidP="00897759">
            <w:pPr>
              <w:spacing w:after="4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-Greece shall transfer a</w:t>
            </w:r>
            <w:r w:rsidR="00D86EAA" w:rsidRPr="00DE4E4F">
              <w:rPr>
                <w:rFonts w:ascii="Times New Roman" w:hAnsi="Times New Roman" w:cs="Times New Roman"/>
                <w:noProof/>
                <w:color w:val="006100"/>
                <w:sz w:val="18"/>
                <w:szCs w:val="18"/>
              </w:rPr>
              <w:t>n</w:t>
            </w:r>
            <w:r w:rsidR="00102608" w:rsidRPr="00DE4E4F">
              <w:rPr>
                <w:rFonts w:ascii="Times New Roman" w:hAnsi="Times New Roman" w:cs="Times New Roman"/>
                <w:noProof/>
                <w:color w:val="006100"/>
                <w:sz w:val="18"/>
                <w:szCs w:val="18"/>
              </w:rPr>
              <w:t xml:space="preserve"> </w:t>
            </w:r>
            <w:r w:rsidR="00596F8D" w:rsidRPr="00DE4E4F">
              <w:rPr>
                <w:rFonts w:ascii="Times New Roman" w:hAnsi="Times New Roman" w:cs="Times New Roman"/>
                <w:noProof/>
                <w:color w:val="006100"/>
                <w:sz w:val="18"/>
                <w:szCs w:val="18"/>
              </w:rPr>
              <w:t>amount</w:t>
            </w:r>
            <w:r w:rsidRPr="00DE4E4F">
              <w:rPr>
                <w:rFonts w:ascii="Times New Roman" w:hAnsi="Times New Roman" w:cs="Times New Roman"/>
                <w:noProof/>
                <w:color w:val="006100"/>
                <w:sz w:val="18"/>
                <w:szCs w:val="18"/>
              </w:rPr>
              <w:t xml:space="preserve"> of EUR 370,9 million to DES ADMIE (entity holding shares </w:t>
            </w:r>
            <w:r w:rsidR="001A6E27" w:rsidRPr="00DE4E4F">
              <w:rPr>
                <w:rFonts w:ascii="Times New Roman" w:hAnsi="Times New Roman" w:cs="Times New Roman"/>
                <w:noProof/>
                <w:color w:val="006100"/>
                <w:sz w:val="18"/>
                <w:szCs w:val="18"/>
              </w:rPr>
              <w:t xml:space="preserve">on behalf </w:t>
            </w:r>
            <w:r w:rsidRPr="00DE4E4F">
              <w:rPr>
                <w:rFonts w:ascii="Times New Roman" w:hAnsi="Times New Roman" w:cs="Times New Roman"/>
                <w:noProof/>
                <w:color w:val="006100"/>
                <w:sz w:val="18"/>
                <w:szCs w:val="18"/>
              </w:rPr>
              <w:t>of the Greek State in IPTO) to contribute to IPTO’s capital increase, including through ADMIE Holding</w:t>
            </w:r>
            <w:r w:rsidR="00C15D08"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w:t>
            </w:r>
          </w:p>
          <w:p w14:paraId="2CFF78D7" w14:textId="312B046B" w:rsidR="00897759" w:rsidRPr="00DE4E4F" w:rsidRDefault="00897759" w:rsidP="00897759">
            <w:pPr>
              <w:spacing w:after="4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-Share capital of IPTO shall increase by EUR 1 billion.</w:t>
            </w:r>
          </w:p>
          <w:p w14:paraId="3BEE3860" w14:textId="5BB51EBF" w:rsidR="242B6C7F" w:rsidRPr="00DE4E4F" w:rsidRDefault="242B6C7F" w:rsidP="00E3562B">
            <w:pPr>
              <w:spacing w:after="40"/>
              <w:jc w:val="both"/>
              <w:rPr>
                <w:rFonts w:ascii="Times New Roman" w:hAnsi="Times New Roman" w:cs="Times New Roman"/>
                <w:noProof/>
                <w:color w:val="006100"/>
                <w:sz w:val="18"/>
                <w:szCs w:val="18"/>
              </w:rPr>
            </w:pPr>
          </w:p>
        </w:tc>
      </w:tr>
    </w:tbl>
    <w:p w14:paraId="32502461" w14:textId="77777777" w:rsidR="001B186F" w:rsidRPr="00DE4E4F" w:rsidRDefault="0074517F">
      <w:pPr>
        <w:spacing w:before="120" w:after="120" w:line="240" w:lineRule="auto"/>
        <w:rPr>
          <w:rFonts w:ascii="Times New Roman" w:hAnsi="Times New Roman" w:cs="Times New Roman"/>
          <w:noProof/>
          <w:sz w:val="24"/>
        </w:rPr>
        <w:sectPr w:rsidR="001B186F" w:rsidRPr="00DE4E4F">
          <w:headerReference w:type="even" r:id="rId30"/>
          <w:headerReference w:type="default" r:id="rId31"/>
          <w:footerReference w:type="even" r:id="rId32"/>
          <w:footerReference w:type="default" r:id="rId33"/>
          <w:headerReference w:type="first" r:id="rId34"/>
          <w:footerReference w:type="first" r:id="rId35"/>
          <w:pgSz w:w="16839" w:h="11907" w:orient="landscape"/>
          <w:pgMar w:top="1134" w:right="1134" w:bottom="1134" w:left="1134" w:header="567" w:footer="567" w:gutter="0"/>
          <w:cols w:space="720"/>
          <w:docGrid w:linePitch="360"/>
        </w:sectPr>
      </w:pPr>
      <w:r w:rsidRPr="00DE4E4F">
        <w:rPr>
          <w:rFonts w:ascii="Times New Roman" w:hAnsi="Times New Roman" w:cs="Times New Roman"/>
          <w:noProof/>
          <w:sz w:val="24"/>
        </w:rPr>
        <w:br w:type="textWrapping" w:clear="all"/>
      </w:r>
    </w:p>
    <w:p w14:paraId="47907B0C"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B. COMPONENT 1.2: RENOVATE</w:t>
      </w:r>
    </w:p>
    <w:p w14:paraId="0CCD651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renovate component of the Greek recovery and resilience plan under the green pillar shall increase energy efficiency, enhance economic growth, create job opportunities and promote social resilience. It comprises of targeted reforms and investments to reduce CO</w:t>
      </w:r>
      <w:r w:rsidRPr="00DE4E4F">
        <w:rPr>
          <w:rFonts w:ascii="Times New Roman" w:hAnsi="Times New Roman"/>
          <w:noProof/>
          <w:sz w:val="24"/>
          <w:vertAlign w:val="subscript"/>
        </w:rPr>
        <w:t>2</w:t>
      </w:r>
      <w:r w:rsidRPr="00DE4E4F">
        <w:rPr>
          <w:rFonts w:ascii="Times New Roman" w:hAnsi="Times New Roman"/>
          <w:noProof/>
          <w:sz w:val="24"/>
        </w:rPr>
        <w:t xml:space="preserve"> emissions, support for the achievement of the climate “neutrality” of urban areas and the enhancement of the climate resilience of cities’ and their building stock. The component provides incentives for building renovations and energy upgrades that shall be instrumental in the regeneration of urban areas and energy poverty mitigation and shall contribute to achieving the targets set out in Greece's National Energy and Climate Plan (NECP). The component supports addressing Country Specific Recommendation 3 of 2020 and Country Specific Recommendation 2 of 2019, on public and private investment.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EABBBC8"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B.1. Description of the reforms and investments for non-repayable financial support</w:t>
      </w:r>
    </w:p>
    <w:p w14:paraId="5D4FC9B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Energy poverty action plan (measure ID: 16920)</w:t>
      </w:r>
    </w:p>
    <w:p w14:paraId="58FB2895"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consists of the adoption of an action plan to address the challenge of energy poverty. In 2019, about 18% of the total population were reportedly unable to heat their homes compared to about 34% in the subset of the economically vulnerable population (Eurostat, EU-SILC Survey). The strategy shall outline targeted policy measures to improve energy efficiency of residential buildings among economically vulnerable households. The implementation of the reform shall be completed by 30 September 2021.</w:t>
      </w:r>
    </w:p>
    <w:p w14:paraId="3650BC9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Energy renovation on residential buildings (measure ID: 16872)</w:t>
      </w:r>
    </w:p>
    <w:p w14:paraId="525EB162"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improve the energy efficiency of residential buildings. </w:t>
      </w:r>
    </w:p>
    <w:p w14:paraId="15C7EAF9"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measure consists of renovations that aim to yield at least 30% primary energy savings. It also provides targeted incentives for vulnerable households.</w:t>
      </w:r>
    </w:p>
    <w:p w14:paraId="318E1B4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Interventions in residential areas and in the building stock (measure ID: 16873)</w:t>
      </w:r>
    </w:p>
    <w:p w14:paraId="158D79AF" w14:textId="076C7B2C" w:rsidR="00E3562B" w:rsidRPr="00DE4E4F" w:rsidRDefault="00E3562B">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measure is to carry out interventions in residential areas and in the building stock, contributing to climate change adaptation and mitigation as well as improving energy efficiency. The investment consists of interventions in urban environment</w:t>
      </w:r>
      <w:r w:rsidR="53CA8453" w:rsidRPr="00DE4E4F">
        <w:rPr>
          <w:rFonts w:ascii="Times New Roman" w:hAnsi="Times New Roman"/>
          <w:noProof/>
          <w:sz w:val="24"/>
          <w:szCs w:val="24"/>
        </w:rPr>
        <w:t>, including</w:t>
      </w:r>
      <w:r w:rsidR="00102608" w:rsidRPr="00DE4E4F">
        <w:rPr>
          <w:rFonts w:ascii="Times New Roman" w:hAnsi="Times New Roman"/>
          <w:noProof/>
          <w:sz w:val="24"/>
          <w:szCs w:val="24"/>
        </w:rPr>
        <w:t xml:space="preserve"> </w:t>
      </w:r>
      <w:r w:rsidR="48F9710F" w:rsidRPr="00DE4E4F">
        <w:rPr>
          <w:rFonts w:ascii="Times New Roman" w:hAnsi="Times New Roman"/>
          <w:noProof/>
          <w:sz w:val="24"/>
          <w:szCs w:val="24"/>
        </w:rPr>
        <w:t xml:space="preserve">outdoor </w:t>
      </w:r>
      <w:r w:rsidR="341F3DEF" w:rsidRPr="00DE4E4F">
        <w:rPr>
          <w:rFonts w:ascii="Times New Roman" w:hAnsi="Times New Roman"/>
          <w:noProof/>
          <w:sz w:val="24"/>
          <w:szCs w:val="24"/>
        </w:rPr>
        <w:t>areas</w:t>
      </w:r>
      <w:r w:rsidR="48F9710F" w:rsidRPr="00DE4E4F">
        <w:rPr>
          <w:rFonts w:ascii="Times New Roman" w:hAnsi="Times New Roman"/>
          <w:noProof/>
          <w:sz w:val="24"/>
          <w:szCs w:val="24"/>
        </w:rPr>
        <w:t xml:space="preserve"> </w:t>
      </w:r>
      <w:r w:rsidRPr="00DE4E4F">
        <w:rPr>
          <w:rFonts w:ascii="Times New Roman" w:hAnsi="Times New Roman"/>
          <w:noProof/>
          <w:sz w:val="24"/>
          <w:szCs w:val="24"/>
        </w:rPr>
        <w:t xml:space="preserve">of the Agricultural University of Athens campus. </w:t>
      </w:r>
    </w:p>
    <w:p w14:paraId="756D8B5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Energy and entrepreneurship (measure ID: 16874)</w:t>
      </w:r>
    </w:p>
    <w:p w14:paraId="06885B0F" w14:textId="4955629A"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 xml:space="preserve">The objective of the measure is to provide financial support to private companies to improve their energy efficiency. The measure </w:t>
      </w:r>
      <w:r w:rsidR="00734D9F" w:rsidRPr="00DE4E4F">
        <w:rPr>
          <w:rFonts w:ascii="Times New Roman" w:hAnsi="Times New Roman"/>
          <w:noProof/>
          <w:sz w:val="24"/>
          <w:szCs w:val="24"/>
        </w:rPr>
        <w:t>consists</w:t>
      </w:r>
      <w:r w:rsidRPr="00DE4E4F">
        <w:rPr>
          <w:rFonts w:ascii="Times New Roman" w:hAnsi="Times New Roman"/>
          <w:noProof/>
          <w:sz w:val="24"/>
          <w:szCs w:val="24"/>
        </w:rPr>
        <w:t xml:space="preserve"> of providing support for energy-efficient renovations and upgrading and/or replacement of equipment and systems for the private sector</w:t>
      </w:r>
      <w:r w:rsidRPr="00DE4E4F">
        <w:rPr>
          <w:rFonts w:ascii="Times New Roman" w:hAnsi="Times New Roman"/>
          <w:noProof/>
          <w:sz w:val="24"/>
        </w:rPr>
        <w:t>.</w:t>
      </w:r>
    </w:p>
    <w:p w14:paraId="381A140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Energy upgrade of public sector buildings (measure ID: 16876)</w:t>
      </w:r>
    </w:p>
    <w:p w14:paraId="5B805379"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This investment comprises the renovation of public sector buildings with a view to increasing their energy efficiency, through the involvement of energy savings companies (ESCOs). The investment also contains the energy upgrade of street lighting infrastructures. This investment aims to contribute to meeting the energy efficiency targets adopted in the NECP and reducing CO2 emissions. 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Do No Significant Harm Technical Guidance (2021/C58/01). In particular, the measure requires the economic operators carrying out the construction works to ensure that at least 70% (by weight) of the non-hazardous construction and demolition waste (excluding naturally occurring material referred to in category 17 05 04 in the European List of Waste established by Decision 2000/532/EC of 3 May 2000 replacing Decision 94/3/EC establishing a list of wastes pursuant to Article 1(a) of Council Directive 75/442/EEC on waste and Council Decision 94/904/EC establishing a list of hazardous waste pursuant to Article 1(4) of Council Directive 91/689/EEC on hazardous waste (notified under document number C(2000) 1147)) generated on the construction site shall be prepared for re-use, recycling and other material recovery, including backfilling operations using waste to substitute other materials, in accordance with the waste hierarchy and the EU Construction and Demolition Waste Management Protocol. The implementation of the investment shall be completed by 31 December 2025.</w:t>
      </w:r>
    </w:p>
    <w:p w14:paraId="650F227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Infrastructure development and buildings’ restoration in former royal estate in Tatoi (measure ID: 16875)</w:t>
      </w:r>
    </w:p>
    <w:p w14:paraId="10AB3E4D" w14:textId="430C25EB"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objective of the measure is to provide a green and freely accessible area for recreation to the inhabitants of Attica, as well as a new landmark for tourists. The measure </w:t>
      </w:r>
      <w:r w:rsidR="00734D9F" w:rsidRPr="00DE4E4F">
        <w:rPr>
          <w:rFonts w:ascii="Times New Roman" w:hAnsi="Times New Roman"/>
          <w:noProof/>
          <w:sz w:val="24"/>
        </w:rPr>
        <w:t>consists</w:t>
      </w:r>
      <w:r w:rsidRPr="00DE4E4F">
        <w:rPr>
          <w:rFonts w:ascii="Times New Roman" w:hAnsi="Times New Roman"/>
          <w:noProof/>
          <w:sz w:val="24"/>
        </w:rPr>
        <w:t xml:space="preserve"> of energy efficiency renovation and restorations of buildings at the former royal estate in Tatoi. </w:t>
      </w:r>
    </w:p>
    <w:p w14:paraId="1481D37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Olympic Athletic Centre of Athens (measure ID: 16932)</w:t>
      </w:r>
    </w:p>
    <w:p w14:paraId="539B08C6" w14:textId="338BADFD"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restore the image of the Olympic Athletic Centre of Athens (OAKA)and reduce its energy costs and ensure its financial sustainability by turning it into a modern and lively urban athletics and leisure </w:t>
      </w:r>
      <w:r w:rsidR="00DE4E4F" w:rsidRPr="00DE4E4F">
        <w:rPr>
          <w:rFonts w:ascii="Times New Roman" w:hAnsi="Times New Roman"/>
          <w:noProof/>
          <w:sz w:val="24"/>
          <w:szCs w:val="24"/>
        </w:rPr>
        <w:t>destination. The</w:t>
      </w:r>
      <w:r w:rsidRPr="00DE4E4F">
        <w:rPr>
          <w:rFonts w:ascii="Times New Roman" w:hAnsi="Times New Roman"/>
          <w:noProof/>
          <w:sz w:val="24"/>
          <w:szCs w:val="24"/>
        </w:rPr>
        <w:t xml:space="preserve"> investment consists of energy efficiency interventions for the OAKA’s main stadium, aquatic facilities, velodrome and open areas. </w:t>
      </w:r>
    </w:p>
    <w:p w14:paraId="7DAC6DC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Preparation of Urban Plans in implementation of the urban policy reform (measure ID: 16879)</w:t>
      </w:r>
    </w:p>
    <w:p w14:paraId="5AFBF03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The objective of the measure is to address weaknesses and gaps in zoning and land use with a view to promoting sustainable economic activity and protecting the environment. The measure consists of the different preparatory steps for different types of urban plans.</w:t>
      </w:r>
    </w:p>
    <w:p w14:paraId="0E3C2DB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Establishment of new maritime spatial planning (measure ID: 16891).</w:t>
      </w:r>
    </w:p>
    <w:p w14:paraId="35B2083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addresses the creation of the national spatial strategy for the marine environment. The reform shall address sustainable development in the maritime areas and coastal zones, while protecting the marine environment and biodiversity. The implementation of the reform shall be completed by 31 December 2025.</w:t>
      </w:r>
    </w:p>
    <w:p w14:paraId="09F1035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Establishment of new special spatial planning framework for renewable energy, industry, and tourism (measure ID: 16894). </w:t>
      </w:r>
    </w:p>
    <w:p w14:paraId="1B747F39" w14:textId="71A2FB7F"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The objective of the measure is to promote climate mitigation and adaptation, protection of biodiversity, economic growth and job creation. The measure consists in three special spatial frameworks for renewable energy, industry, and tourism.</w:t>
      </w:r>
    </w:p>
    <w:p w14:paraId="409C21B4" w14:textId="77777777" w:rsidR="003E29CB" w:rsidRPr="00DE4E4F" w:rsidRDefault="003E29CB">
      <w:pPr>
        <w:spacing w:before="120" w:after="120" w:line="240" w:lineRule="auto"/>
        <w:ind w:left="709"/>
        <w:jc w:val="both"/>
        <w:rPr>
          <w:rFonts w:ascii="Times New Roman" w:hAnsi="Times New Roman" w:cs="Times New Roman"/>
          <w:b/>
          <w:bCs/>
          <w:noProof/>
          <w:sz w:val="24"/>
          <w:u w:val="single"/>
        </w:rPr>
        <w:sectPr w:rsidR="003E29CB" w:rsidRPr="00DE4E4F">
          <w:headerReference w:type="even" r:id="rId36"/>
          <w:headerReference w:type="default" r:id="rId37"/>
          <w:footerReference w:type="even" r:id="rId38"/>
          <w:footerReference w:type="default" r:id="rId39"/>
          <w:headerReference w:type="first" r:id="rId40"/>
          <w:footerReference w:type="first" r:id="rId41"/>
          <w:pgSz w:w="11906" w:h="16838"/>
          <w:pgMar w:top="1134" w:right="1134" w:bottom="1134" w:left="1134" w:header="567" w:footer="567" w:gutter="0"/>
          <w:cols w:space="708"/>
          <w:docGrid w:linePitch="360"/>
        </w:sectPr>
      </w:pPr>
    </w:p>
    <w:p w14:paraId="5F417F74" w14:textId="77777777" w:rsidR="001B186F" w:rsidRPr="00DE4E4F" w:rsidRDefault="001B186F">
      <w:pPr>
        <w:spacing w:before="120" w:after="120" w:line="240" w:lineRule="auto"/>
        <w:ind w:left="709"/>
        <w:jc w:val="both"/>
        <w:rPr>
          <w:rFonts w:ascii="Times New Roman" w:hAnsi="Times New Roman" w:cs="Times New Roman"/>
          <w:b/>
          <w:bCs/>
          <w:noProof/>
          <w:sz w:val="24"/>
          <w:u w:val="single"/>
        </w:rPr>
      </w:pPr>
    </w:p>
    <w:p w14:paraId="5919A99A"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Times New Roman" w:hAnsi="Times New Roman"/>
          <w:b/>
          <w:noProof/>
          <w:sz w:val="24"/>
          <w:u w:val="single"/>
        </w:rPr>
        <w:t>B.2. Milestones, targets, indicators, and timetable for monitoring and implementation for non-repayable financial support</w:t>
      </w:r>
      <w:r w:rsidRPr="00DE4E4F">
        <w:rPr>
          <w:rFonts w:ascii="Cambria" w:hAnsi="Cambria"/>
          <w:noProof/>
          <w:color w:val="365F91"/>
          <w:sz w:val="24"/>
        </w:rPr>
        <w:t xml:space="preserve"> </w:t>
      </w:r>
    </w:p>
    <w:p w14:paraId="488C6B83"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szCs w:val="24"/>
        </w:rPr>
      </w:pPr>
      <w:r w:rsidRPr="00DE4E4F">
        <w:rPr>
          <w:rFonts w:ascii="Cambria" w:hAnsi="Cambria"/>
          <w:noProof/>
          <w:color w:val="365F91"/>
          <w:sz w:val="24"/>
        </w:rPr>
        <w:t>Top investment 2: Energy renovation on residential buildings</w:t>
      </w:r>
    </w:p>
    <w:tbl>
      <w:tblPr>
        <w:tblW w:w="1520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593"/>
        <w:gridCol w:w="1114"/>
        <w:gridCol w:w="1056"/>
        <w:gridCol w:w="2311"/>
        <w:gridCol w:w="1192"/>
        <w:gridCol w:w="999"/>
        <w:gridCol w:w="820"/>
        <w:gridCol w:w="851"/>
        <w:gridCol w:w="709"/>
        <w:gridCol w:w="3997"/>
      </w:tblGrid>
      <w:tr w:rsidR="00682269" w:rsidRPr="00DE4E4F" w14:paraId="0B82ADC9" w14:textId="77777777">
        <w:trPr>
          <w:trHeight w:val="927"/>
          <w:tblHeader/>
        </w:trPr>
        <w:tc>
          <w:tcPr>
            <w:tcW w:w="562" w:type="dxa"/>
            <w:vMerge w:val="restart"/>
            <w:shd w:val="clear" w:color="auto" w:fill="BDD7EE"/>
            <w:vAlign w:val="center"/>
            <w:hideMark/>
          </w:tcPr>
          <w:p w14:paraId="4E05500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 o.</w:t>
            </w:r>
          </w:p>
        </w:tc>
        <w:tc>
          <w:tcPr>
            <w:tcW w:w="1593" w:type="dxa"/>
            <w:vMerge w:val="restart"/>
            <w:shd w:val="clear" w:color="auto" w:fill="BDD7EE"/>
            <w:vAlign w:val="center"/>
            <w:hideMark/>
          </w:tcPr>
          <w:p w14:paraId="3CDB719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14" w:type="dxa"/>
            <w:vMerge w:val="restart"/>
            <w:shd w:val="clear" w:color="auto" w:fill="BDD7EE"/>
            <w:vAlign w:val="center"/>
            <w:hideMark/>
          </w:tcPr>
          <w:p w14:paraId="49A2447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056" w:type="dxa"/>
            <w:vMerge w:val="restart"/>
            <w:shd w:val="clear" w:color="auto" w:fill="BDD7EE"/>
            <w:vAlign w:val="center"/>
            <w:hideMark/>
          </w:tcPr>
          <w:p w14:paraId="7128639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2311" w:type="dxa"/>
            <w:vMerge w:val="restart"/>
            <w:shd w:val="clear" w:color="auto" w:fill="BDD7EE"/>
            <w:vAlign w:val="center"/>
            <w:hideMark/>
          </w:tcPr>
          <w:p w14:paraId="3580743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011" w:type="dxa"/>
            <w:gridSpan w:val="3"/>
            <w:shd w:val="clear" w:color="auto" w:fill="BDD7EE"/>
            <w:vAlign w:val="center"/>
            <w:hideMark/>
          </w:tcPr>
          <w:p w14:paraId="1BF720D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b/>
                <w:noProof/>
                <w:sz w:val="18"/>
              </w:rPr>
              <w:br/>
              <w:t>(for targets)</w:t>
            </w:r>
          </w:p>
        </w:tc>
        <w:tc>
          <w:tcPr>
            <w:tcW w:w="1560" w:type="dxa"/>
            <w:gridSpan w:val="2"/>
            <w:shd w:val="clear" w:color="auto" w:fill="BDD7EE"/>
            <w:vAlign w:val="center"/>
            <w:hideMark/>
          </w:tcPr>
          <w:p w14:paraId="72B3E78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997" w:type="dxa"/>
            <w:vMerge w:val="restart"/>
            <w:shd w:val="clear" w:color="auto" w:fill="BDD7EE"/>
            <w:vAlign w:val="center"/>
            <w:hideMark/>
          </w:tcPr>
          <w:p w14:paraId="7AC5A61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16A7D14F" w14:textId="77777777">
        <w:trPr>
          <w:trHeight w:val="669"/>
          <w:tblHeader/>
        </w:trPr>
        <w:tc>
          <w:tcPr>
            <w:tcW w:w="562" w:type="dxa"/>
            <w:vMerge/>
            <w:vAlign w:val="center"/>
            <w:hideMark/>
          </w:tcPr>
          <w:p w14:paraId="2F51A64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93" w:type="dxa"/>
            <w:vMerge/>
            <w:vAlign w:val="center"/>
            <w:hideMark/>
          </w:tcPr>
          <w:p w14:paraId="6A63C1D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14" w:type="dxa"/>
            <w:vMerge/>
            <w:vAlign w:val="center"/>
            <w:hideMark/>
          </w:tcPr>
          <w:p w14:paraId="1011023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56" w:type="dxa"/>
            <w:vMerge/>
            <w:vAlign w:val="center"/>
            <w:hideMark/>
          </w:tcPr>
          <w:p w14:paraId="778FDEE2"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311" w:type="dxa"/>
            <w:vMerge/>
            <w:vAlign w:val="center"/>
            <w:hideMark/>
          </w:tcPr>
          <w:p w14:paraId="6566868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92" w:type="dxa"/>
            <w:shd w:val="clear" w:color="auto" w:fill="BDD7EE"/>
            <w:vAlign w:val="center"/>
            <w:hideMark/>
          </w:tcPr>
          <w:p w14:paraId="2944B23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9" w:type="dxa"/>
            <w:shd w:val="clear" w:color="auto" w:fill="BDD7EE"/>
            <w:vAlign w:val="center"/>
            <w:hideMark/>
          </w:tcPr>
          <w:p w14:paraId="4B754CB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20" w:type="dxa"/>
            <w:shd w:val="clear" w:color="auto" w:fill="BDD7EE"/>
            <w:vAlign w:val="center"/>
            <w:hideMark/>
          </w:tcPr>
          <w:p w14:paraId="6E0C911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51" w:type="dxa"/>
            <w:shd w:val="clear" w:color="auto" w:fill="BDD7EE"/>
            <w:vAlign w:val="center"/>
            <w:hideMark/>
          </w:tcPr>
          <w:p w14:paraId="732741A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440E67E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997" w:type="dxa"/>
            <w:vMerge/>
            <w:vAlign w:val="center"/>
            <w:hideMark/>
          </w:tcPr>
          <w:p w14:paraId="77B5DB3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658F1477"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3F156E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w:t>
            </w:r>
          </w:p>
        </w:tc>
        <w:tc>
          <w:tcPr>
            <w:tcW w:w="1593" w:type="dxa"/>
            <w:tcBorders>
              <w:top w:val="single" w:sz="4" w:space="0" w:color="auto"/>
              <w:left w:val="single" w:sz="4" w:space="0" w:color="auto"/>
              <w:bottom w:val="single" w:sz="4" w:space="0" w:color="auto"/>
              <w:right w:val="single" w:sz="4" w:space="0" w:color="auto"/>
            </w:tcBorders>
            <w:shd w:val="clear" w:color="auto" w:fill="C6EFCE"/>
            <w:noWrap/>
            <w:hideMark/>
          </w:tcPr>
          <w:p w14:paraId="3447D9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- 16872_Energy renovation on residential buildings</w:t>
            </w:r>
          </w:p>
        </w:tc>
        <w:tc>
          <w:tcPr>
            <w:tcW w:w="1114" w:type="dxa"/>
            <w:tcBorders>
              <w:top w:val="single" w:sz="4" w:space="0" w:color="auto"/>
              <w:left w:val="single" w:sz="4" w:space="0" w:color="auto"/>
              <w:bottom w:val="single" w:sz="4" w:space="0" w:color="auto"/>
              <w:right w:val="single" w:sz="4" w:space="0" w:color="auto"/>
            </w:tcBorders>
            <w:shd w:val="clear" w:color="auto" w:fill="C6EFCE"/>
            <w:noWrap/>
            <w:hideMark/>
          </w:tcPr>
          <w:p w14:paraId="437004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056" w:type="dxa"/>
            <w:tcBorders>
              <w:top w:val="single" w:sz="4" w:space="0" w:color="auto"/>
              <w:left w:val="single" w:sz="4" w:space="0" w:color="auto"/>
              <w:bottom w:val="single" w:sz="4" w:space="0" w:color="auto"/>
              <w:right w:val="single" w:sz="4" w:space="0" w:color="auto"/>
            </w:tcBorders>
            <w:shd w:val="clear" w:color="auto" w:fill="C6EFCE"/>
            <w:noWrap/>
            <w:hideMark/>
          </w:tcPr>
          <w:p w14:paraId="3B67A0C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Residential renovation – 1</w:t>
            </w:r>
            <w:r w:rsidRPr="00DE4E4F">
              <w:rPr>
                <w:rFonts w:ascii="Times New Roman" w:hAnsi="Times New Roman" w:cs="Times New Roman"/>
                <w:noProof/>
                <w:color w:val="006100"/>
                <w:sz w:val="18"/>
                <w:szCs w:val="18"/>
                <w:vertAlign w:val="superscript"/>
              </w:rPr>
              <w:t>st</w:t>
            </w:r>
            <w:r w:rsidRPr="00DE4E4F">
              <w:rPr>
                <w:rFonts w:ascii="Times New Roman" w:hAnsi="Times New Roman" w:cs="Times New Roman"/>
                <w:noProof/>
                <w:color w:val="006100"/>
                <w:sz w:val="18"/>
                <w:szCs w:val="18"/>
              </w:rPr>
              <w:t xml:space="preserve"> round launch</w:t>
            </w:r>
          </w:p>
        </w:tc>
        <w:tc>
          <w:tcPr>
            <w:tcW w:w="2311" w:type="dxa"/>
            <w:tcBorders>
              <w:top w:val="single" w:sz="4" w:space="0" w:color="auto"/>
              <w:left w:val="single" w:sz="4" w:space="0" w:color="auto"/>
              <w:bottom w:val="single" w:sz="4" w:space="0" w:color="auto"/>
              <w:right w:val="single" w:sz="4" w:space="0" w:color="auto"/>
            </w:tcBorders>
            <w:shd w:val="clear" w:color="auto" w:fill="C6EFCE"/>
            <w:noWrap/>
            <w:hideMark/>
          </w:tcPr>
          <w:p w14:paraId="118F7C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Joint Ministerial Decision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hideMark/>
          </w:tcPr>
          <w:p w14:paraId="4899102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9" w:type="dxa"/>
            <w:tcBorders>
              <w:top w:val="single" w:sz="4" w:space="0" w:color="auto"/>
              <w:left w:val="single" w:sz="4" w:space="0" w:color="auto"/>
              <w:bottom w:val="single" w:sz="4" w:space="0" w:color="auto"/>
              <w:right w:val="single" w:sz="4" w:space="0" w:color="auto"/>
            </w:tcBorders>
            <w:shd w:val="clear" w:color="auto" w:fill="C6EFCE"/>
            <w:noWrap/>
            <w:hideMark/>
          </w:tcPr>
          <w:p w14:paraId="330D2A5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0" w:type="dxa"/>
            <w:tcBorders>
              <w:top w:val="single" w:sz="4" w:space="0" w:color="auto"/>
              <w:left w:val="single" w:sz="4" w:space="0" w:color="auto"/>
              <w:bottom w:val="single" w:sz="4" w:space="0" w:color="auto"/>
              <w:right w:val="single" w:sz="4" w:space="0" w:color="auto"/>
            </w:tcBorders>
            <w:shd w:val="clear" w:color="auto" w:fill="C6EFCE"/>
            <w:noWrap/>
            <w:hideMark/>
          </w:tcPr>
          <w:p w14:paraId="1B1E2F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01926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0FE1C8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2020</w:t>
            </w:r>
          </w:p>
        </w:tc>
        <w:tc>
          <w:tcPr>
            <w:tcW w:w="3997" w:type="dxa"/>
            <w:tcBorders>
              <w:top w:val="single" w:sz="4" w:space="0" w:color="auto"/>
              <w:left w:val="single" w:sz="4" w:space="0" w:color="auto"/>
              <w:bottom w:val="single" w:sz="4" w:space="0" w:color="auto"/>
              <w:right w:val="single" w:sz="4" w:space="0" w:color="auto"/>
            </w:tcBorders>
            <w:shd w:val="clear" w:color="auto" w:fill="C6EFCE"/>
            <w:noWrap/>
            <w:hideMark/>
          </w:tcPr>
          <w:p w14:paraId="63D1F2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 to launch the programme for the first round renovations including setting up a selection process to ensure that the primary energy consumption of residences is reduced by at least 30% compared to the residence's initial performance calculated in kWh/m</w:t>
            </w:r>
            <w:r w:rsidRPr="00DE4E4F">
              <w:rPr>
                <w:rFonts w:ascii="Times New Roman" w:hAnsi="Times New Roman" w:cs="Times New Roman"/>
                <w:noProof/>
                <w:color w:val="006100"/>
                <w:sz w:val="18"/>
                <w:szCs w:val="18"/>
                <w:vertAlign w:val="superscript"/>
              </w:rPr>
              <w:t>2</w:t>
            </w:r>
            <w:r w:rsidRPr="00DE4E4F">
              <w:rPr>
                <w:rFonts w:ascii="Times New Roman" w:hAnsi="Times New Roman" w:cs="Times New Roman"/>
                <w:noProof/>
                <w:color w:val="006100"/>
                <w:sz w:val="18"/>
                <w:szCs w:val="18"/>
              </w:rPr>
              <w:t xml:space="preserve">. </w:t>
            </w:r>
          </w:p>
          <w:p w14:paraId="085AC01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1C86F9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Joint Ministerial Decision shall set out:</w:t>
            </w:r>
          </w:p>
          <w:p w14:paraId="011EC5F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Implementation mechanism;</w:t>
            </w:r>
          </w:p>
          <w:p w14:paraId="149CA6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Selection process to achieve set primary energy saving target;</w:t>
            </w:r>
          </w:p>
          <w:p w14:paraId="58BE01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Certification mechanism to validate actual primary energy savings achieved (incl. details of possible corrective actions to ensure that primary energy saving target is met); and</w:t>
            </w:r>
          </w:p>
          <w:p w14:paraId="0C4246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Timeline.</w:t>
            </w:r>
          </w:p>
        </w:tc>
      </w:tr>
      <w:tr w:rsidR="00682269" w:rsidRPr="00DE4E4F" w14:paraId="392411FE" w14:textId="77777777">
        <w:trPr>
          <w:trHeight w:val="309"/>
        </w:trPr>
        <w:tc>
          <w:tcPr>
            <w:tcW w:w="562" w:type="dxa"/>
            <w:shd w:val="clear" w:color="auto" w:fill="C6EFCE"/>
            <w:noWrap/>
            <w:hideMark/>
          </w:tcPr>
          <w:p w14:paraId="3D1111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w:t>
            </w:r>
          </w:p>
        </w:tc>
        <w:tc>
          <w:tcPr>
            <w:tcW w:w="1593" w:type="dxa"/>
            <w:shd w:val="clear" w:color="auto" w:fill="C6EFCE"/>
            <w:noWrap/>
            <w:hideMark/>
          </w:tcPr>
          <w:p w14:paraId="52C797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- 16872_Energy renovation on residential buildings</w:t>
            </w:r>
          </w:p>
        </w:tc>
        <w:tc>
          <w:tcPr>
            <w:tcW w:w="1114" w:type="dxa"/>
            <w:shd w:val="clear" w:color="auto" w:fill="C6EFCE"/>
            <w:noWrap/>
          </w:tcPr>
          <w:p w14:paraId="4E0B2445"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056" w:type="dxa"/>
            <w:shd w:val="clear" w:color="auto" w:fill="C6EFCE"/>
            <w:noWrap/>
          </w:tcPr>
          <w:p w14:paraId="1C7B5C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Residential renovation – 2</w:t>
            </w:r>
            <w:r w:rsidRPr="00DE4E4F">
              <w:rPr>
                <w:rFonts w:ascii="Times New Roman" w:hAnsi="Times New Roman" w:cs="Times New Roman"/>
                <w:noProof/>
                <w:color w:val="006100"/>
                <w:sz w:val="18"/>
                <w:szCs w:val="18"/>
                <w:vertAlign w:val="superscript"/>
              </w:rPr>
              <w:t>nd</w:t>
            </w:r>
            <w:r w:rsidRPr="00DE4E4F">
              <w:rPr>
                <w:rFonts w:ascii="Times New Roman" w:hAnsi="Times New Roman" w:cs="Times New Roman"/>
                <w:noProof/>
                <w:color w:val="006100"/>
                <w:sz w:val="18"/>
                <w:szCs w:val="18"/>
              </w:rPr>
              <w:t xml:space="preserve"> round launch including energy poor households</w:t>
            </w:r>
          </w:p>
        </w:tc>
        <w:tc>
          <w:tcPr>
            <w:tcW w:w="2311" w:type="dxa"/>
            <w:shd w:val="clear" w:color="auto" w:fill="C6EFCE"/>
            <w:noWrap/>
          </w:tcPr>
          <w:p w14:paraId="438781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Joint Ministerial Decision </w:t>
            </w:r>
          </w:p>
        </w:tc>
        <w:tc>
          <w:tcPr>
            <w:tcW w:w="1192" w:type="dxa"/>
            <w:shd w:val="clear" w:color="auto" w:fill="C6EFCE"/>
            <w:noWrap/>
          </w:tcPr>
          <w:p w14:paraId="4092BF3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9" w:type="dxa"/>
            <w:shd w:val="clear" w:color="auto" w:fill="C6EFCE"/>
            <w:noWrap/>
          </w:tcPr>
          <w:p w14:paraId="58BFA2C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0" w:type="dxa"/>
            <w:shd w:val="clear" w:color="auto" w:fill="C6EFCE"/>
            <w:noWrap/>
          </w:tcPr>
          <w:p w14:paraId="4AD4DD2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333E1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586D32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97" w:type="dxa"/>
            <w:shd w:val="clear" w:color="auto" w:fill="C6EFCE"/>
            <w:noWrap/>
          </w:tcPr>
          <w:p w14:paraId="703C25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 to launch the programme for the second round renovations and the launch of the Programme for the energy poor residences, including setting up a selection process to ensure that the primary energy consumption of residences is reduced by at least 30% compared to the residence's initial performance calculated in kWh/m</w:t>
            </w:r>
            <w:r w:rsidRPr="00DE4E4F">
              <w:rPr>
                <w:rFonts w:ascii="Times New Roman" w:hAnsi="Times New Roman" w:cs="Times New Roman"/>
                <w:noProof/>
                <w:color w:val="006100"/>
                <w:sz w:val="18"/>
                <w:szCs w:val="18"/>
                <w:vertAlign w:val="superscript"/>
              </w:rPr>
              <w:t>2.</w:t>
            </w:r>
            <w:r w:rsidRPr="00DE4E4F">
              <w:rPr>
                <w:rFonts w:ascii="Times New Roman" w:hAnsi="Times New Roman" w:cs="Times New Roman"/>
                <w:noProof/>
                <w:color w:val="006100"/>
                <w:sz w:val="18"/>
                <w:szCs w:val="18"/>
              </w:rPr>
              <w:t xml:space="preserve"> </w:t>
            </w:r>
          </w:p>
          <w:p w14:paraId="4E7E39D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5B7E88D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Joint Ministerial Decision shall set out:</w:t>
            </w:r>
          </w:p>
          <w:p w14:paraId="205534E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Implementation mechanism;</w:t>
            </w:r>
          </w:p>
          <w:p w14:paraId="7FDAE7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Selection process to achieve set primary energy saving target;</w:t>
            </w:r>
          </w:p>
          <w:p w14:paraId="0BFFFB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Provisions for energy poor residences, in accordance with criteria set out in the adopted energy poverty action plan Certification mechanism to validate actual primary energy savings achieved (incl. details of possible corrective actions to ensure that primary energy saving target is met); and</w:t>
            </w:r>
          </w:p>
          <w:p w14:paraId="765057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Timeline.</w:t>
            </w:r>
          </w:p>
          <w:p w14:paraId="032F3CE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4640A5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Specific provision for earmarked funds to target energy poor residences, as defined by criteria of the energy poverty action plan. </w:t>
            </w:r>
          </w:p>
        </w:tc>
      </w:tr>
      <w:tr w:rsidR="00682269" w:rsidRPr="00DE4E4F" w14:paraId="09F131DF" w14:textId="77777777">
        <w:trPr>
          <w:trHeight w:val="309"/>
        </w:trPr>
        <w:tc>
          <w:tcPr>
            <w:tcW w:w="562" w:type="dxa"/>
            <w:shd w:val="clear" w:color="auto" w:fill="C6EFCE"/>
            <w:noWrap/>
            <w:hideMark/>
          </w:tcPr>
          <w:p w14:paraId="37D31A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w:t>
            </w:r>
          </w:p>
        </w:tc>
        <w:tc>
          <w:tcPr>
            <w:tcW w:w="1593" w:type="dxa"/>
            <w:shd w:val="clear" w:color="auto" w:fill="C6EFCE"/>
            <w:noWrap/>
            <w:hideMark/>
          </w:tcPr>
          <w:p w14:paraId="38A05FE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- 16872_Energy renovation on residential buildings</w:t>
            </w:r>
          </w:p>
        </w:tc>
        <w:tc>
          <w:tcPr>
            <w:tcW w:w="1114" w:type="dxa"/>
            <w:shd w:val="clear" w:color="auto" w:fill="C6EFCE"/>
            <w:noWrap/>
            <w:hideMark/>
          </w:tcPr>
          <w:p w14:paraId="7B8C112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056" w:type="dxa"/>
            <w:shd w:val="clear" w:color="auto" w:fill="C6EFCE"/>
            <w:noWrap/>
            <w:hideMark/>
          </w:tcPr>
          <w:p w14:paraId="477B2F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Residential renovation – 3rd round launch including energy poor households</w:t>
            </w:r>
          </w:p>
        </w:tc>
        <w:tc>
          <w:tcPr>
            <w:tcW w:w="2311" w:type="dxa"/>
            <w:shd w:val="clear" w:color="auto" w:fill="C6EFCE"/>
            <w:noWrap/>
            <w:hideMark/>
          </w:tcPr>
          <w:p w14:paraId="5BD956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w:t>
            </w:r>
          </w:p>
        </w:tc>
        <w:tc>
          <w:tcPr>
            <w:tcW w:w="1192" w:type="dxa"/>
            <w:shd w:val="clear" w:color="auto" w:fill="C6EFCE"/>
            <w:noWrap/>
            <w:hideMark/>
          </w:tcPr>
          <w:p w14:paraId="3BDB3DE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9" w:type="dxa"/>
            <w:shd w:val="clear" w:color="auto" w:fill="C6EFCE"/>
            <w:noWrap/>
            <w:hideMark/>
          </w:tcPr>
          <w:p w14:paraId="64E20A4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0" w:type="dxa"/>
            <w:shd w:val="clear" w:color="auto" w:fill="C6EFCE"/>
            <w:noWrap/>
            <w:hideMark/>
          </w:tcPr>
          <w:p w14:paraId="4EB207D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hideMark/>
          </w:tcPr>
          <w:p w14:paraId="1EE36A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hideMark/>
          </w:tcPr>
          <w:p w14:paraId="1582D8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97" w:type="dxa"/>
            <w:shd w:val="clear" w:color="auto" w:fill="C6EFCE"/>
            <w:noWrap/>
            <w:hideMark/>
          </w:tcPr>
          <w:p w14:paraId="57AE4E2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 to launch the programme for the third round renovations including setting up a selection process to ensure that the primary energy consumption of residences is reduced by at least 30% compared to the residence's initial performance calculated in kWh/m</w:t>
            </w:r>
            <w:r w:rsidRPr="00DE4E4F">
              <w:rPr>
                <w:rFonts w:ascii="Times New Roman" w:hAnsi="Times New Roman" w:cs="Times New Roman"/>
                <w:noProof/>
                <w:color w:val="006100"/>
                <w:sz w:val="18"/>
                <w:szCs w:val="18"/>
                <w:vertAlign w:val="superscript"/>
              </w:rPr>
              <w:t>2.</w:t>
            </w:r>
          </w:p>
          <w:p w14:paraId="54F8747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5A9925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Joint Ministerial Decision shall set out:</w:t>
            </w:r>
          </w:p>
          <w:p w14:paraId="402EDDB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Implementation mechanism;</w:t>
            </w:r>
          </w:p>
          <w:p w14:paraId="60FD14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Selection process to achieve set primary energy saving target; </w:t>
            </w:r>
          </w:p>
          <w:p w14:paraId="680428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Provisions for energy poor residences, in accordance with criteria set out in adopted energy poverty action plan;</w:t>
            </w:r>
          </w:p>
          <w:p w14:paraId="029D3C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Certification mechanism to validate actual primary energy savings achieved (incl. details of possible corrective actions to ensure that primary energy saving target is met); and</w:t>
            </w:r>
          </w:p>
          <w:p w14:paraId="651680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Timeline.</w:t>
            </w:r>
          </w:p>
          <w:p w14:paraId="2B456DF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21991C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Specific provision for earmarked funds to target energy poor residences, as defined by criteria of the energy poverty action plan.</w:t>
            </w:r>
          </w:p>
        </w:tc>
      </w:tr>
      <w:tr w:rsidR="00682269" w:rsidRPr="00DE4E4F" w14:paraId="35B7DB00" w14:textId="77777777">
        <w:trPr>
          <w:trHeight w:val="309"/>
        </w:trPr>
        <w:tc>
          <w:tcPr>
            <w:tcW w:w="562" w:type="dxa"/>
            <w:shd w:val="clear" w:color="auto" w:fill="C6EFCE"/>
            <w:noWrap/>
            <w:hideMark/>
          </w:tcPr>
          <w:p w14:paraId="0512E1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w:t>
            </w:r>
          </w:p>
        </w:tc>
        <w:tc>
          <w:tcPr>
            <w:tcW w:w="1593" w:type="dxa"/>
            <w:shd w:val="clear" w:color="auto" w:fill="C6EFCE"/>
            <w:noWrap/>
            <w:hideMark/>
          </w:tcPr>
          <w:p w14:paraId="404E7E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- 16872_Energy renovation on residential buildings</w:t>
            </w:r>
          </w:p>
        </w:tc>
        <w:tc>
          <w:tcPr>
            <w:tcW w:w="1114" w:type="dxa"/>
            <w:shd w:val="clear" w:color="auto" w:fill="C6EFCE"/>
            <w:noWrap/>
            <w:hideMark/>
          </w:tcPr>
          <w:p w14:paraId="1E4BD2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056" w:type="dxa"/>
            <w:shd w:val="clear" w:color="auto" w:fill="C6EFCE"/>
            <w:noWrap/>
          </w:tcPr>
          <w:p w14:paraId="5DD0A0A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Residential renovation – renovation of residences #1</w:t>
            </w:r>
          </w:p>
        </w:tc>
        <w:tc>
          <w:tcPr>
            <w:tcW w:w="2311" w:type="dxa"/>
            <w:shd w:val="clear" w:color="auto" w:fill="C6EFCE"/>
            <w:noWrap/>
          </w:tcPr>
          <w:p w14:paraId="27B0131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2" w:type="dxa"/>
            <w:shd w:val="clear" w:color="auto" w:fill="C6EFCE"/>
            <w:noWrap/>
            <w:hideMark/>
          </w:tcPr>
          <w:p w14:paraId="28D92CD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certified renovations completed </w:t>
            </w:r>
          </w:p>
        </w:tc>
        <w:tc>
          <w:tcPr>
            <w:tcW w:w="999" w:type="dxa"/>
            <w:shd w:val="clear" w:color="auto" w:fill="C6EFCE"/>
            <w:noWrap/>
            <w:hideMark/>
          </w:tcPr>
          <w:p w14:paraId="2E9981D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820" w:type="dxa"/>
            <w:shd w:val="clear" w:color="auto" w:fill="C6EFCE"/>
            <w:noWrap/>
            <w:hideMark/>
          </w:tcPr>
          <w:p w14:paraId="521680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8 000</w:t>
            </w:r>
          </w:p>
        </w:tc>
        <w:tc>
          <w:tcPr>
            <w:tcW w:w="851" w:type="dxa"/>
            <w:shd w:val="clear" w:color="auto" w:fill="C6EFCE"/>
            <w:noWrap/>
            <w:hideMark/>
          </w:tcPr>
          <w:p w14:paraId="4449AA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hideMark/>
          </w:tcPr>
          <w:p w14:paraId="5918B62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997" w:type="dxa"/>
            <w:shd w:val="clear" w:color="auto" w:fill="C6EFCE"/>
            <w:noWrap/>
            <w:hideMark/>
          </w:tcPr>
          <w:p w14:paraId="2410DB4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Renovations to improve energy efficiency completed for the number of residences, equivalent to energy reduction of 16 ktoe annually and with primary energy savings, on average, of at least 30%, on the basis of the submitted energy performance certificates. The completion decision issued by the Management Body shall evidence the completion of the interventions. </w:t>
            </w:r>
          </w:p>
        </w:tc>
      </w:tr>
      <w:tr w:rsidR="00682269" w:rsidRPr="00DE4E4F" w14:paraId="1DBB2B1F" w14:textId="77777777" w:rsidTr="00C46CD1">
        <w:trPr>
          <w:trHeight w:val="1281"/>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695964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w:t>
            </w:r>
          </w:p>
        </w:tc>
        <w:tc>
          <w:tcPr>
            <w:tcW w:w="1593" w:type="dxa"/>
            <w:tcBorders>
              <w:top w:val="single" w:sz="4" w:space="0" w:color="auto"/>
              <w:left w:val="single" w:sz="4" w:space="0" w:color="auto"/>
              <w:bottom w:val="single" w:sz="4" w:space="0" w:color="auto"/>
              <w:right w:val="single" w:sz="4" w:space="0" w:color="auto"/>
            </w:tcBorders>
            <w:shd w:val="clear" w:color="auto" w:fill="C6EFCE"/>
            <w:noWrap/>
          </w:tcPr>
          <w:p w14:paraId="255FDA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- 16872_Energy renovation on residential buildings</w:t>
            </w:r>
          </w:p>
        </w:tc>
        <w:tc>
          <w:tcPr>
            <w:tcW w:w="1114" w:type="dxa"/>
            <w:tcBorders>
              <w:top w:val="single" w:sz="4" w:space="0" w:color="auto"/>
              <w:left w:val="single" w:sz="4" w:space="0" w:color="auto"/>
              <w:bottom w:val="single" w:sz="4" w:space="0" w:color="auto"/>
              <w:right w:val="single" w:sz="4" w:space="0" w:color="auto"/>
            </w:tcBorders>
            <w:shd w:val="clear" w:color="auto" w:fill="C6EFCE"/>
            <w:noWrap/>
          </w:tcPr>
          <w:p w14:paraId="693D1F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056" w:type="dxa"/>
            <w:tcBorders>
              <w:top w:val="single" w:sz="4" w:space="0" w:color="auto"/>
              <w:left w:val="single" w:sz="4" w:space="0" w:color="auto"/>
              <w:bottom w:val="single" w:sz="4" w:space="0" w:color="auto"/>
              <w:right w:val="single" w:sz="4" w:space="0" w:color="auto"/>
            </w:tcBorders>
            <w:shd w:val="clear" w:color="auto" w:fill="C6EFCE"/>
            <w:noWrap/>
          </w:tcPr>
          <w:p w14:paraId="68F532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Residential renovation – renovation of residences #3</w:t>
            </w:r>
          </w:p>
        </w:tc>
        <w:tc>
          <w:tcPr>
            <w:tcW w:w="2311" w:type="dxa"/>
            <w:tcBorders>
              <w:top w:val="single" w:sz="4" w:space="0" w:color="auto"/>
              <w:left w:val="single" w:sz="4" w:space="0" w:color="auto"/>
              <w:bottom w:val="single" w:sz="4" w:space="0" w:color="auto"/>
              <w:right w:val="single" w:sz="4" w:space="0" w:color="auto"/>
            </w:tcBorders>
            <w:shd w:val="clear" w:color="auto" w:fill="C6EFCE"/>
            <w:noWrap/>
          </w:tcPr>
          <w:p w14:paraId="21AB8F9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DB12E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renovations executed</w:t>
            </w:r>
          </w:p>
        </w:tc>
        <w:tc>
          <w:tcPr>
            <w:tcW w:w="999" w:type="dxa"/>
            <w:tcBorders>
              <w:top w:val="single" w:sz="4" w:space="0" w:color="auto"/>
              <w:left w:val="single" w:sz="4" w:space="0" w:color="auto"/>
              <w:bottom w:val="single" w:sz="4" w:space="0" w:color="auto"/>
              <w:right w:val="single" w:sz="4" w:space="0" w:color="auto"/>
            </w:tcBorders>
            <w:shd w:val="clear" w:color="auto" w:fill="C6EFCE"/>
            <w:noWrap/>
          </w:tcPr>
          <w:p w14:paraId="213FEB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8 000</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2C34E4F7" w14:textId="370294A4" w:rsidR="001B186F" w:rsidRPr="00DE4E4F" w:rsidRDefault="00A36787">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69</w:t>
            </w:r>
            <w:r w:rsidR="00DE4C0C"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730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40A8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F900F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97" w:type="dxa"/>
            <w:tcBorders>
              <w:top w:val="single" w:sz="4" w:space="0" w:color="auto"/>
              <w:left w:val="single" w:sz="4" w:space="0" w:color="auto"/>
              <w:bottom w:val="single" w:sz="4" w:space="0" w:color="auto"/>
              <w:right w:val="single" w:sz="4" w:space="0" w:color="auto"/>
            </w:tcBorders>
            <w:shd w:val="clear" w:color="auto" w:fill="C6EFCE"/>
            <w:noWrap/>
          </w:tcPr>
          <w:p w14:paraId="14A51FA1" w14:textId="06F4ACAA"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Energy efficiency renovation of </w:t>
            </w:r>
            <w:r w:rsidR="00A36787" w:rsidRPr="00DE4E4F">
              <w:rPr>
                <w:rFonts w:ascii="Times New Roman" w:hAnsi="Times New Roman" w:cs="Times New Roman"/>
                <w:noProof/>
                <w:color w:val="006100"/>
                <w:sz w:val="18"/>
                <w:szCs w:val="18"/>
              </w:rPr>
              <w:t>69</w:t>
            </w:r>
            <w:r w:rsidR="00DE4C0C" w:rsidRPr="00DE4E4F">
              <w:rPr>
                <w:rFonts w:ascii="Times New Roman" w:hAnsi="Times New Roman" w:cs="Times New Roman"/>
                <w:noProof/>
                <w:color w:val="006100"/>
                <w:sz w:val="18"/>
                <w:szCs w:val="18"/>
              </w:rPr>
              <w:t> </w:t>
            </w:r>
            <w:r w:rsidR="00A36787" w:rsidRPr="00DE4E4F">
              <w:rPr>
                <w:rFonts w:ascii="Times New Roman" w:hAnsi="Times New Roman" w:cs="Times New Roman"/>
                <w:noProof/>
                <w:color w:val="006100"/>
                <w:sz w:val="18"/>
                <w:szCs w:val="18"/>
              </w:rPr>
              <w:t xml:space="preserve">730 </w:t>
            </w:r>
            <w:r w:rsidRPr="00DE4E4F">
              <w:rPr>
                <w:rFonts w:ascii="Times New Roman" w:hAnsi="Times New Roman" w:cs="Times New Roman"/>
                <w:noProof/>
                <w:color w:val="006100"/>
                <w:sz w:val="18"/>
                <w:szCs w:val="18"/>
              </w:rPr>
              <w:t xml:space="preserve">residences, out of which, at least, 20 400 shall be vulnerable households. The renovations shall achieve a primary energy savings, on average, of at least 30%, on the basis of the submitted energy performance certificates. </w:t>
            </w:r>
          </w:p>
        </w:tc>
      </w:tr>
    </w:tbl>
    <w:p w14:paraId="3072109D"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22F43466"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42"/>
          <w:headerReference w:type="default" r:id="rId43"/>
          <w:footerReference w:type="even" r:id="rId44"/>
          <w:footerReference w:type="default" r:id="rId45"/>
          <w:headerReference w:type="first" r:id="rId46"/>
          <w:footerReference w:type="first" r:id="rId47"/>
          <w:pgSz w:w="16839" w:h="11907" w:orient="landscape"/>
          <w:pgMar w:top="1134" w:right="1134" w:bottom="1134" w:left="1134" w:header="567" w:footer="567" w:gutter="0"/>
          <w:cols w:space="720"/>
          <w:docGrid w:linePitch="360"/>
        </w:sectPr>
      </w:pPr>
    </w:p>
    <w:p w14:paraId="0D8AECF9" w14:textId="77777777" w:rsidR="001B186F" w:rsidRPr="00DE4E4F" w:rsidRDefault="0074517F">
      <w:pPr>
        <w:keepNext/>
        <w:keepLines/>
        <w:spacing w:before="40" w:after="0" w:line="240" w:lineRule="auto"/>
        <w:jc w:val="both"/>
        <w:outlineLvl w:val="4"/>
        <w:rPr>
          <w:rFonts w:ascii="Cambria" w:hAnsi="Cambria"/>
          <w:noProof/>
          <w:color w:val="365F91"/>
          <w:sz w:val="24"/>
        </w:rPr>
      </w:pPr>
      <w:r w:rsidRPr="00DE4E4F">
        <w:rPr>
          <w:rFonts w:ascii="Cambria" w:hAnsi="Cambria"/>
          <w:noProof/>
          <w:color w:val="365F91"/>
          <w:sz w:val="24"/>
        </w:rPr>
        <w:t>Key reform 2: Urban Plans</w:t>
      </w:r>
    </w:p>
    <w:tbl>
      <w:tblPr>
        <w:tblW w:w="156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2160"/>
        <w:gridCol w:w="1134"/>
        <w:gridCol w:w="1120"/>
        <w:gridCol w:w="1440"/>
        <w:gridCol w:w="1125"/>
        <w:gridCol w:w="1281"/>
        <w:gridCol w:w="705"/>
        <w:gridCol w:w="849"/>
        <w:gridCol w:w="709"/>
        <w:gridCol w:w="4450"/>
      </w:tblGrid>
      <w:tr w:rsidR="00682269" w:rsidRPr="00DE4E4F" w14:paraId="42E3B7E4" w14:textId="77777777">
        <w:trPr>
          <w:trHeight w:val="844"/>
          <w:jc w:val="center"/>
        </w:trPr>
        <w:tc>
          <w:tcPr>
            <w:tcW w:w="643" w:type="dxa"/>
            <w:vMerge w:val="restart"/>
            <w:shd w:val="clear" w:color="auto" w:fill="BDD7EE"/>
            <w:vAlign w:val="center"/>
            <w:hideMark/>
          </w:tcPr>
          <w:p w14:paraId="25B1BD9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 No.</w:t>
            </w:r>
          </w:p>
        </w:tc>
        <w:tc>
          <w:tcPr>
            <w:tcW w:w="2160" w:type="dxa"/>
            <w:vMerge w:val="restart"/>
            <w:shd w:val="clear" w:color="auto" w:fill="BDD7EE"/>
            <w:vAlign w:val="center"/>
            <w:hideMark/>
          </w:tcPr>
          <w:p w14:paraId="2EC3E98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34" w:type="dxa"/>
            <w:vMerge w:val="restart"/>
            <w:shd w:val="clear" w:color="auto" w:fill="BDD7EE"/>
            <w:vAlign w:val="center"/>
            <w:hideMark/>
          </w:tcPr>
          <w:p w14:paraId="2CE1DFE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20" w:type="dxa"/>
            <w:vMerge w:val="restart"/>
            <w:shd w:val="clear" w:color="auto" w:fill="BDD7EE"/>
            <w:vAlign w:val="center"/>
            <w:hideMark/>
          </w:tcPr>
          <w:p w14:paraId="7057FCF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40" w:type="dxa"/>
            <w:vMerge w:val="restart"/>
            <w:shd w:val="clear" w:color="auto" w:fill="BDD7EE"/>
            <w:vAlign w:val="center"/>
            <w:hideMark/>
          </w:tcPr>
          <w:p w14:paraId="7A91156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111" w:type="dxa"/>
            <w:gridSpan w:val="3"/>
            <w:shd w:val="clear" w:color="auto" w:fill="BDD7EE"/>
            <w:vAlign w:val="center"/>
            <w:hideMark/>
          </w:tcPr>
          <w:p w14:paraId="2AEE0F2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b/>
                <w:noProof/>
                <w:sz w:val="18"/>
              </w:rPr>
              <w:br/>
              <w:t>(for targets)</w:t>
            </w:r>
          </w:p>
        </w:tc>
        <w:tc>
          <w:tcPr>
            <w:tcW w:w="1558" w:type="dxa"/>
            <w:gridSpan w:val="2"/>
            <w:shd w:val="clear" w:color="auto" w:fill="BDD7EE"/>
            <w:vAlign w:val="center"/>
            <w:hideMark/>
          </w:tcPr>
          <w:p w14:paraId="09C8B1E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450" w:type="dxa"/>
            <w:vMerge w:val="restart"/>
            <w:shd w:val="clear" w:color="auto" w:fill="BDD7EE"/>
            <w:vAlign w:val="center"/>
            <w:hideMark/>
          </w:tcPr>
          <w:p w14:paraId="735C9C4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6EFE52A4" w14:textId="77777777">
        <w:trPr>
          <w:trHeight w:val="601"/>
          <w:tblHeader/>
          <w:jc w:val="center"/>
        </w:trPr>
        <w:tc>
          <w:tcPr>
            <w:tcW w:w="643" w:type="dxa"/>
            <w:vMerge/>
            <w:vAlign w:val="center"/>
            <w:hideMark/>
          </w:tcPr>
          <w:p w14:paraId="351281E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160" w:type="dxa"/>
            <w:vMerge/>
            <w:vAlign w:val="center"/>
            <w:hideMark/>
          </w:tcPr>
          <w:p w14:paraId="220ED0E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2D7171D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20" w:type="dxa"/>
            <w:vMerge/>
            <w:vAlign w:val="center"/>
            <w:hideMark/>
          </w:tcPr>
          <w:p w14:paraId="7429B80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40" w:type="dxa"/>
            <w:vMerge/>
            <w:vAlign w:val="center"/>
            <w:hideMark/>
          </w:tcPr>
          <w:p w14:paraId="7F85935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25" w:type="dxa"/>
            <w:shd w:val="clear" w:color="auto" w:fill="BDD7EE"/>
            <w:vAlign w:val="center"/>
            <w:hideMark/>
          </w:tcPr>
          <w:p w14:paraId="4273919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281" w:type="dxa"/>
            <w:shd w:val="clear" w:color="auto" w:fill="BDD7EE"/>
            <w:vAlign w:val="center"/>
            <w:hideMark/>
          </w:tcPr>
          <w:p w14:paraId="66A4D48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05" w:type="dxa"/>
            <w:shd w:val="clear" w:color="auto" w:fill="BDD7EE"/>
            <w:vAlign w:val="center"/>
            <w:hideMark/>
          </w:tcPr>
          <w:p w14:paraId="5C79F8E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9" w:type="dxa"/>
            <w:shd w:val="clear" w:color="auto" w:fill="BDD7EE"/>
            <w:vAlign w:val="center"/>
            <w:hideMark/>
          </w:tcPr>
          <w:p w14:paraId="4E4DFEF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213C510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450" w:type="dxa"/>
            <w:vMerge/>
            <w:vAlign w:val="center"/>
            <w:hideMark/>
          </w:tcPr>
          <w:p w14:paraId="21FC816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2820D92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2DB55D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1C494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- 16879_Preparation of Urban Plans in implementation of the urban policy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D7F67A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6BB838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Urban Plans award</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1566EC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2881674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0763F27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2058EF9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0EEBFD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E7261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50C9E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award of 30% of all contracts (for all interventions): </w:t>
            </w:r>
          </w:p>
          <w:p w14:paraId="602187B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preparation of Local Urban Plans;</w:t>
            </w:r>
          </w:p>
          <w:p w14:paraId="0160B44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preparation of Special Urban Plans;</w:t>
            </w:r>
          </w:p>
          <w:p w14:paraId="75F1BD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preparation of independent plans for the definition of the Development Rights Transfer Zones;</w:t>
            </w:r>
          </w:p>
          <w:p w14:paraId="560459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preparation of independent plans for the Delimitation of Settlements; and</w:t>
            </w:r>
          </w:p>
          <w:p w14:paraId="7FF6C9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 preparation of independent plans for the characterization of Municipal Roads.</w:t>
            </w:r>
          </w:p>
          <w:p w14:paraId="39A0B32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41E92442" w14:textId="7390A256" w:rsidR="001B186F" w:rsidRPr="00DE4E4F" w:rsidRDefault="0074517F" w:rsidP="00DE4C0C">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Local Urban Plans to include a dedicated chapter on climate change measures and prevention and management of climate related risks);</w:t>
            </w:r>
          </w:p>
        </w:tc>
      </w:tr>
      <w:tr w:rsidR="00682269" w:rsidRPr="00DE4E4F" w14:paraId="61249159" w14:textId="77777777">
        <w:trPr>
          <w:trHeight w:val="313"/>
          <w:tblHeader/>
          <w:jc w:val="center"/>
        </w:trPr>
        <w:tc>
          <w:tcPr>
            <w:tcW w:w="643" w:type="dxa"/>
            <w:tcBorders>
              <w:top w:val="single" w:sz="4" w:space="0" w:color="auto"/>
              <w:left w:val="single" w:sz="4" w:space="0" w:color="auto"/>
              <w:bottom w:val="single" w:sz="4" w:space="0" w:color="auto"/>
              <w:right w:val="single" w:sz="4" w:space="0" w:color="auto"/>
            </w:tcBorders>
            <w:shd w:val="clear" w:color="auto" w:fill="C6EFCE"/>
            <w:noWrap/>
          </w:tcPr>
          <w:p w14:paraId="0F37C3E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28</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6964204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- 16879_Preparation of Urban Plans in implementation of the urban policy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4136508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5BBD237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Urban Plans award</w:t>
            </w:r>
          </w:p>
        </w:tc>
        <w:tc>
          <w:tcPr>
            <w:tcW w:w="1440" w:type="dxa"/>
            <w:tcBorders>
              <w:top w:val="single" w:sz="4" w:space="0" w:color="auto"/>
              <w:left w:val="single" w:sz="4" w:space="0" w:color="auto"/>
              <w:bottom w:val="single" w:sz="4" w:space="0" w:color="auto"/>
              <w:right w:val="single" w:sz="4" w:space="0" w:color="auto"/>
            </w:tcBorders>
            <w:shd w:val="clear" w:color="auto" w:fill="C6EFCE"/>
            <w:noWrap/>
          </w:tcPr>
          <w:p w14:paraId="02074C5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1125" w:type="dxa"/>
            <w:tcBorders>
              <w:top w:val="single" w:sz="4" w:space="0" w:color="auto"/>
              <w:left w:val="single" w:sz="4" w:space="0" w:color="auto"/>
              <w:bottom w:val="single" w:sz="4" w:space="0" w:color="auto"/>
              <w:right w:val="single" w:sz="4" w:space="0" w:color="auto"/>
            </w:tcBorders>
            <w:shd w:val="clear" w:color="auto" w:fill="C6EFCE"/>
            <w:noWrap/>
          </w:tcPr>
          <w:p w14:paraId="6D07E4C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81" w:type="dxa"/>
            <w:tcBorders>
              <w:top w:val="single" w:sz="4" w:space="0" w:color="auto"/>
              <w:left w:val="single" w:sz="4" w:space="0" w:color="auto"/>
              <w:bottom w:val="single" w:sz="4" w:space="0" w:color="auto"/>
              <w:right w:val="single" w:sz="4" w:space="0" w:color="auto"/>
            </w:tcBorders>
            <w:shd w:val="clear" w:color="auto" w:fill="C6EFCE"/>
            <w:noWrap/>
          </w:tcPr>
          <w:p w14:paraId="62E1150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6FF0202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9" w:type="dxa"/>
            <w:tcBorders>
              <w:top w:val="single" w:sz="4" w:space="0" w:color="auto"/>
              <w:left w:val="single" w:sz="4" w:space="0" w:color="auto"/>
              <w:bottom w:val="single" w:sz="4" w:space="0" w:color="auto"/>
              <w:right w:val="single" w:sz="4" w:space="0" w:color="auto"/>
            </w:tcBorders>
            <w:shd w:val="clear" w:color="auto" w:fill="C6EFCE"/>
            <w:noWrap/>
          </w:tcPr>
          <w:p w14:paraId="6A0D7E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2BA357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450" w:type="dxa"/>
            <w:tcBorders>
              <w:top w:val="single" w:sz="4" w:space="0" w:color="auto"/>
              <w:left w:val="single" w:sz="4" w:space="0" w:color="auto"/>
              <w:bottom w:val="single" w:sz="4" w:space="0" w:color="auto"/>
              <w:right w:val="single" w:sz="4" w:space="0" w:color="auto"/>
            </w:tcBorders>
            <w:shd w:val="clear" w:color="auto" w:fill="C6EFCE"/>
            <w:noWrap/>
          </w:tcPr>
          <w:p w14:paraId="5CA2B9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award of 100% of all contracts (for all interventions): </w:t>
            </w:r>
          </w:p>
          <w:p w14:paraId="69A3F9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preparation of Local Urban Plans; </w:t>
            </w:r>
          </w:p>
          <w:p w14:paraId="529D1D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preparation of Special Urban Plans;</w:t>
            </w:r>
          </w:p>
          <w:p w14:paraId="70878B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preparation of independent plans for the definition of the Development Rights Transfer Zones;</w:t>
            </w:r>
          </w:p>
          <w:p w14:paraId="1B11B66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preparation of independent plans for the Delimitation of Settlements; and</w:t>
            </w:r>
          </w:p>
          <w:p w14:paraId="4E8BB827" w14:textId="0EB0C05F" w:rsidR="001B186F" w:rsidRPr="00DE4E4F" w:rsidRDefault="0074517F" w:rsidP="00DE4C0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 preparation of independent plans for the characterization of Municipal Roads.</w:t>
            </w:r>
          </w:p>
        </w:tc>
      </w:tr>
    </w:tbl>
    <w:p w14:paraId="52E8F3B9" w14:textId="77777777" w:rsidR="001B186F" w:rsidRPr="00DE4E4F" w:rsidRDefault="001B186F">
      <w:pPr>
        <w:spacing w:after="0" w:line="240" w:lineRule="auto"/>
        <w:rPr>
          <w:noProof/>
          <w:color w:val="006100"/>
          <w:sz w:val="18"/>
        </w:rPr>
        <w:sectPr w:rsidR="001B186F" w:rsidRPr="00DE4E4F">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tbl>
      <w:tblPr>
        <w:tblW w:w="1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800"/>
        <w:gridCol w:w="1080"/>
        <w:gridCol w:w="1569"/>
        <w:gridCol w:w="1477"/>
        <w:gridCol w:w="1125"/>
        <w:gridCol w:w="1281"/>
        <w:gridCol w:w="705"/>
        <w:gridCol w:w="851"/>
        <w:gridCol w:w="709"/>
        <w:gridCol w:w="4450"/>
      </w:tblGrid>
      <w:tr w:rsidR="00682269" w:rsidRPr="00DE4E4F" w14:paraId="4477DE42" w14:textId="77777777">
        <w:trPr>
          <w:trHeight w:val="443"/>
          <w:tblHeader/>
          <w:jc w:val="center"/>
        </w:trPr>
        <w:tc>
          <w:tcPr>
            <w:tcW w:w="608" w:type="dxa"/>
            <w:vMerge w:val="restart"/>
            <w:shd w:val="clear" w:color="auto" w:fill="BDD7EE"/>
            <w:noWrap/>
            <w:vAlign w:val="center"/>
          </w:tcPr>
          <w:p w14:paraId="4DDAEBBB"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Seq. No.</w:t>
            </w:r>
          </w:p>
        </w:tc>
        <w:tc>
          <w:tcPr>
            <w:tcW w:w="1800" w:type="dxa"/>
            <w:vMerge w:val="restart"/>
            <w:shd w:val="clear" w:color="auto" w:fill="BDD7EE"/>
            <w:noWrap/>
            <w:vAlign w:val="center"/>
          </w:tcPr>
          <w:p w14:paraId="62923182"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Related Measure (Reform or Investment)</w:t>
            </w:r>
          </w:p>
        </w:tc>
        <w:tc>
          <w:tcPr>
            <w:tcW w:w="1080" w:type="dxa"/>
            <w:vMerge w:val="restart"/>
            <w:shd w:val="clear" w:color="auto" w:fill="BDD7EE"/>
            <w:noWrap/>
            <w:vAlign w:val="center"/>
          </w:tcPr>
          <w:p w14:paraId="1D823A7F"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Milestone / Target</w:t>
            </w:r>
          </w:p>
        </w:tc>
        <w:tc>
          <w:tcPr>
            <w:tcW w:w="1569" w:type="dxa"/>
            <w:vMerge w:val="restart"/>
            <w:shd w:val="clear" w:color="auto" w:fill="BDD7EE"/>
            <w:noWrap/>
            <w:vAlign w:val="center"/>
          </w:tcPr>
          <w:p w14:paraId="280ACDB0"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Name</w:t>
            </w:r>
          </w:p>
        </w:tc>
        <w:tc>
          <w:tcPr>
            <w:tcW w:w="1477" w:type="dxa"/>
            <w:vMerge w:val="restart"/>
            <w:shd w:val="clear" w:color="auto" w:fill="BDD7EE"/>
            <w:noWrap/>
            <w:vAlign w:val="center"/>
          </w:tcPr>
          <w:p w14:paraId="4181B194"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Qualitative indicators (for milestones)</w:t>
            </w:r>
          </w:p>
        </w:tc>
        <w:tc>
          <w:tcPr>
            <w:tcW w:w="3111" w:type="dxa"/>
            <w:gridSpan w:val="3"/>
            <w:shd w:val="clear" w:color="auto" w:fill="BDD7EE"/>
            <w:noWrap/>
            <w:vAlign w:val="center"/>
          </w:tcPr>
          <w:p w14:paraId="27865009" w14:textId="77777777" w:rsidR="001B186F" w:rsidRPr="00DE4E4F" w:rsidRDefault="0074517F">
            <w:pPr>
              <w:spacing w:after="0" w:line="240" w:lineRule="auto"/>
              <w:jc w:val="center"/>
              <w:rPr>
                <w:rFonts w:ascii="Times New Roman" w:eastAsia="Times New Roman" w:hAnsi="Times New Roman" w:cs="Times New Roman"/>
                <w:noProof/>
                <w:color w:val="006100"/>
                <w:sz w:val="18"/>
                <w:szCs w:val="18"/>
                <w:lang w:eastAsia="en-GB"/>
              </w:rPr>
            </w:pPr>
            <w:r w:rsidRPr="00DE4E4F">
              <w:rPr>
                <w:rFonts w:ascii="Times New Roman" w:hAnsi="Times New Roman"/>
                <w:b/>
                <w:noProof/>
                <w:sz w:val="18"/>
              </w:rPr>
              <w:t xml:space="preserve">Quantitative indicators </w:t>
            </w:r>
            <w:r w:rsidRPr="00DE4E4F">
              <w:rPr>
                <w:rFonts w:ascii="Times New Roman" w:hAnsi="Times New Roman" w:cs="Times New Roman"/>
                <w:b/>
                <w:noProof/>
                <w:sz w:val="18"/>
                <w:szCs w:val="18"/>
              </w:rPr>
              <w:br/>
            </w:r>
            <w:r w:rsidRPr="00DE4E4F">
              <w:rPr>
                <w:rFonts w:ascii="Times New Roman" w:hAnsi="Times New Roman"/>
                <w:b/>
                <w:noProof/>
                <w:sz w:val="18"/>
              </w:rPr>
              <w:t>(for targets)</w:t>
            </w:r>
          </w:p>
        </w:tc>
        <w:tc>
          <w:tcPr>
            <w:tcW w:w="1560" w:type="dxa"/>
            <w:gridSpan w:val="2"/>
            <w:shd w:val="clear" w:color="auto" w:fill="BDD7EE"/>
            <w:noWrap/>
          </w:tcPr>
          <w:p w14:paraId="66B937DE"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Indicative timeline for completion</w:t>
            </w:r>
          </w:p>
        </w:tc>
        <w:tc>
          <w:tcPr>
            <w:tcW w:w="4450" w:type="dxa"/>
            <w:vMerge w:val="restart"/>
            <w:shd w:val="clear" w:color="auto" w:fill="BDD7EE"/>
            <w:noWrap/>
            <w:vAlign w:val="center"/>
          </w:tcPr>
          <w:p w14:paraId="6AA12E3E"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Description of each milestone and target</w:t>
            </w:r>
          </w:p>
        </w:tc>
      </w:tr>
      <w:tr w:rsidR="00682269" w:rsidRPr="00DE4E4F" w14:paraId="1FD9B783" w14:textId="77777777">
        <w:trPr>
          <w:trHeight w:val="442"/>
          <w:tblHeader/>
          <w:jc w:val="center"/>
        </w:trPr>
        <w:tc>
          <w:tcPr>
            <w:tcW w:w="608" w:type="dxa"/>
            <w:vMerge/>
            <w:noWrap/>
            <w:vAlign w:val="center"/>
          </w:tcPr>
          <w:p w14:paraId="45966CBB" w14:textId="77777777" w:rsidR="001B186F" w:rsidRPr="00DE4E4F" w:rsidRDefault="001B186F">
            <w:pPr>
              <w:spacing w:after="0" w:line="240" w:lineRule="auto"/>
              <w:rPr>
                <w:rFonts w:ascii="Times New Roman" w:hAnsi="Times New Roman"/>
                <w:b/>
                <w:noProof/>
                <w:sz w:val="18"/>
              </w:rPr>
            </w:pPr>
          </w:p>
        </w:tc>
        <w:tc>
          <w:tcPr>
            <w:tcW w:w="1800" w:type="dxa"/>
            <w:vMerge/>
            <w:noWrap/>
            <w:vAlign w:val="center"/>
          </w:tcPr>
          <w:p w14:paraId="36D62B35" w14:textId="77777777" w:rsidR="001B186F" w:rsidRPr="00DE4E4F" w:rsidRDefault="001B186F">
            <w:pPr>
              <w:spacing w:after="0" w:line="240" w:lineRule="auto"/>
              <w:rPr>
                <w:rFonts w:ascii="Times New Roman" w:hAnsi="Times New Roman"/>
                <w:b/>
                <w:noProof/>
                <w:sz w:val="18"/>
              </w:rPr>
            </w:pPr>
          </w:p>
        </w:tc>
        <w:tc>
          <w:tcPr>
            <w:tcW w:w="1080" w:type="dxa"/>
            <w:vMerge/>
            <w:noWrap/>
            <w:vAlign w:val="center"/>
          </w:tcPr>
          <w:p w14:paraId="514471F6" w14:textId="77777777" w:rsidR="001B186F" w:rsidRPr="00DE4E4F" w:rsidRDefault="001B186F">
            <w:pPr>
              <w:spacing w:after="0" w:line="240" w:lineRule="auto"/>
              <w:rPr>
                <w:rFonts w:ascii="Times New Roman" w:hAnsi="Times New Roman"/>
                <w:b/>
                <w:noProof/>
                <w:sz w:val="18"/>
              </w:rPr>
            </w:pPr>
          </w:p>
        </w:tc>
        <w:tc>
          <w:tcPr>
            <w:tcW w:w="1569" w:type="dxa"/>
            <w:vMerge/>
            <w:noWrap/>
            <w:vAlign w:val="center"/>
          </w:tcPr>
          <w:p w14:paraId="49D4BED0" w14:textId="77777777" w:rsidR="001B186F" w:rsidRPr="00DE4E4F" w:rsidRDefault="001B186F">
            <w:pPr>
              <w:spacing w:after="0" w:line="240" w:lineRule="auto"/>
              <w:rPr>
                <w:rFonts w:ascii="Times New Roman" w:hAnsi="Times New Roman"/>
                <w:b/>
                <w:noProof/>
                <w:sz w:val="18"/>
              </w:rPr>
            </w:pPr>
          </w:p>
        </w:tc>
        <w:tc>
          <w:tcPr>
            <w:tcW w:w="1477" w:type="dxa"/>
            <w:vMerge/>
            <w:noWrap/>
            <w:vAlign w:val="center"/>
          </w:tcPr>
          <w:p w14:paraId="01A9003E" w14:textId="77777777" w:rsidR="001B186F" w:rsidRPr="00DE4E4F" w:rsidRDefault="001B186F">
            <w:pPr>
              <w:spacing w:after="0" w:line="240" w:lineRule="auto"/>
              <w:rPr>
                <w:rFonts w:ascii="Times New Roman" w:hAnsi="Times New Roman"/>
                <w:b/>
                <w:noProof/>
                <w:sz w:val="18"/>
              </w:rPr>
            </w:pPr>
          </w:p>
        </w:tc>
        <w:tc>
          <w:tcPr>
            <w:tcW w:w="11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4B7AF35C" w14:textId="77777777" w:rsidR="001B186F" w:rsidRPr="00DE4E4F" w:rsidRDefault="0074517F">
            <w:pPr>
              <w:spacing w:after="0" w:line="240" w:lineRule="auto"/>
              <w:jc w:val="center"/>
              <w:rPr>
                <w:rFonts w:ascii="Times New Roman" w:eastAsia="Times New Roman" w:hAnsi="Times New Roman" w:cs="Times New Roman"/>
                <w:noProof/>
                <w:color w:val="006100"/>
                <w:sz w:val="18"/>
                <w:szCs w:val="18"/>
                <w:lang w:eastAsia="en-GB"/>
              </w:rPr>
            </w:pPr>
            <w:r w:rsidRPr="00DE4E4F">
              <w:rPr>
                <w:rFonts w:ascii="Times New Roman" w:hAnsi="Times New Roman"/>
                <w:b/>
                <w:noProof/>
                <w:sz w:val="18"/>
              </w:rPr>
              <w:t>Unit of measure</w:t>
            </w:r>
          </w:p>
        </w:tc>
        <w:tc>
          <w:tcPr>
            <w:tcW w:w="1281" w:type="dxa"/>
            <w:tcBorders>
              <w:top w:val="single" w:sz="4" w:space="0" w:color="auto"/>
              <w:left w:val="single" w:sz="4" w:space="0" w:color="auto"/>
              <w:bottom w:val="single" w:sz="4" w:space="0" w:color="auto"/>
              <w:right w:val="single" w:sz="4" w:space="0" w:color="auto"/>
            </w:tcBorders>
            <w:shd w:val="clear" w:color="auto" w:fill="BDD7EE"/>
            <w:vAlign w:val="center"/>
          </w:tcPr>
          <w:p w14:paraId="46D6EA0A" w14:textId="77777777" w:rsidR="001B186F" w:rsidRPr="00DE4E4F" w:rsidRDefault="0074517F">
            <w:pPr>
              <w:spacing w:after="0" w:line="240" w:lineRule="auto"/>
              <w:jc w:val="center"/>
              <w:rPr>
                <w:rFonts w:ascii="Times New Roman" w:eastAsia="Times New Roman" w:hAnsi="Times New Roman" w:cs="Times New Roman"/>
                <w:noProof/>
                <w:color w:val="006100"/>
                <w:sz w:val="18"/>
                <w:szCs w:val="18"/>
                <w:lang w:eastAsia="en-GB"/>
              </w:rPr>
            </w:pPr>
            <w:r w:rsidRPr="00DE4E4F">
              <w:rPr>
                <w:rFonts w:ascii="Times New Roman" w:hAnsi="Times New Roman"/>
                <w:b/>
                <w:noProof/>
                <w:sz w:val="18"/>
              </w:rPr>
              <w:t>Baseline</w:t>
            </w:r>
          </w:p>
        </w:tc>
        <w:tc>
          <w:tcPr>
            <w:tcW w:w="705" w:type="dxa"/>
            <w:tcBorders>
              <w:top w:val="single" w:sz="4" w:space="0" w:color="auto"/>
              <w:left w:val="single" w:sz="4" w:space="0" w:color="auto"/>
              <w:bottom w:val="single" w:sz="4" w:space="0" w:color="auto"/>
              <w:right w:val="single" w:sz="4" w:space="0" w:color="auto"/>
            </w:tcBorders>
            <w:shd w:val="clear" w:color="auto" w:fill="BDD7EE"/>
            <w:vAlign w:val="center"/>
          </w:tcPr>
          <w:p w14:paraId="3DDD49DD" w14:textId="77777777" w:rsidR="001B186F" w:rsidRPr="00DE4E4F" w:rsidRDefault="0074517F">
            <w:pPr>
              <w:spacing w:after="0" w:line="240" w:lineRule="auto"/>
              <w:jc w:val="center"/>
              <w:rPr>
                <w:rFonts w:ascii="Times New Roman" w:eastAsia="Times New Roman" w:hAnsi="Times New Roman" w:cs="Times New Roman"/>
                <w:noProof/>
                <w:color w:val="006100"/>
                <w:sz w:val="18"/>
                <w:szCs w:val="18"/>
                <w:lang w:eastAsia="en-GB"/>
              </w:rPr>
            </w:pPr>
            <w:r w:rsidRPr="00DE4E4F">
              <w:rPr>
                <w:rFonts w:ascii="Times New Roman" w:hAnsi="Times New Roman"/>
                <w:b/>
                <w:noProof/>
                <w:sz w:val="18"/>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6D678105"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36CD7F93" w14:textId="77777777" w:rsidR="001B186F" w:rsidRPr="00DE4E4F" w:rsidRDefault="0074517F">
            <w:pPr>
              <w:spacing w:after="0" w:line="240" w:lineRule="auto"/>
              <w:jc w:val="center"/>
              <w:rPr>
                <w:rFonts w:ascii="Times New Roman" w:hAnsi="Times New Roman" w:cs="Times New Roman"/>
                <w:noProof/>
                <w:color w:val="006100"/>
                <w:sz w:val="18"/>
                <w:szCs w:val="18"/>
              </w:rPr>
            </w:pPr>
            <w:r w:rsidRPr="00DE4E4F">
              <w:rPr>
                <w:rFonts w:ascii="Times New Roman" w:hAnsi="Times New Roman"/>
                <w:b/>
                <w:noProof/>
                <w:sz w:val="18"/>
              </w:rPr>
              <w:t>Year</w:t>
            </w:r>
          </w:p>
        </w:tc>
        <w:tc>
          <w:tcPr>
            <w:tcW w:w="4450" w:type="dxa"/>
            <w:vMerge/>
            <w:noWrap/>
          </w:tcPr>
          <w:p w14:paraId="04A3ED78" w14:textId="77777777" w:rsidR="001B186F" w:rsidRPr="00DE4E4F" w:rsidRDefault="001B186F">
            <w:pPr>
              <w:spacing w:after="0" w:line="240" w:lineRule="auto"/>
              <w:rPr>
                <w:rFonts w:ascii="Times New Roman" w:hAnsi="Times New Roman" w:cs="Times New Roman"/>
                <w:noProof/>
                <w:color w:val="006100"/>
                <w:sz w:val="18"/>
                <w:szCs w:val="18"/>
              </w:rPr>
            </w:pPr>
          </w:p>
        </w:tc>
      </w:tr>
      <w:tr w:rsidR="00682269" w:rsidRPr="00DE4E4F" w14:paraId="49A10157" w14:textId="77777777">
        <w:trPr>
          <w:trHeight w:val="313"/>
          <w:tblHeader/>
          <w:jc w:val="center"/>
        </w:trPr>
        <w:tc>
          <w:tcPr>
            <w:tcW w:w="608" w:type="dxa"/>
            <w:shd w:val="clear" w:color="auto" w:fill="C6EFCE"/>
            <w:noWrap/>
          </w:tcPr>
          <w:p w14:paraId="7E61E8C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w:t>
            </w:r>
          </w:p>
        </w:tc>
        <w:tc>
          <w:tcPr>
            <w:tcW w:w="1800" w:type="dxa"/>
            <w:shd w:val="clear" w:color="auto" w:fill="C6EFCE"/>
            <w:noWrap/>
          </w:tcPr>
          <w:p w14:paraId="0D2C83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- 16879_Preparation of Urban Plans in implementation of the urban policy reform</w:t>
            </w:r>
          </w:p>
        </w:tc>
        <w:tc>
          <w:tcPr>
            <w:tcW w:w="1080" w:type="dxa"/>
            <w:shd w:val="clear" w:color="auto" w:fill="C6EFCE"/>
            <w:noWrap/>
          </w:tcPr>
          <w:p w14:paraId="7FB0F72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9" w:type="dxa"/>
            <w:shd w:val="clear" w:color="auto" w:fill="C6EFCE"/>
            <w:noWrap/>
          </w:tcPr>
          <w:p w14:paraId="4305F6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Preparatory steps for urban plans</w:t>
            </w:r>
          </w:p>
        </w:tc>
        <w:tc>
          <w:tcPr>
            <w:tcW w:w="1477" w:type="dxa"/>
            <w:shd w:val="clear" w:color="auto" w:fill="C6EFCE"/>
            <w:noWrap/>
          </w:tcPr>
          <w:p w14:paraId="56DBA37E" w14:textId="03BE292C"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Issuance by the</w:t>
            </w:r>
            <w:r w:rsidR="00DE4C0C" w:rsidRPr="00DE4E4F">
              <w:rPr>
                <w:rFonts w:ascii="Times New Roman" w:hAnsi="Times New Roman" w:cs="Times New Roman"/>
                <w:noProof/>
                <w:color w:val="006100"/>
                <w:sz w:val="18"/>
                <w:szCs w:val="18"/>
              </w:rPr>
              <w:t xml:space="preserve"> </w:t>
            </w:r>
            <w:r w:rsidR="00A07550" w:rsidRPr="00DE4E4F">
              <w:rPr>
                <w:rFonts w:ascii="Times New Roman" w:hAnsi="Times New Roman" w:cs="Times New Roman"/>
                <w:noProof/>
                <w:color w:val="006100"/>
                <w:sz w:val="18"/>
                <w:szCs w:val="18"/>
              </w:rPr>
              <w:t>M</w:t>
            </w:r>
            <w:r w:rsidRPr="00DE4E4F">
              <w:rPr>
                <w:rFonts w:ascii="Times New Roman" w:hAnsi="Times New Roman" w:cs="Times New Roman"/>
                <w:noProof/>
                <w:color w:val="006100"/>
                <w:sz w:val="18"/>
                <w:szCs w:val="18"/>
              </w:rPr>
              <w:t xml:space="preserve">inistry </w:t>
            </w:r>
            <w:r w:rsidR="00A07550" w:rsidRPr="00DE4E4F">
              <w:rPr>
                <w:rFonts w:ascii="Times New Roman" w:hAnsi="Times New Roman" w:cs="Times New Roman"/>
                <w:noProof/>
                <w:color w:val="006100"/>
                <w:sz w:val="18"/>
                <w:szCs w:val="18"/>
              </w:rPr>
              <w:t>of Envir</w:t>
            </w:r>
            <w:r w:rsidR="00C51145" w:rsidRPr="00DE4E4F">
              <w:rPr>
                <w:rFonts w:ascii="Times New Roman" w:hAnsi="Times New Roman" w:cs="Times New Roman"/>
                <w:noProof/>
                <w:color w:val="006100"/>
                <w:sz w:val="18"/>
                <w:szCs w:val="18"/>
              </w:rPr>
              <w:t>onment and Energy</w:t>
            </w:r>
            <w:r w:rsidRPr="00DE4E4F">
              <w:rPr>
                <w:rFonts w:ascii="Times New Roman" w:hAnsi="Times New Roman" w:cs="Times New Roman"/>
                <w:noProof/>
                <w:color w:val="006100"/>
                <w:sz w:val="18"/>
                <w:szCs w:val="18"/>
              </w:rPr>
              <w:t xml:space="preserve"> of a positive assessment for certain studies and issuance by the </w:t>
            </w:r>
            <w:r w:rsidR="00D075BE" w:rsidRPr="00DE4E4F">
              <w:rPr>
                <w:rFonts w:ascii="Times New Roman" w:hAnsi="Times New Roman" w:cs="Times New Roman"/>
                <w:noProof/>
                <w:color w:val="006100"/>
                <w:sz w:val="18"/>
                <w:szCs w:val="18"/>
              </w:rPr>
              <w:t>M</w:t>
            </w:r>
            <w:r w:rsidRPr="00DE4E4F">
              <w:rPr>
                <w:rFonts w:ascii="Times New Roman" w:hAnsi="Times New Roman" w:cs="Times New Roman"/>
                <w:noProof/>
                <w:color w:val="006100"/>
                <w:sz w:val="18"/>
                <w:szCs w:val="18"/>
              </w:rPr>
              <w:t xml:space="preserve">inistry </w:t>
            </w:r>
            <w:r w:rsidR="00D075BE" w:rsidRPr="00DE4E4F">
              <w:rPr>
                <w:rFonts w:ascii="Times New Roman" w:hAnsi="Times New Roman" w:cs="Times New Roman"/>
                <w:noProof/>
                <w:color w:val="006100"/>
                <w:sz w:val="18"/>
                <w:szCs w:val="18"/>
              </w:rPr>
              <w:t>of Environment and Energy</w:t>
            </w:r>
            <w:r w:rsidRPr="00DE4E4F">
              <w:rPr>
                <w:rFonts w:ascii="Times New Roman" w:hAnsi="Times New Roman" w:cs="Times New Roman"/>
                <w:noProof/>
                <w:color w:val="006100"/>
                <w:sz w:val="18"/>
                <w:szCs w:val="18"/>
              </w:rPr>
              <w:t xml:space="preserve"> of a certificate of completion of other studies for urban plans</w:t>
            </w:r>
          </w:p>
        </w:tc>
        <w:tc>
          <w:tcPr>
            <w:tcW w:w="1125" w:type="dxa"/>
            <w:shd w:val="clear" w:color="auto" w:fill="C6EFCE"/>
            <w:noWrap/>
          </w:tcPr>
          <w:p w14:paraId="431C0F9C"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281" w:type="dxa"/>
            <w:shd w:val="clear" w:color="auto" w:fill="C6EFCE"/>
            <w:noWrap/>
          </w:tcPr>
          <w:p w14:paraId="268FB0A9"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05" w:type="dxa"/>
            <w:shd w:val="clear" w:color="auto" w:fill="C6EFCE"/>
            <w:noWrap/>
          </w:tcPr>
          <w:p w14:paraId="717906D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4B07DF2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08081F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50" w:type="dxa"/>
            <w:shd w:val="clear" w:color="auto" w:fill="C6EFCE"/>
            <w:noWrap/>
          </w:tcPr>
          <w:p w14:paraId="6DF80C4A" w14:textId="3A48EB5E" w:rsidR="001B186F" w:rsidRPr="00DE4E4F" w:rsidRDefault="0074517F" w:rsidP="009A6FC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Issuance by the </w:t>
            </w:r>
            <w:r w:rsidR="00592B1B" w:rsidRPr="00DE4E4F">
              <w:rPr>
                <w:rFonts w:ascii="Times New Roman" w:hAnsi="Times New Roman" w:cs="Times New Roman"/>
                <w:noProof/>
                <w:color w:val="006100"/>
                <w:sz w:val="18"/>
                <w:szCs w:val="18"/>
              </w:rPr>
              <w:t>M</w:t>
            </w:r>
            <w:r w:rsidRPr="00DE4E4F">
              <w:rPr>
                <w:rFonts w:ascii="Times New Roman" w:hAnsi="Times New Roman" w:cs="Times New Roman"/>
                <w:noProof/>
                <w:color w:val="006100"/>
                <w:sz w:val="18"/>
                <w:szCs w:val="18"/>
              </w:rPr>
              <w:t xml:space="preserve">inistry </w:t>
            </w:r>
            <w:r w:rsidR="00592B1B" w:rsidRPr="00DE4E4F">
              <w:rPr>
                <w:rFonts w:ascii="Times New Roman" w:hAnsi="Times New Roman" w:cs="Times New Roman"/>
                <w:noProof/>
                <w:color w:val="006100"/>
                <w:sz w:val="18"/>
                <w:szCs w:val="18"/>
              </w:rPr>
              <w:t>of Environment and Energy</w:t>
            </w:r>
            <w:r w:rsidRPr="00DE4E4F">
              <w:rPr>
                <w:rFonts w:ascii="Times New Roman" w:hAnsi="Times New Roman" w:cs="Times New Roman"/>
                <w:noProof/>
                <w:color w:val="006100"/>
                <w:sz w:val="18"/>
                <w:szCs w:val="18"/>
              </w:rPr>
              <w:t xml:space="preserve"> of a positive assessment for studies concerning</w:t>
            </w:r>
            <w:r w:rsidR="000926C4"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local urban plans</w:t>
            </w:r>
            <w:r w:rsidR="000926C4" w:rsidRPr="00DE4E4F">
              <w:rPr>
                <w:rFonts w:ascii="Times New Roman" w:hAnsi="Times New Roman" w:cs="Times New Roman"/>
                <w:noProof/>
                <w:color w:val="006100"/>
                <w:sz w:val="18"/>
                <w:szCs w:val="18"/>
              </w:rPr>
              <w:t xml:space="preserve"> or</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Special Urban Plans</w:t>
            </w:r>
            <w:r w:rsidR="00C52F85"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in </w:t>
            </w:r>
            <w:r w:rsidR="0085006E" w:rsidRPr="00DE4E4F">
              <w:rPr>
                <w:rFonts w:ascii="Times New Roman" w:hAnsi="Times New Roman" w:cs="Times New Roman"/>
                <w:noProof/>
                <w:color w:val="006100"/>
                <w:sz w:val="18"/>
                <w:szCs w:val="18"/>
              </w:rPr>
              <w:t>5</w:t>
            </w:r>
            <w:r w:rsidR="00FA33EF" w:rsidRPr="00DE4E4F">
              <w:rPr>
                <w:rFonts w:ascii="Times New Roman" w:hAnsi="Times New Roman" w:cs="Times New Roman"/>
                <w:noProof/>
                <w:color w:val="006100"/>
                <w:sz w:val="18"/>
                <w:szCs w:val="18"/>
              </w:rPr>
              <w:t>85</w:t>
            </w:r>
            <w:r w:rsidRPr="00DE4E4F">
              <w:rPr>
                <w:rFonts w:ascii="Times New Roman" w:hAnsi="Times New Roman" w:cs="Times New Roman"/>
                <w:noProof/>
                <w:color w:val="006100"/>
                <w:sz w:val="18"/>
                <w:szCs w:val="18"/>
              </w:rPr>
              <w:t xml:space="preserve"> municipal units;</w:t>
            </w:r>
          </w:p>
          <w:p w14:paraId="246900B4" w14:textId="77777777" w:rsidR="00E045CE" w:rsidRPr="00DE4E4F" w:rsidRDefault="00E045CE" w:rsidP="001E030E">
            <w:pPr>
              <w:rPr>
                <w:rFonts w:ascii="Times New Roman" w:hAnsi="Times New Roman" w:cs="Times New Roman"/>
                <w:noProof/>
                <w:color w:val="006100"/>
                <w:sz w:val="18"/>
                <w:szCs w:val="18"/>
              </w:rPr>
            </w:pPr>
          </w:p>
          <w:p w14:paraId="738ED57D" w14:textId="5583237F" w:rsidR="001B186F" w:rsidRPr="00DE4E4F" w:rsidRDefault="0074517F" w:rsidP="009A6FC8">
            <w:pPr>
              <w:rPr>
                <w:rFonts w:eastAsia="Times New Roman"/>
                <w:noProof/>
              </w:rPr>
            </w:pPr>
            <w:r w:rsidRPr="00DE4E4F">
              <w:rPr>
                <w:rFonts w:ascii="Times New Roman" w:hAnsi="Times New Roman" w:cs="Times New Roman"/>
                <w:noProof/>
                <w:color w:val="006100"/>
                <w:sz w:val="18"/>
                <w:szCs w:val="18"/>
              </w:rPr>
              <w:t xml:space="preserve">and issuance by the </w:t>
            </w:r>
            <w:r w:rsidR="0085006E" w:rsidRPr="00DE4E4F">
              <w:rPr>
                <w:rFonts w:ascii="Times New Roman" w:hAnsi="Times New Roman" w:cs="Times New Roman"/>
                <w:noProof/>
                <w:color w:val="006100"/>
                <w:sz w:val="18"/>
                <w:szCs w:val="18"/>
              </w:rPr>
              <w:t>M</w:t>
            </w:r>
            <w:r w:rsidRPr="00DE4E4F">
              <w:rPr>
                <w:rFonts w:ascii="Times New Roman" w:hAnsi="Times New Roman" w:cs="Times New Roman"/>
                <w:noProof/>
                <w:color w:val="006100"/>
                <w:sz w:val="18"/>
                <w:szCs w:val="18"/>
              </w:rPr>
              <w:t xml:space="preserve">inistry </w:t>
            </w:r>
            <w:r w:rsidR="0085006E" w:rsidRPr="00DE4E4F">
              <w:rPr>
                <w:rFonts w:ascii="Times New Roman" w:hAnsi="Times New Roman" w:cs="Times New Roman"/>
                <w:noProof/>
                <w:color w:val="006100"/>
                <w:sz w:val="18"/>
                <w:szCs w:val="18"/>
              </w:rPr>
              <w:t>of Environment and Energy</w:t>
            </w:r>
            <w:r w:rsidRPr="00DE4E4F">
              <w:rPr>
                <w:rFonts w:ascii="Times New Roman" w:hAnsi="Times New Roman" w:cs="Times New Roman"/>
                <w:noProof/>
                <w:color w:val="006100"/>
                <w:sz w:val="18"/>
                <w:szCs w:val="18"/>
              </w:rPr>
              <w:t xml:space="preserve"> of a certificate of completion of studies concerning</w:t>
            </w:r>
            <w:r w:rsidR="0085006E"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characterizations of municipal roads in </w:t>
            </w:r>
            <w:r w:rsidR="003B3108" w:rsidRPr="00DE4E4F">
              <w:rPr>
                <w:rFonts w:ascii="Times New Roman" w:hAnsi="Times New Roman" w:cs="Times New Roman"/>
                <w:noProof/>
                <w:color w:val="006100"/>
                <w:sz w:val="18"/>
                <w:szCs w:val="18"/>
              </w:rPr>
              <w:t>6</w:t>
            </w:r>
            <w:r w:rsidR="002117EB" w:rsidRPr="00DE4E4F">
              <w:rPr>
                <w:rFonts w:ascii="Times New Roman" w:hAnsi="Times New Roman" w:cs="Times New Roman"/>
                <w:noProof/>
                <w:color w:val="006100"/>
                <w:sz w:val="18"/>
                <w:szCs w:val="18"/>
              </w:rPr>
              <w:t>25</w:t>
            </w:r>
            <w:r w:rsidRPr="00DE4E4F">
              <w:rPr>
                <w:rFonts w:ascii="Times New Roman" w:hAnsi="Times New Roman" w:cs="Times New Roman"/>
                <w:noProof/>
                <w:color w:val="006100"/>
                <w:sz w:val="18"/>
                <w:szCs w:val="18"/>
              </w:rPr>
              <w:t xml:space="preserve"> municipal units.</w:t>
            </w:r>
          </w:p>
        </w:tc>
      </w:tr>
      <w:tr w:rsidR="00682269" w:rsidRPr="00DE4E4F" w14:paraId="471A3531" w14:textId="77777777">
        <w:trPr>
          <w:trHeight w:val="313"/>
          <w:tblHeader/>
          <w:jc w:val="center"/>
        </w:trPr>
        <w:tc>
          <w:tcPr>
            <w:tcW w:w="608" w:type="dxa"/>
            <w:shd w:val="clear" w:color="auto" w:fill="C6EFCE"/>
            <w:noWrap/>
          </w:tcPr>
          <w:p w14:paraId="40BD33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w:t>
            </w:r>
          </w:p>
        </w:tc>
        <w:tc>
          <w:tcPr>
            <w:tcW w:w="1800" w:type="dxa"/>
            <w:shd w:val="clear" w:color="auto" w:fill="C6EFCE"/>
            <w:noWrap/>
          </w:tcPr>
          <w:p w14:paraId="357B3C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- 16894_Establishment of new special spatial planning for RES, industry, and tourism</w:t>
            </w:r>
          </w:p>
        </w:tc>
        <w:tc>
          <w:tcPr>
            <w:tcW w:w="1080" w:type="dxa"/>
            <w:shd w:val="clear" w:color="auto" w:fill="C6EFCE"/>
            <w:noWrap/>
          </w:tcPr>
          <w:p w14:paraId="53D8D2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Milestone</w:t>
            </w:r>
          </w:p>
        </w:tc>
        <w:tc>
          <w:tcPr>
            <w:tcW w:w="1569" w:type="dxa"/>
            <w:shd w:val="clear" w:color="auto" w:fill="C6EFCE"/>
            <w:noWrap/>
          </w:tcPr>
          <w:p w14:paraId="4019EB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Special Spatial Frameworks</w:t>
            </w:r>
          </w:p>
        </w:tc>
        <w:tc>
          <w:tcPr>
            <w:tcW w:w="1477" w:type="dxa"/>
            <w:shd w:val="clear" w:color="auto" w:fill="C6EFCE"/>
            <w:noWrap/>
          </w:tcPr>
          <w:p w14:paraId="3D7673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three special spatial frameworks for Renewable Energy Sources (RES), Tourism, and Industry</w:t>
            </w:r>
          </w:p>
        </w:tc>
        <w:tc>
          <w:tcPr>
            <w:tcW w:w="1125" w:type="dxa"/>
            <w:shd w:val="clear" w:color="auto" w:fill="C6EFCE"/>
            <w:noWrap/>
          </w:tcPr>
          <w:p w14:paraId="04446E4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81" w:type="dxa"/>
            <w:shd w:val="clear" w:color="auto" w:fill="C6EFCE"/>
            <w:noWrap/>
          </w:tcPr>
          <w:p w14:paraId="5046D96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5" w:type="dxa"/>
            <w:shd w:val="clear" w:color="auto" w:fill="C6EFCE"/>
            <w:noWrap/>
          </w:tcPr>
          <w:p w14:paraId="491029A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C1BAE1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CF24C7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50" w:type="dxa"/>
            <w:shd w:val="clear" w:color="auto" w:fill="C6EFCE"/>
            <w:noWrap/>
          </w:tcPr>
          <w:p w14:paraId="166C869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three special spatial frameworks for Renewable Energy Sources (RES), Tourism, and Industry.</w:t>
            </w:r>
          </w:p>
          <w:p w14:paraId="5C731C86"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r>
      <w:tr w:rsidR="00682269" w:rsidRPr="00DE4E4F" w14:paraId="0CCAD12F" w14:textId="77777777">
        <w:trPr>
          <w:trHeight w:val="313"/>
          <w:tblHeader/>
          <w:jc w:val="center"/>
        </w:trPr>
        <w:tc>
          <w:tcPr>
            <w:tcW w:w="608" w:type="dxa"/>
            <w:shd w:val="clear" w:color="auto" w:fill="C6EFCE"/>
            <w:noWrap/>
          </w:tcPr>
          <w:p w14:paraId="537783F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w:t>
            </w:r>
          </w:p>
        </w:tc>
        <w:tc>
          <w:tcPr>
            <w:tcW w:w="1800" w:type="dxa"/>
            <w:shd w:val="clear" w:color="auto" w:fill="C6EFCE"/>
            <w:noWrap/>
          </w:tcPr>
          <w:p w14:paraId="2B0DD1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- 16891_Establishment of new maritime spatial planning</w:t>
            </w:r>
          </w:p>
        </w:tc>
        <w:tc>
          <w:tcPr>
            <w:tcW w:w="1080" w:type="dxa"/>
            <w:shd w:val="clear" w:color="auto" w:fill="C6EFCE"/>
            <w:noWrap/>
          </w:tcPr>
          <w:p w14:paraId="4C2630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p w14:paraId="701AF7A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69" w:type="dxa"/>
            <w:shd w:val="clear" w:color="auto" w:fill="C6EFCE"/>
            <w:noWrap/>
          </w:tcPr>
          <w:p w14:paraId="559B38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maritime strategy</w:t>
            </w:r>
          </w:p>
        </w:tc>
        <w:tc>
          <w:tcPr>
            <w:tcW w:w="1477" w:type="dxa"/>
            <w:shd w:val="clear" w:color="auto" w:fill="C6EFCE"/>
            <w:noWrap/>
          </w:tcPr>
          <w:p w14:paraId="3EDFE65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maritime spatial strategy adopted</w:t>
            </w:r>
          </w:p>
        </w:tc>
        <w:tc>
          <w:tcPr>
            <w:tcW w:w="1125" w:type="dxa"/>
            <w:shd w:val="clear" w:color="auto" w:fill="C6EFCE"/>
            <w:noWrap/>
          </w:tcPr>
          <w:p w14:paraId="2E959DA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81" w:type="dxa"/>
            <w:shd w:val="clear" w:color="auto" w:fill="C6EFCE"/>
            <w:noWrap/>
          </w:tcPr>
          <w:p w14:paraId="3CCF0DE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5" w:type="dxa"/>
            <w:shd w:val="clear" w:color="auto" w:fill="C6EFCE"/>
            <w:noWrap/>
          </w:tcPr>
          <w:p w14:paraId="6E54394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3025DF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37F4D26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450" w:type="dxa"/>
            <w:shd w:val="clear" w:color="auto" w:fill="C6EFCE"/>
            <w:noWrap/>
          </w:tcPr>
          <w:p w14:paraId="4638D1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Adoption by the Ministry of Environment and Energy of the maritime spatial strategy. </w:t>
            </w:r>
          </w:p>
        </w:tc>
      </w:tr>
    </w:tbl>
    <w:p w14:paraId="5BC7A0D5" w14:textId="77777777" w:rsidR="001B186F" w:rsidRPr="00DE4E4F" w:rsidRDefault="001B186F">
      <w:pPr>
        <w:keepNext/>
        <w:keepLines/>
        <w:spacing w:before="40" w:after="0" w:line="240" w:lineRule="auto"/>
        <w:jc w:val="both"/>
        <w:outlineLvl w:val="4"/>
        <w:rPr>
          <w:rFonts w:ascii="Cambria" w:hAnsi="Cambria"/>
          <w:noProof/>
          <w:color w:val="365F91"/>
          <w:sz w:val="24"/>
        </w:rPr>
      </w:pPr>
    </w:p>
    <w:p w14:paraId="751F3137" w14:textId="2DD0AB32" w:rsidR="001B186F" w:rsidRPr="00DE4E4F" w:rsidRDefault="0074517F" w:rsidP="00DE4C0C">
      <w:pPr>
        <w:spacing w:after="0" w:line="240" w:lineRule="auto"/>
        <w:rPr>
          <w:rFonts w:ascii="Cambria" w:eastAsia="Times New Roman" w:hAnsi="Cambria"/>
          <w:noProof/>
          <w:color w:val="365F91"/>
          <w:sz w:val="24"/>
        </w:rPr>
      </w:pPr>
      <w:r w:rsidRPr="00DE4E4F">
        <w:rPr>
          <w:rFonts w:ascii="Cambria" w:hAnsi="Cambria"/>
          <w:noProof/>
          <w:color w:val="365F91"/>
          <w:sz w:val="24"/>
        </w:rPr>
        <w:br w:type="page"/>
        <w:t>Group 2: Energy renovation of enterprises and public buildings</w:t>
      </w:r>
    </w:p>
    <w:p w14:paraId="48AFF05C"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20A4CA1F"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Energy and entrepreneurship (ID: 16874)</w:t>
      </w:r>
    </w:p>
    <w:p w14:paraId="6CEAD2C9"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Energy upgrade of public sector buildings and energy infrastructure of public entities (ID: 16876)</w:t>
      </w:r>
    </w:p>
    <w:p w14:paraId="07A56CD2"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Energy poverty action plan (ID: 16920)</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833"/>
        <w:gridCol w:w="1080"/>
        <w:gridCol w:w="1371"/>
        <w:gridCol w:w="1418"/>
        <w:gridCol w:w="1276"/>
        <w:gridCol w:w="992"/>
        <w:gridCol w:w="775"/>
        <w:gridCol w:w="894"/>
        <w:gridCol w:w="709"/>
        <w:gridCol w:w="4394"/>
      </w:tblGrid>
      <w:tr w:rsidR="00682269" w:rsidRPr="00DE4E4F" w14:paraId="094C4A70" w14:textId="77777777" w:rsidTr="00C46CD1">
        <w:trPr>
          <w:trHeight w:val="939"/>
          <w:tblHeader/>
          <w:jc w:val="center"/>
        </w:trPr>
        <w:tc>
          <w:tcPr>
            <w:tcW w:w="675" w:type="dxa"/>
            <w:vMerge w:val="restart"/>
            <w:shd w:val="clear" w:color="auto" w:fill="BDD7EE"/>
            <w:vAlign w:val="center"/>
            <w:hideMark/>
          </w:tcPr>
          <w:p w14:paraId="704C7B3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1833" w:type="dxa"/>
            <w:vMerge w:val="restart"/>
            <w:shd w:val="clear" w:color="auto" w:fill="BDD7EE"/>
            <w:vAlign w:val="center"/>
            <w:hideMark/>
          </w:tcPr>
          <w:p w14:paraId="4120FA40"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80" w:type="dxa"/>
            <w:vMerge w:val="restart"/>
            <w:shd w:val="clear" w:color="auto" w:fill="BDD7EE"/>
            <w:vAlign w:val="center"/>
            <w:hideMark/>
          </w:tcPr>
          <w:p w14:paraId="292D457D"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71" w:type="dxa"/>
            <w:vMerge w:val="restart"/>
            <w:shd w:val="clear" w:color="auto" w:fill="BDD7EE"/>
            <w:vAlign w:val="center"/>
            <w:hideMark/>
          </w:tcPr>
          <w:p w14:paraId="48CF96E3"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18" w:type="dxa"/>
            <w:vMerge w:val="restart"/>
            <w:shd w:val="clear" w:color="auto" w:fill="BDD7EE"/>
            <w:vAlign w:val="center"/>
            <w:hideMark/>
          </w:tcPr>
          <w:p w14:paraId="5EDC716F"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Qualitative indicators </w:t>
            </w:r>
            <w:r w:rsidRPr="00DE4E4F">
              <w:rPr>
                <w:rFonts w:ascii="Times New Roman" w:hAnsi="Times New Roman" w:cs="Times New Roman"/>
                <w:b/>
                <w:noProof/>
                <w:sz w:val="18"/>
                <w:szCs w:val="18"/>
              </w:rPr>
              <w:br/>
            </w:r>
            <w:r w:rsidRPr="00DE4E4F">
              <w:rPr>
                <w:rFonts w:ascii="Times New Roman" w:hAnsi="Times New Roman"/>
                <w:b/>
                <w:noProof/>
                <w:sz w:val="18"/>
              </w:rPr>
              <w:t>(for milestones)</w:t>
            </w:r>
          </w:p>
        </w:tc>
        <w:tc>
          <w:tcPr>
            <w:tcW w:w="3043" w:type="dxa"/>
            <w:gridSpan w:val="3"/>
            <w:shd w:val="clear" w:color="auto" w:fill="BDD7EE"/>
            <w:vAlign w:val="center"/>
            <w:hideMark/>
          </w:tcPr>
          <w:p w14:paraId="49F8898A"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cs="Times New Roman"/>
                <w:b/>
                <w:noProof/>
                <w:sz w:val="18"/>
                <w:szCs w:val="18"/>
              </w:rPr>
              <w:br/>
            </w:r>
            <w:r w:rsidRPr="00DE4E4F">
              <w:rPr>
                <w:rFonts w:ascii="Times New Roman" w:hAnsi="Times New Roman"/>
                <w:b/>
                <w:noProof/>
                <w:sz w:val="18"/>
              </w:rPr>
              <w:t>(for targets)</w:t>
            </w:r>
          </w:p>
        </w:tc>
        <w:tc>
          <w:tcPr>
            <w:tcW w:w="1603" w:type="dxa"/>
            <w:gridSpan w:val="2"/>
            <w:shd w:val="clear" w:color="auto" w:fill="BDD7EE"/>
            <w:vAlign w:val="center"/>
            <w:hideMark/>
          </w:tcPr>
          <w:p w14:paraId="5EC14148"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394" w:type="dxa"/>
            <w:vMerge w:val="restart"/>
            <w:shd w:val="clear" w:color="auto" w:fill="BDD7EE"/>
            <w:vAlign w:val="center"/>
            <w:hideMark/>
          </w:tcPr>
          <w:p w14:paraId="36F2524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1DFE1F95" w14:textId="77777777" w:rsidTr="00C46CD1">
        <w:trPr>
          <w:trHeight w:val="1027"/>
          <w:tblHeader/>
          <w:jc w:val="center"/>
        </w:trPr>
        <w:tc>
          <w:tcPr>
            <w:tcW w:w="675" w:type="dxa"/>
            <w:vMerge/>
            <w:vAlign w:val="center"/>
            <w:hideMark/>
          </w:tcPr>
          <w:p w14:paraId="4ED064D5"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833" w:type="dxa"/>
            <w:vMerge/>
            <w:vAlign w:val="center"/>
            <w:hideMark/>
          </w:tcPr>
          <w:p w14:paraId="2BB9176C"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080" w:type="dxa"/>
            <w:vMerge/>
            <w:vAlign w:val="center"/>
            <w:hideMark/>
          </w:tcPr>
          <w:p w14:paraId="76C44E1E"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371" w:type="dxa"/>
            <w:vMerge/>
            <w:vAlign w:val="center"/>
            <w:hideMark/>
          </w:tcPr>
          <w:p w14:paraId="63F5C477"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418" w:type="dxa"/>
            <w:vMerge/>
            <w:vAlign w:val="center"/>
            <w:hideMark/>
          </w:tcPr>
          <w:p w14:paraId="667EF4E7"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276" w:type="dxa"/>
            <w:shd w:val="clear" w:color="auto" w:fill="BDD7EE"/>
            <w:vAlign w:val="center"/>
            <w:hideMark/>
          </w:tcPr>
          <w:p w14:paraId="2F861C6F"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46FD91FC"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75" w:type="dxa"/>
            <w:shd w:val="clear" w:color="auto" w:fill="BDD7EE"/>
            <w:vAlign w:val="center"/>
            <w:hideMark/>
          </w:tcPr>
          <w:p w14:paraId="08D64B3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94" w:type="dxa"/>
            <w:shd w:val="clear" w:color="auto" w:fill="BDD7EE"/>
            <w:vAlign w:val="center"/>
            <w:hideMark/>
          </w:tcPr>
          <w:p w14:paraId="2010283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26E3986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394" w:type="dxa"/>
            <w:vMerge/>
            <w:vAlign w:val="center"/>
            <w:hideMark/>
          </w:tcPr>
          <w:p w14:paraId="045A79C5"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r>
      <w:tr w:rsidR="00682269" w:rsidRPr="00DE4E4F" w14:paraId="2B8A06B1" w14:textId="77777777" w:rsidTr="00C46CD1">
        <w:trPr>
          <w:trHeight w:val="313"/>
          <w:jc w:val="center"/>
        </w:trPr>
        <w:tc>
          <w:tcPr>
            <w:tcW w:w="675" w:type="dxa"/>
            <w:shd w:val="clear" w:color="auto" w:fill="C6EFCE"/>
            <w:noWrap/>
          </w:tcPr>
          <w:p w14:paraId="390E66A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32</w:t>
            </w:r>
          </w:p>
        </w:tc>
        <w:tc>
          <w:tcPr>
            <w:tcW w:w="1833" w:type="dxa"/>
            <w:shd w:val="clear" w:color="auto" w:fill="C6EFCE"/>
            <w:noWrap/>
          </w:tcPr>
          <w:p w14:paraId="7883FD9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- 16920_Energy poverty action plan</w:t>
            </w:r>
          </w:p>
        </w:tc>
        <w:tc>
          <w:tcPr>
            <w:tcW w:w="1080" w:type="dxa"/>
            <w:shd w:val="clear" w:color="auto" w:fill="C6EFCE"/>
            <w:noWrap/>
          </w:tcPr>
          <w:p w14:paraId="7AA542A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71" w:type="dxa"/>
            <w:shd w:val="clear" w:color="auto" w:fill="C6EFCE"/>
            <w:noWrap/>
          </w:tcPr>
          <w:p w14:paraId="30FBF48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poverty – adoption of action plan</w:t>
            </w:r>
          </w:p>
          <w:p w14:paraId="4CE1183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418" w:type="dxa"/>
            <w:shd w:val="clear" w:color="auto" w:fill="C6EFCE"/>
            <w:noWrap/>
          </w:tcPr>
          <w:p w14:paraId="7269E34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Ministerial Decision by the Ministry of Environment and Energy.</w:t>
            </w:r>
          </w:p>
        </w:tc>
        <w:tc>
          <w:tcPr>
            <w:tcW w:w="1276" w:type="dxa"/>
            <w:shd w:val="clear" w:color="auto" w:fill="C6EFCE"/>
            <w:noWrap/>
          </w:tcPr>
          <w:p w14:paraId="6340B53E"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4475EA0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775" w:type="dxa"/>
            <w:shd w:val="clear" w:color="auto" w:fill="C6EFCE"/>
            <w:noWrap/>
          </w:tcPr>
          <w:p w14:paraId="7A9F2A6F"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94" w:type="dxa"/>
            <w:shd w:val="clear" w:color="auto" w:fill="C6EFCE"/>
            <w:noWrap/>
          </w:tcPr>
          <w:p w14:paraId="472BF11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7BCDCB0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394" w:type="dxa"/>
            <w:shd w:val="clear" w:color="auto" w:fill="C6EFCE"/>
            <w:noWrap/>
          </w:tcPr>
          <w:p w14:paraId="20F4036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Ministerial Decision by the Ministry of Environment and Energy adopting the Energy Poverty Action Plan, with three categories of policy measures in the Plan:</w:t>
            </w:r>
          </w:p>
          <w:p w14:paraId="4C32365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Awareness and information measures;</w:t>
            </w:r>
          </w:p>
          <w:p w14:paraId="3D5B97D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Measures for the short-term protection of the energy poor households, including (1) the definition of households experiencing energy poverty, through specific quantitative criteria, and (2) a specific process to monitor and evaluate the evolution of energy poverty, in line with the mechanism proposed within the Action Plan and in accordance with relevant EU legislation; and</w:t>
            </w:r>
          </w:p>
          <w:p w14:paraId="7DDD3D6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Financing measures: establishment of funding mechanisms for the energy upgrade of residential buildings of energy-vulnerable households and other social groups with specific electricity consumption patterns. These financial measures shall address the energy poverty issues in Greece, as described under the National Energy and Climate Plan (NECP).</w:t>
            </w:r>
          </w:p>
        </w:tc>
      </w:tr>
      <w:tr w:rsidR="00682269" w:rsidRPr="00DE4E4F" w14:paraId="5C0A5FE3" w14:textId="77777777" w:rsidTr="00C46CD1">
        <w:trPr>
          <w:trHeight w:val="313"/>
          <w:jc w:val="center"/>
        </w:trPr>
        <w:tc>
          <w:tcPr>
            <w:tcW w:w="675" w:type="dxa"/>
            <w:shd w:val="clear" w:color="auto" w:fill="C6EFCE"/>
            <w:noWrap/>
          </w:tcPr>
          <w:p w14:paraId="692F7F7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w:t>
            </w:r>
          </w:p>
        </w:tc>
        <w:tc>
          <w:tcPr>
            <w:tcW w:w="1833" w:type="dxa"/>
            <w:shd w:val="clear" w:color="auto" w:fill="C6EFCE"/>
            <w:noWrap/>
          </w:tcPr>
          <w:p w14:paraId="5E39661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- 16874_Energy and entrepreneurship</w:t>
            </w:r>
          </w:p>
        </w:tc>
        <w:tc>
          <w:tcPr>
            <w:tcW w:w="1080" w:type="dxa"/>
            <w:shd w:val="clear" w:color="auto" w:fill="C6EFCE"/>
            <w:noWrap/>
          </w:tcPr>
          <w:p w14:paraId="5B0EA89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71" w:type="dxa"/>
            <w:shd w:val="clear" w:color="auto" w:fill="C6EFCE"/>
            <w:noWrap/>
          </w:tcPr>
          <w:p w14:paraId="5C65BA8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efficiency private sector – applications approved</w:t>
            </w:r>
          </w:p>
        </w:tc>
        <w:tc>
          <w:tcPr>
            <w:tcW w:w="1418" w:type="dxa"/>
            <w:shd w:val="clear" w:color="auto" w:fill="C6EFCE"/>
            <w:noWrap/>
          </w:tcPr>
          <w:p w14:paraId="45B2F1C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by the Ministry of Environment and Energy of applications submitted for selected interventions at private sector entities.</w:t>
            </w:r>
          </w:p>
        </w:tc>
        <w:tc>
          <w:tcPr>
            <w:tcW w:w="1276" w:type="dxa"/>
            <w:shd w:val="clear" w:color="auto" w:fill="C6EFCE"/>
            <w:noWrap/>
          </w:tcPr>
          <w:p w14:paraId="7CF1C2A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61C60B7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775" w:type="dxa"/>
            <w:shd w:val="clear" w:color="auto" w:fill="C6EFCE"/>
            <w:noWrap/>
          </w:tcPr>
          <w:p w14:paraId="05B38D8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94" w:type="dxa"/>
            <w:shd w:val="clear" w:color="auto" w:fill="C6EFCE"/>
            <w:noWrap/>
          </w:tcPr>
          <w:p w14:paraId="5448788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7B45F8F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394" w:type="dxa"/>
            <w:shd w:val="clear" w:color="auto" w:fill="C6EFCE"/>
            <w:noWrap/>
          </w:tcPr>
          <w:p w14:paraId="466CEE9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by the Ministry of Environment and Energy of applications of 3 500 private sector entities ensuring that the carbon dioxide gas (CO2) emissions is reduced, on average, by at least 30% compared to the private sector entities’ existing situation (i.e. it may apply to the participating business as a whole, specific single equipment replacement and/or specific process(es) replacement), as indicated through the energy audits performed prior to the interventions or other certificated information. Selected projects shall comply with the Do No Significant Harm Technical Guidance (2021/C58/01) through the use of an exclusion list and the requirement of compliance with the relevant EU and national environmental legislation.</w:t>
            </w:r>
          </w:p>
        </w:tc>
      </w:tr>
      <w:tr w:rsidR="00682269" w:rsidRPr="00DE4E4F" w14:paraId="07ABA352" w14:textId="77777777" w:rsidTr="00C46CD1">
        <w:trPr>
          <w:trHeight w:val="313"/>
          <w:jc w:val="center"/>
        </w:trPr>
        <w:tc>
          <w:tcPr>
            <w:tcW w:w="675" w:type="dxa"/>
            <w:shd w:val="clear" w:color="auto" w:fill="C6EFCE"/>
            <w:noWrap/>
          </w:tcPr>
          <w:p w14:paraId="150D6E6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w:t>
            </w:r>
          </w:p>
        </w:tc>
        <w:tc>
          <w:tcPr>
            <w:tcW w:w="1833" w:type="dxa"/>
            <w:shd w:val="clear" w:color="auto" w:fill="C6EFCE"/>
            <w:noWrap/>
          </w:tcPr>
          <w:p w14:paraId="3F51C86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2 - 1.2. Renovate - 16876_Energy upgrade of public sector buildings </w:t>
            </w:r>
          </w:p>
        </w:tc>
        <w:tc>
          <w:tcPr>
            <w:tcW w:w="1080" w:type="dxa"/>
            <w:shd w:val="clear" w:color="auto" w:fill="C6EFCE"/>
            <w:noWrap/>
          </w:tcPr>
          <w:p w14:paraId="3F80EBF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71" w:type="dxa"/>
            <w:shd w:val="clear" w:color="auto" w:fill="C6EFCE"/>
            <w:noWrap/>
          </w:tcPr>
          <w:p w14:paraId="4FE9E59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efficiency public buildings – applications approved</w:t>
            </w:r>
          </w:p>
        </w:tc>
        <w:tc>
          <w:tcPr>
            <w:tcW w:w="1418" w:type="dxa"/>
            <w:shd w:val="clear" w:color="auto" w:fill="C6EFCE"/>
            <w:noWrap/>
          </w:tcPr>
          <w:p w14:paraId="5B1A5AF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awards for approved applications by the Ministry of Environment and Energy of selected interventions at public sector buildings.</w:t>
            </w:r>
          </w:p>
        </w:tc>
        <w:tc>
          <w:tcPr>
            <w:tcW w:w="1276" w:type="dxa"/>
            <w:shd w:val="clear" w:color="auto" w:fill="C6EFCE"/>
            <w:noWrap/>
          </w:tcPr>
          <w:p w14:paraId="1D200ED8"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71E643E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775" w:type="dxa"/>
            <w:shd w:val="clear" w:color="auto" w:fill="C6EFCE"/>
            <w:noWrap/>
          </w:tcPr>
          <w:p w14:paraId="29C77059"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94" w:type="dxa"/>
            <w:shd w:val="clear" w:color="auto" w:fill="C6EFCE"/>
            <w:noWrap/>
          </w:tcPr>
          <w:p w14:paraId="632DDD2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718ACED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394" w:type="dxa"/>
            <w:shd w:val="clear" w:color="auto" w:fill="C6EFCE"/>
            <w:noWrap/>
          </w:tcPr>
          <w:p w14:paraId="752D7FC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Approval by the Ministry of Environment and Energy of applications for 150 public sector buildings ensuring that the CO2 emissions of these respective buildings is reduced by, on average, at least 30% compared to their existing situation (as indicated through the energy audits performed prior to the interventions). </w:t>
            </w:r>
          </w:p>
          <w:p w14:paraId="6D8C746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rPr>
            </w:pPr>
          </w:p>
          <w:p w14:paraId="405B3FC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For the Energy upgrade of public sector buildings programme, the legal framework to enable Energy Performance Contracts has been established.</w:t>
            </w:r>
          </w:p>
        </w:tc>
      </w:tr>
      <w:tr w:rsidR="00682269" w:rsidRPr="00DE4E4F" w14:paraId="73989142" w14:textId="77777777" w:rsidTr="00C46CD1">
        <w:trPr>
          <w:trHeight w:val="313"/>
          <w:jc w:val="center"/>
        </w:trPr>
        <w:tc>
          <w:tcPr>
            <w:tcW w:w="675" w:type="dxa"/>
            <w:shd w:val="clear" w:color="auto" w:fill="C6EFCE"/>
            <w:noWrap/>
          </w:tcPr>
          <w:p w14:paraId="5EA5405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w:t>
            </w:r>
          </w:p>
        </w:tc>
        <w:tc>
          <w:tcPr>
            <w:tcW w:w="1833" w:type="dxa"/>
            <w:shd w:val="clear" w:color="auto" w:fill="C6EFCE"/>
            <w:noWrap/>
          </w:tcPr>
          <w:p w14:paraId="04A1B18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- 16874_Energy and entrepreneurship</w:t>
            </w:r>
          </w:p>
        </w:tc>
        <w:tc>
          <w:tcPr>
            <w:tcW w:w="1080" w:type="dxa"/>
            <w:shd w:val="clear" w:color="auto" w:fill="C6EFCE"/>
            <w:noWrap/>
          </w:tcPr>
          <w:p w14:paraId="4A2562A9" w14:textId="77777777" w:rsidR="001B186F" w:rsidRPr="00DE4E4F" w:rsidRDefault="0074517F" w:rsidP="000A4A2F">
            <w:pPr>
              <w:spacing w:after="0" w:line="240" w:lineRule="auto"/>
              <w:rPr>
                <w:rFonts w:ascii="Times New Roman" w:hAnsi="Times New Roman" w:cs="Times New Roman"/>
                <w:noProof/>
                <w:color w:val="006100"/>
                <w:sz w:val="18"/>
                <w:szCs w:val="18"/>
              </w:rPr>
            </w:pPr>
            <w:r w:rsidRPr="00DE4E4F" w:rsidDel="00D6738F">
              <w:rPr>
                <w:rFonts w:ascii="Times New Roman" w:hAnsi="Times New Roman" w:cs="Times New Roman"/>
                <w:noProof/>
                <w:color w:val="006100"/>
                <w:sz w:val="18"/>
                <w:szCs w:val="18"/>
              </w:rPr>
              <w:t>Target</w:t>
            </w:r>
          </w:p>
        </w:tc>
        <w:tc>
          <w:tcPr>
            <w:tcW w:w="1371" w:type="dxa"/>
            <w:shd w:val="clear" w:color="auto" w:fill="C6EFCE"/>
            <w:noWrap/>
          </w:tcPr>
          <w:p w14:paraId="1746D19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Energy efficiency private sector </w:t>
            </w:r>
          </w:p>
        </w:tc>
        <w:tc>
          <w:tcPr>
            <w:tcW w:w="1418" w:type="dxa"/>
            <w:shd w:val="clear" w:color="auto" w:fill="C6EFCE"/>
            <w:noWrap/>
          </w:tcPr>
          <w:p w14:paraId="12E2C8A0"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276" w:type="dxa"/>
            <w:shd w:val="clear" w:color="auto" w:fill="C6EFCE"/>
            <w:noWrap/>
          </w:tcPr>
          <w:p w14:paraId="21375BE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sidDel="00DA11C3">
              <w:rPr>
                <w:rFonts w:ascii="Times New Roman" w:hAnsi="Times New Roman" w:cs="Times New Roman"/>
                <w:noProof/>
                <w:color w:val="006100"/>
                <w:sz w:val="18"/>
                <w:szCs w:val="18"/>
              </w:rPr>
              <w:t xml:space="preserve">Number of private sector entities with interventions </w:t>
            </w:r>
            <w:r w:rsidRPr="00DE4E4F">
              <w:rPr>
                <w:rFonts w:ascii="Times New Roman" w:hAnsi="Times New Roman" w:cs="Times New Roman"/>
                <w:noProof/>
                <w:color w:val="006100"/>
                <w:sz w:val="18"/>
                <w:szCs w:val="18"/>
              </w:rPr>
              <w:t>executed</w:t>
            </w:r>
          </w:p>
        </w:tc>
        <w:tc>
          <w:tcPr>
            <w:tcW w:w="992" w:type="dxa"/>
            <w:shd w:val="clear" w:color="auto" w:fill="C6EFCE"/>
            <w:noWrap/>
          </w:tcPr>
          <w:p w14:paraId="63CD3BC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75" w:type="dxa"/>
            <w:shd w:val="clear" w:color="auto" w:fill="C6EFCE"/>
            <w:noWrap/>
          </w:tcPr>
          <w:p w14:paraId="537A339A" w14:textId="432B5E4B" w:rsidR="001B186F" w:rsidRPr="00DE4E4F" w:rsidRDefault="009A1037"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w:t>
            </w:r>
            <w:r w:rsidR="00DA68EC" w:rsidRPr="00DE4E4F">
              <w:rPr>
                <w:rFonts w:ascii="Times New Roman" w:hAnsi="Times New Roman" w:cs="Times New Roman"/>
                <w:noProof/>
                <w:color w:val="006100"/>
                <w:sz w:val="18"/>
                <w:szCs w:val="18"/>
              </w:rPr>
              <w:t>0</w:t>
            </w:r>
            <w:r w:rsidR="0074517F" w:rsidRPr="00DE4E4F">
              <w:rPr>
                <w:rFonts w:ascii="Times New Roman" w:hAnsi="Times New Roman" w:cs="Times New Roman"/>
                <w:noProof/>
                <w:color w:val="006100"/>
                <w:sz w:val="18"/>
                <w:szCs w:val="18"/>
              </w:rPr>
              <w:t>60</w:t>
            </w:r>
          </w:p>
        </w:tc>
        <w:tc>
          <w:tcPr>
            <w:tcW w:w="894" w:type="dxa"/>
            <w:shd w:val="clear" w:color="auto" w:fill="C6EFCE"/>
            <w:noWrap/>
          </w:tcPr>
          <w:p w14:paraId="121A88A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EF8D26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94" w:type="dxa"/>
            <w:shd w:val="clear" w:color="auto" w:fill="C6EFCE"/>
            <w:noWrap/>
          </w:tcPr>
          <w:p w14:paraId="4AAD40B7" w14:textId="6A9BDBED"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Energy efficiency interventions for </w:t>
            </w:r>
            <w:r w:rsidR="009A1037" w:rsidRPr="00DE4E4F">
              <w:rPr>
                <w:rFonts w:ascii="Times New Roman" w:hAnsi="Times New Roman" w:cs="Times New Roman"/>
                <w:noProof/>
                <w:color w:val="006100"/>
                <w:sz w:val="18"/>
                <w:szCs w:val="18"/>
              </w:rPr>
              <w:t>1 </w:t>
            </w:r>
            <w:r w:rsidR="00751EBD" w:rsidRPr="00DE4E4F">
              <w:rPr>
                <w:rFonts w:ascii="Times New Roman" w:hAnsi="Times New Roman" w:cs="Times New Roman"/>
                <w:noProof/>
                <w:color w:val="006100"/>
                <w:sz w:val="18"/>
                <w:szCs w:val="18"/>
              </w:rPr>
              <w:t>0</w:t>
            </w:r>
            <w:r w:rsidRPr="00DE4E4F">
              <w:rPr>
                <w:rFonts w:ascii="Times New Roman" w:hAnsi="Times New Roman" w:cs="Times New Roman"/>
                <w:noProof/>
                <w:color w:val="006100"/>
                <w:sz w:val="18"/>
                <w:szCs w:val="18"/>
              </w:rPr>
              <w:t>60</w:t>
            </w:r>
            <w:r w:rsidR="009A1037"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private sector entities executed.</w:t>
            </w:r>
          </w:p>
        </w:tc>
      </w:tr>
    </w:tbl>
    <w:p w14:paraId="3F097694" w14:textId="77777777" w:rsidR="001B186F" w:rsidRPr="00DE4E4F" w:rsidRDefault="001B186F">
      <w:pPr>
        <w:rPr>
          <w:noProof/>
        </w:rPr>
      </w:pPr>
    </w:p>
    <w:p w14:paraId="6916F14B" w14:textId="77777777" w:rsidR="001B186F" w:rsidRPr="00DE4E4F" w:rsidRDefault="001B186F">
      <w:pPr>
        <w:rPr>
          <w:noProof/>
        </w:rPr>
      </w:pPr>
    </w:p>
    <w:p w14:paraId="3033A8CF" w14:textId="77777777" w:rsidR="001B186F" w:rsidRPr="00DE4E4F" w:rsidRDefault="001B186F">
      <w:pPr>
        <w:rPr>
          <w:rFonts w:ascii="Cambria" w:hAnsi="Cambria"/>
          <w:noProof/>
          <w:sz w:val="24"/>
        </w:rPr>
        <w:sectPr w:rsidR="001B186F" w:rsidRPr="00DE4E4F">
          <w:headerReference w:type="even" r:id="rId54"/>
          <w:headerReference w:type="default" r:id="rId55"/>
          <w:footerReference w:type="even" r:id="rId56"/>
          <w:footerReference w:type="default" r:id="rId57"/>
          <w:headerReference w:type="first" r:id="rId58"/>
          <w:footerReference w:type="first" r:id="rId59"/>
          <w:pgSz w:w="16839" w:h="11907" w:orient="landscape"/>
          <w:pgMar w:top="1134" w:right="1134" w:bottom="1134" w:left="1134" w:header="567" w:footer="567" w:gutter="0"/>
          <w:cols w:space="720"/>
          <w:docGrid w:linePitch="360"/>
        </w:sectPr>
      </w:pPr>
    </w:p>
    <w:p w14:paraId="48DFC984"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3: Interventions in residential areas and in the building stock</w:t>
      </w:r>
    </w:p>
    <w:p w14:paraId="4C42AF42"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354A5CCE"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Interventions in residential areas and in the building stock (ID: 16873)</w:t>
      </w:r>
    </w:p>
    <w:p w14:paraId="00D71EE9"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Infrastructure development and buildings’ restoration in former royal estate in Tatoi (ID: 16875)</w:t>
      </w:r>
    </w:p>
    <w:p w14:paraId="57C97C7A" w14:textId="77777777" w:rsidR="001B186F" w:rsidRPr="00DE4E4F" w:rsidRDefault="0074517F">
      <w:pPr>
        <w:spacing w:before="120" w:after="120" w:line="240" w:lineRule="auto"/>
        <w:rPr>
          <w:rFonts w:ascii="Times New Roman" w:hAnsi="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Olympic Athletic Center of Athens (ID: 16932)</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
        <w:gridCol w:w="1691"/>
        <w:gridCol w:w="1080"/>
        <w:gridCol w:w="1566"/>
        <w:gridCol w:w="1276"/>
        <w:gridCol w:w="1134"/>
        <w:gridCol w:w="992"/>
        <w:gridCol w:w="851"/>
        <w:gridCol w:w="850"/>
        <w:gridCol w:w="709"/>
        <w:gridCol w:w="4592"/>
      </w:tblGrid>
      <w:tr w:rsidR="00682269" w:rsidRPr="00DE4E4F" w14:paraId="7056208E" w14:textId="77777777" w:rsidTr="2258D701">
        <w:trPr>
          <w:trHeight w:val="939"/>
          <w:tblHeader/>
          <w:jc w:val="center"/>
        </w:trPr>
        <w:tc>
          <w:tcPr>
            <w:tcW w:w="761" w:type="dxa"/>
            <w:vMerge w:val="restart"/>
            <w:shd w:val="clear" w:color="auto" w:fill="BDD7EE"/>
            <w:vAlign w:val="center"/>
            <w:hideMark/>
          </w:tcPr>
          <w:p w14:paraId="67B9382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1691" w:type="dxa"/>
            <w:vMerge w:val="restart"/>
            <w:shd w:val="clear" w:color="auto" w:fill="BDD7EE"/>
            <w:vAlign w:val="center"/>
            <w:hideMark/>
          </w:tcPr>
          <w:p w14:paraId="47AB06D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80" w:type="dxa"/>
            <w:vMerge w:val="restart"/>
            <w:shd w:val="clear" w:color="auto" w:fill="BDD7EE"/>
            <w:vAlign w:val="center"/>
            <w:hideMark/>
          </w:tcPr>
          <w:p w14:paraId="0731DFB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66" w:type="dxa"/>
            <w:vMerge w:val="restart"/>
            <w:shd w:val="clear" w:color="auto" w:fill="BDD7EE"/>
            <w:vAlign w:val="center"/>
            <w:hideMark/>
          </w:tcPr>
          <w:p w14:paraId="1F611EA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276" w:type="dxa"/>
            <w:vMerge w:val="restart"/>
            <w:shd w:val="clear" w:color="auto" w:fill="BDD7EE"/>
            <w:vAlign w:val="center"/>
            <w:hideMark/>
          </w:tcPr>
          <w:p w14:paraId="6BE1504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977" w:type="dxa"/>
            <w:gridSpan w:val="3"/>
            <w:shd w:val="clear" w:color="auto" w:fill="BDD7EE"/>
            <w:vAlign w:val="center"/>
            <w:hideMark/>
          </w:tcPr>
          <w:p w14:paraId="3DD146F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cs="Times New Roman"/>
                <w:b/>
                <w:noProof/>
                <w:sz w:val="18"/>
                <w:szCs w:val="18"/>
              </w:rPr>
              <w:br/>
            </w:r>
            <w:r w:rsidRPr="00DE4E4F">
              <w:rPr>
                <w:rFonts w:ascii="Times New Roman" w:hAnsi="Times New Roman"/>
                <w:b/>
                <w:noProof/>
                <w:sz w:val="18"/>
              </w:rPr>
              <w:t>(for targets)</w:t>
            </w:r>
          </w:p>
        </w:tc>
        <w:tc>
          <w:tcPr>
            <w:tcW w:w="1559" w:type="dxa"/>
            <w:gridSpan w:val="2"/>
            <w:shd w:val="clear" w:color="auto" w:fill="BDD7EE"/>
            <w:vAlign w:val="center"/>
            <w:hideMark/>
          </w:tcPr>
          <w:p w14:paraId="209CAB7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592" w:type="dxa"/>
            <w:vMerge w:val="restart"/>
            <w:shd w:val="clear" w:color="auto" w:fill="BDD7EE"/>
            <w:vAlign w:val="center"/>
            <w:hideMark/>
          </w:tcPr>
          <w:p w14:paraId="356B4C2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7746644C" w14:textId="77777777" w:rsidTr="2258D701">
        <w:trPr>
          <w:trHeight w:val="654"/>
          <w:tblHeader/>
          <w:jc w:val="center"/>
        </w:trPr>
        <w:tc>
          <w:tcPr>
            <w:tcW w:w="761" w:type="dxa"/>
            <w:vMerge/>
            <w:vAlign w:val="center"/>
            <w:hideMark/>
          </w:tcPr>
          <w:p w14:paraId="332BC8F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91" w:type="dxa"/>
            <w:vMerge/>
            <w:vAlign w:val="center"/>
            <w:hideMark/>
          </w:tcPr>
          <w:p w14:paraId="31CA973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80" w:type="dxa"/>
            <w:vMerge/>
            <w:vAlign w:val="center"/>
            <w:hideMark/>
          </w:tcPr>
          <w:p w14:paraId="4417AB6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66" w:type="dxa"/>
            <w:vMerge/>
            <w:vAlign w:val="center"/>
            <w:hideMark/>
          </w:tcPr>
          <w:p w14:paraId="5B17CF3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76" w:type="dxa"/>
            <w:vMerge/>
            <w:vAlign w:val="center"/>
            <w:hideMark/>
          </w:tcPr>
          <w:p w14:paraId="3B750BF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shd w:val="clear" w:color="auto" w:fill="BDD7EE"/>
            <w:vAlign w:val="center"/>
            <w:hideMark/>
          </w:tcPr>
          <w:p w14:paraId="1458787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21124B7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51" w:type="dxa"/>
            <w:shd w:val="clear" w:color="auto" w:fill="BDD7EE"/>
            <w:vAlign w:val="center"/>
            <w:hideMark/>
          </w:tcPr>
          <w:p w14:paraId="55E6E79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50" w:type="dxa"/>
            <w:shd w:val="clear" w:color="auto" w:fill="BDD7EE"/>
            <w:vAlign w:val="center"/>
            <w:hideMark/>
          </w:tcPr>
          <w:p w14:paraId="164F0B8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717B2AE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592" w:type="dxa"/>
            <w:vMerge/>
            <w:vAlign w:val="center"/>
            <w:hideMark/>
          </w:tcPr>
          <w:p w14:paraId="1D2A352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4A499EF2" w14:textId="77777777" w:rsidTr="2258D701">
        <w:trPr>
          <w:trHeight w:val="313"/>
          <w:jc w:val="center"/>
        </w:trPr>
        <w:tc>
          <w:tcPr>
            <w:tcW w:w="761" w:type="dxa"/>
            <w:shd w:val="clear" w:color="auto" w:fill="C6EFCE"/>
            <w:noWrap/>
          </w:tcPr>
          <w:p w14:paraId="6282A1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37</w:t>
            </w:r>
          </w:p>
        </w:tc>
        <w:tc>
          <w:tcPr>
            <w:tcW w:w="1691" w:type="dxa"/>
            <w:shd w:val="clear" w:color="auto" w:fill="C6EFCE"/>
            <w:noWrap/>
          </w:tcPr>
          <w:p w14:paraId="48883E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- 16932_Olympic Athletic Center of Athens</w:t>
            </w:r>
          </w:p>
        </w:tc>
        <w:tc>
          <w:tcPr>
            <w:tcW w:w="1080" w:type="dxa"/>
            <w:shd w:val="clear" w:color="auto" w:fill="C6EFCE"/>
            <w:noWrap/>
          </w:tcPr>
          <w:p w14:paraId="2DC9FC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6" w:type="dxa"/>
            <w:shd w:val="clear" w:color="auto" w:fill="C6EFCE"/>
            <w:noWrap/>
          </w:tcPr>
          <w:p w14:paraId="38FA5B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OAKA – Contract award</w:t>
            </w:r>
          </w:p>
        </w:tc>
        <w:tc>
          <w:tcPr>
            <w:tcW w:w="1276" w:type="dxa"/>
            <w:shd w:val="clear" w:color="auto" w:fill="C6EFCE"/>
            <w:noWrap/>
          </w:tcPr>
          <w:p w14:paraId="778330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the award of the contract(s)</w:t>
            </w:r>
          </w:p>
        </w:tc>
        <w:tc>
          <w:tcPr>
            <w:tcW w:w="1134" w:type="dxa"/>
            <w:shd w:val="clear" w:color="auto" w:fill="C6EFCE"/>
            <w:noWrap/>
          </w:tcPr>
          <w:p w14:paraId="7EF3FB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710C943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A9DE74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6BD7F2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shd w:val="clear" w:color="auto" w:fill="C6EFCE"/>
            <w:noWrap/>
          </w:tcPr>
          <w:p w14:paraId="0EC3F3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592" w:type="dxa"/>
            <w:shd w:val="clear" w:color="auto" w:fill="C6EFCE"/>
            <w:noWrap/>
          </w:tcPr>
          <w:p w14:paraId="0E616AC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the award of the contract(s) for the appointment of private sector partner(s) to carry out the construction and renovation works that shall enhance energy efficiency for (i) Central Stadium; (ii) Mechanical and Electrical works; and (iii) outdoor areas and start of works. </w:t>
            </w:r>
          </w:p>
        </w:tc>
      </w:tr>
      <w:tr w:rsidR="00682269" w:rsidRPr="00DE4E4F" w14:paraId="459D1484" w14:textId="77777777" w:rsidTr="2258D701">
        <w:trPr>
          <w:trHeight w:val="313"/>
          <w:jc w:val="center"/>
        </w:trPr>
        <w:tc>
          <w:tcPr>
            <w:tcW w:w="761" w:type="dxa"/>
            <w:shd w:val="clear" w:color="auto" w:fill="C6EFCE"/>
            <w:noWrap/>
          </w:tcPr>
          <w:p w14:paraId="056377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38</w:t>
            </w:r>
          </w:p>
        </w:tc>
        <w:tc>
          <w:tcPr>
            <w:tcW w:w="1691" w:type="dxa"/>
            <w:shd w:val="clear" w:color="auto" w:fill="C6EFCE"/>
            <w:noWrap/>
          </w:tcPr>
          <w:p w14:paraId="53DF6A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- 16873_ Interventions in residential areas and in the building stock</w:t>
            </w:r>
          </w:p>
        </w:tc>
        <w:tc>
          <w:tcPr>
            <w:tcW w:w="1080" w:type="dxa"/>
            <w:shd w:val="clear" w:color="auto" w:fill="C6EFCE"/>
            <w:noWrap/>
          </w:tcPr>
          <w:p w14:paraId="3D05FE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6" w:type="dxa"/>
            <w:shd w:val="clear" w:color="auto" w:fill="C6EFCE"/>
            <w:noWrap/>
          </w:tcPr>
          <w:p w14:paraId="2A0BF44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Urban interventions - contract awards</w:t>
            </w:r>
          </w:p>
        </w:tc>
        <w:tc>
          <w:tcPr>
            <w:tcW w:w="1276" w:type="dxa"/>
            <w:shd w:val="clear" w:color="auto" w:fill="C6EFCE"/>
            <w:noWrap/>
          </w:tcPr>
          <w:p w14:paraId="27A830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the award of contract(s)</w:t>
            </w:r>
          </w:p>
        </w:tc>
        <w:tc>
          <w:tcPr>
            <w:tcW w:w="1134" w:type="dxa"/>
            <w:shd w:val="clear" w:color="auto" w:fill="C6EFCE"/>
            <w:noWrap/>
          </w:tcPr>
          <w:p w14:paraId="7A50C26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73E9C2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7F910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78F08A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3F037B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592" w:type="dxa"/>
            <w:shd w:val="clear" w:color="auto" w:fill="C6EFCE"/>
            <w:noWrap/>
          </w:tcPr>
          <w:p w14:paraId="03B66F3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the award of the contract(s) to carry out the works for the </w:t>
            </w:r>
          </w:p>
          <w:p w14:paraId="08D67B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 improvement of urban environment and public space in selected municipalities following an open call aiming to strengthen climate resilience;</w:t>
            </w:r>
          </w:p>
          <w:p w14:paraId="274095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(ii) urban regeneration of the ex-industrial area of Votanikos / Elaionas and renovation of the Agricultural University of Athens (AUA) campus; </w:t>
            </w:r>
          </w:p>
          <w:p w14:paraId="73C206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(iii) Athens Riviera: cycling infrastructure; and </w:t>
            </w:r>
          </w:p>
          <w:p w14:paraId="757932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(iv) other strategic interventions, which shall be selected, following an open call to municipalities covering: (1) energy efficiency and demonstration projects in SMEs or large enterprises and achieving, at least, a medium-depth level renovation as defined in Commission Recommendation on Building Renovation (EU) 2019/786, or, on average, at least a 30% reduction of direct and indirect CO2 emissions compared to the ex-ante emissions; (2) construction of new energy efficient buildings and with a Primary Energy Demand (PED) that is, at least, 20% lower than the NZEB requirement (nearly zero-energy building, national directives); and (3) nature and biodiversity protection, natural heritage and resources, green and blue infrastructure. </w:t>
            </w:r>
          </w:p>
        </w:tc>
      </w:tr>
      <w:tr w:rsidR="00682269" w:rsidRPr="00DE4E4F" w14:paraId="4C4523DC" w14:textId="77777777" w:rsidTr="2258D701">
        <w:trPr>
          <w:trHeight w:val="313"/>
          <w:jc w:val="center"/>
        </w:trPr>
        <w:tc>
          <w:tcPr>
            <w:tcW w:w="761" w:type="dxa"/>
            <w:shd w:val="clear" w:color="auto" w:fill="C6EFCE"/>
            <w:noWrap/>
          </w:tcPr>
          <w:p w14:paraId="3628F6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39</w:t>
            </w:r>
          </w:p>
        </w:tc>
        <w:tc>
          <w:tcPr>
            <w:tcW w:w="1691" w:type="dxa"/>
            <w:shd w:val="clear" w:color="auto" w:fill="C6EFCE"/>
            <w:noWrap/>
          </w:tcPr>
          <w:p w14:paraId="5C7CD1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- 16932_Olympic Athletic Center of Athens</w:t>
            </w:r>
          </w:p>
        </w:tc>
        <w:tc>
          <w:tcPr>
            <w:tcW w:w="1080" w:type="dxa"/>
            <w:shd w:val="clear" w:color="auto" w:fill="C6EFCE"/>
            <w:noWrap/>
          </w:tcPr>
          <w:p w14:paraId="3B8FD8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6" w:type="dxa"/>
            <w:shd w:val="clear" w:color="auto" w:fill="C6EFCE"/>
            <w:noWrap/>
          </w:tcPr>
          <w:p w14:paraId="18663D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OAKA –execution of works </w:t>
            </w:r>
          </w:p>
        </w:tc>
        <w:tc>
          <w:tcPr>
            <w:tcW w:w="1276" w:type="dxa"/>
            <w:shd w:val="clear" w:color="auto" w:fill="C6EFCE"/>
            <w:noWrap/>
          </w:tcPr>
          <w:p w14:paraId="2545AB9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works</w:t>
            </w:r>
          </w:p>
        </w:tc>
        <w:tc>
          <w:tcPr>
            <w:tcW w:w="1134" w:type="dxa"/>
            <w:shd w:val="clear" w:color="auto" w:fill="C6EFCE"/>
            <w:noWrap/>
          </w:tcPr>
          <w:p w14:paraId="7CD5455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1CD28B0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42D473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811EC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2AA334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592" w:type="dxa"/>
            <w:shd w:val="clear" w:color="auto" w:fill="C6EFCE"/>
            <w:noWrap/>
          </w:tcPr>
          <w:p w14:paraId="267E09A7" w14:textId="2FAFF669" w:rsidR="001B186F" w:rsidRPr="00DE4E4F" w:rsidRDefault="0010473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certificates </w:t>
            </w:r>
            <w:r w:rsidR="001E5CA1" w:rsidRPr="00DE4E4F">
              <w:rPr>
                <w:rFonts w:ascii="Times New Roman" w:hAnsi="Times New Roman" w:cs="Times New Roman"/>
                <w:noProof/>
                <w:color w:val="006100"/>
                <w:sz w:val="18"/>
                <w:szCs w:val="18"/>
              </w:rPr>
              <w:t xml:space="preserve">of </w:t>
            </w:r>
            <w:r w:rsidRPr="00DE4E4F">
              <w:rPr>
                <w:rFonts w:ascii="Times New Roman" w:hAnsi="Times New Roman" w:cs="Times New Roman"/>
                <w:noProof/>
                <w:color w:val="006100"/>
                <w:sz w:val="18"/>
                <w:szCs w:val="18"/>
              </w:rPr>
              <w:t>the</w:t>
            </w:r>
            <w:r w:rsidR="001E5CA1" w:rsidRPr="00DE4E4F">
              <w:rPr>
                <w:rFonts w:ascii="Times New Roman" w:hAnsi="Times New Roman" w:cs="Times New Roman"/>
                <w:noProof/>
                <w:color w:val="006100"/>
                <w:sz w:val="18"/>
                <w:szCs w:val="18"/>
              </w:rPr>
              <w:t xml:space="preserve"> following interventions</w:t>
            </w:r>
            <w:r w:rsidR="00BB5FC7" w:rsidRPr="00DE4E4F">
              <w:rPr>
                <w:rFonts w:ascii="Times New Roman" w:hAnsi="Times New Roman" w:cs="Times New Roman"/>
                <w:noProof/>
                <w:color w:val="006100"/>
                <w:sz w:val="18"/>
                <w:szCs w:val="18"/>
              </w:rPr>
              <w:t>:</w:t>
            </w:r>
            <w:r w:rsidR="0074517F" w:rsidRPr="00DE4E4F">
              <w:rPr>
                <w:rFonts w:ascii="Times New Roman" w:hAnsi="Times New Roman" w:cs="Times New Roman"/>
                <w:noProof/>
                <w:color w:val="006100"/>
                <w:sz w:val="18"/>
                <w:szCs w:val="18"/>
              </w:rPr>
              <w:t xml:space="preserve"> (i) upgrade of the mechanical and electrical installations of the central Stadium; (ii) </w:t>
            </w:r>
            <w:r w:rsidR="00C01CBB" w:rsidRPr="00DE4E4F">
              <w:rPr>
                <w:rFonts w:ascii="Times New Roman" w:hAnsi="Times New Roman" w:cs="Times New Roman"/>
                <w:noProof/>
                <w:color w:val="006100"/>
                <w:sz w:val="18"/>
                <w:szCs w:val="18"/>
              </w:rPr>
              <w:t>works for</w:t>
            </w:r>
            <w:r w:rsidR="00311B7A" w:rsidRPr="00DE4E4F">
              <w:rPr>
                <w:rFonts w:ascii="Times New Roman" w:hAnsi="Times New Roman" w:cs="Times New Roman"/>
                <w:noProof/>
                <w:color w:val="006100"/>
                <w:sz w:val="18"/>
                <w:szCs w:val="18"/>
              </w:rPr>
              <w:t xml:space="preserve"> the </w:t>
            </w:r>
            <w:r w:rsidR="0074517F" w:rsidRPr="00DE4E4F">
              <w:rPr>
                <w:rFonts w:ascii="Times New Roman" w:hAnsi="Times New Roman" w:cs="Times New Roman"/>
                <w:noProof/>
                <w:color w:val="006100"/>
                <w:sz w:val="18"/>
                <w:szCs w:val="18"/>
              </w:rPr>
              <w:t xml:space="preserve">mechanical and electrical installations and machinery for the aquatic facilities; (iii) </w:t>
            </w:r>
            <w:r w:rsidR="00311B7A" w:rsidRPr="00DE4E4F">
              <w:rPr>
                <w:rFonts w:ascii="Times New Roman" w:hAnsi="Times New Roman" w:cs="Times New Roman"/>
                <w:noProof/>
                <w:color w:val="006100"/>
                <w:sz w:val="18"/>
                <w:szCs w:val="18"/>
              </w:rPr>
              <w:t>th</w:t>
            </w:r>
            <w:r w:rsidR="00CB5EC2" w:rsidRPr="00DE4E4F">
              <w:rPr>
                <w:rFonts w:ascii="Times New Roman" w:hAnsi="Times New Roman" w:cs="Times New Roman"/>
                <w:noProof/>
                <w:color w:val="006100"/>
                <w:sz w:val="18"/>
                <w:szCs w:val="18"/>
              </w:rPr>
              <w:t>e</w:t>
            </w:r>
            <w:r w:rsidR="0074517F" w:rsidRPr="00DE4E4F">
              <w:rPr>
                <w:rFonts w:ascii="Times New Roman" w:hAnsi="Times New Roman" w:cs="Times New Roman"/>
                <w:noProof/>
                <w:color w:val="006100"/>
                <w:sz w:val="18"/>
                <w:szCs w:val="18"/>
              </w:rPr>
              <w:t xml:space="preserve"> restoration of the steel canopy of the Velodrome; and (iv) </w:t>
            </w:r>
            <w:r w:rsidR="00CB5EC2" w:rsidRPr="00DE4E4F">
              <w:rPr>
                <w:rFonts w:ascii="Times New Roman" w:hAnsi="Times New Roman" w:cs="Times New Roman"/>
                <w:noProof/>
                <w:color w:val="006100"/>
                <w:sz w:val="18"/>
                <w:szCs w:val="18"/>
              </w:rPr>
              <w:t xml:space="preserve">the refurbishment of </w:t>
            </w:r>
            <w:r w:rsidR="0074517F" w:rsidRPr="00DE4E4F">
              <w:rPr>
                <w:rFonts w:ascii="Times New Roman" w:hAnsi="Times New Roman" w:cs="Times New Roman"/>
                <w:noProof/>
                <w:color w:val="006100"/>
                <w:sz w:val="18"/>
                <w:szCs w:val="18"/>
              </w:rPr>
              <w:t>outdoor areas, including the Agora and Wall of Nations steel structures.</w:t>
            </w:r>
          </w:p>
        </w:tc>
      </w:tr>
      <w:tr w:rsidR="00682269" w:rsidRPr="00DE4E4F" w14:paraId="679A3CAF" w14:textId="77777777" w:rsidTr="2258D701">
        <w:trPr>
          <w:trHeight w:val="313"/>
          <w:jc w:val="center"/>
        </w:trPr>
        <w:tc>
          <w:tcPr>
            <w:tcW w:w="761" w:type="dxa"/>
            <w:shd w:val="clear" w:color="auto" w:fill="C6EFCE"/>
            <w:noWrap/>
          </w:tcPr>
          <w:p w14:paraId="137D80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40</w:t>
            </w:r>
          </w:p>
        </w:tc>
        <w:tc>
          <w:tcPr>
            <w:tcW w:w="1691" w:type="dxa"/>
            <w:shd w:val="clear" w:color="auto" w:fill="C6EFCE"/>
            <w:noWrap/>
          </w:tcPr>
          <w:p w14:paraId="50C0E05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- 16873_ - Interventions in residential areas and in the building stock</w:t>
            </w:r>
          </w:p>
        </w:tc>
        <w:tc>
          <w:tcPr>
            <w:tcW w:w="1080" w:type="dxa"/>
            <w:shd w:val="clear" w:color="auto" w:fill="C6EFCE"/>
            <w:noWrap/>
          </w:tcPr>
          <w:p w14:paraId="126BA2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6" w:type="dxa"/>
            <w:shd w:val="clear" w:color="auto" w:fill="C6EFCE"/>
            <w:noWrap/>
          </w:tcPr>
          <w:p w14:paraId="464CB9B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Urban interventions – Execution of works</w:t>
            </w:r>
          </w:p>
        </w:tc>
        <w:tc>
          <w:tcPr>
            <w:tcW w:w="1276" w:type="dxa"/>
            <w:shd w:val="clear" w:color="auto" w:fill="C6EFCE"/>
            <w:noWrap/>
          </w:tcPr>
          <w:p w14:paraId="087D666B" w14:textId="500ED46A"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works</w:t>
            </w:r>
          </w:p>
        </w:tc>
        <w:tc>
          <w:tcPr>
            <w:tcW w:w="1134" w:type="dxa"/>
            <w:shd w:val="clear" w:color="auto" w:fill="C6EFCE"/>
            <w:noWrap/>
          </w:tcPr>
          <w:p w14:paraId="4DCECE8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11D682C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D634BA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155942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C606D0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592" w:type="dxa"/>
            <w:shd w:val="clear" w:color="auto" w:fill="C6EFCE"/>
            <w:noWrap/>
          </w:tcPr>
          <w:p w14:paraId="3A434829" w14:textId="38E57FC6" w:rsidR="001B186F" w:rsidRPr="00DE4E4F" w:rsidRDefault="7C32A8E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certificates </w:t>
            </w:r>
            <w:r w:rsidR="0074517F" w:rsidRPr="00DE4E4F">
              <w:rPr>
                <w:rFonts w:ascii="Times New Roman" w:hAnsi="Times New Roman" w:cs="Times New Roman"/>
                <w:noProof/>
                <w:color w:val="006100"/>
                <w:sz w:val="18"/>
                <w:szCs w:val="18"/>
              </w:rPr>
              <w:t>for :</w:t>
            </w:r>
          </w:p>
          <w:p w14:paraId="42342396" w14:textId="52593159"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 Interventions in urban environment and public space in </w:t>
            </w:r>
            <w:r w:rsidR="4A508A70" w:rsidRPr="00DE4E4F">
              <w:rPr>
                <w:rFonts w:ascii="Times New Roman" w:hAnsi="Times New Roman" w:cs="Times New Roman"/>
                <w:noProof/>
                <w:color w:val="006100"/>
                <w:sz w:val="18"/>
                <w:szCs w:val="18"/>
              </w:rPr>
              <w:t>3</w:t>
            </w:r>
            <w:r w:rsidR="4007A1F0" w:rsidRPr="00DE4E4F">
              <w:rPr>
                <w:rFonts w:ascii="Times New Roman" w:hAnsi="Times New Roman" w:cs="Times New Roman"/>
                <w:noProof/>
                <w:color w:val="006100"/>
                <w:sz w:val="18"/>
                <w:szCs w:val="18"/>
              </w:rPr>
              <w:t>5</w:t>
            </w:r>
            <w:r w:rsidR="00BF7E3F"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urban and coastal areas; </w:t>
            </w:r>
          </w:p>
          <w:p w14:paraId="11E3B4C2" w14:textId="5A9722AF" w:rsidR="001B186F" w:rsidRPr="00DE4E4F" w:rsidRDefault="0074517F">
            <w:pPr>
              <w:spacing w:after="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(ii)</w:t>
            </w:r>
            <w:r w:rsidR="6359CB1C" w:rsidRPr="00DE4E4F">
              <w:rPr>
                <w:rFonts w:ascii="Times New Roman" w:hAnsi="Times New Roman" w:cs="Times New Roman"/>
                <w:noProof/>
                <w:color w:val="006100"/>
                <w:sz w:val="18"/>
                <w:szCs w:val="18"/>
              </w:rPr>
              <w:t xml:space="preserve"> </w:t>
            </w:r>
            <w:r w:rsidR="0D45A865" w:rsidRPr="00DE4E4F">
              <w:rPr>
                <w:rFonts w:ascii="Times New Roman" w:hAnsi="Times New Roman" w:cs="Times New Roman"/>
                <w:noProof/>
                <w:color w:val="006100"/>
                <w:sz w:val="18"/>
                <w:szCs w:val="18"/>
              </w:rPr>
              <w:t>Interventions</w:t>
            </w:r>
            <w:r w:rsidR="78E67CD8" w:rsidRPr="00DE4E4F">
              <w:rPr>
                <w:rFonts w:ascii="Times New Roman" w:hAnsi="Times New Roman" w:cs="Times New Roman"/>
                <w:noProof/>
                <w:color w:val="006100"/>
                <w:sz w:val="18"/>
                <w:szCs w:val="18"/>
              </w:rPr>
              <w:t xml:space="preserve"> </w:t>
            </w:r>
            <w:r w:rsidR="0258E7AE" w:rsidRPr="00DE4E4F">
              <w:rPr>
                <w:rFonts w:ascii="Times New Roman" w:hAnsi="Times New Roman" w:cs="Times New Roman"/>
                <w:noProof/>
                <w:color w:val="006100"/>
                <w:sz w:val="18"/>
                <w:szCs w:val="18"/>
              </w:rPr>
              <w:t>in</w:t>
            </w:r>
            <w:r w:rsidR="78E67CD8" w:rsidRPr="00DE4E4F">
              <w:rPr>
                <w:rFonts w:ascii="Times New Roman" w:hAnsi="Times New Roman" w:cs="Times New Roman"/>
                <w:noProof/>
                <w:color w:val="006100"/>
                <w:sz w:val="18"/>
                <w:szCs w:val="18"/>
              </w:rPr>
              <w:t xml:space="preserve"> </w:t>
            </w:r>
            <w:r w:rsidR="041246E1" w:rsidRPr="00DE4E4F">
              <w:rPr>
                <w:rFonts w:ascii="Times New Roman" w:hAnsi="Times New Roman" w:cs="Times New Roman"/>
                <w:noProof/>
                <w:color w:val="006100"/>
                <w:sz w:val="18"/>
                <w:szCs w:val="18"/>
              </w:rPr>
              <w:t xml:space="preserve">outdoor </w:t>
            </w:r>
            <w:r w:rsidR="263F5868" w:rsidRPr="00DE4E4F">
              <w:rPr>
                <w:rFonts w:ascii="Times New Roman" w:hAnsi="Times New Roman" w:cs="Times New Roman"/>
                <w:noProof/>
                <w:color w:val="006100"/>
                <w:sz w:val="18"/>
                <w:szCs w:val="18"/>
              </w:rPr>
              <w:t>areas</w:t>
            </w:r>
            <w:r w:rsidR="00D451FD" w:rsidRPr="00DE4E4F">
              <w:rPr>
                <w:rFonts w:ascii="Times New Roman" w:hAnsi="Times New Roman" w:cs="Times New Roman"/>
                <w:noProof/>
                <w:color w:val="006100"/>
                <w:sz w:val="18"/>
                <w:szCs w:val="18"/>
              </w:rPr>
              <w:t xml:space="preserve"> of the Agricultural University of </w:t>
            </w:r>
            <w:r w:rsidR="018B80E4" w:rsidRPr="00DE4E4F">
              <w:rPr>
                <w:rFonts w:ascii="Times New Roman" w:hAnsi="Times New Roman" w:cs="Times New Roman"/>
                <w:noProof/>
                <w:color w:val="006100"/>
                <w:sz w:val="18"/>
                <w:szCs w:val="18"/>
              </w:rPr>
              <w:t>Ath</w:t>
            </w:r>
            <w:r w:rsidR="42850379" w:rsidRPr="00DE4E4F">
              <w:rPr>
                <w:rFonts w:ascii="Times New Roman" w:hAnsi="Times New Roman" w:cs="Times New Roman"/>
                <w:noProof/>
                <w:color w:val="006100"/>
                <w:sz w:val="18"/>
                <w:szCs w:val="18"/>
              </w:rPr>
              <w:t>e</w:t>
            </w:r>
            <w:r w:rsidR="018B80E4" w:rsidRPr="00DE4E4F">
              <w:rPr>
                <w:rFonts w:ascii="Times New Roman" w:hAnsi="Times New Roman" w:cs="Times New Roman"/>
                <w:noProof/>
                <w:color w:val="006100"/>
                <w:sz w:val="18"/>
                <w:szCs w:val="18"/>
              </w:rPr>
              <w:t>n</w:t>
            </w:r>
            <w:r w:rsidR="002F2A0C" w:rsidRPr="00DE4E4F">
              <w:rPr>
                <w:rFonts w:ascii="Times New Roman" w:hAnsi="Times New Roman" w:cs="Times New Roman"/>
                <w:noProof/>
                <w:color w:val="006100"/>
                <w:sz w:val="18"/>
                <w:szCs w:val="18"/>
              </w:rPr>
              <w:t>s</w:t>
            </w:r>
            <w:r w:rsidR="00BA6882" w:rsidRPr="00DE4E4F">
              <w:rPr>
                <w:rFonts w:ascii="Times New Roman" w:hAnsi="Times New Roman" w:cs="Times New Roman"/>
                <w:noProof/>
                <w:color w:val="006100"/>
                <w:sz w:val="18"/>
                <w:szCs w:val="18"/>
              </w:rPr>
              <w:t xml:space="preserve"> campus</w:t>
            </w:r>
          </w:p>
        </w:tc>
      </w:tr>
      <w:tr w:rsidR="00682269" w:rsidRPr="00DE4E4F" w14:paraId="1AC75F75" w14:textId="77777777" w:rsidTr="2258D701">
        <w:trPr>
          <w:trHeight w:val="313"/>
          <w:jc w:val="center"/>
        </w:trPr>
        <w:tc>
          <w:tcPr>
            <w:tcW w:w="761" w:type="dxa"/>
            <w:shd w:val="clear" w:color="auto" w:fill="C6EFCE"/>
            <w:noWrap/>
          </w:tcPr>
          <w:p w14:paraId="2316E6F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41</w:t>
            </w:r>
          </w:p>
        </w:tc>
        <w:tc>
          <w:tcPr>
            <w:tcW w:w="1691" w:type="dxa"/>
            <w:shd w:val="clear" w:color="auto" w:fill="C6EFCE"/>
            <w:noWrap/>
          </w:tcPr>
          <w:p w14:paraId="40A80A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- 16875_ Infrastructure development and buildings’ restoration in former royal estate in Tatoi</w:t>
            </w:r>
          </w:p>
        </w:tc>
        <w:tc>
          <w:tcPr>
            <w:tcW w:w="1080" w:type="dxa"/>
            <w:shd w:val="clear" w:color="auto" w:fill="C6EFCE"/>
            <w:noWrap/>
          </w:tcPr>
          <w:p w14:paraId="099900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6" w:type="dxa"/>
            <w:shd w:val="clear" w:color="auto" w:fill="C6EFCE"/>
            <w:noWrap/>
          </w:tcPr>
          <w:p w14:paraId="4DA40D2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Tatoi – restored</w:t>
            </w:r>
          </w:p>
        </w:tc>
        <w:tc>
          <w:tcPr>
            <w:tcW w:w="1276" w:type="dxa"/>
            <w:shd w:val="clear" w:color="auto" w:fill="C6EFCE"/>
            <w:noWrap/>
          </w:tcPr>
          <w:p w14:paraId="299952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Restoration of Tatoi </w:t>
            </w:r>
          </w:p>
        </w:tc>
        <w:tc>
          <w:tcPr>
            <w:tcW w:w="1134" w:type="dxa"/>
            <w:shd w:val="clear" w:color="auto" w:fill="C6EFCE"/>
            <w:noWrap/>
          </w:tcPr>
          <w:p w14:paraId="79FF07A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47D6C93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5F1707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A751F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A42DB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592" w:type="dxa"/>
            <w:shd w:val="clear" w:color="auto" w:fill="C6EFCE"/>
            <w:noWrap/>
          </w:tcPr>
          <w:p w14:paraId="61E149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works under the ‘Infrastructure development and buildings’ restoration in former royal estate in Tatoi’ programme.</w:t>
            </w:r>
          </w:p>
        </w:tc>
      </w:tr>
    </w:tbl>
    <w:p w14:paraId="6DA5BE9A" w14:textId="77777777" w:rsidR="001B186F" w:rsidRPr="00DE4E4F" w:rsidRDefault="001B186F">
      <w:pPr>
        <w:framePr w:w="15464" w:wrap="auto" w:hAnchor="text"/>
        <w:spacing w:before="120" w:after="120" w:line="240" w:lineRule="auto"/>
        <w:rPr>
          <w:rFonts w:ascii="Times New Roman" w:hAnsi="Times New Roman" w:cs="Times New Roman"/>
          <w:noProof/>
          <w:sz w:val="24"/>
        </w:rPr>
        <w:sectPr w:rsidR="001B186F" w:rsidRPr="00DE4E4F">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A8E1581" w14:textId="77777777" w:rsidR="001B186F" w:rsidRPr="00DE4E4F" w:rsidRDefault="0074517F">
      <w:pPr>
        <w:spacing w:before="120" w:after="120" w:line="240" w:lineRule="auto"/>
        <w:jc w:val="both"/>
        <w:rPr>
          <w:rFonts w:ascii="Times New Roman" w:hAnsi="Times New Roman" w:cs="Times New Roman"/>
          <w:b/>
          <w:bCs/>
          <w:i/>
          <w:iCs/>
          <w:noProof/>
          <w:color w:val="4F81BD"/>
          <w:sz w:val="24"/>
          <w:szCs w:val="24"/>
        </w:rPr>
      </w:pPr>
      <w:r w:rsidRPr="00DE4E4F">
        <w:rPr>
          <w:rFonts w:ascii="Times New Roman" w:hAnsi="Times New Roman"/>
          <w:b/>
          <w:bCs/>
          <w:noProof/>
          <w:sz w:val="24"/>
          <w:szCs w:val="24"/>
          <w:u w:val="single"/>
        </w:rPr>
        <w:t xml:space="preserve">B.3. Description of the reforms and investments for the loan </w:t>
      </w:r>
    </w:p>
    <w:p w14:paraId="07DBBD9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Energy Upgrade Programme “Upgrade My Home” (measure ID 16401)</w:t>
      </w:r>
    </w:p>
    <w:p w14:paraId="14045D5D" w14:textId="0C6CEFA3"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 xml:space="preserve">This measure shall consist of a public </w:t>
      </w:r>
      <w:r w:rsidRPr="00DE4E4F">
        <w:rPr>
          <w:rFonts w:ascii="Times New Roman" w:eastAsia="@MS Mincho" w:hAnsi="Times New Roman" w:cs="Times New Roman"/>
          <w:noProof/>
          <w:sz w:val="24"/>
          <w:szCs w:val="24"/>
        </w:rPr>
        <w:t>investment</w:t>
      </w:r>
      <w:r w:rsidRPr="00DE4E4F">
        <w:rPr>
          <w:rFonts w:ascii="Times New Roman" w:hAnsi="Times New Roman" w:cs="Times New Roman"/>
          <w:noProof/>
          <w:sz w:val="24"/>
          <w:szCs w:val="24"/>
        </w:rPr>
        <w:t xml:space="preserve"> in the “Upgrade My Home” Facility, </w:t>
      </w:r>
      <w:r w:rsidRPr="00DE4E4F">
        <w:rPr>
          <w:rFonts w:ascii="Times New Roman" w:eastAsia="@MS Mincho" w:hAnsi="Times New Roman" w:cs="Times New Roman"/>
          <w:noProof/>
          <w:sz w:val="24"/>
          <w:szCs w:val="24"/>
        </w:rPr>
        <w:t>in order to incentivise private investment and improve access to finance in Greece’s housing sector. The Facility shall operate by providing loans directly to the private sector</w:t>
      </w:r>
      <w:r w:rsidRPr="00DE4E4F">
        <w:rPr>
          <w:rFonts w:ascii="Times New Roman" w:hAnsi="Times New Roman" w:cs="Times New Roman"/>
          <w:noProof/>
          <w:sz w:val="24"/>
          <w:szCs w:val="24"/>
        </w:rPr>
        <w:t>. On the basis of the RRF Investment, the Facility “Upgrade My Home” aims at initially</w:t>
      </w:r>
      <w:r w:rsidRPr="00DE4E4F" w:rsidDel="148B7273">
        <w:rPr>
          <w:rFonts w:ascii="Times New Roman" w:hAnsi="Times New Roman" w:cs="Times New Roman"/>
          <w:noProof/>
          <w:sz w:val="24"/>
          <w:szCs w:val="24"/>
        </w:rPr>
        <w:t xml:space="preserve"> </w:t>
      </w:r>
      <w:r w:rsidRPr="00DE4E4F">
        <w:rPr>
          <w:rFonts w:ascii="Times New Roman" w:hAnsi="Times New Roman" w:cs="Times New Roman"/>
          <w:noProof/>
          <w:sz w:val="24"/>
          <w:szCs w:val="24"/>
        </w:rPr>
        <w:t xml:space="preserve">providing at least EUR </w:t>
      </w:r>
      <w:r w:rsidR="003F28CD" w:rsidRPr="00DE4E4F">
        <w:rPr>
          <w:rFonts w:ascii="Times New Roman" w:hAnsi="Times New Roman" w:cs="Times New Roman"/>
          <w:noProof/>
          <w:sz w:val="24"/>
          <w:szCs w:val="24"/>
        </w:rPr>
        <w:t>62</w:t>
      </w:r>
      <w:r w:rsidR="00DE4C0C" w:rsidRPr="00DE4E4F">
        <w:rPr>
          <w:rFonts w:ascii="Times New Roman" w:hAnsi="Times New Roman" w:cs="Times New Roman"/>
          <w:noProof/>
          <w:sz w:val="24"/>
          <w:szCs w:val="24"/>
        </w:rPr>
        <w:t> </w:t>
      </w:r>
      <w:r w:rsidR="003F28CD" w:rsidRPr="00DE4E4F">
        <w:rPr>
          <w:rFonts w:ascii="Times New Roman" w:hAnsi="Times New Roman" w:cs="Times New Roman"/>
          <w:noProof/>
          <w:sz w:val="24"/>
          <w:szCs w:val="24"/>
        </w:rPr>
        <w:t>000</w:t>
      </w:r>
      <w:r w:rsidR="00DE4C0C" w:rsidRPr="00DE4E4F">
        <w:rPr>
          <w:rFonts w:ascii="Times New Roman" w:hAnsi="Times New Roman" w:cs="Times New Roman"/>
          <w:noProof/>
          <w:sz w:val="24"/>
          <w:szCs w:val="24"/>
        </w:rPr>
        <w:t> </w:t>
      </w:r>
      <w:r w:rsidR="003F28CD" w:rsidRPr="00DE4E4F">
        <w:rPr>
          <w:rFonts w:ascii="Times New Roman" w:hAnsi="Times New Roman" w:cs="Times New Roman"/>
          <w:noProof/>
          <w:sz w:val="24"/>
          <w:szCs w:val="24"/>
        </w:rPr>
        <w:t>000</w:t>
      </w:r>
      <w:r w:rsidRPr="00DE4E4F">
        <w:rPr>
          <w:rFonts w:ascii="Times New Roman" w:hAnsi="Times New Roman" w:cs="Times New Roman"/>
          <w:noProof/>
          <w:sz w:val="24"/>
          <w:szCs w:val="24"/>
        </w:rPr>
        <w:t xml:space="preserve"> of financing.</w:t>
      </w:r>
    </w:p>
    <w:p w14:paraId="067E6BAA" w14:textId="77777777"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 xml:space="preserve">The Facility “Upgrade My Home” shall be managed by the Hellenic Development Bank as the implementing partner. The Facility shall include the following product line: </w:t>
      </w:r>
    </w:p>
    <w:p w14:paraId="3AF5190C"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Hellenic Development Bank shall select the commercial banks as financial intermediaries to participate in the Facility, in an open, transparent and non-discriminatory manner, through an open call. Commercial banks shall co-finance the energy efficiency renovations loans issued under the Facility. These loans will be provided to individuals for energy upgrades in their primary or non-leased secondary residences. The loan structure shall provide for 75% interest-free funding from the Facility “Upgrade My Home”, and 25% funding from participating banks at market rates. The eligible expenses will, for example, include the following interventions:</w:t>
      </w:r>
    </w:p>
    <w:p w14:paraId="67CEB55A"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Thermal insulation (internal / external).</w:t>
      </w:r>
    </w:p>
    <w:p w14:paraId="00102F4A"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of a green roof.</w:t>
      </w:r>
    </w:p>
    <w:p w14:paraId="07F2EB73"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Replacement of energy-efficient window frames and glass panes.</w:t>
      </w:r>
    </w:p>
    <w:p w14:paraId="0D3F4BC9"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Replacement / installation of a solar water heater.</w:t>
      </w:r>
    </w:p>
    <w:p w14:paraId="504B1735"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of permanent external shading systems.</w:t>
      </w:r>
    </w:p>
    <w:p w14:paraId="6BC634F2"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Replacement / installation of heating-cooling systems (fossil fuel generated are not eligible) utilising renewable energy sources or high-efficiency combined heat and power systems (e.g. electric heat pumps, inverter air conditioning units of energy class A+ or higher).</w:t>
      </w:r>
    </w:p>
    <w:p w14:paraId="2DEA16BC"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of thermostatic regulation systems.</w:t>
      </w:r>
    </w:p>
    <w:p w14:paraId="0876F6A7"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of energy storage systems (batteries) from renewable energy sources.</w:t>
      </w:r>
    </w:p>
    <w:p w14:paraId="56E11BAA"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of photovoltaic stations, small wind turbines, and other renewable energy sources.</w:t>
      </w:r>
    </w:p>
    <w:p w14:paraId="14EF2F0A"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Installation work / Services from technical consultants or engineers.</w:t>
      </w:r>
    </w:p>
    <w:p w14:paraId="36EC43C9" w14:textId="77777777"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In order to implement the investment into the Facility “Upgrade My Home”, Greece and the Hellenic Development Bank shall sign an Implementing Agreement. The Implementing Agreement shall include the following content:</w:t>
      </w:r>
    </w:p>
    <w:p w14:paraId="20F155DB" w14:textId="77777777" w:rsidR="001B186F" w:rsidRPr="00DE4E4F" w:rsidRDefault="0074517F">
      <w:pPr>
        <w:pStyle w:val="LegalNumPar"/>
        <w:numPr>
          <w:ilvl w:val="0"/>
          <w:numId w:val="25"/>
        </w:numPr>
        <w:jc w:val="both"/>
        <w:rPr>
          <w:rFonts w:ascii="Times New Roman" w:eastAsia="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Description of the decision-making process of the Facility </w:t>
      </w:r>
      <w:r w:rsidRPr="00DE4E4F" w:rsidDel="1D72F32B">
        <w:rPr>
          <w:rFonts w:ascii="Times New Roman" w:hAnsi="Times New Roman" w:cs="Times New Roman"/>
          <w:noProof/>
          <w:sz w:val="24"/>
          <w:szCs w:val="24"/>
          <w:lang w:val="en-GB"/>
        </w:rPr>
        <w:t>“Upgrade My Home”</w:t>
      </w:r>
      <w:r w:rsidRPr="00DE4E4F">
        <w:rPr>
          <w:rFonts w:ascii="Times New Roman" w:hAnsi="Times New Roman" w:cs="Times New Roman"/>
          <w:noProof/>
          <w:sz w:val="24"/>
          <w:szCs w:val="24"/>
          <w:lang w:val="en-GB"/>
        </w:rPr>
        <w:t>. The final investment decision of the Facility shall be taken by an investment committee or other relevant equivalent governing body and approved by a majority of votes from members who are independent from the government.</w:t>
      </w:r>
    </w:p>
    <w:p w14:paraId="6577723F"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Key requirements of the financial products,</w:t>
      </w:r>
      <w:r w:rsidRPr="00DE4E4F">
        <w:rPr>
          <w:rFonts w:ascii="Times New Roman" w:hAnsi="Times New Roman" w:cs="Times New Roman"/>
          <w:b/>
          <w:noProof/>
          <w:sz w:val="24"/>
          <w:szCs w:val="24"/>
          <w:lang w:val="en-GB"/>
        </w:rPr>
        <w:t xml:space="preserve"> </w:t>
      </w:r>
      <w:r w:rsidRPr="00DE4E4F">
        <w:rPr>
          <w:rFonts w:ascii="Times New Roman" w:hAnsi="Times New Roman" w:cs="Times New Roman"/>
          <w:noProof/>
          <w:sz w:val="24"/>
          <w:szCs w:val="24"/>
          <w:lang w:val="en-GB"/>
        </w:rPr>
        <w:t>which shall include:</w:t>
      </w:r>
    </w:p>
    <w:p w14:paraId="3266C3DD" w14:textId="77777777" w:rsidR="001B186F" w:rsidRPr="00DE4E4F" w:rsidRDefault="0074517F" w:rsidP="003E29CB">
      <w:pPr>
        <w:pStyle w:val="LegalNumPar2"/>
        <w:spacing w:after="0"/>
        <w:ind w:left="952" w:hanging="476"/>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description of the financial products and eligible final beneficiaries.</w:t>
      </w:r>
    </w:p>
    <w:p w14:paraId="2B74BB1F" w14:textId="77777777" w:rsidR="001B186F" w:rsidRPr="00DE4E4F" w:rsidRDefault="0074517F" w:rsidP="003E29CB">
      <w:pPr>
        <w:pStyle w:val="LegalNumPar2"/>
        <w:spacing w:after="0"/>
        <w:ind w:left="952" w:hanging="476"/>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requirement that all investments supported are economically viable</w:t>
      </w:r>
      <w:r w:rsidRPr="00DE4E4F">
        <w:rPr>
          <w:rFonts w:ascii="Times New Roman" w:hAnsi="Times New Roman" w:cs="Times New Roman"/>
          <w:b/>
          <w:bCs/>
          <w:noProof/>
          <w:sz w:val="24"/>
          <w:szCs w:val="24"/>
          <w:lang w:val="en-GB"/>
        </w:rPr>
        <w:t>.</w:t>
      </w:r>
    </w:p>
    <w:p w14:paraId="383B52D4" w14:textId="77777777" w:rsidR="001B186F" w:rsidRPr="00DE4E4F" w:rsidRDefault="0074517F" w:rsidP="003E29CB">
      <w:pPr>
        <w:pStyle w:val="LegalNumPar2"/>
        <w:spacing w:after="0"/>
        <w:ind w:left="952" w:hanging="476"/>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requirement that final beneficiaries of the Facility shall not receive support from other Union instruments to cover the same cost.</w:t>
      </w:r>
    </w:p>
    <w:p w14:paraId="56E55C31"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amount covered by the Implementing Agreement, the fee structure for the implementing partner and financial intermediaries, and </w:t>
      </w:r>
      <w:r w:rsidRPr="00DE4E4F">
        <w:rPr>
          <w:rFonts w:ascii="Times New Roman" w:eastAsia="Times New Roman" w:hAnsi="Times New Roman" w:cs="Times New Roman"/>
          <w:noProof/>
          <w:color w:val="000000" w:themeColor="text1"/>
          <w:sz w:val="24"/>
          <w:szCs w:val="24"/>
          <w:lang w:val="en-GB"/>
        </w:rPr>
        <w:t>the requirement to reinvest any reflows according to the investment policy of the Facility unless they are used to service loan repayments of the Recovery and Resilience Facility</w:t>
      </w:r>
      <w:r w:rsidRPr="00DE4E4F">
        <w:rPr>
          <w:rFonts w:ascii="Times New Roman" w:hAnsi="Times New Roman" w:cs="Times New Roman"/>
          <w:noProof/>
          <w:sz w:val="24"/>
          <w:szCs w:val="24"/>
          <w:lang w:val="en-GB"/>
        </w:rPr>
        <w:t>.</w:t>
      </w:r>
    </w:p>
    <w:p w14:paraId="380EA116"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bCs/>
          <w:noProof/>
          <w:sz w:val="24"/>
          <w:szCs w:val="24"/>
          <w:lang w:val="en-GB"/>
        </w:rPr>
        <w:t>Monitoring</w:t>
      </w:r>
      <w:r w:rsidRPr="00DE4E4F">
        <w:rPr>
          <w:rFonts w:ascii="Times New Roman" w:hAnsi="Times New Roman" w:cs="Times New Roman"/>
          <w:noProof/>
          <w:sz w:val="24"/>
          <w:szCs w:val="24"/>
          <w:lang w:val="en-GB"/>
        </w:rPr>
        <w:t>, audit, and control requirements, including the description of the implementing partner’s procedures that shall ensure the prevention, detection and correction of fraud, corruption, and conflicts of interest.</w:t>
      </w:r>
    </w:p>
    <w:p w14:paraId="2446A84E"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Hellenic Development Bank </w:t>
      </w:r>
      <w:r w:rsidRPr="00DE4E4F">
        <w:rPr>
          <w:rStyle w:val="normaltextrun"/>
          <w:rFonts w:ascii="Times New Roman" w:hAnsi="Times New Roman" w:cs="Times New Roman"/>
          <w:noProof/>
          <w:sz w:val="24"/>
          <w:szCs w:val="24"/>
          <w:lang w:val="en-GB"/>
        </w:rPr>
        <w:t>shall sign Funding Agreements with the financial intermediaries in line with key requirements that shall be provided as an annex of the Implementing Agreement. The key requirements of the Funding Agreements shall include all the requirements under which the Facility operates, including: </w:t>
      </w:r>
    </w:p>
    <w:p w14:paraId="45B36D9C"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final decision on the loans issuances shall be taken by the financial intermediaries in accordance with their policies and procedures, independently from the government.</w:t>
      </w:r>
    </w:p>
    <w:p w14:paraId="0F80D922"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obligation of the financial intermediaries to take its decisions in compliance </w:t>
      </w:r>
      <w:r w:rsidRPr="00DE4E4F">
        <w:rPr>
          <w:rFonts w:ascii="Times New Roman" w:hAnsi="Times New Roman" w:cs="Times New Roman"/>
          <w:i/>
          <w:iCs/>
          <w:noProof/>
          <w:sz w:val="24"/>
          <w:szCs w:val="24"/>
          <w:lang w:val="en-GB"/>
        </w:rPr>
        <w:t>mutatis mutandis</w:t>
      </w:r>
      <w:r w:rsidRPr="00DE4E4F">
        <w:rPr>
          <w:rFonts w:ascii="Times New Roman" w:hAnsi="Times New Roman" w:cs="Times New Roman"/>
          <w:noProof/>
          <w:sz w:val="24"/>
          <w:szCs w:val="24"/>
          <w:lang w:val="en-GB"/>
        </w:rPr>
        <w:t xml:space="preserve"> with the investment policy requirements specified above. </w:t>
      </w:r>
    </w:p>
    <w:p w14:paraId="5D16B090"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Monitoring, audit, and control requirements for financial intermediaries, including:</w:t>
      </w:r>
    </w:p>
    <w:p w14:paraId="4A805B87" w14:textId="77777777" w:rsidR="001B186F" w:rsidRPr="00DE4E4F" w:rsidRDefault="0074517F">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description of the financial intermediaries’ monitoring system to report on the investment mobilised.</w:t>
      </w:r>
    </w:p>
    <w:p w14:paraId="3944345E" w14:textId="77777777" w:rsidR="001B186F" w:rsidRPr="00DE4E4F" w:rsidRDefault="0074517F">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description of the financial intermediaries’ procedures that shall ensure the prevention, detection and correction of fraud, corruption, and conflicts of interests. </w:t>
      </w:r>
    </w:p>
    <w:p w14:paraId="0899CA53" w14:textId="77777777" w:rsidR="001B186F" w:rsidRPr="00DE4E4F" w:rsidRDefault="0074517F">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obligation to verify the eligibility of every operation in accordance with the requirements laid out in the Implementing Agreement before committing to finance an operation.</w:t>
      </w:r>
    </w:p>
    <w:p w14:paraId="0EF39345" w14:textId="77777777" w:rsidR="001B186F" w:rsidRPr="00DE4E4F" w:rsidRDefault="0074517F">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obligation of carrying out risk-based ex-post audits in accordance with an audit plan of the financial intermediaries. These audits shall verify: i) that the control systems are effective, including the detection of fraud, corruption, and conflict of interests; ii) compliance with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agreements are being respected. </w:t>
      </w:r>
    </w:p>
    <w:p w14:paraId="6948A4A5" w14:textId="5382DE46" w:rsidR="001B186F" w:rsidRPr="00DE4E4F" w:rsidRDefault="0074517F" w:rsidP="005A4B2F">
      <w:pPr>
        <w:pStyle w:val="LegalNumPar"/>
        <w:ind w:left="709"/>
        <w:contextualSpacing/>
        <w:jc w:val="both"/>
        <w:rPr>
          <w:noProof/>
          <w:lang w:val="en-GB"/>
        </w:rPr>
        <w:sectPr w:rsidR="001B186F" w:rsidRPr="00DE4E4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r w:rsidRPr="00DE4E4F">
        <w:rPr>
          <w:rStyle w:val="normaltextrun"/>
          <w:rFonts w:ascii="Times New Roman" w:hAnsi="Times New Roman" w:cs="Times New Roman"/>
          <w:noProof/>
          <w:sz w:val="24"/>
          <w:szCs w:val="24"/>
          <w:lang w:val="en-GB"/>
        </w:rPr>
        <w:t xml:space="preserve">Requirements for climate investments carried out by the implementing partner: at least </w:t>
      </w:r>
      <w:r w:rsidR="002D432A" w:rsidRPr="00DE4E4F">
        <w:rPr>
          <w:rStyle w:val="normaltextrun"/>
          <w:rFonts w:ascii="Times New Roman" w:hAnsi="Times New Roman" w:cs="Times New Roman"/>
          <w:noProof/>
          <w:sz w:val="24"/>
          <w:szCs w:val="24"/>
          <w:lang w:val="en-GB"/>
        </w:rPr>
        <w:t>40%</w:t>
      </w:r>
      <w:r w:rsidRPr="00DE4E4F">
        <w:rPr>
          <w:rStyle w:val="normaltextrun"/>
          <w:rFonts w:ascii="Times New Roman" w:hAnsi="Times New Roman" w:cs="Times New Roman"/>
          <w:noProof/>
          <w:sz w:val="24"/>
          <w:szCs w:val="24"/>
          <w:lang w:val="en-GB"/>
        </w:rPr>
        <w:t xml:space="preserve"> of the RRF investment into the “Upgrade My Home” Facility shall contribute to the climate change objectives in accordance with Annex VI to the RRF Regulation</w:t>
      </w:r>
      <w:r w:rsidRPr="00DE4E4F">
        <w:rPr>
          <w:rStyle w:val="FootnoteReference"/>
          <w:rFonts w:ascii="Times New Roman" w:hAnsi="Times New Roman" w:cs="Times New Roman"/>
          <w:noProof/>
          <w:szCs w:val="24"/>
          <w:lang w:val="en-GB"/>
        </w:rPr>
        <w:footnoteReference w:id="2"/>
      </w:r>
      <w:r w:rsidRPr="00DE4E4F">
        <w:rPr>
          <w:rFonts w:ascii="Times New Roman" w:hAnsi="Times New Roman" w:cs="Times New Roman"/>
          <w:noProof/>
          <w:sz w:val="24"/>
          <w:szCs w:val="24"/>
          <w:lang w:val="en-GB"/>
        </w:rPr>
        <w:t>.</w:t>
      </w:r>
    </w:p>
    <w:p w14:paraId="22E14B4C"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 xml:space="preserve">B.4. Milestones, targets, indicators, and timetable for monitoring and implementation for the loan </w:t>
      </w:r>
    </w:p>
    <w:p w14:paraId="38127807" w14:textId="77777777" w:rsidR="001B186F" w:rsidRPr="00DE4E4F" w:rsidRDefault="0074517F">
      <w:pPr>
        <w:keepNext/>
        <w:keepLines/>
        <w:spacing w:before="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Energy Upgrade Programme “Upgrade My Home” (16401)</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1945"/>
        <w:gridCol w:w="1134"/>
        <w:gridCol w:w="1276"/>
        <w:gridCol w:w="1278"/>
        <w:gridCol w:w="1200"/>
        <w:gridCol w:w="1080"/>
        <w:gridCol w:w="720"/>
        <w:gridCol w:w="960"/>
        <w:gridCol w:w="840"/>
        <w:gridCol w:w="4848"/>
      </w:tblGrid>
      <w:tr w:rsidR="00682269" w:rsidRPr="00DE4E4F" w14:paraId="6C1F14B5" w14:textId="77777777">
        <w:trPr>
          <w:trHeight w:val="810"/>
          <w:tblHeader/>
          <w:jc w:val="center"/>
        </w:trPr>
        <w:tc>
          <w:tcPr>
            <w:tcW w:w="602" w:type="dxa"/>
            <w:vMerge w:val="restart"/>
            <w:shd w:val="clear" w:color="auto" w:fill="BDD7EE"/>
            <w:vAlign w:val="center"/>
            <w:hideMark/>
          </w:tcPr>
          <w:p w14:paraId="3793811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r w:rsidRPr="00DE4E4F">
              <w:rPr>
                <w:rFonts w:ascii="Times New Roman" w:hAnsi="Times New Roman" w:cs="Times New Roman"/>
                <w:b/>
                <w:noProof/>
                <w:sz w:val="18"/>
                <w:szCs w:val="18"/>
              </w:rPr>
              <w:t>.</w:t>
            </w:r>
          </w:p>
        </w:tc>
        <w:tc>
          <w:tcPr>
            <w:tcW w:w="1945" w:type="dxa"/>
            <w:vMerge w:val="restart"/>
            <w:shd w:val="clear" w:color="auto" w:fill="BDD7EE"/>
            <w:vAlign w:val="center"/>
            <w:hideMark/>
          </w:tcPr>
          <w:p w14:paraId="30CBC29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Related Measure (Reform or Investment)</w:t>
            </w:r>
          </w:p>
        </w:tc>
        <w:tc>
          <w:tcPr>
            <w:tcW w:w="1134" w:type="dxa"/>
            <w:vMerge w:val="restart"/>
            <w:shd w:val="clear" w:color="auto" w:fill="BDD7EE"/>
            <w:vAlign w:val="center"/>
            <w:hideMark/>
          </w:tcPr>
          <w:p w14:paraId="13F605E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Milestone / Target</w:t>
            </w:r>
          </w:p>
        </w:tc>
        <w:tc>
          <w:tcPr>
            <w:tcW w:w="1276" w:type="dxa"/>
            <w:vMerge w:val="restart"/>
            <w:shd w:val="clear" w:color="auto" w:fill="BDD7EE"/>
            <w:vAlign w:val="center"/>
            <w:hideMark/>
          </w:tcPr>
          <w:p w14:paraId="604C8AD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Name</w:t>
            </w:r>
          </w:p>
        </w:tc>
        <w:tc>
          <w:tcPr>
            <w:tcW w:w="1278" w:type="dxa"/>
            <w:vMerge w:val="restart"/>
            <w:shd w:val="clear" w:color="auto" w:fill="BDD7EE"/>
            <w:vAlign w:val="center"/>
            <w:hideMark/>
          </w:tcPr>
          <w:p w14:paraId="737633FD"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Qualitative indicators (for milestones)</w:t>
            </w:r>
          </w:p>
        </w:tc>
        <w:tc>
          <w:tcPr>
            <w:tcW w:w="3000" w:type="dxa"/>
            <w:gridSpan w:val="3"/>
            <w:shd w:val="clear" w:color="auto" w:fill="BDD7EE"/>
            <w:vAlign w:val="center"/>
            <w:hideMark/>
          </w:tcPr>
          <w:p w14:paraId="18B5565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Quantitative indicators (for targets)</w:t>
            </w:r>
          </w:p>
        </w:tc>
        <w:tc>
          <w:tcPr>
            <w:tcW w:w="1800" w:type="dxa"/>
            <w:gridSpan w:val="2"/>
            <w:shd w:val="clear" w:color="auto" w:fill="BDD7EE"/>
            <w:vAlign w:val="center"/>
            <w:hideMark/>
          </w:tcPr>
          <w:p w14:paraId="7FBF058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Indicative timeline for completion</w:t>
            </w:r>
          </w:p>
        </w:tc>
        <w:tc>
          <w:tcPr>
            <w:tcW w:w="4848" w:type="dxa"/>
            <w:vMerge w:val="restart"/>
            <w:shd w:val="clear" w:color="auto" w:fill="BDD7EE"/>
            <w:vAlign w:val="center"/>
            <w:hideMark/>
          </w:tcPr>
          <w:p w14:paraId="5E43DA6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2F4CC3AB" w14:textId="77777777">
        <w:trPr>
          <w:trHeight w:val="581"/>
          <w:tblHeader/>
          <w:jc w:val="center"/>
        </w:trPr>
        <w:tc>
          <w:tcPr>
            <w:tcW w:w="602" w:type="dxa"/>
            <w:vMerge/>
            <w:vAlign w:val="center"/>
            <w:hideMark/>
          </w:tcPr>
          <w:p w14:paraId="7F6A5BC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45" w:type="dxa"/>
            <w:vMerge/>
            <w:vAlign w:val="center"/>
            <w:hideMark/>
          </w:tcPr>
          <w:p w14:paraId="2E502DE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54FE92F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76" w:type="dxa"/>
            <w:vMerge/>
            <w:vAlign w:val="center"/>
            <w:hideMark/>
          </w:tcPr>
          <w:p w14:paraId="455924F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78" w:type="dxa"/>
            <w:vMerge/>
            <w:vAlign w:val="center"/>
            <w:hideMark/>
          </w:tcPr>
          <w:p w14:paraId="07EAD3C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0" w:type="dxa"/>
            <w:shd w:val="clear" w:color="auto" w:fill="BDD7EE"/>
            <w:vAlign w:val="center"/>
            <w:hideMark/>
          </w:tcPr>
          <w:p w14:paraId="56CBECF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1080" w:type="dxa"/>
            <w:shd w:val="clear" w:color="auto" w:fill="BDD7EE"/>
            <w:vAlign w:val="center"/>
            <w:hideMark/>
          </w:tcPr>
          <w:p w14:paraId="684E6784"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Baseline</w:t>
            </w:r>
          </w:p>
        </w:tc>
        <w:tc>
          <w:tcPr>
            <w:tcW w:w="720" w:type="dxa"/>
            <w:shd w:val="clear" w:color="auto" w:fill="BDD7EE"/>
            <w:vAlign w:val="center"/>
            <w:hideMark/>
          </w:tcPr>
          <w:p w14:paraId="22E61E1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Goal</w:t>
            </w:r>
          </w:p>
        </w:tc>
        <w:tc>
          <w:tcPr>
            <w:tcW w:w="960" w:type="dxa"/>
            <w:shd w:val="clear" w:color="auto" w:fill="BDD7EE"/>
            <w:vAlign w:val="center"/>
            <w:hideMark/>
          </w:tcPr>
          <w:p w14:paraId="711D9B8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840" w:type="dxa"/>
            <w:shd w:val="clear" w:color="auto" w:fill="BDD7EE"/>
            <w:vAlign w:val="center"/>
            <w:hideMark/>
          </w:tcPr>
          <w:p w14:paraId="17E5040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4848" w:type="dxa"/>
            <w:vMerge/>
            <w:vAlign w:val="center"/>
            <w:hideMark/>
          </w:tcPr>
          <w:p w14:paraId="47D7726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112ECA95" w14:textId="77777777">
        <w:trPr>
          <w:trHeight w:val="314"/>
          <w:jc w:val="center"/>
        </w:trPr>
        <w:tc>
          <w:tcPr>
            <w:tcW w:w="602" w:type="dxa"/>
            <w:shd w:val="clear" w:color="auto" w:fill="C6EFCE"/>
            <w:noWrap/>
          </w:tcPr>
          <w:p w14:paraId="2EFB40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374</w:t>
            </w:r>
          </w:p>
        </w:tc>
        <w:tc>
          <w:tcPr>
            <w:tcW w:w="1945" w:type="dxa"/>
            <w:shd w:val="clear" w:color="auto" w:fill="C6EFCE"/>
            <w:noWrap/>
          </w:tcPr>
          <w:p w14:paraId="77DF9B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- 16401_ Energy Upgrade Programme “Upgrade My Home”</w:t>
            </w:r>
          </w:p>
        </w:tc>
        <w:tc>
          <w:tcPr>
            <w:tcW w:w="1134" w:type="dxa"/>
            <w:shd w:val="clear" w:color="auto" w:fill="C6EFCE"/>
            <w:noWrap/>
          </w:tcPr>
          <w:p w14:paraId="5866E8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7EEA73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My Home -Implementing Agreement between the Hellenic Development Bank and the Ministry of Finance</w:t>
            </w:r>
          </w:p>
        </w:tc>
        <w:tc>
          <w:tcPr>
            <w:tcW w:w="1278" w:type="dxa"/>
            <w:shd w:val="clear" w:color="auto" w:fill="C6EFCE"/>
            <w:noWrap/>
          </w:tcPr>
          <w:p w14:paraId="035C7D7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Implementing Agreement</w:t>
            </w:r>
          </w:p>
        </w:tc>
        <w:tc>
          <w:tcPr>
            <w:tcW w:w="1200" w:type="dxa"/>
            <w:shd w:val="clear" w:color="auto" w:fill="C6EFCE"/>
            <w:noWrap/>
          </w:tcPr>
          <w:p w14:paraId="0E46F590"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080" w:type="dxa"/>
            <w:shd w:val="clear" w:color="auto" w:fill="C6EFCE"/>
            <w:noWrap/>
          </w:tcPr>
          <w:p w14:paraId="53473DEC" w14:textId="77777777" w:rsidR="001B186F" w:rsidRPr="00DE4E4F" w:rsidRDefault="001B186F">
            <w:pPr>
              <w:spacing w:after="0" w:line="240" w:lineRule="auto"/>
              <w:rPr>
                <w:rFonts w:ascii="Times New Roman" w:hAnsi="Times New Roman" w:cs="Times New Roman"/>
                <w:noProof/>
                <w:color w:val="006100"/>
                <w:sz w:val="18"/>
                <w:szCs w:val="18"/>
              </w:rPr>
            </w:pPr>
          </w:p>
        </w:tc>
        <w:tc>
          <w:tcPr>
            <w:tcW w:w="720" w:type="dxa"/>
            <w:shd w:val="clear" w:color="auto" w:fill="C6EFCE"/>
            <w:noWrap/>
          </w:tcPr>
          <w:p w14:paraId="6F1F71C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60" w:type="dxa"/>
            <w:shd w:val="clear" w:color="auto" w:fill="C6EFCE"/>
            <w:noWrap/>
          </w:tcPr>
          <w:p w14:paraId="245DDB5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40" w:type="dxa"/>
            <w:shd w:val="clear" w:color="auto" w:fill="C6EFCE"/>
            <w:noWrap/>
          </w:tcPr>
          <w:p w14:paraId="3FB40A2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48" w:type="dxa"/>
            <w:shd w:val="clear" w:color="auto" w:fill="C6EFCE"/>
            <w:noWrap/>
          </w:tcPr>
          <w:p w14:paraId="78F6051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Implementing Agreement.</w:t>
            </w:r>
          </w:p>
        </w:tc>
      </w:tr>
      <w:tr w:rsidR="00682269" w:rsidRPr="00DE4E4F" w14:paraId="10396878" w14:textId="77777777">
        <w:trPr>
          <w:trHeight w:val="314"/>
          <w:jc w:val="center"/>
        </w:trPr>
        <w:tc>
          <w:tcPr>
            <w:tcW w:w="602" w:type="dxa"/>
            <w:shd w:val="clear" w:color="auto" w:fill="C6EFCE"/>
            <w:noWrap/>
          </w:tcPr>
          <w:p w14:paraId="4B1E6DA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376</w:t>
            </w:r>
          </w:p>
        </w:tc>
        <w:tc>
          <w:tcPr>
            <w:tcW w:w="1945" w:type="dxa"/>
            <w:shd w:val="clear" w:color="auto" w:fill="C6EFCE"/>
            <w:noWrap/>
          </w:tcPr>
          <w:p w14:paraId="696169F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- 16401_ Energy Upgrade Programme “Upgrade My Home”</w:t>
            </w:r>
          </w:p>
        </w:tc>
        <w:tc>
          <w:tcPr>
            <w:tcW w:w="1134" w:type="dxa"/>
            <w:shd w:val="clear" w:color="auto" w:fill="C6EFCE"/>
            <w:noWrap/>
          </w:tcPr>
          <w:p w14:paraId="592C3C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Target</w:t>
            </w:r>
          </w:p>
        </w:tc>
        <w:tc>
          <w:tcPr>
            <w:tcW w:w="1276" w:type="dxa"/>
            <w:shd w:val="clear" w:color="auto" w:fill="C6EFCE"/>
            <w:noWrap/>
          </w:tcPr>
          <w:p w14:paraId="11204E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Upgrade My Home - </w:t>
            </w:r>
            <w:r w:rsidRPr="00DE4E4F">
              <w:rPr>
                <w:rFonts w:ascii="Times New Roman" w:eastAsia="Times New Roman" w:hAnsi="Times New Roman" w:cs="Times New Roman"/>
                <w:noProof/>
                <w:color w:val="006100"/>
                <w:sz w:val="18"/>
                <w:szCs w:val="18"/>
              </w:rPr>
              <w:t>Legal agreements signed with final beneficiaries - 100%</w:t>
            </w:r>
          </w:p>
        </w:tc>
        <w:tc>
          <w:tcPr>
            <w:tcW w:w="1278" w:type="dxa"/>
            <w:shd w:val="clear" w:color="auto" w:fill="C6EFCE"/>
            <w:noWrap/>
          </w:tcPr>
          <w:p w14:paraId="1F7351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00" w:type="dxa"/>
            <w:shd w:val="clear" w:color="auto" w:fill="C6EFCE"/>
            <w:noWrap/>
          </w:tcPr>
          <w:p w14:paraId="25FDAA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Percentage (%)</w:t>
            </w:r>
          </w:p>
        </w:tc>
        <w:tc>
          <w:tcPr>
            <w:tcW w:w="1080" w:type="dxa"/>
            <w:shd w:val="clear" w:color="auto" w:fill="C6EFCE"/>
            <w:noWrap/>
          </w:tcPr>
          <w:p w14:paraId="0F80D0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20" w:type="dxa"/>
            <w:shd w:val="clear" w:color="auto" w:fill="C6EFCE"/>
            <w:noWrap/>
          </w:tcPr>
          <w:p w14:paraId="5BD425F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100%</w:t>
            </w:r>
          </w:p>
        </w:tc>
        <w:tc>
          <w:tcPr>
            <w:tcW w:w="960" w:type="dxa"/>
            <w:shd w:val="clear" w:color="auto" w:fill="C6EFCE"/>
            <w:noWrap/>
          </w:tcPr>
          <w:p w14:paraId="74C16FFC" w14:textId="152A3B54"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EF4A99" w:rsidRPr="00DE4E4F">
              <w:rPr>
                <w:rFonts w:ascii="Times New Roman" w:hAnsi="Times New Roman" w:cs="Times New Roman"/>
                <w:noProof/>
                <w:color w:val="006100"/>
                <w:sz w:val="18"/>
                <w:szCs w:val="18"/>
              </w:rPr>
              <w:t>1</w:t>
            </w:r>
          </w:p>
        </w:tc>
        <w:tc>
          <w:tcPr>
            <w:tcW w:w="840" w:type="dxa"/>
            <w:shd w:val="clear" w:color="auto" w:fill="C6EFCE"/>
            <w:noWrap/>
          </w:tcPr>
          <w:p w14:paraId="3BF20F0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848" w:type="dxa"/>
            <w:shd w:val="clear" w:color="auto" w:fill="C6EFCE"/>
            <w:noWrap/>
          </w:tcPr>
          <w:p w14:paraId="503782BE" w14:textId="77777777" w:rsidR="001B186F" w:rsidRPr="00DE4E4F" w:rsidRDefault="0074517F">
            <w:pPr>
              <w:spacing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Financial intermediaries shall have entered into legal financing agreements with final beneficiaries for an amount necessary to use 100% of the RRF investment into the Facility (taking into account management fees). </w:t>
            </w:r>
          </w:p>
          <w:p w14:paraId="7C9F8EE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At least 40% of this financing shall contribute to climate objectives using the methodology in Annex VI of the RRF Regulation.</w:t>
            </w:r>
          </w:p>
        </w:tc>
      </w:tr>
      <w:tr w:rsidR="00682269" w:rsidRPr="00DE4E4F" w14:paraId="4091B565" w14:textId="77777777">
        <w:trPr>
          <w:trHeight w:val="314"/>
          <w:jc w:val="center"/>
        </w:trPr>
        <w:tc>
          <w:tcPr>
            <w:tcW w:w="602" w:type="dxa"/>
            <w:shd w:val="clear" w:color="auto" w:fill="C6EFCE"/>
            <w:noWrap/>
          </w:tcPr>
          <w:p w14:paraId="05697A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377</w:t>
            </w:r>
          </w:p>
        </w:tc>
        <w:tc>
          <w:tcPr>
            <w:tcW w:w="1945" w:type="dxa"/>
            <w:shd w:val="clear" w:color="auto" w:fill="C6EFCE"/>
            <w:noWrap/>
          </w:tcPr>
          <w:p w14:paraId="3A8DF94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2 - 1.2. Renovate - 16401_ Energy Upgrade Programme “Upgrade My Home”</w:t>
            </w:r>
          </w:p>
        </w:tc>
        <w:tc>
          <w:tcPr>
            <w:tcW w:w="1134" w:type="dxa"/>
            <w:shd w:val="clear" w:color="auto" w:fill="C6EFCE"/>
            <w:noWrap/>
          </w:tcPr>
          <w:p w14:paraId="73A05A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69CF08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My Home - The Ministry of Finance has completed the investment</w:t>
            </w:r>
          </w:p>
        </w:tc>
        <w:tc>
          <w:tcPr>
            <w:tcW w:w="1278" w:type="dxa"/>
            <w:shd w:val="clear" w:color="auto" w:fill="C6EFCE"/>
            <w:noWrap/>
          </w:tcPr>
          <w:p w14:paraId="467D7584"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Certificate of transfer </w:t>
            </w:r>
          </w:p>
        </w:tc>
        <w:tc>
          <w:tcPr>
            <w:tcW w:w="1200" w:type="dxa"/>
            <w:shd w:val="clear" w:color="auto" w:fill="C6EFCE"/>
            <w:noWrap/>
          </w:tcPr>
          <w:p w14:paraId="56122E1B"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127FA3E5"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20" w:type="dxa"/>
            <w:shd w:val="clear" w:color="auto" w:fill="C6EFCE"/>
            <w:noWrap/>
          </w:tcPr>
          <w:p w14:paraId="45BF32C0"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530AD02F" w14:textId="1032CE2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EF4A99" w:rsidRPr="00DE4E4F">
              <w:rPr>
                <w:rFonts w:ascii="Times New Roman" w:hAnsi="Times New Roman" w:cs="Times New Roman"/>
                <w:noProof/>
                <w:color w:val="006100"/>
                <w:sz w:val="18"/>
                <w:szCs w:val="18"/>
              </w:rPr>
              <w:t>1</w:t>
            </w:r>
          </w:p>
        </w:tc>
        <w:tc>
          <w:tcPr>
            <w:tcW w:w="840" w:type="dxa"/>
            <w:shd w:val="clear" w:color="auto" w:fill="C6EFCE"/>
            <w:noWrap/>
          </w:tcPr>
          <w:p w14:paraId="60E16C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848" w:type="dxa"/>
            <w:shd w:val="clear" w:color="auto" w:fill="C6EFCE"/>
            <w:noWrap/>
          </w:tcPr>
          <w:p w14:paraId="42FEB5D0" w14:textId="0D82777B"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Greece shall transfer EUR </w:t>
            </w:r>
            <w:r w:rsidR="005875AE" w:rsidRPr="00DE4E4F">
              <w:rPr>
                <w:rFonts w:ascii="Times New Roman" w:hAnsi="Times New Roman" w:cs="Times New Roman"/>
                <w:noProof/>
                <w:color w:val="006100"/>
                <w:sz w:val="18"/>
                <w:szCs w:val="18"/>
              </w:rPr>
              <w:t>62</w:t>
            </w:r>
            <w:r w:rsidR="00DE4C0C" w:rsidRPr="00DE4E4F">
              <w:rPr>
                <w:rFonts w:ascii="Times New Roman" w:hAnsi="Times New Roman" w:cs="Times New Roman"/>
                <w:noProof/>
                <w:color w:val="006100"/>
                <w:sz w:val="18"/>
                <w:szCs w:val="18"/>
              </w:rPr>
              <w:t> </w:t>
            </w:r>
            <w:r w:rsidR="005875AE" w:rsidRPr="00DE4E4F">
              <w:rPr>
                <w:rFonts w:ascii="Times New Roman" w:hAnsi="Times New Roman" w:cs="Times New Roman"/>
                <w:noProof/>
                <w:color w:val="006100"/>
                <w:sz w:val="18"/>
                <w:szCs w:val="18"/>
              </w:rPr>
              <w:t>000</w:t>
            </w:r>
            <w:r w:rsidR="00DE4C0C" w:rsidRPr="00DE4E4F">
              <w:rPr>
                <w:rFonts w:ascii="Times New Roman" w:hAnsi="Times New Roman" w:cs="Times New Roman"/>
                <w:noProof/>
                <w:color w:val="006100"/>
                <w:sz w:val="18"/>
                <w:szCs w:val="18"/>
              </w:rPr>
              <w:t> </w:t>
            </w:r>
            <w:r w:rsidR="005875AE" w:rsidRPr="00DE4E4F">
              <w:rPr>
                <w:rFonts w:ascii="Times New Roman" w:hAnsi="Times New Roman" w:cs="Times New Roman"/>
                <w:noProof/>
                <w:color w:val="006100"/>
                <w:sz w:val="18"/>
                <w:szCs w:val="18"/>
              </w:rPr>
              <w:t xml:space="preserve">000 </w:t>
            </w:r>
            <w:r w:rsidRPr="00DE4E4F">
              <w:rPr>
                <w:rFonts w:ascii="Times New Roman" w:hAnsi="Times New Roman" w:cs="Times New Roman"/>
                <w:noProof/>
                <w:color w:val="006100"/>
                <w:sz w:val="18"/>
                <w:szCs w:val="18"/>
              </w:rPr>
              <w:t>to the Hellenic Development Bank for the Facility.</w:t>
            </w:r>
          </w:p>
        </w:tc>
      </w:tr>
    </w:tbl>
    <w:p w14:paraId="30E8AC73"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692C7990" w14:textId="77777777" w:rsidR="001B186F" w:rsidRPr="00DE4E4F" w:rsidRDefault="0074517F">
      <w:pPr>
        <w:spacing w:before="120" w:after="120" w:line="240" w:lineRule="auto"/>
        <w:jc w:val="both"/>
        <w:outlineLvl w:val="3"/>
        <w:rPr>
          <w:rFonts w:ascii="Times New Roman" w:hAnsi="Times New Roman" w:cs="Times New Roman"/>
          <w:b/>
          <w:noProof/>
          <w:sz w:val="24"/>
          <w:szCs w:val="24"/>
        </w:rPr>
      </w:pPr>
      <w:r w:rsidRPr="00DE4E4F">
        <w:rPr>
          <w:rFonts w:ascii="Times New Roman" w:hAnsi="Times New Roman" w:cs="Times New Roman"/>
          <w:b/>
          <w:noProof/>
          <w:sz w:val="24"/>
          <w:szCs w:val="24"/>
        </w:rPr>
        <w:t>C. COMPONENT 1.3: RECHARGE AND REFUEL</w:t>
      </w:r>
    </w:p>
    <w:p w14:paraId="6A407595"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recharge and refuel component of the Greek recovery and resilience plan comprises targeted reforms and investments to increase sustainable mobility, enhance economic growth, create job opportunities and promote social resilience. The measures included under this component are linked to the nationwide strategy of sustainable mobility, thus supporting the implementation of the National Energy and Climate Plan (NECP). They shall also contribute to the green transition through providing support to enterprises carrying out operations related to the low carbon economy and climate change resilience. The component further includes reforms to support the installation of e-mobility infrastructure and revision of the public urban and regional passenger transportation services. The component also includes investments to support the development of production capacity of supplies related to e-mobility and replacement of busses and taxis with battery electric vehicles. </w:t>
      </w:r>
    </w:p>
    <w:p w14:paraId="45EBC10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component supports addressing Country Specific Recommendation 3 of 2020 and Country Specific Recommendation 2 of 2019, on public and private investment.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058F29A"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 xml:space="preserve">C.1. </w:t>
      </w:r>
      <w:r w:rsidRPr="00DE4E4F">
        <w:rPr>
          <w:noProof/>
          <w:u w:val="single"/>
        </w:rPr>
        <w:tab/>
      </w:r>
      <w:r w:rsidRPr="00DE4E4F">
        <w:rPr>
          <w:rFonts w:ascii="Times New Roman" w:hAnsi="Times New Roman"/>
          <w:b/>
          <w:noProof/>
          <w:sz w:val="24"/>
          <w:u w:val="single"/>
        </w:rPr>
        <w:t>Description of the reforms and investments for non-repayable financial support</w:t>
      </w:r>
    </w:p>
    <w:p w14:paraId="6F5FB53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Produc-E Green (measure ID: 16831)</w:t>
      </w:r>
    </w:p>
    <w:p w14:paraId="45B8E750" w14:textId="378BBE93"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this measure is to contribute to the low carbon economy and enhance resilience to climate change. This measure consists in the development of industrial units for the green transition and </w:t>
      </w:r>
      <w:r w:rsidR="00CB2EB9" w:rsidRPr="00DE4E4F">
        <w:rPr>
          <w:rFonts w:ascii="Times New Roman" w:hAnsi="Times New Roman"/>
          <w:noProof/>
          <w:sz w:val="24"/>
          <w:szCs w:val="24"/>
        </w:rPr>
        <w:t xml:space="preserve">supporting </w:t>
      </w:r>
      <w:r w:rsidRPr="00DE4E4F">
        <w:rPr>
          <w:rFonts w:ascii="Times New Roman" w:hAnsi="Times New Roman"/>
          <w:noProof/>
          <w:sz w:val="24"/>
          <w:szCs w:val="24"/>
        </w:rPr>
        <w:t>the establishment of the first CO2 storage facility in Greece.</w:t>
      </w:r>
    </w:p>
    <w:p w14:paraId="618EBD8E"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Framework for installation and operation of EV charging infrastructure (measure ID: 16281)</w:t>
      </w:r>
    </w:p>
    <w:p w14:paraId="3C0AD41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shall establish a comprehensive regulatory framework for the installation and operation of charging points for electric vehicles. This shall put Greece towards a path to meet the NECP target of a 30% share of electric vehicles in the domestic market by 2030. By the end of 2022, the Ministry of Environment and Energy shall adopt at least 300 plans submitted by local authorities for the installation of publicly available electric vehicle charging points. The implementation of the reform shall be completed by 31 December 2022.</w:t>
      </w:r>
    </w:p>
    <w:p w14:paraId="0677589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Electromobility (measure ID: 16924)</w:t>
      </w:r>
    </w:p>
    <w:p w14:paraId="2B8E515A" w14:textId="77777777" w:rsidR="001B186F" w:rsidRPr="00DE4E4F" w:rsidRDefault="0074517F">
      <w:pPr>
        <w:spacing w:before="120" w:after="120" w:line="240" w:lineRule="auto"/>
        <w:jc w:val="both"/>
        <w:rPr>
          <w:rFonts w:ascii="Times New Roman" w:hAnsi="Times New Roman" w:cs="Times New Roman"/>
          <w:b/>
          <w:bCs/>
          <w:noProof/>
          <w:sz w:val="24"/>
          <w:szCs w:val="24"/>
          <w:u w:val="single"/>
        </w:rPr>
      </w:pPr>
      <w:r w:rsidRPr="00DE4E4F">
        <w:rPr>
          <w:rFonts w:ascii="Times New Roman" w:hAnsi="Times New Roman"/>
          <w:noProof/>
          <w:sz w:val="24"/>
        </w:rPr>
        <w:t>The objective of this measure is to support e-mobility. The measure consists of new electric public transport buses and an amendment of public service obligations for bus companies.</w:t>
      </w:r>
    </w:p>
    <w:p w14:paraId="0DD3C1E4"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78"/>
          <w:headerReference w:type="default" r:id="rId79"/>
          <w:footerReference w:type="even" r:id="rId80"/>
          <w:footerReference w:type="default" r:id="rId81"/>
          <w:headerReference w:type="first" r:id="rId82"/>
          <w:footerReference w:type="first" r:id="rId83"/>
          <w:pgSz w:w="11906" w:h="16838"/>
          <w:pgMar w:top="1134" w:right="1134" w:bottom="1134" w:left="1134" w:header="567" w:footer="567" w:gutter="0"/>
          <w:cols w:space="708"/>
          <w:docGrid w:linePitch="360"/>
        </w:sectPr>
      </w:pPr>
    </w:p>
    <w:p w14:paraId="0FC1F34A" w14:textId="77777777" w:rsidR="001B186F" w:rsidRPr="00DE4E4F" w:rsidRDefault="0074517F">
      <w:pPr>
        <w:keepNext/>
        <w:keepLines/>
        <w:spacing w:before="40" w:after="0" w:line="240" w:lineRule="auto"/>
        <w:jc w:val="both"/>
        <w:outlineLvl w:val="4"/>
        <w:rPr>
          <w:rFonts w:ascii="Times New Roman" w:hAnsi="Times New Roman" w:cs="Times New Roman"/>
          <w:b/>
          <w:bCs/>
          <w:noProof/>
          <w:sz w:val="24"/>
          <w:u w:val="single"/>
        </w:rPr>
      </w:pPr>
      <w:r w:rsidRPr="00DE4E4F">
        <w:rPr>
          <w:rFonts w:ascii="Times New Roman" w:hAnsi="Times New Roman"/>
          <w:b/>
          <w:noProof/>
          <w:sz w:val="24"/>
          <w:u w:val="single"/>
        </w:rPr>
        <w:t>C.2. Milestones, targets, indicators, and timetable for monitoring and implementation for non-repayable financial support</w:t>
      </w:r>
    </w:p>
    <w:p w14:paraId="1E9F1ED9" w14:textId="77777777" w:rsidR="001B186F" w:rsidRPr="00DE4E4F" w:rsidRDefault="0074517F">
      <w:pPr>
        <w:keepNext/>
        <w:keepLines/>
        <w:spacing w:before="40" w:after="240" w:line="240" w:lineRule="auto"/>
        <w:jc w:val="both"/>
        <w:outlineLvl w:val="4"/>
        <w:rPr>
          <w:rFonts w:ascii="Cambria" w:hAnsi="Cambria"/>
          <w:noProof/>
          <w:color w:val="365F91"/>
          <w:sz w:val="24"/>
        </w:rPr>
      </w:pPr>
      <w:r w:rsidRPr="00DE4E4F">
        <w:rPr>
          <w:rFonts w:ascii="Cambria" w:hAnsi="Cambria"/>
          <w:noProof/>
          <w:color w:val="365F91"/>
          <w:sz w:val="24"/>
        </w:rPr>
        <w:t>Key reform 3: Framework for installation and operation of EV charging infrastructure</w:t>
      </w:r>
    </w:p>
    <w:tbl>
      <w:tblPr>
        <w:tblW w:w="15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20"/>
        <w:gridCol w:w="1081"/>
        <w:gridCol w:w="1197"/>
        <w:gridCol w:w="1717"/>
        <w:gridCol w:w="1162"/>
        <w:gridCol w:w="1090"/>
        <w:gridCol w:w="709"/>
        <w:gridCol w:w="992"/>
        <w:gridCol w:w="851"/>
        <w:gridCol w:w="4438"/>
      </w:tblGrid>
      <w:tr w:rsidR="00682269" w:rsidRPr="00DE4E4F" w14:paraId="0A98342D" w14:textId="77777777" w:rsidTr="000A4A2F">
        <w:trPr>
          <w:trHeight w:val="927"/>
          <w:tblHeader/>
          <w:jc w:val="center"/>
        </w:trPr>
        <w:tc>
          <w:tcPr>
            <w:tcW w:w="588" w:type="dxa"/>
            <w:vMerge w:val="restart"/>
            <w:shd w:val="clear" w:color="auto" w:fill="BDD7EE"/>
            <w:vAlign w:val="center"/>
            <w:hideMark/>
          </w:tcPr>
          <w:p w14:paraId="596F30D0"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1920" w:type="dxa"/>
            <w:vMerge w:val="restart"/>
            <w:shd w:val="clear" w:color="auto" w:fill="BDD7EE"/>
            <w:vAlign w:val="center"/>
            <w:hideMark/>
          </w:tcPr>
          <w:p w14:paraId="19B08E6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81" w:type="dxa"/>
            <w:vMerge w:val="restart"/>
            <w:shd w:val="clear" w:color="auto" w:fill="BDD7EE"/>
            <w:vAlign w:val="center"/>
            <w:hideMark/>
          </w:tcPr>
          <w:p w14:paraId="2554D6E6"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97" w:type="dxa"/>
            <w:vMerge w:val="restart"/>
            <w:shd w:val="clear" w:color="auto" w:fill="BDD7EE"/>
            <w:vAlign w:val="center"/>
            <w:hideMark/>
          </w:tcPr>
          <w:p w14:paraId="42C4ED3A"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717" w:type="dxa"/>
            <w:vMerge w:val="restart"/>
            <w:shd w:val="clear" w:color="auto" w:fill="BDD7EE"/>
            <w:vAlign w:val="center"/>
            <w:hideMark/>
          </w:tcPr>
          <w:p w14:paraId="17CDA257"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Qualitative indicators </w:t>
            </w:r>
            <w:r w:rsidRPr="00DE4E4F">
              <w:rPr>
                <w:rFonts w:ascii="Times New Roman" w:hAnsi="Times New Roman" w:cs="Times New Roman"/>
                <w:b/>
                <w:noProof/>
                <w:sz w:val="18"/>
              </w:rPr>
              <w:br/>
            </w:r>
            <w:r w:rsidRPr="00DE4E4F">
              <w:rPr>
                <w:rFonts w:ascii="Times New Roman" w:hAnsi="Times New Roman"/>
                <w:b/>
                <w:noProof/>
                <w:sz w:val="18"/>
              </w:rPr>
              <w:t>(for milestones)</w:t>
            </w:r>
          </w:p>
        </w:tc>
        <w:tc>
          <w:tcPr>
            <w:tcW w:w="2961" w:type="dxa"/>
            <w:gridSpan w:val="3"/>
            <w:shd w:val="clear" w:color="auto" w:fill="BDD7EE"/>
            <w:vAlign w:val="center"/>
            <w:hideMark/>
          </w:tcPr>
          <w:p w14:paraId="46D99608"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843" w:type="dxa"/>
            <w:gridSpan w:val="2"/>
            <w:shd w:val="clear" w:color="auto" w:fill="BDD7EE"/>
            <w:vAlign w:val="center"/>
            <w:hideMark/>
          </w:tcPr>
          <w:p w14:paraId="245D941D"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438" w:type="dxa"/>
            <w:vMerge w:val="restart"/>
            <w:shd w:val="clear" w:color="auto" w:fill="BDD7EE"/>
            <w:vAlign w:val="center"/>
            <w:hideMark/>
          </w:tcPr>
          <w:p w14:paraId="3507E2E5"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0AB3B3E5" w14:textId="77777777" w:rsidTr="000A4A2F">
        <w:trPr>
          <w:trHeight w:val="327"/>
          <w:jc w:val="center"/>
        </w:trPr>
        <w:tc>
          <w:tcPr>
            <w:tcW w:w="588" w:type="dxa"/>
            <w:vMerge/>
            <w:vAlign w:val="center"/>
            <w:hideMark/>
          </w:tcPr>
          <w:p w14:paraId="0C1652AE"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920" w:type="dxa"/>
            <w:vMerge/>
            <w:vAlign w:val="center"/>
            <w:hideMark/>
          </w:tcPr>
          <w:p w14:paraId="4F6E96C1"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081" w:type="dxa"/>
            <w:vMerge/>
            <w:vAlign w:val="center"/>
            <w:hideMark/>
          </w:tcPr>
          <w:p w14:paraId="609A5722"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197" w:type="dxa"/>
            <w:vMerge/>
            <w:vAlign w:val="center"/>
            <w:hideMark/>
          </w:tcPr>
          <w:p w14:paraId="1C0D9835"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717" w:type="dxa"/>
            <w:vMerge/>
            <w:vAlign w:val="center"/>
            <w:hideMark/>
          </w:tcPr>
          <w:p w14:paraId="5094EF76"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162" w:type="dxa"/>
            <w:shd w:val="clear" w:color="auto" w:fill="BDD7EE"/>
            <w:vAlign w:val="center"/>
            <w:hideMark/>
          </w:tcPr>
          <w:p w14:paraId="7CB36345"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090" w:type="dxa"/>
            <w:shd w:val="clear" w:color="auto" w:fill="BDD7EE"/>
            <w:vAlign w:val="center"/>
            <w:hideMark/>
          </w:tcPr>
          <w:p w14:paraId="08F4535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09" w:type="dxa"/>
            <w:shd w:val="clear" w:color="auto" w:fill="BDD7EE"/>
            <w:vAlign w:val="center"/>
            <w:hideMark/>
          </w:tcPr>
          <w:p w14:paraId="202EF605"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92" w:type="dxa"/>
            <w:shd w:val="clear" w:color="auto" w:fill="BDD7EE"/>
            <w:vAlign w:val="center"/>
            <w:hideMark/>
          </w:tcPr>
          <w:p w14:paraId="44A0F27C"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51" w:type="dxa"/>
            <w:shd w:val="clear" w:color="auto" w:fill="BDD7EE"/>
            <w:vAlign w:val="center"/>
            <w:hideMark/>
          </w:tcPr>
          <w:p w14:paraId="6D8362A0"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438" w:type="dxa"/>
            <w:vMerge/>
            <w:vAlign w:val="center"/>
            <w:hideMark/>
          </w:tcPr>
          <w:p w14:paraId="646B7D53"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r>
      <w:tr w:rsidR="00682269" w:rsidRPr="00DE4E4F" w14:paraId="671BDDAC" w14:textId="77777777" w:rsidTr="000A4A2F">
        <w:trPr>
          <w:trHeight w:val="309"/>
          <w:jc w:val="center"/>
        </w:trPr>
        <w:tc>
          <w:tcPr>
            <w:tcW w:w="588" w:type="dxa"/>
            <w:shd w:val="clear" w:color="auto" w:fill="C6EFCE"/>
            <w:noWrap/>
          </w:tcPr>
          <w:p w14:paraId="2B090A6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42</w:t>
            </w:r>
          </w:p>
        </w:tc>
        <w:tc>
          <w:tcPr>
            <w:tcW w:w="1920" w:type="dxa"/>
            <w:shd w:val="clear" w:color="auto" w:fill="C6EFCE"/>
            <w:noWrap/>
          </w:tcPr>
          <w:p w14:paraId="14E092F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3 - 1.3. Recharge and refuel - 16281_Framework for installation and operation of EV charging infrastructure</w:t>
            </w:r>
          </w:p>
        </w:tc>
        <w:tc>
          <w:tcPr>
            <w:tcW w:w="1081" w:type="dxa"/>
            <w:shd w:val="clear" w:color="auto" w:fill="C6EFCE"/>
            <w:noWrap/>
          </w:tcPr>
          <w:p w14:paraId="0673ED0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Milestone</w:t>
            </w:r>
          </w:p>
        </w:tc>
        <w:tc>
          <w:tcPr>
            <w:tcW w:w="1197" w:type="dxa"/>
            <w:shd w:val="clear" w:color="auto" w:fill="C6EFCE"/>
            <w:noWrap/>
          </w:tcPr>
          <w:p w14:paraId="2857BA7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Charging points for electric vehicles – Entry into force of legal framework</w:t>
            </w:r>
          </w:p>
        </w:tc>
        <w:tc>
          <w:tcPr>
            <w:tcW w:w="1717" w:type="dxa"/>
            <w:shd w:val="clear" w:color="auto" w:fill="C6EFCE"/>
            <w:noWrap/>
          </w:tcPr>
          <w:p w14:paraId="489A5508" w14:textId="7A7CF522"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Entry into force of Ministerial Decisions adopted</w:t>
            </w:r>
          </w:p>
        </w:tc>
        <w:tc>
          <w:tcPr>
            <w:tcW w:w="1162" w:type="dxa"/>
            <w:shd w:val="clear" w:color="auto" w:fill="C6EFCE"/>
            <w:noWrap/>
          </w:tcPr>
          <w:p w14:paraId="63BCE4E7"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090" w:type="dxa"/>
            <w:shd w:val="clear" w:color="auto" w:fill="C6EFCE"/>
            <w:noWrap/>
          </w:tcPr>
          <w:p w14:paraId="60A6595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68BD6BBD"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45DB206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Q3</w:t>
            </w:r>
          </w:p>
        </w:tc>
        <w:tc>
          <w:tcPr>
            <w:tcW w:w="851" w:type="dxa"/>
            <w:shd w:val="clear" w:color="auto" w:fill="C6EFCE"/>
            <w:noWrap/>
          </w:tcPr>
          <w:p w14:paraId="0276FB1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2021</w:t>
            </w:r>
          </w:p>
        </w:tc>
        <w:tc>
          <w:tcPr>
            <w:tcW w:w="4438" w:type="dxa"/>
            <w:shd w:val="clear" w:color="auto" w:fill="C6EFCE"/>
            <w:noWrap/>
          </w:tcPr>
          <w:p w14:paraId="298B7BD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Entry into force of all Ministerial Decisions (MDs) provisioned in law 4710/ 2020 and signed by the Minister of Environment and Energy; Minister of Infrastructure and Transport, Minister of Interior and Minister of Finance, organizing the electric vehicles’ market, with focus on charging services market and provides tax based incentives for the purchasing of electric vehicles and the installation of charging infrastructure for electric vehicles.</w:t>
            </w:r>
          </w:p>
        </w:tc>
      </w:tr>
      <w:tr w:rsidR="00682269" w:rsidRPr="00DE4E4F" w14:paraId="46080850" w14:textId="77777777" w:rsidTr="000A4A2F">
        <w:trPr>
          <w:trHeight w:val="309"/>
          <w:jc w:val="center"/>
        </w:trPr>
        <w:tc>
          <w:tcPr>
            <w:tcW w:w="588" w:type="dxa"/>
            <w:shd w:val="clear" w:color="auto" w:fill="C6EFCE"/>
            <w:noWrap/>
          </w:tcPr>
          <w:p w14:paraId="3314012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43</w:t>
            </w:r>
          </w:p>
        </w:tc>
        <w:tc>
          <w:tcPr>
            <w:tcW w:w="1920" w:type="dxa"/>
            <w:shd w:val="clear" w:color="auto" w:fill="C6EFCE"/>
            <w:noWrap/>
          </w:tcPr>
          <w:p w14:paraId="217CFDB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3 - 1.3. Recharge and refuel - 16281_Framework for installation and operation of EV charging infrastructure</w:t>
            </w:r>
          </w:p>
        </w:tc>
        <w:tc>
          <w:tcPr>
            <w:tcW w:w="1081" w:type="dxa"/>
            <w:shd w:val="clear" w:color="auto" w:fill="C6EFCE"/>
            <w:noWrap/>
          </w:tcPr>
          <w:p w14:paraId="531D8F4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197" w:type="dxa"/>
            <w:shd w:val="clear" w:color="auto" w:fill="C6EFCE"/>
            <w:noWrap/>
          </w:tcPr>
          <w:p w14:paraId="300E42B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Charging points for electric vehicles – local plans approved</w:t>
            </w:r>
          </w:p>
        </w:tc>
        <w:tc>
          <w:tcPr>
            <w:tcW w:w="1717" w:type="dxa"/>
            <w:shd w:val="clear" w:color="auto" w:fill="C6EFCE"/>
            <w:noWrap/>
          </w:tcPr>
          <w:p w14:paraId="2E21B7CD"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162" w:type="dxa"/>
            <w:shd w:val="clear" w:color="auto" w:fill="C6EFCE"/>
            <w:noWrap/>
          </w:tcPr>
          <w:p w14:paraId="5E95071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Number of plans adopted by the Ministry of Environment and Energy</w:t>
            </w:r>
          </w:p>
        </w:tc>
        <w:tc>
          <w:tcPr>
            <w:tcW w:w="1090" w:type="dxa"/>
            <w:shd w:val="clear" w:color="auto" w:fill="C6EFCE"/>
            <w:noWrap/>
          </w:tcPr>
          <w:p w14:paraId="163DF27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0</w:t>
            </w:r>
          </w:p>
        </w:tc>
        <w:tc>
          <w:tcPr>
            <w:tcW w:w="709" w:type="dxa"/>
            <w:shd w:val="clear" w:color="auto" w:fill="C6EFCE"/>
            <w:noWrap/>
          </w:tcPr>
          <w:p w14:paraId="618BBBC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300</w:t>
            </w:r>
          </w:p>
        </w:tc>
        <w:tc>
          <w:tcPr>
            <w:tcW w:w="992" w:type="dxa"/>
            <w:shd w:val="clear" w:color="auto" w:fill="C6EFCE"/>
            <w:noWrap/>
          </w:tcPr>
          <w:p w14:paraId="48AEFD5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Q4</w:t>
            </w:r>
          </w:p>
        </w:tc>
        <w:tc>
          <w:tcPr>
            <w:tcW w:w="851" w:type="dxa"/>
            <w:shd w:val="clear" w:color="auto" w:fill="C6EFCE"/>
            <w:noWrap/>
          </w:tcPr>
          <w:p w14:paraId="7C39896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2022</w:t>
            </w:r>
          </w:p>
        </w:tc>
        <w:tc>
          <w:tcPr>
            <w:tcW w:w="4438" w:type="dxa"/>
            <w:shd w:val="clear" w:color="auto" w:fill="C6EFCE"/>
            <w:noWrap/>
          </w:tcPr>
          <w:p w14:paraId="465856D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Adoption by the Ministry of Environment and Energy of at least 300 plans submitted by local authorities for the installation of publicly available electric vehicle charging points.</w:t>
            </w:r>
          </w:p>
        </w:tc>
      </w:tr>
    </w:tbl>
    <w:p w14:paraId="3D33C439"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05FB8C69"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E46597C"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4: E-mobility</w:t>
      </w:r>
    </w:p>
    <w:p w14:paraId="0BE3AC83"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The measures included within this group are:</w:t>
      </w:r>
    </w:p>
    <w:p w14:paraId="385DD57D"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Produc- E Green (ID: 16831)</w:t>
      </w:r>
    </w:p>
    <w:p w14:paraId="02D3E339"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 xml:space="preserve">Electromobility (ID: 16924) </w:t>
      </w:r>
    </w:p>
    <w:tbl>
      <w:tblPr>
        <w:tblW w:w="15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588"/>
        <w:gridCol w:w="992"/>
        <w:gridCol w:w="1346"/>
        <w:gridCol w:w="2629"/>
        <w:gridCol w:w="1460"/>
        <w:gridCol w:w="857"/>
        <w:gridCol w:w="936"/>
        <w:gridCol w:w="846"/>
        <w:gridCol w:w="709"/>
        <w:gridCol w:w="3191"/>
      </w:tblGrid>
      <w:tr w:rsidR="00682269" w:rsidRPr="00DE4E4F" w14:paraId="74640075" w14:textId="77777777" w:rsidTr="00C46CD1">
        <w:trPr>
          <w:trHeight w:val="939"/>
          <w:tblHeader/>
          <w:jc w:val="center"/>
        </w:trPr>
        <w:tc>
          <w:tcPr>
            <w:tcW w:w="817" w:type="dxa"/>
            <w:vMerge w:val="restart"/>
            <w:shd w:val="clear" w:color="auto" w:fill="BDD7EE"/>
            <w:vAlign w:val="center"/>
            <w:hideMark/>
          </w:tcPr>
          <w:p w14:paraId="15C0A7C6"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1588" w:type="dxa"/>
            <w:vMerge w:val="restart"/>
            <w:shd w:val="clear" w:color="auto" w:fill="BDD7EE"/>
            <w:vAlign w:val="center"/>
            <w:hideMark/>
          </w:tcPr>
          <w:p w14:paraId="1AF114E6"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992" w:type="dxa"/>
            <w:vMerge w:val="restart"/>
            <w:shd w:val="clear" w:color="auto" w:fill="BDD7EE"/>
            <w:vAlign w:val="center"/>
            <w:hideMark/>
          </w:tcPr>
          <w:p w14:paraId="2DBB8E5A"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66" w:type="dxa"/>
            <w:vMerge w:val="restart"/>
            <w:shd w:val="clear" w:color="auto" w:fill="BDD7EE"/>
            <w:vAlign w:val="center"/>
            <w:hideMark/>
          </w:tcPr>
          <w:p w14:paraId="0F50E186"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2629" w:type="dxa"/>
            <w:vMerge w:val="restart"/>
            <w:shd w:val="clear" w:color="auto" w:fill="BDD7EE"/>
            <w:vAlign w:val="center"/>
            <w:hideMark/>
          </w:tcPr>
          <w:p w14:paraId="2CE88874"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w:t>
            </w:r>
            <w:r w:rsidRPr="00DE4E4F">
              <w:rPr>
                <w:rFonts w:ascii="Times New Roman" w:hAnsi="Times New Roman"/>
                <w:b/>
                <w:noProof/>
                <w:sz w:val="18"/>
              </w:rPr>
              <w:br/>
              <w:t xml:space="preserve"> (for milestones)</w:t>
            </w:r>
          </w:p>
        </w:tc>
        <w:tc>
          <w:tcPr>
            <w:tcW w:w="3253" w:type="dxa"/>
            <w:gridSpan w:val="3"/>
            <w:shd w:val="clear" w:color="auto" w:fill="BDD7EE"/>
            <w:vAlign w:val="center"/>
            <w:hideMark/>
          </w:tcPr>
          <w:p w14:paraId="6FC79B83"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b/>
                <w:noProof/>
                <w:sz w:val="18"/>
              </w:rPr>
              <w:br/>
              <w:t>(for targets)</w:t>
            </w:r>
          </w:p>
        </w:tc>
        <w:tc>
          <w:tcPr>
            <w:tcW w:w="1555" w:type="dxa"/>
            <w:gridSpan w:val="2"/>
            <w:shd w:val="clear" w:color="auto" w:fill="BDD7EE"/>
            <w:vAlign w:val="center"/>
            <w:hideMark/>
          </w:tcPr>
          <w:p w14:paraId="57A5D478"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191" w:type="dxa"/>
            <w:vMerge w:val="restart"/>
            <w:shd w:val="clear" w:color="auto" w:fill="BDD7EE"/>
            <w:vAlign w:val="center"/>
            <w:hideMark/>
          </w:tcPr>
          <w:p w14:paraId="0FD4DE62"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64AE8904" w14:textId="77777777" w:rsidTr="00C46CD1">
        <w:trPr>
          <w:trHeight w:val="531"/>
          <w:tblHeader/>
          <w:jc w:val="center"/>
        </w:trPr>
        <w:tc>
          <w:tcPr>
            <w:tcW w:w="817" w:type="dxa"/>
            <w:vMerge/>
            <w:vAlign w:val="center"/>
            <w:hideMark/>
          </w:tcPr>
          <w:p w14:paraId="3B7284D0"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588" w:type="dxa"/>
            <w:vMerge/>
            <w:vAlign w:val="center"/>
            <w:hideMark/>
          </w:tcPr>
          <w:p w14:paraId="335DE03A"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992" w:type="dxa"/>
            <w:vMerge/>
            <w:vAlign w:val="center"/>
            <w:hideMark/>
          </w:tcPr>
          <w:p w14:paraId="336FE18B"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166" w:type="dxa"/>
            <w:vMerge/>
            <w:vAlign w:val="center"/>
            <w:hideMark/>
          </w:tcPr>
          <w:p w14:paraId="662C6E7B"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2629" w:type="dxa"/>
            <w:vMerge/>
            <w:vAlign w:val="center"/>
            <w:hideMark/>
          </w:tcPr>
          <w:p w14:paraId="51974E7B"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c>
          <w:tcPr>
            <w:tcW w:w="1460" w:type="dxa"/>
            <w:shd w:val="clear" w:color="auto" w:fill="BDD7EE"/>
            <w:vAlign w:val="center"/>
            <w:hideMark/>
          </w:tcPr>
          <w:p w14:paraId="34AAB0CE"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134DACCD"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936" w:type="dxa"/>
            <w:shd w:val="clear" w:color="auto" w:fill="BDD7EE"/>
            <w:vAlign w:val="center"/>
            <w:hideMark/>
          </w:tcPr>
          <w:p w14:paraId="25EADF69"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6" w:type="dxa"/>
            <w:shd w:val="clear" w:color="auto" w:fill="BDD7EE"/>
            <w:vAlign w:val="center"/>
            <w:hideMark/>
          </w:tcPr>
          <w:p w14:paraId="3E8975B1"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3A74EA22" w14:textId="77777777" w:rsidR="001B186F" w:rsidRPr="00DE4E4F" w:rsidRDefault="0074517F" w:rsidP="000A4A2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191" w:type="dxa"/>
            <w:vMerge/>
            <w:vAlign w:val="center"/>
            <w:hideMark/>
          </w:tcPr>
          <w:p w14:paraId="3246E43B" w14:textId="77777777" w:rsidR="001B186F" w:rsidRPr="00DE4E4F" w:rsidRDefault="001B186F" w:rsidP="000A4A2F">
            <w:pPr>
              <w:spacing w:after="0" w:line="240" w:lineRule="auto"/>
              <w:rPr>
                <w:rFonts w:ascii="Times New Roman" w:eastAsia="Times New Roman" w:hAnsi="Times New Roman" w:cs="Times New Roman"/>
                <w:b/>
                <w:bCs/>
                <w:noProof/>
                <w:sz w:val="18"/>
                <w:szCs w:val="18"/>
                <w:lang w:eastAsia="en-GB"/>
              </w:rPr>
            </w:pPr>
          </w:p>
        </w:tc>
      </w:tr>
      <w:tr w:rsidR="00682269" w:rsidRPr="00DE4E4F" w14:paraId="6ADE1E5F" w14:textId="77777777" w:rsidTr="00C46CD1">
        <w:trPr>
          <w:trHeight w:val="313"/>
          <w:jc w:val="center"/>
        </w:trPr>
        <w:tc>
          <w:tcPr>
            <w:tcW w:w="817" w:type="dxa"/>
            <w:shd w:val="clear" w:color="auto" w:fill="C6EFCE"/>
            <w:noWrap/>
          </w:tcPr>
          <w:p w14:paraId="16CB59A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44</w:t>
            </w:r>
          </w:p>
        </w:tc>
        <w:tc>
          <w:tcPr>
            <w:tcW w:w="1588" w:type="dxa"/>
            <w:shd w:val="clear" w:color="auto" w:fill="C6EFCE"/>
            <w:noWrap/>
          </w:tcPr>
          <w:p w14:paraId="123A8D5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- 16924_ Electromobility</w:t>
            </w:r>
          </w:p>
        </w:tc>
        <w:tc>
          <w:tcPr>
            <w:tcW w:w="992" w:type="dxa"/>
            <w:shd w:val="clear" w:color="auto" w:fill="C6EFCE"/>
            <w:noWrap/>
          </w:tcPr>
          <w:p w14:paraId="6B4E301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3198574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transport – Entry into force of market regulation for Public Service Obligation (buses)</w:t>
            </w:r>
          </w:p>
        </w:tc>
        <w:tc>
          <w:tcPr>
            <w:tcW w:w="2629" w:type="dxa"/>
            <w:shd w:val="clear" w:color="auto" w:fill="C6EFCE"/>
            <w:noWrap/>
          </w:tcPr>
          <w:p w14:paraId="3C59D035" w14:textId="5CFF8F3E" w:rsidR="001B186F" w:rsidRPr="00DE4E4F" w:rsidRDefault="0074517F" w:rsidP="000A4A2F">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Entry into force of revised legal framework</w:t>
            </w:r>
          </w:p>
        </w:tc>
        <w:tc>
          <w:tcPr>
            <w:tcW w:w="1460" w:type="dxa"/>
            <w:shd w:val="clear" w:color="auto" w:fill="C6EFCE"/>
            <w:noWrap/>
          </w:tcPr>
          <w:p w14:paraId="5C9553A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7B7E63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1506D78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287BEF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CB70BC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3191" w:type="dxa"/>
            <w:shd w:val="clear" w:color="auto" w:fill="C6EFCE"/>
            <w:noWrap/>
          </w:tcPr>
          <w:p w14:paraId="454B0A7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Strengthen market regulation through entry into force of a revised legislative framework for public urban and regional passenger transportation services (in compliance with EU 1370/2007). The revised framework shall: (a) to ensure the continuous supply of public urban and regional road passenger transport (scheduled and of fixed route); (b) to oversee the design, organization and operation of the associated transport networks; (c) to ensure high quality public road transport at the lowest cost possible; (d) to regulate the process of granting exclusive rights to operate public regional and urban routes (scheduled and of fixed route); and (e) to regulate the level of compensation for the provision of the aforementioned services. Furthermore, the law shall establish the overarching criteria for future passenger transport service procurement. Corresponding regions and regional units shall establish detailed region-specific criteria that shall properly account for the region-specific transportation needs and shall fine-tune the procurement process accordingly.</w:t>
            </w:r>
          </w:p>
        </w:tc>
      </w:tr>
      <w:tr w:rsidR="00682269" w:rsidRPr="00DE4E4F" w14:paraId="781DEE88" w14:textId="77777777" w:rsidTr="00C46CD1">
        <w:trPr>
          <w:trHeight w:val="313"/>
          <w:jc w:val="center"/>
        </w:trPr>
        <w:tc>
          <w:tcPr>
            <w:tcW w:w="817" w:type="dxa"/>
            <w:shd w:val="clear" w:color="auto" w:fill="C6EFCE"/>
            <w:noWrap/>
          </w:tcPr>
          <w:p w14:paraId="66400ED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45</w:t>
            </w:r>
          </w:p>
        </w:tc>
        <w:tc>
          <w:tcPr>
            <w:tcW w:w="1588" w:type="dxa"/>
            <w:shd w:val="clear" w:color="auto" w:fill="C6EFCE"/>
            <w:noWrap/>
          </w:tcPr>
          <w:p w14:paraId="4286DA9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- 16924_ Electromobility</w:t>
            </w:r>
          </w:p>
        </w:tc>
        <w:tc>
          <w:tcPr>
            <w:tcW w:w="992" w:type="dxa"/>
            <w:shd w:val="clear" w:color="auto" w:fill="C6EFCE"/>
            <w:noWrap/>
          </w:tcPr>
          <w:p w14:paraId="4A7C0C4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13EFAF3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transport – implementation of new market regulation for Public Service Obligation (buses)</w:t>
            </w:r>
          </w:p>
        </w:tc>
        <w:tc>
          <w:tcPr>
            <w:tcW w:w="2629" w:type="dxa"/>
            <w:shd w:val="clear" w:color="auto" w:fill="C6EFCE"/>
            <w:noWrap/>
          </w:tcPr>
          <w:p w14:paraId="6D21F6B8" w14:textId="04F8EF43" w:rsidR="001B186F" w:rsidRPr="00DE4E4F" w:rsidRDefault="0074517F" w:rsidP="000A4A2F">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Entry into force of secondary legislation related to revised legal framework</w:t>
            </w:r>
          </w:p>
        </w:tc>
        <w:tc>
          <w:tcPr>
            <w:tcW w:w="1460" w:type="dxa"/>
            <w:shd w:val="clear" w:color="auto" w:fill="C6EFCE"/>
            <w:noWrap/>
          </w:tcPr>
          <w:p w14:paraId="4B02E8F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9AFB913"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755BDEF9"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085E4D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0BA861E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191" w:type="dxa"/>
            <w:shd w:val="clear" w:color="auto" w:fill="C6EFCE"/>
            <w:noWrap/>
          </w:tcPr>
          <w:p w14:paraId="55C16A7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secondary legislation indicated in the revised legal framework to strengthen market regulation for public urban and regional passenger transportation services.</w:t>
            </w:r>
          </w:p>
        </w:tc>
      </w:tr>
      <w:tr w:rsidR="00682269" w:rsidRPr="00DE4E4F" w14:paraId="0A9563AE" w14:textId="77777777" w:rsidTr="00C46CD1">
        <w:trPr>
          <w:trHeight w:val="313"/>
          <w:jc w:val="center"/>
        </w:trPr>
        <w:tc>
          <w:tcPr>
            <w:tcW w:w="817" w:type="dxa"/>
            <w:shd w:val="clear" w:color="auto" w:fill="C6EFCE"/>
            <w:noWrap/>
          </w:tcPr>
          <w:p w14:paraId="2F54C40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46</w:t>
            </w:r>
          </w:p>
        </w:tc>
        <w:tc>
          <w:tcPr>
            <w:tcW w:w="1588" w:type="dxa"/>
            <w:shd w:val="clear" w:color="auto" w:fill="C6EFCE"/>
            <w:noWrap/>
          </w:tcPr>
          <w:p w14:paraId="61F20F3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3 - 1.3. Recharge and refuel - 16831_Produc- E Green </w:t>
            </w:r>
          </w:p>
        </w:tc>
        <w:tc>
          <w:tcPr>
            <w:tcW w:w="992" w:type="dxa"/>
            <w:shd w:val="clear" w:color="auto" w:fill="C6EFCE"/>
            <w:noWrap/>
          </w:tcPr>
          <w:p w14:paraId="1E3FCCA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109A608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Industrial Units– launch of programme</w:t>
            </w:r>
          </w:p>
        </w:tc>
        <w:tc>
          <w:tcPr>
            <w:tcW w:w="2629" w:type="dxa"/>
            <w:shd w:val="clear" w:color="auto" w:fill="C6EFCE"/>
            <w:noWrap/>
          </w:tcPr>
          <w:p w14:paraId="0D752629" w14:textId="5173C89B"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Ministerial Decision(s)</w:t>
            </w:r>
          </w:p>
          <w:p w14:paraId="6245989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highlight w:val="yellow"/>
                <w:lang w:eastAsia="en-GB"/>
              </w:rPr>
            </w:pPr>
          </w:p>
        </w:tc>
        <w:tc>
          <w:tcPr>
            <w:tcW w:w="1460" w:type="dxa"/>
            <w:shd w:val="clear" w:color="auto" w:fill="C6EFCE"/>
            <w:noWrap/>
          </w:tcPr>
          <w:p w14:paraId="22FB73F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239D349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60F70E2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00E68F5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816A82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191" w:type="dxa"/>
            <w:shd w:val="clear" w:color="auto" w:fill="C6EFCE"/>
            <w:noWrap/>
          </w:tcPr>
          <w:p w14:paraId="083E5B1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programme for selection of industrial units and entry into force of relevant Ministerial Decision(s) by the Ministry of Environment and Energy setting out:</w:t>
            </w:r>
          </w:p>
          <w:p w14:paraId="5B39E5D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Selection process to target low carbon economy and resilience to climate change;</w:t>
            </w:r>
          </w:p>
          <w:p w14:paraId="57339F8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Implementation mechanism defined;</w:t>
            </w:r>
          </w:p>
          <w:p w14:paraId="727B7FD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Certification mechanism(s) to validate that climate change objective is met (incl. details of possible corrective actions, if needed; and</w:t>
            </w:r>
          </w:p>
          <w:p w14:paraId="06E442B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Timeline.</w:t>
            </w:r>
          </w:p>
          <w:p w14:paraId="7DE0E1DD"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p w14:paraId="3745C4A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Selection/eligibility criteria set shall ensure that the selected projects comply with the Do No Significant Harm Technical Guidance (2021/C58/01) through the use of an exclusion list and the requirement of compliance with the relevant EU and national environmental legislation.</w:t>
            </w:r>
          </w:p>
        </w:tc>
      </w:tr>
      <w:tr w:rsidR="00682269" w:rsidRPr="00DE4E4F" w14:paraId="683A8BAD" w14:textId="77777777" w:rsidTr="00C46CD1">
        <w:trPr>
          <w:trHeight w:val="313"/>
          <w:jc w:val="center"/>
        </w:trPr>
        <w:tc>
          <w:tcPr>
            <w:tcW w:w="817" w:type="dxa"/>
            <w:shd w:val="clear" w:color="auto" w:fill="C6EFCE"/>
            <w:noWrap/>
          </w:tcPr>
          <w:p w14:paraId="201DC21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w:t>
            </w:r>
          </w:p>
        </w:tc>
        <w:tc>
          <w:tcPr>
            <w:tcW w:w="1588" w:type="dxa"/>
            <w:shd w:val="clear" w:color="auto" w:fill="C6EFCE"/>
            <w:noWrap/>
          </w:tcPr>
          <w:p w14:paraId="30AC72F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- 16924_ Electromobility</w:t>
            </w:r>
          </w:p>
        </w:tc>
        <w:tc>
          <w:tcPr>
            <w:tcW w:w="992" w:type="dxa"/>
            <w:shd w:val="clear" w:color="auto" w:fill="C6EFCE"/>
            <w:noWrap/>
          </w:tcPr>
          <w:p w14:paraId="62C3D39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0D99EC0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Electric vehicles charging points – launch of programmes</w:t>
            </w:r>
          </w:p>
        </w:tc>
        <w:tc>
          <w:tcPr>
            <w:tcW w:w="2629" w:type="dxa"/>
            <w:shd w:val="clear" w:color="auto" w:fill="C6EFCE"/>
            <w:noWrap/>
          </w:tcPr>
          <w:p w14:paraId="64FF9E27" w14:textId="61E3D64C"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Ministerial Decision(s)</w:t>
            </w:r>
          </w:p>
          <w:p w14:paraId="3D633C6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460" w:type="dxa"/>
            <w:shd w:val="clear" w:color="auto" w:fill="C6EFCE"/>
            <w:noWrap/>
          </w:tcPr>
          <w:p w14:paraId="2311D78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E86E74E"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18648630"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37C93C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3D3F6B2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191" w:type="dxa"/>
            <w:shd w:val="clear" w:color="auto" w:fill="C6EFCE"/>
            <w:noWrap/>
          </w:tcPr>
          <w:p w14:paraId="44FD9F4A" w14:textId="47E3B08D"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programme for selection of more than 8</w:t>
            </w:r>
            <w:r w:rsidR="000A4A2F"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000 publicly accessible charge points for electric vehicles at strategic urban and suburban locations within cities and at points of interest (“Electromobility”) and entry into force of relevant Ministerial Decision(s) by the Ministry of Environment and Energy setting out:</w:t>
            </w:r>
          </w:p>
          <w:p w14:paraId="50D4AC9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Selection process;</w:t>
            </w:r>
          </w:p>
          <w:p w14:paraId="09EE7E2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Implementation mechanism defined;</w:t>
            </w:r>
          </w:p>
          <w:p w14:paraId="1D6AF28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Certification mechanism(s) to validate that climate change objective is met (incl. details of possible corrective actions, if needed; and</w:t>
            </w:r>
          </w:p>
          <w:p w14:paraId="2AE682F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Timeline</w:t>
            </w:r>
          </w:p>
        </w:tc>
      </w:tr>
      <w:tr w:rsidR="00682269" w:rsidRPr="00DE4E4F" w14:paraId="60ACC744" w14:textId="77777777" w:rsidTr="00C46CD1">
        <w:trPr>
          <w:trHeight w:val="313"/>
          <w:jc w:val="center"/>
        </w:trPr>
        <w:tc>
          <w:tcPr>
            <w:tcW w:w="817" w:type="dxa"/>
            <w:shd w:val="clear" w:color="auto" w:fill="C6EFCE"/>
            <w:noWrap/>
          </w:tcPr>
          <w:p w14:paraId="290D5F2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48</w:t>
            </w:r>
          </w:p>
        </w:tc>
        <w:tc>
          <w:tcPr>
            <w:tcW w:w="1588" w:type="dxa"/>
            <w:shd w:val="clear" w:color="auto" w:fill="C6EFCE"/>
            <w:noWrap/>
          </w:tcPr>
          <w:p w14:paraId="010896A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- 16924_ Electromobility</w:t>
            </w:r>
          </w:p>
        </w:tc>
        <w:tc>
          <w:tcPr>
            <w:tcW w:w="992" w:type="dxa"/>
            <w:shd w:val="clear" w:color="auto" w:fill="C6EFCE"/>
            <w:noWrap/>
          </w:tcPr>
          <w:p w14:paraId="4187D6E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134B9CF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Sustainable transport – feasibility study</w:t>
            </w:r>
          </w:p>
        </w:tc>
        <w:tc>
          <w:tcPr>
            <w:tcW w:w="2629" w:type="dxa"/>
            <w:shd w:val="clear" w:color="auto" w:fill="C6EFCE"/>
            <w:noWrap/>
          </w:tcPr>
          <w:p w14:paraId="56D2184F" w14:textId="26D508FF"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 adopting the Feasibility Study for an eMobility Agency</w:t>
            </w:r>
          </w:p>
        </w:tc>
        <w:tc>
          <w:tcPr>
            <w:tcW w:w="1460" w:type="dxa"/>
            <w:shd w:val="clear" w:color="auto" w:fill="C6EFCE"/>
            <w:noWrap/>
          </w:tcPr>
          <w:p w14:paraId="54FB6158"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AD25438"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01F5CDBA"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DE202D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729369F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191" w:type="dxa"/>
            <w:shd w:val="clear" w:color="auto" w:fill="C6EFCE"/>
            <w:noWrap/>
          </w:tcPr>
          <w:p w14:paraId="1C5414C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Joint Ministerial Decision adopting a feasibility study for the establishment of an electro-mobility agency that shall ensure appropriate planning and coordination between transport and energy infrastructures, regional and local governments, and promote linkages between the e-Supply chain -including battery and RES producers - with the research and innovation base.</w:t>
            </w:r>
          </w:p>
        </w:tc>
      </w:tr>
      <w:tr w:rsidR="00682269" w:rsidRPr="00DE4E4F" w14:paraId="66787F60" w14:textId="77777777" w:rsidTr="00C46CD1">
        <w:trPr>
          <w:trHeight w:val="313"/>
          <w:jc w:val="center"/>
        </w:trPr>
        <w:tc>
          <w:tcPr>
            <w:tcW w:w="817" w:type="dxa"/>
            <w:shd w:val="clear" w:color="auto" w:fill="C6EFCE"/>
            <w:noWrap/>
          </w:tcPr>
          <w:p w14:paraId="5F655A6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p>
        </w:tc>
        <w:tc>
          <w:tcPr>
            <w:tcW w:w="1588" w:type="dxa"/>
            <w:shd w:val="clear" w:color="auto" w:fill="C6EFCE"/>
            <w:noWrap/>
          </w:tcPr>
          <w:p w14:paraId="4E4A5EC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- 16831_Produc- E Green</w:t>
            </w:r>
          </w:p>
        </w:tc>
        <w:tc>
          <w:tcPr>
            <w:tcW w:w="992" w:type="dxa"/>
            <w:shd w:val="clear" w:color="auto" w:fill="C6EFCE"/>
            <w:noWrap/>
          </w:tcPr>
          <w:p w14:paraId="162238E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39EDDC7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Industrial Units– companies selected</w:t>
            </w:r>
          </w:p>
        </w:tc>
        <w:tc>
          <w:tcPr>
            <w:tcW w:w="2629" w:type="dxa"/>
            <w:shd w:val="clear" w:color="auto" w:fill="C6EFCE"/>
            <w:noWrap/>
          </w:tcPr>
          <w:p w14:paraId="7530C12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by Ministry of Environment and Energy of applications</w:t>
            </w:r>
          </w:p>
        </w:tc>
        <w:tc>
          <w:tcPr>
            <w:tcW w:w="1460" w:type="dxa"/>
            <w:shd w:val="clear" w:color="auto" w:fill="C6EFCE"/>
            <w:noWrap/>
          </w:tcPr>
          <w:p w14:paraId="6A6F379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7B51CEF"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0A23DEAF"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1D229B9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3B7DCA7"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191" w:type="dxa"/>
            <w:shd w:val="clear" w:color="auto" w:fill="C6EFCE"/>
            <w:noWrap/>
          </w:tcPr>
          <w:p w14:paraId="4F98C29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by the Ministry of Environment and Energy of applications submitted for more than 10 industrial units ("Produce E-Green").</w:t>
            </w:r>
          </w:p>
          <w:p w14:paraId="326EF9F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Applications shall be selected in compliance with selection/eligibility criteria and shall ensure that the selected projects comply with the Do No Significant Harm Technical Guidance (2021/C58/01) through the use of an exclusion list and the requirement of compliance with the relevant EU and national environmental legislation.</w:t>
            </w:r>
          </w:p>
        </w:tc>
      </w:tr>
      <w:tr w:rsidR="00682269" w:rsidRPr="00DE4E4F" w14:paraId="0C0EC2D6" w14:textId="77777777" w:rsidTr="00C46CD1">
        <w:trPr>
          <w:trHeight w:val="313"/>
          <w:jc w:val="center"/>
        </w:trPr>
        <w:tc>
          <w:tcPr>
            <w:tcW w:w="817" w:type="dxa"/>
            <w:shd w:val="clear" w:color="auto" w:fill="C6EFCE"/>
            <w:noWrap/>
          </w:tcPr>
          <w:p w14:paraId="37BB6F6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51</w:t>
            </w:r>
          </w:p>
        </w:tc>
        <w:tc>
          <w:tcPr>
            <w:tcW w:w="1588" w:type="dxa"/>
            <w:shd w:val="clear" w:color="auto" w:fill="C6EFCE"/>
            <w:noWrap/>
          </w:tcPr>
          <w:p w14:paraId="2CAC862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- 16831_Produc- E Green</w:t>
            </w:r>
          </w:p>
        </w:tc>
        <w:tc>
          <w:tcPr>
            <w:tcW w:w="992" w:type="dxa"/>
            <w:shd w:val="clear" w:color="auto" w:fill="C6EFCE"/>
            <w:noWrap/>
          </w:tcPr>
          <w:p w14:paraId="71A241B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78BF8C8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Carbon Capture and Storage (CCS) – storage permission</w:t>
            </w:r>
          </w:p>
        </w:tc>
        <w:tc>
          <w:tcPr>
            <w:tcW w:w="2629" w:type="dxa"/>
            <w:shd w:val="clear" w:color="auto" w:fill="C6EFCE"/>
            <w:noWrap/>
          </w:tcPr>
          <w:p w14:paraId="677FE84B" w14:textId="55C6EAFD"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the storage permit and establishment of a reporting system</w:t>
            </w:r>
          </w:p>
        </w:tc>
        <w:tc>
          <w:tcPr>
            <w:tcW w:w="1460" w:type="dxa"/>
            <w:shd w:val="clear" w:color="auto" w:fill="C6EFCE"/>
            <w:noWrap/>
          </w:tcPr>
          <w:p w14:paraId="30FF74D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3313B29"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22B76771"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710821D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006C2A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191" w:type="dxa"/>
            <w:shd w:val="clear" w:color="auto" w:fill="C6EFCE"/>
            <w:noWrap/>
          </w:tcPr>
          <w:p w14:paraId="7E66EF50" w14:textId="77777777" w:rsidR="001B186F" w:rsidRPr="00DE4E4F" w:rsidRDefault="0074517F" w:rsidP="000A4A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Issuance of the storage permit by the responsible Ministry for the Carbon Capture and Storage (CCS) to confirmed operator. The capacity of the carbon capture and storage facility shall initially have a CO2 injection rate of one million tonnes/year and shall provide capacity for, at least, 20 years. Submission of a complete application to the Ministry of Environment and Energy by the applicant, which would include all relevant studies as well as an Environmental Impact Assessment Study. </w:t>
            </w:r>
          </w:p>
          <w:p w14:paraId="4DF7BE0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 of a reporting system for annual reporting on CO</w:t>
            </w:r>
            <w:r w:rsidRPr="00DE4E4F">
              <w:rPr>
                <w:rFonts w:ascii="Times New Roman" w:hAnsi="Times New Roman" w:cs="Times New Roman"/>
                <w:noProof/>
                <w:color w:val="006100"/>
                <w:sz w:val="18"/>
                <w:szCs w:val="18"/>
                <w:vertAlign w:val="subscript"/>
              </w:rPr>
              <w:t>2</w:t>
            </w:r>
            <w:r w:rsidRPr="00DE4E4F">
              <w:rPr>
                <w:rFonts w:ascii="Times New Roman" w:hAnsi="Times New Roman" w:cs="Times New Roman"/>
                <w:noProof/>
                <w:color w:val="006100"/>
                <w:sz w:val="18"/>
                <w:szCs w:val="18"/>
              </w:rPr>
              <w:t xml:space="preserve"> stored and confirmation of no oil extracted, other than that limited to the indispensable needs of managing pressure and ensuring safety of the storage sites, and that any process CO</w:t>
            </w:r>
            <w:r w:rsidRPr="00DE4E4F">
              <w:rPr>
                <w:rFonts w:ascii="Times New Roman" w:hAnsi="Times New Roman" w:cs="Times New Roman"/>
                <w:noProof/>
                <w:color w:val="006100"/>
                <w:sz w:val="18"/>
                <w:szCs w:val="18"/>
                <w:vertAlign w:val="subscript"/>
              </w:rPr>
              <w:t>2</w:t>
            </w:r>
            <w:r w:rsidRPr="00DE4E4F">
              <w:rPr>
                <w:rFonts w:ascii="Times New Roman" w:hAnsi="Times New Roman" w:cs="Times New Roman"/>
                <w:noProof/>
                <w:color w:val="006100"/>
                <w:sz w:val="18"/>
                <w:szCs w:val="18"/>
              </w:rPr>
              <w:t xml:space="preserve"> associated with the indispensable extraction shall be separated and fed back for permanent storage.</w:t>
            </w:r>
          </w:p>
          <w:p w14:paraId="344311CD"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carbon capture and storage facility shall operate without using any commercial oil extraction or oil recovery activities from the reservoir horizons where CO2 injection is taking place. Further, the carbon capture and storage shall also comply with the requirement that there shall be no technological applications, neither any type of facilities and equipment engineered towards Enhanced Oil Recovery (EOR) application and increased oil production. Care shall be taken that any possible extraction of oil or gas shall be limited to the indispensable needs of managing pressure and ensuring safety of the storage sites and that any such extraction shall be done only if indispensable to ensure the safe storage of CO</w:t>
            </w:r>
            <w:r w:rsidRPr="00DE4E4F">
              <w:rPr>
                <w:rFonts w:ascii="Times New Roman" w:hAnsi="Times New Roman" w:cs="Times New Roman"/>
                <w:noProof/>
                <w:color w:val="006100"/>
                <w:sz w:val="18"/>
                <w:szCs w:val="18"/>
                <w:vertAlign w:val="subscript"/>
              </w:rPr>
              <w:t>2</w:t>
            </w:r>
            <w:r w:rsidRPr="00DE4E4F">
              <w:rPr>
                <w:rFonts w:ascii="Times New Roman" w:hAnsi="Times New Roman" w:cs="Times New Roman"/>
                <w:noProof/>
                <w:color w:val="006100"/>
                <w:sz w:val="18"/>
                <w:szCs w:val="18"/>
              </w:rPr>
              <w:t>. The CO</w:t>
            </w:r>
            <w:r w:rsidRPr="00DE4E4F">
              <w:rPr>
                <w:rFonts w:ascii="Times New Roman" w:hAnsi="Times New Roman" w:cs="Times New Roman"/>
                <w:noProof/>
                <w:color w:val="006100"/>
                <w:sz w:val="18"/>
                <w:szCs w:val="18"/>
                <w:vertAlign w:val="subscript"/>
              </w:rPr>
              <w:t>2</w:t>
            </w:r>
            <w:r w:rsidRPr="00DE4E4F">
              <w:rPr>
                <w:rFonts w:ascii="Times New Roman" w:hAnsi="Times New Roman" w:cs="Times New Roman"/>
                <w:noProof/>
                <w:color w:val="006100"/>
                <w:sz w:val="18"/>
                <w:szCs w:val="18"/>
              </w:rPr>
              <w:t xml:space="preserve"> with any oil or gas that may be extracted shall be separated and fed back for permanent storage.</w:t>
            </w:r>
          </w:p>
        </w:tc>
      </w:tr>
      <w:tr w:rsidR="00682269" w:rsidRPr="00DE4E4F" w14:paraId="3263F0BF" w14:textId="77777777" w:rsidTr="00C46CD1">
        <w:trPr>
          <w:trHeight w:val="313"/>
          <w:jc w:val="center"/>
        </w:trPr>
        <w:tc>
          <w:tcPr>
            <w:tcW w:w="817" w:type="dxa"/>
            <w:shd w:val="clear" w:color="auto" w:fill="C6EFCE"/>
            <w:noWrap/>
          </w:tcPr>
          <w:p w14:paraId="2D554BA8"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45a</w:t>
            </w:r>
          </w:p>
        </w:tc>
        <w:tc>
          <w:tcPr>
            <w:tcW w:w="1588" w:type="dxa"/>
            <w:shd w:val="clear" w:color="auto" w:fill="C6EFCE"/>
            <w:noWrap/>
          </w:tcPr>
          <w:p w14:paraId="3C44438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3 - 1.3. Recharge and refuel – </w:t>
            </w:r>
          </w:p>
          <w:p w14:paraId="21E031B2"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16924_ Electromobility</w:t>
            </w:r>
          </w:p>
        </w:tc>
        <w:tc>
          <w:tcPr>
            <w:tcW w:w="992" w:type="dxa"/>
            <w:shd w:val="clear" w:color="auto" w:fill="C6EFCE"/>
            <w:noWrap/>
          </w:tcPr>
          <w:p w14:paraId="30DF395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7EA81AA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transport bus - publication of tender calls</w:t>
            </w:r>
            <w:r w:rsidRPr="00DE4E4F" w:rsidDel="00FD1158">
              <w:rPr>
                <w:rFonts w:ascii="Times New Roman" w:hAnsi="Times New Roman" w:cs="Times New Roman"/>
                <w:noProof/>
                <w:color w:val="006100"/>
                <w:sz w:val="18"/>
                <w:szCs w:val="18"/>
              </w:rPr>
              <w:t xml:space="preserve"> for </w:t>
            </w:r>
            <w:r w:rsidRPr="00DE4E4F">
              <w:rPr>
                <w:rFonts w:ascii="Times New Roman" w:hAnsi="Times New Roman" w:cs="Times New Roman"/>
                <w:noProof/>
                <w:color w:val="006100"/>
                <w:sz w:val="18"/>
                <w:szCs w:val="18"/>
              </w:rPr>
              <w:t xml:space="preserve">the </w:t>
            </w:r>
            <w:r w:rsidRPr="00DE4E4F" w:rsidDel="00FD1158">
              <w:rPr>
                <w:rFonts w:ascii="Times New Roman" w:hAnsi="Times New Roman" w:cs="Times New Roman"/>
                <w:noProof/>
                <w:color w:val="006100"/>
                <w:sz w:val="18"/>
                <w:szCs w:val="18"/>
              </w:rPr>
              <w:t>regions</w:t>
            </w:r>
          </w:p>
        </w:tc>
        <w:tc>
          <w:tcPr>
            <w:tcW w:w="2629" w:type="dxa"/>
            <w:shd w:val="clear" w:color="auto" w:fill="C6EFCE"/>
            <w:noWrap/>
          </w:tcPr>
          <w:p w14:paraId="1213FE52" w14:textId="4B31C945"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the tender calls for</w:t>
            </w:r>
            <w:r w:rsidRPr="00DE4E4F" w:rsidDel="00FD1158">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the </w:t>
            </w:r>
            <w:r w:rsidRPr="00DE4E4F" w:rsidDel="00FD1158">
              <w:rPr>
                <w:rFonts w:ascii="Times New Roman" w:hAnsi="Times New Roman" w:cs="Times New Roman"/>
                <w:noProof/>
                <w:color w:val="006100"/>
                <w:sz w:val="18"/>
                <w:szCs w:val="18"/>
              </w:rPr>
              <w:t>regions</w:t>
            </w:r>
          </w:p>
        </w:tc>
        <w:tc>
          <w:tcPr>
            <w:tcW w:w="1460" w:type="dxa"/>
            <w:shd w:val="clear" w:color="auto" w:fill="C6EFCE"/>
            <w:noWrap/>
          </w:tcPr>
          <w:p w14:paraId="24104E5B"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209AC63D"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6CB3C915"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83609F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5C2817D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91" w:type="dxa"/>
            <w:shd w:val="clear" w:color="auto" w:fill="C6EFCE"/>
            <w:noWrap/>
          </w:tcPr>
          <w:p w14:paraId="0926D91D" w14:textId="00C4BFAD" w:rsidR="001B186F" w:rsidRPr="00DE4E4F" w:rsidRDefault="00446DB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w:t>
            </w:r>
            <w:r w:rsidR="0074517F" w:rsidRPr="00DE4E4F">
              <w:rPr>
                <w:rFonts w:ascii="Times New Roman" w:hAnsi="Times New Roman" w:cs="Times New Roman"/>
                <w:noProof/>
                <w:color w:val="006100"/>
                <w:sz w:val="18"/>
                <w:szCs w:val="18"/>
              </w:rPr>
              <w:t xml:space="preserve">ender calls for </w:t>
            </w:r>
            <w:r w:rsidR="003D5FC1" w:rsidRPr="00DE4E4F">
              <w:rPr>
                <w:rFonts w:ascii="Times New Roman" w:hAnsi="Times New Roman" w:cs="Times New Roman"/>
                <w:noProof/>
                <w:color w:val="006100"/>
                <w:sz w:val="18"/>
                <w:szCs w:val="18"/>
              </w:rPr>
              <w:t xml:space="preserve">12 </w:t>
            </w:r>
            <w:r w:rsidR="0074517F" w:rsidRPr="00DE4E4F">
              <w:rPr>
                <w:rFonts w:ascii="Times New Roman" w:hAnsi="Times New Roman" w:cs="Times New Roman"/>
                <w:noProof/>
                <w:color w:val="006100"/>
                <w:sz w:val="18"/>
                <w:szCs w:val="18"/>
              </w:rPr>
              <w:t xml:space="preserve">regions shall be launched in a staggered manner. Each launched call shall result </w:t>
            </w:r>
            <w:r w:rsidR="00494395" w:rsidRPr="00DE4E4F">
              <w:rPr>
                <w:rFonts w:ascii="Times New Roman" w:hAnsi="Times New Roman" w:cs="Times New Roman"/>
                <w:noProof/>
                <w:color w:val="006100"/>
                <w:sz w:val="18"/>
                <w:szCs w:val="18"/>
              </w:rPr>
              <w:t xml:space="preserve">in </w:t>
            </w:r>
            <w:r w:rsidR="00E37592" w:rsidRPr="00DE4E4F">
              <w:rPr>
                <w:rFonts w:ascii="Times New Roman" w:hAnsi="Times New Roman" w:cs="Times New Roman"/>
                <w:noProof/>
                <w:color w:val="006100"/>
                <w:sz w:val="18"/>
                <w:szCs w:val="18"/>
              </w:rPr>
              <w:t xml:space="preserve">up to </w:t>
            </w:r>
            <w:r w:rsidR="0074517F" w:rsidRPr="00DE4E4F">
              <w:rPr>
                <w:rFonts w:ascii="Times New Roman" w:hAnsi="Times New Roman" w:cs="Times New Roman"/>
                <w:noProof/>
                <w:color w:val="006100"/>
                <w:sz w:val="18"/>
                <w:szCs w:val="18"/>
              </w:rPr>
              <w:t xml:space="preserve">two contracts per region: (a) </w:t>
            </w:r>
            <w:r w:rsidR="00B748A4" w:rsidRPr="00DE4E4F">
              <w:rPr>
                <w:rFonts w:ascii="Times New Roman" w:hAnsi="Times New Roman" w:cs="Times New Roman"/>
                <w:noProof/>
                <w:color w:val="006100"/>
                <w:sz w:val="18"/>
                <w:szCs w:val="18"/>
              </w:rPr>
              <w:t xml:space="preserve">one contract </w:t>
            </w:r>
            <w:r w:rsidR="0074517F" w:rsidRPr="00DE4E4F">
              <w:rPr>
                <w:rFonts w:ascii="Times New Roman" w:hAnsi="Times New Roman" w:cs="Times New Roman"/>
                <w:noProof/>
                <w:color w:val="006100"/>
                <w:sz w:val="18"/>
                <w:szCs w:val="18"/>
              </w:rPr>
              <w:t>for the interurban network (long distance)</w:t>
            </w:r>
            <w:r w:rsidR="008D071E" w:rsidRPr="00DE4E4F">
              <w:rPr>
                <w:rFonts w:ascii="Times New Roman" w:hAnsi="Times New Roman" w:cs="Times New Roman"/>
                <w:noProof/>
                <w:color w:val="006100"/>
                <w:sz w:val="18"/>
                <w:szCs w:val="18"/>
              </w:rPr>
              <w:t xml:space="preserve"> except in the regions of Attica and South Aegean, where up to two contracts could be awarded</w:t>
            </w:r>
            <w:r w:rsidR="0074517F" w:rsidRPr="00DE4E4F">
              <w:rPr>
                <w:rFonts w:ascii="Times New Roman" w:hAnsi="Times New Roman" w:cs="Times New Roman"/>
                <w:noProof/>
                <w:color w:val="006100"/>
                <w:sz w:val="18"/>
                <w:szCs w:val="18"/>
              </w:rPr>
              <w:t>; and</w:t>
            </w:r>
            <w:r w:rsidR="006423F7" w:rsidRPr="00DE4E4F">
              <w:rPr>
                <w:rFonts w:ascii="Times New Roman" w:hAnsi="Times New Roman" w:cs="Times New Roman"/>
                <w:noProof/>
                <w:color w:val="006100"/>
                <w:sz w:val="18"/>
                <w:szCs w:val="18"/>
              </w:rPr>
              <w:t>/or</w:t>
            </w:r>
            <w:r w:rsidR="0074517F" w:rsidRPr="00DE4E4F">
              <w:rPr>
                <w:rFonts w:ascii="Times New Roman" w:hAnsi="Times New Roman" w:cs="Times New Roman"/>
                <w:noProof/>
                <w:color w:val="006100"/>
                <w:sz w:val="18"/>
                <w:szCs w:val="18"/>
              </w:rPr>
              <w:t xml:space="preserve"> (b) </w:t>
            </w:r>
            <w:r w:rsidR="00AE6A7D" w:rsidRPr="00DE4E4F">
              <w:rPr>
                <w:rFonts w:ascii="Times New Roman" w:hAnsi="Times New Roman" w:cs="Times New Roman"/>
                <w:noProof/>
                <w:color w:val="006100"/>
                <w:sz w:val="18"/>
                <w:szCs w:val="18"/>
              </w:rPr>
              <w:t xml:space="preserve">one contract </w:t>
            </w:r>
            <w:r w:rsidR="0074517F" w:rsidRPr="00DE4E4F">
              <w:rPr>
                <w:rFonts w:ascii="Times New Roman" w:hAnsi="Times New Roman" w:cs="Times New Roman"/>
                <w:noProof/>
                <w:color w:val="006100"/>
                <w:sz w:val="18"/>
                <w:szCs w:val="18"/>
              </w:rPr>
              <w:t>for the urban network.</w:t>
            </w:r>
          </w:p>
        </w:tc>
      </w:tr>
      <w:tr w:rsidR="00682269" w:rsidRPr="00DE4E4F" w14:paraId="383057AB" w14:textId="77777777" w:rsidTr="00C46CD1">
        <w:trPr>
          <w:trHeight w:val="313"/>
          <w:jc w:val="center"/>
        </w:trPr>
        <w:tc>
          <w:tcPr>
            <w:tcW w:w="817" w:type="dxa"/>
            <w:shd w:val="clear" w:color="auto" w:fill="C6EFCE"/>
            <w:noWrap/>
          </w:tcPr>
          <w:p w14:paraId="3F17A69B"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52</w:t>
            </w:r>
          </w:p>
        </w:tc>
        <w:tc>
          <w:tcPr>
            <w:tcW w:w="1588" w:type="dxa"/>
            <w:shd w:val="clear" w:color="auto" w:fill="C6EFCE"/>
            <w:noWrap/>
          </w:tcPr>
          <w:p w14:paraId="095F4C4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- 16924_ Electromobility</w:t>
            </w:r>
          </w:p>
        </w:tc>
        <w:tc>
          <w:tcPr>
            <w:tcW w:w="992" w:type="dxa"/>
            <w:shd w:val="clear" w:color="auto" w:fill="C6EFCE"/>
            <w:noWrap/>
          </w:tcPr>
          <w:p w14:paraId="27FDC33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166" w:type="dxa"/>
            <w:shd w:val="clear" w:color="auto" w:fill="C6EFCE"/>
            <w:noWrap/>
          </w:tcPr>
          <w:p w14:paraId="4D37E2A3" w14:textId="41AAE590"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Busses – replacement with electric ones and </w:t>
            </w:r>
            <w:r w:rsidR="00C6797E" w:rsidRPr="00DE4E4F">
              <w:rPr>
                <w:rFonts w:ascii="Times New Roman" w:hAnsi="Times New Roman" w:cs="Times New Roman"/>
                <w:noProof/>
                <w:color w:val="006100"/>
                <w:sz w:val="18"/>
                <w:szCs w:val="18"/>
              </w:rPr>
              <w:t>entry into force of legal provisions</w:t>
            </w:r>
            <w:r w:rsidR="004E5388" w:rsidRPr="00DE4E4F">
              <w:rPr>
                <w:rFonts w:ascii="Times New Roman" w:hAnsi="Times New Roman" w:cs="Times New Roman"/>
                <w:noProof/>
                <w:color w:val="006100"/>
                <w:sz w:val="18"/>
                <w:szCs w:val="18"/>
              </w:rPr>
              <w:t xml:space="preserve"> on ownership of</w:t>
            </w:r>
            <w:r w:rsidR="00DE4C0C" w:rsidRPr="00DE4E4F">
              <w:rPr>
                <w:rFonts w:ascii="Times New Roman" w:hAnsi="Times New Roman" w:cs="Times New Roman"/>
                <w:noProof/>
                <w:color w:val="006100"/>
                <w:sz w:val="18"/>
                <w:szCs w:val="18"/>
              </w:rPr>
              <w:t xml:space="preserve"> </w:t>
            </w:r>
            <w:r w:rsidR="004E5388" w:rsidRPr="00DE4E4F">
              <w:rPr>
                <w:rFonts w:ascii="Times New Roman" w:eastAsia="Times New Roman" w:hAnsi="Times New Roman" w:cs="Times New Roman"/>
                <w:noProof/>
                <w:color w:val="006100"/>
                <w:sz w:val="18"/>
                <w:szCs w:val="18"/>
              </w:rPr>
              <w:t>Organisation of Urban Transportation of Thessaloniki (OASTH)</w:t>
            </w:r>
          </w:p>
        </w:tc>
        <w:tc>
          <w:tcPr>
            <w:tcW w:w="2629" w:type="dxa"/>
            <w:shd w:val="clear" w:color="auto" w:fill="C6EFCE"/>
            <w:noWrap/>
          </w:tcPr>
          <w:p w14:paraId="73FE5B22"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1460" w:type="dxa"/>
            <w:shd w:val="clear" w:color="auto" w:fill="C6EFCE"/>
            <w:noWrap/>
          </w:tcPr>
          <w:p w14:paraId="7FFB11F9"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new battery electric busses</w:t>
            </w:r>
          </w:p>
        </w:tc>
        <w:tc>
          <w:tcPr>
            <w:tcW w:w="857" w:type="dxa"/>
            <w:shd w:val="clear" w:color="auto" w:fill="C6EFCE"/>
            <w:noWrap/>
          </w:tcPr>
          <w:p w14:paraId="5DED699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36" w:type="dxa"/>
            <w:shd w:val="clear" w:color="auto" w:fill="C6EFCE"/>
            <w:noWrap/>
          </w:tcPr>
          <w:p w14:paraId="77F830CC"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425</w:t>
            </w:r>
          </w:p>
        </w:tc>
        <w:tc>
          <w:tcPr>
            <w:tcW w:w="846" w:type="dxa"/>
            <w:shd w:val="clear" w:color="auto" w:fill="C6EFCE"/>
            <w:noWrap/>
          </w:tcPr>
          <w:p w14:paraId="077500B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EAA2B9A"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91" w:type="dxa"/>
            <w:shd w:val="clear" w:color="auto" w:fill="C6EFCE"/>
            <w:noWrap/>
          </w:tcPr>
          <w:p w14:paraId="51577DB9" w14:textId="77777777" w:rsidR="001B186F" w:rsidRPr="00DE4E4F" w:rsidRDefault="0074517F" w:rsidP="000A4A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425 new electric busses and 425 old busses have been withdrawn from circulation.</w:t>
            </w:r>
          </w:p>
          <w:p w14:paraId="247F06B0" w14:textId="55B3EE81" w:rsidR="001B186F" w:rsidRPr="00DE4E4F" w:rsidRDefault="008964A8" w:rsidP="000A4A2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Entry into force</w:t>
            </w:r>
            <w:r w:rsidR="0002777C" w:rsidRPr="00DE4E4F">
              <w:rPr>
                <w:rFonts w:ascii="Times New Roman" w:eastAsia="Times New Roman" w:hAnsi="Times New Roman" w:cs="Times New Roman"/>
                <w:noProof/>
                <w:color w:val="006100"/>
                <w:sz w:val="18"/>
                <w:szCs w:val="18"/>
              </w:rPr>
              <w:t xml:space="preserve"> of legal provisions transfer</w:t>
            </w:r>
            <w:r w:rsidR="002500E5" w:rsidRPr="00DE4E4F">
              <w:rPr>
                <w:rFonts w:ascii="Times New Roman" w:eastAsia="Times New Roman" w:hAnsi="Times New Roman" w:cs="Times New Roman"/>
                <w:noProof/>
                <w:color w:val="006100"/>
                <w:sz w:val="18"/>
                <w:szCs w:val="18"/>
              </w:rPr>
              <w:t>ring</w:t>
            </w:r>
            <w:r w:rsidR="0002777C" w:rsidRPr="00DE4E4F">
              <w:rPr>
                <w:rFonts w:ascii="Times New Roman" w:eastAsia="Times New Roman" w:hAnsi="Times New Roman" w:cs="Times New Roman"/>
                <w:noProof/>
                <w:color w:val="006100"/>
                <w:sz w:val="18"/>
                <w:szCs w:val="18"/>
              </w:rPr>
              <w:t xml:space="preserve"> the majority ownership of the Organisation of Urban Transportation of Thessaloniki (OASTH) to the</w:t>
            </w:r>
            <w:r w:rsidR="00DE4C0C" w:rsidRPr="00DE4E4F">
              <w:rPr>
                <w:rFonts w:ascii="Times New Roman" w:eastAsia="Times New Roman" w:hAnsi="Times New Roman" w:cs="Times New Roman"/>
                <w:noProof/>
                <w:color w:val="006100"/>
                <w:sz w:val="18"/>
                <w:szCs w:val="18"/>
              </w:rPr>
              <w:t xml:space="preserve"> </w:t>
            </w:r>
            <w:r w:rsidR="0074517F" w:rsidRPr="00DE4E4F">
              <w:rPr>
                <w:rFonts w:ascii="Times New Roman" w:eastAsia="Times New Roman" w:hAnsi="Times New Roman" w:cs="Times New Roman"/>
                <w:noProof/>
                <w:color w:val="006100"/>
                <w:sz w:val="18"/>
                <w:szCs w:val="18"/>
              </w:rPr>
              <w:t>Transport Authority of Thessaloniki S.A. (OSETH)</w:t>
            </w:r>
            <w:r w:rsidR="009D7B56" w:rsidRPr="00DE4E4F">
              <w:rPr>
                <w:rFonts w:ascii="Times New Roman" w:eastAsia="Times New Roman" w:hAnsi="Times New Roman" w:cs="Times New Roman"/>
                <w:noProof/>
                <w:color w:val="006100"/>
                <w:sz w:val="18"/>
                <w:szCs w:val="18"/>
              </w:rPr>
              <w:t xml:space="preserve"> </w:t>
            </w:r>
            <w:r w:rsidR="00A655D1" w:rsidRPr="00DE4E4F">
              <w:rPr>
                <w:rFonts w:ascii="Times New Roman" w:eastAsia="Times New Roman" w:hAnsi="Times New Roman" w:cs="Times New Roman"/>
                <w:noProof/>
                <w:color w:val="006100"/>
                <w:sz w:val="18"/>
                <w:szCs w:val="18"/>
              </w:rPr>
              <w:t>enabling OSETH to directly</w:t>
            </w:r>
            <w:r w:rsidR="009D7B56" w:rsidRPr="00DE4E4F">
              <w:rPr>
                <w:rFonts w:ascii="Times New Roman" w:eastAsia="Times New Roman" w:hAnsi="Times New Roman" w:cs="Times New Roman"/>
                <w:noProof/>
                <w:color w:val="006100"/>
                <w:sz w:val="18"/>
                <w:szCs w:val="18"/>
              </w:rPr>
              <w:t xml:space="preserve"> award </w:t>
            </w:r>
            <w:r w:rsidR="00A655D1" w:rsidRPr="00DE4E4F">
              <w:rPr>
                <w:rFonts w:ascii="Times New Roman" w:eastAsia="Times New Roman" w:hAnsi="Times New Roman" w:cs="Times New Roman"/>
                <w:noProof/>
                <w:color w:val="006100"/>
                <w:sz w:val="18"/>
                <w:szCs w:val="18"/>
              </w:rPr>
              <w:t>the</w:t>
            </w:r>
            <w:r w:rsidR="009D7B56" w:rsidRPr="00DE4E4F">
              <w:rPr>
                <w:rFonts w:ascii="Times New Roman" w:eastAsia="Times New Roman" w:hAnsi="Times New Roman" w:cs="Times New Roman"/>
                <w:noProof/>
                <w:color w:val="006100"/>
                <w:sz w:val="18"/>
                <w:szCs w:val="18"/>
              </w:rPr>
              <w:t xml:space="preserve"> public service contract for regular bus transport services in the urban region of Thessaloniki in accordance with Article 5(2) of the Land PSO Regulation 1370/2007</w:t>
            </w:r>
            <w:r w:rsidR="0074517F" w:rsidRPr="00DE4E4F">
              <w:rPr>
                <w:rFonts w:ascii="Times New Roman" w:eastAsia="Times New Roman" w:hAnsi="Times New Roman" w:cs="Times New Roman"/>
                <w:noProof/>
                <w:color w:val="006100"/>
                <w:sz w:val="18"/>
                <w:szCs w:val="18"/>
              </w:rPr>
              <w:t>.</w:t>
            </w:r>
          </w:p>
        </w:tc>
      </w:tr>
      <w:tr w:rsidR="00682269" w:rsidRPr="00DE4E4F" w14:paraId="484849E9" w14:textId="77777777" w:rsidTr="00C46CD1">
        <w:trPr>
          <w:trHeight w:val="313"/>
          <w:jc w:val="center"/>
        </w:trPr>
        <w:tc>
          <w:tcPr>
            <w:tcW w:w="817" w:type="dxa"/>
            <w:shd w:val="clear" w:color="auto" w:fill="C6EFCE"/>
            <w:noWrap/>
          </w:tcPr>
          <w:p w14:paraId="31A00AC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53</w:t>
            </w:r>
          </w:p>
        </w:tc>
        <w:tc>
          <w:tcPr>
            <w:tcW w:w="1588" w:type="dxa"/>
            <w:shd w:val="clear" w:color="auto" w:fill="C6EFCE"/>
            <w:noWrap/>
          </w:tcPr>
          <w:p w14:paraId="63CA04A0"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3 - 1.3. Recharge and refuel - 16831_Produc- E Green</w:t>
            </w:r>
          </w:p>
        </w:tc>
        <w:tc>
          <w:tcPr>
            <w:tcW w:w="992" w:type="dxa"/>
            <w:shd w:val="clear" w:color="auto" w:fill="C6EFCE"/>
            <w:noWrap/>
          </w:tcPr>
          <w:p w14:paraId="58205EE4"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6CE538D4" w14:textId="3D2D1D99"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CCS – </w:t>
            </w:r>
            <w:r w:rsidR="00106767" w:rsidRPr="00DE4E4F">
              <w:rPr>
                <w:rFonts w:ascii="Times New Roman" w:hAnsi="Times New Roman" w:cs="Times New Roman"/>
                <w:noProof/>
                <w:color w:val="006100"/>
                <w:sz w:val="18"/>
                <w:szCs w:val="18"/>
              </w:rPr>
              <w:t>Platform and approval of permits</w:t>
            </w:r>
          </w:p>
        </w:tc>
        <w:tc>
          <w:tcPr>
            <w:tcW w:w="2629" w:type="dxa"/>
            <w:shd w:val="clear" w:color="auto" w:fill="C6EFCE"/>
            <w:noWrap/>
          </w:tcPr>
          <w:p w14:paraId="30C1FB5A" w14:textId="2C61319B" w:rsidR="001B186F" w:rsidRPr="00DE4E4F" w:rsidRDefault="00940154"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Purchase </w:t>
            </w:r>
            <w:r w:rsidR="00886B66" w:rsidRPr="00DE4E4F">
              <w:rPr>
                <w:rFonts w:ascii="Times New Roman" w:hAnsi="Times New Roman" w:cs="Times New Roman"/>
                <w:noProof/>
                <w:color w:val="006100"/>
                <w:sz w:val="18"/>
                <w:szCs w:val="18"/>
              </w:rPr>
              <w:t xml:space="preserve">of </w:t>
            </w:r>
            <w:r w:rsidR="00A82DC0" w:rsidRPr="00DE4E4F">
              <w:rPr>
                <w:rFonts w:ascii="Times New Roman" w:hAnsi="Times New Roman" w:cs="Times New Roman"/>
                <w:noProof/>
                <w:color w:val="006100"/>
                <w:sz w:val="18"/>
                <w:szCs w:val="18"/>
              </w:rPr>
              <w:t>OMEGA</w:t>
            </w:r>
            <w:r w:rsidR="00886B66" w:rsidRPr="00DE4E4F">
              <w:rPr>
                <w:rFonts w:ascii="Times New Roman" w:hAnsi="Times New Roman" w:cs="Times New Roman"/>
                <w:noProof/>
                <w:color w:val="006100"/>
                <w:sz w:val="18"/>
                <w:szCs w:val="18"/>
              </w:rPr>
              <w:t xml:space="preserve"> platform</w:t>
            </w:r>
            <w:r w:rsidR="00A82DC0" w:rsidRPr="00DE4E4F">
              <w:rPr>
                <w:rFonts w:ascii="Times New Roman" w:hAnsi="Times New Roman" w:cs="Times New Roman"/>
                <w:noProof/>
                <w:color w:val="006100"/>
                <w:sz w:val="18"/>
                <w:szCs w:val="18"/>
              </w:rPr>
              <w:t xml:space="preserve"> and issuance of installation and environmental permits</w:t>
            </w:r>
          </w:p>
        </w:tc>
        <w:tc>
          <w:tcPr>
            <w:tcW w:w="1460" w:type="dxa"/>
            <w:shd w:val="clear" w:color="auto" w:fill="C6EFCE"/>
            <w:noWrap/>
          </w:tcPr>
          <w:p w14:paraId="1CD4798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1E47BF23"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417C5BEF"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5ADFBED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4A8D781"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91" w:type="dxa"/>
            <w:shd w:val="clear" w:color="auto" w:fill="C6EFCE"/>
            <w:noWrap/>
          </w:tcPr>
          <w:p w14:paraId="63C7DB98" w14:textId="3E07BD6C" w:rsidR="00450793" w:rsidRPr="00DE4E4F" w:rsidRDefault="00450793" w:rsidP="000A4A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w:t>
            </w:r>
            <w:r w:rsidRPr="00DE4E4F" w:rsidDel="00521ABB">
              <w:rPr>
                <w:rFonts w:ascii="Times New Roman" w:hAnsi="Times New Roman" w:cs="Times New Roman"/>
                <w:noProof/>
                <w:color w:val="006100"/>
                <w:sz w:val="18"/>
                <w:szCs w:val="18"/>
              </w:rPr>
              <w:t xml:space="preserve"> </w:t>
            </w:r>
            <w:r w:rsidR="00521ABB" w:rsidRPr="00DE4E4F">
              <w:rPr>
                <w:rFonts w:ascii="Times New Roman" w:hAnsi="Times New Roman" w:cs="Times New Roman"/>
                <w:noProof/>
                <w:color w:val="006100"/>
                <w:sz w:val="18"/>
                <w:szCs w:val="18"/>
              </w:rPr>
              <w:t xml:space="preserve">Purchase </w:t>
            </w:r>
            <w:r w:rsidRPr="00DE4E4F">
              <w:rPr>
                <w:rFonts w:ascii="Times New Roman" w:hAnsi="Times New Roman" w:cs="Times New Roman"/>
                <w:noProof/>
                <w:color w:val="006100"/>
                <w:sz w:val="18"/>
                <w:szCs w:val="18"/>
              </w:rPr>
              <w:t>of the OMEGA platform</w:t>
            </w:r>
            <w:r w:rsidR="006026B4" w:rsidRPr="00DE4E4F">
              <w:rPr>
                <w:rFonts w:ascii="Times New Roman" w:hAnsi="Times New Roman" w:cs="Times New Roman"/>
                <w:noProof/>
                <w:color w:val="006100"/>
                <w:sz w:val="18"/>
                <w:szCs w:val="18"/>
              </w:rPr>
              <w:t>, comprising the Jacket Structure (including lifting slings and rigging platform), a cellar deck, a mezzanine deck, a production deck and a drilling deck</w:t>
            </w:r>
            <w:r w:rsidRPr="00DE4E4F">
              <w:rPr>
                <w:rFonts w:ascii="Times New Roman" w:hAnsi="Times New Roman" w:cs="Times New Roman"/>
                <w:noProof/>
                <w:color w:val="006100"/>
                <w:sz w:val="18"/>
                <w:szCs w:val="18"/>
              </w:rPr>
              <w:t>.</w:t>
            </w:r>
          </w:p>
          <w:p w14:paraId="6C605FCE" w14:textId="1AB3BE2C" w:rsidR="00F4515E" w:rsidRPr="00DE4E4F" w:rsidRDefault="00450793" w:rsidP="00374ABB">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 Issuance of: (i) platform installation permit; and (ii) decision approving Environmental Terms</w:t>
            </w:r>
            <w:r w:rsidR="004711AD" w:rsidRPr="00DE4E4F">
              <w:rPr>
                <w:rFonts w:ascii="Times New Roman" w:hAnsi="Times New Roman" w:cs="Times New Roman"/>
                <w:noProof/>
                <w:color w:val="006100"/>
                <w:sz w:val="18"/>
                <w:szCs w:val="18"/>
              </w:rPr>
              <w:t>.</w:t>
            </w:r>
          </w:p>
        </w:tc>
      </w:tr>
      <w:tr w:rsidR="00682269" w:rsidRPr="00DE4E4F" w14:paraId="384B5122" w14:textId="77777777" w:rsidTr="00C46CD1">
        <w:trPr>
          <w:trHeight w:val="313"/>
          <w:jc w:val="center"/>
        </w:trPr>
        <w:tc>
          <w:tcPr>
            <w:tcW w:w="817" w:type="dxa"/>
            <w:shd w:val="clear" w:color="auto" w:fill="C6EFCE"/>
            <w:noWrap/>
          </w:tcPr>
          <w:p w14:paraId="1848550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54</w:t>
            </w:r>
          </w:p>
        </w:tc>
        <w:tc>
          <w:tcPr>
            <w:tcW w:w="1588" w:type="dxa"/>
            <w:shd w:val="clear" w:color="auto" w:fill="C6EFCE"/>
            <w:noWrap/>
          </w:tcPr>
          <w:p w14:paraId="29F297CE"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3 - 1.3. Recharge and refuel – 16831_Produc- E Green</w:t>
            </w:r>
          </w:p>
        </w:tc>
        <w:tc>
          <w:tcPr>
            <w:tcW w:w="992" w:type="dxa"/>
            <w:shd w:val="clear" w:color="auto" w:fill="C6EFCE"/>
            <w:noWrap/>
          </w:tcPr>
          <w:p w14:paraId="5AB67E65"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66" w:type="dxa"/>
            <w:shd w:val="clear" w:color="auto" w:fill="C6EFCE"/>
            <w:noWrap/>
          </w:tcPr>
          <w:p w14:paraId="261BCA40" w14:textId="70719602" w:rsidR="001B186F" w:rsidRPr="00DE4E4F" w:rsidRDefault="0074517F" w:rsidP="000A4A2F">
            <w:pPr>
              <w:spacing w:after="0" w:line="240" w:lineRule="auto"/>
              <w:rPr>
                <w:rFonts w:ascii="Times New Roman" w:eastAsia="Times New Roman" w:hAnsi="Times New Roman" w:cs="Times New Roman"/>
                <w:noProof/>
                <w:color w:val="006100"/>
                <w:sz w:val="16"/>
                <w:szCs w:val="16"/>
              </w:rPr>
            </w:pPr>
            <w:r w:rsidRPr="00DE4E4F">
              <w:rPr>
                <w:rFonts w:ascii="Times New Roman" w:hAnsi="Times New Roman" w:cs="Times New Roman"/>
                <w:noProof/>
                <w:color w:val="006100"/>
                <w:sz w:val="16"/>
                <w:szCs w:val="16"/>
              </w:rPr>
              <w:t>Industrial units –</w:t>
            </w:r>
            <w:r w:rsidR="00DE4C0C" w:rsidRPr="00DE4E4F">
              <w:rPr>
                <w:rFonts w:ascii="Times New Roman" w:hAnsi="Times New Roman" w:cs="Times New Roman"/>
                <w:noProof/>
                <w:color w:val="006100"/>
                <w:sz w:val="16"/>
                <w:szCs w:val="16"/>
              </w:rPr>
              <w:t xml:space="preserve"> </w:t>
            </w:r>
            <w:r w:rsidRPr="00DE4E4F">
              <w:rPr>
                <w:rFonts w:ascii="Times New Roman" w:hAnsi="Times New Roman" w:cs="Times New Roman"/>
                <w:noProof/>
                <w:color w:val="006100"/>
                <w:sz w:val="16"/>
                <w:szCs w:val="16"/>
              </w:rPr>
              <w:t>Completion of construction works and installation of equipment</w:t>
            </w:r>
          </w:p>
        </w:tc>
        <w:tc>
          <w:tcPr>
            <w:tcW w:w="2629" w:type="dxa"/>
            <w:shd w:val="clear" w:color="auto" w:fill="C6EFCE"/>
            <w:noWrap/>
          </w:tcPr>
          <w:p w14:paraId="132ABFC3"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of construction works and installation of equipment </w:t>
            </w:r>
          </w:p>
        </w:tc>
        <w:tc>
          <w:tcPr>
            <w:tcW w:w="1460" w:type="dxa"/>
            <w:shd w:val="clear" w:color="auto" w:fill="C6EFCE"/>
            <w:noWrap/>
          </w:tcPr>
          <w:p w14:paraId="6A0B4C6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E7E8D24"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936" w:type="dxa"/>
            <w:shd w:val="clear" w:color="auto" w:fill="C6EFCE"/>
            <w:noWrap/>
          </w:tcPr>
          <w:p w14:paraId="67F97EBC" w14:textId="77777777" w:rsidR="001B186F" w:rsidRPr="00DE4E4F" w:rsidRDefault="001B186F" w:rsidP="000A4A2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97FD846"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898D76F" w14:textId="77777777" w:rsidR="001B186F" w:rsidRPr="00DE4E4F" w:rsidRDefault="0074517F"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91" w:type="dxa"/>
            <w:shd w:val="clear" w:color="auto" w:fill="C6EFCE"/>
            <w:noWrap/>
          </w:tcPr>
          <w:p w14:paraId="4A8DADA4" w14:textId="61A07F93" w:rsidR="001B186F" w:rsidRPr="00DE4E4F" w:rsidRDefault="00F7470E" w:rsidP="000A4A2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11 </w:t>
            </w:r>
            <w:r w:rsidR="0074517F" w:rsidRPr="00DE4E4F">
              <w:rPr>
                <w:rFonts w:ascii="Times New Roman" w:hAnsi="Times New Roman" w:cs="Times New Roman"/>
                <w:noProof/>
                <w:color w:val="006100"/>
                <w:sz w:val="18"/>
                <w:szCs w:val="18"/>
              </w:rPr>
              <w:t>industrial units shall have completed construction works and installations of equipment.</w:t>
            </w:r>
          </w:p>
        </w:tc>
      </w:tr>
    </w:tbl>
    <w:p w14:paraId="3C74560D" w14:textId="77777777" w:rsidR="001B186F" w:rsidRPr="00DE4E4F" w:rsidRDefault="001B186F">
      <w:pPr>
        <w:spacing w:before="120" w:after="120" w:line="240" w:lineRule="auto"/>
        <w:rPr>
          <w:rFonts w:ascii="Times New Roman" w:hAnsi="Times New Roman" w:cs="Times New Roman"/>
          <w:noProof/>
          <w:sz w:val="24"/>
        </w:rPr>
        <w:sectPr w:rsidR="001B186F" w:rsidRPr="00DE4E4F">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5615FC40" w14:textId="77777777" w:rsidR="001B186F" w:rsidRPr="00DE4E4F" w:rsidRDefault="0074517F">
      <w:pPr>
        <w:spacing w:before="120" w:after="120" w:line="240" w:lineRule="auto"/>
        <w:jc w:val="both"/>
        <w:outlineLvl w:val="3"/>
        <w:rPr>
          <w:rFonts w:ascii="Times New Roman" w:hAnsi="Times New Roman" w:cs="Times New Roman"/>
          <w:b/>
          <w:bCs/>
          <w:noProof/>
          <w:sz w:val="24"/>
        </w:rPr>
      </w:pPr>
      <w:r w:rsidRPr="00DE4E4F">
        <w:rPr>
          <w:rFonts w:ascii="Times New Roman" w:hAnsi="Times New Roman"/>
          <w:b/>
          <w:noProof/>
          <w:sz w:val="24"/>
        </w:rPr>
        <w:t>D. COMPONENT 1.4: SUSTAINABLE USE OF RESOURCES, CLIMATE RESILIENCE AND ENVIRONMENTAL PROTECTION</w:t>
      </w:r>
    </w:p>
    <w:p w14:paraId="247B00B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aims at promoting the green transition. It comprises targeted reforms and investments to enhance protection and restoration of natural environment including protection of biodiversity, improve environmental infrastructure and recover losses in forest coverage. Moreover, it includes a waste management reform</w:t>
      </w:r>
      <w:r w:rsidRPr="00DE4E4F">
        <w:rPr>
          <w:noProof/>
        </w:rPr>
        <w:t xml:space="preserve"> </w:t>
      </w:r>
      <w:r w:rsidRPr="00DE4E4F">
        <w:rPr>
          <w:rFonts w:ascii="Times New Roman" w:hAnsi="Times New Roman"/>
          <w:noProof/>
          <w:sz w:val="24"/>
        </w:rPr>
        <w:t xml:space="preserve">which notably includes the establishment of a National Waste Regulator to support the transition towards a circular economy based on waste prevention, reuse and recycling. It further establishes a National Water Regulatory Authority, with a view to enhance the sustainability of water utility operations and investments. Implementation of the reforms and investments included in the component shall increase the efficiency in using natural resources and advance the protection from environment-related risks and impacts for both the society and the economy. The component also includes investments to improve the supply of drinking water and provision of sewerage, and to prevent and mitigate environmental challenges due to climate change. </w:t>
      </w:r>
    </w:p>
    <w:p w14:paraId="1DD626D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component supports addressing Country Specific Recommendation 3 of 2020 and Country Specific Recommendation 2 of 2019, on public and private investment.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B9C19AF" w14:textId="77777777" w:rsidR="001B186F" w:rsidRPr="00DE4E4F" w:rsidRDefault="0074517F">
      <w:pPr>
        <w:tabs>
          <w:tab w:val="left" w:pos="1134"/>
        </w:tabs>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D.1. Description of the reforms and investments for non-repayable financial support</w:t>
      </w:r>
    </w:p>
    <w:p w14:paraId="6E922EC8" w14:textId="77777777" w:rsidR="001B186F" w:rsidRPr="00DE4E4F" w:rsidRDefault="0074517F">
      <w:pPr>
        <w:tabs>
          <w:tab w:val="left" w:pos="1134"/>
        </w:tabs>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Investment:</w:t>
      </w:r>
      <w:r w:rsidRPr="00DE4E4F">
        <w:rPr>
          <w:rFonts w:ascii="Times New Roman" w:hAnsi="Times New Roman"/>
          <w:noProof/>
          <w:sz w:val="24"/>
        </w:rPr>
        <w:t xml:space="preserve"> National Reforestation Plan, restoration and prevention (“antiNERO”), anti-erosion and flood protection measures (measure ID: 16849)</w:t>
      </w:r>
    </w:p>
    <w:p w14:paraId="7919912F"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restore degraded forest ecosystems in Greece and prevent future natural disasters. The measure consists of reforestation, wildfire prevention, anti-erosion and flood protection actions.</w:t>
      </w:r>
    </w:p>
    <w:p w14:paraId="64E3B2E1" w14:textId="654B17DF"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w:t>
      </w:r>
      <w:r w:rsidR="514A7007" w:rsidRPr="00DE4E4F">
        <w:rPr>
          <w:rFonts w:ascii="Times New Roman" w:hAnsi="Times New Roman"/>
          <w:noProof/>
          <w:sz w:val="24"/>
          <w:szCs w:val="24"/>
        </w:rPr>
        <w:t xml:space="preserve">Urban Wastewater and Sludge Management Infrastructures and </w:t>
      </w:r>
      <w:r w:rsidR="2F10876C" w:rsidRPr="00DE4E4F">
        <w:rPr>
          <w:rFonts w:ascii="Times New Roman" w:hAnsi="Times New Roman"/>
          <w:noProof/>
          <w:sz w:val="24"/>
          <w:szCs w:val="24"/>
        </w:rPr>
        <w:t>Purchase</w:t>
      </w:r>
      <w:r w:rsidR="514A7007" w:rsidRPr="00DE4E4F">
        <w:rPr>
          <w:rFonts w:ascii="Times New Roman" w:hAnsi="Times New Roman"/>
          <w:noProof/>
          <w:sz w:val="24"/>
          <w:szCs w:val="24"/>
        </w:rPr>
        <w:t xml:space="preserve"> of Municipal Waste Management Equipment</w:t>
      </w:r>
      <w:r w:rsidRPr="00DE4E4F">
        <w:rPr>
          <w:rFonts w:ascii="Times New Roman" w:hAnsi="Times New Roman"/>
          <w:noProof/>
          <w:sz w:val="24"/>
          <w:szCs w:val="24"/>
        </w:rPr>
        <w:t xml:space="preserve"> (measure ID: 16846)</w:t>
      </w:r>
    </w:p>
    <w:p w14:paraId="0E5256DB" w14:textId="14401C58"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w:t>
      </w:r>
      <w:r w:rsidR="634EDB41" w:rsidRPr="00DE4E4F">
        <w:rPr>
          <w:rFonts w:ascii="Times New Roman" w:hAnsi="Times New Roman"/>
          <w:noProof/>
          <w:sz w:val="24"/>
          <w:szCs w:val="24"/>
        </w:rPr>
        <w:t xml:space="preserve">prevent and </w:t>
      </w:r>
      <w:r w:rsidRPr="00DE4E4F">
        <w:rPr>
          <w:rFonts w:ascii="Times New Roman" w:hAnsi="Times New Roman"/>
          <w:noProof/>
          <w:sz w:val="24"/>
          <w:szCs w:val="24"/>
        </w:rPr>
        <w:t xml:space="preserve">reduce </w:t>
      </w:r>
      <w:r w:rsidR="6F759787" w:rsidRPr="00DE4E4F">
        <w:rPr>
          <w:rFonts w:ascii="Times New Roman" w:hAnsi="Times New Roman"/>
          <w:noProof/>
          <w:sz w:val="24"/>
          <w:szCs w:val="24"/>
        </w:rPr>
        <w:t xml:space="preserve">environmental </w:t>
      </w:r>
      <w:r w:rsidRPr="00DE4E4F">
        <w:rPr>
          <w:rFonts w:ascii="Times New Roman" w:hAnsi="Times New Roman"/>
          <w:noProof/>
          <w:sz w:val="24"/>
          <w:szCs w:val="24"/>
        </w:rPr>
        <w:t>pollution arising from wastewater treatment</w:t>
      </w:r>
      <w:r w:rsidR="3065CB7B" w:rsidRPr="00DE4E4F">
        <w:rPr>
          <w:rFonts w:ascii="Times New Roman" w:hAnsi="Times New Roman"/>
          <w:noProof/>
          <w:sz w:val="24"/>
          <w:szCs w:val="24"/>
        </w:rPr>
        <w:t xml:space="preserve"> and waste collection</w:t>
      </w:r>
      <w:r w:rsidRPr="00DE4E4F">
        <w:rPr>
          <w:rFonts w:ascii="Times New Roman" w:hAnsi="Times New Roman"/>
          <w:noProof/>
          <w:sz w:val="24"/>
          <w:szCs w:val="24"/>
        </w:rPr>
        <w:t>. The measure consists in the construction of sewage network infrastructures and wastewater treatment plants (WWTPs), the renovation of existing WWTPs and the construction of sludge management infrastructures from WWTPs</w:t>
      </w:r>
      <w:r w:rsidR="288F0304" w:rsidRPr="00DE4E4F">
        <w:rPr>
          <w:rFonts w:ascii="Times New Roman" w:hAnsi="Times New Roman"/>
          <w:noProof/>
          <w:sz w:val="24"/>
          <w:szCs w:val="24"/>
        </w:rPr>
        <w:t xml:space="preserve"> and in the </w:t>
      </w:r>
      <w:r w:rsidR="00DD29F7" w:rsidRPr="00DE4E4F">
        <w:rPr>
          <w:rFonts w:ascii="Times New Roman" w:hAnsi="Times New Roman"/>
          <w:noProof/>
          <w:sz w:val="24"/>
          <w:szCs w:val="24"/>
        </w:rPr>
        <w:t>purchase</w:t>
      </w:r>
      <w:r w:rsidR="288F0304" w:rsidRPr="00DE4E4F">
        <w:rPr>
          <w:rFonts w:ascii="Times New Roman" w:hAnsi="Times New Roman"/>
          <w:noProof/>
          <w:sz w:val="24"/>
          <w:szCs w:val="24"/>
        </w:rPr>
        <w:t xml:space="preserve"> of waste management equipment</w:t>
      </w:r>
      <w:r w:rsidRPr="00DE4E4F">
        <w:rPr>
          <w:rFonts w:ascii="Times New Roman" w:hAnsi="Times New Roman"/>
          <w:noProof/>
          <w:sz w:val="24"/>
          <w:szCs w:val="24"/>
        </w:rPr>
        <w:t xml:space="preserve">. </w:t>
      </w:r>
    </w:p>
    <w:p w14:paraId="07DABF5E"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National Water Strategy (measure ID: 16285)</w:t>
      </w:r>
    </w:p>
    <w:p w14:paraId="6DEC2847"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w:t>
      </w:r>
      <w:r w:rsidRPr="00DE4E4F">
        <w:rPr>
          <w:rFonts w:ascii="Times New Roman" w:eastAsia="Times New Roman" w:hAnsi="Times New Roman" w:cs="Times New Roman"/>
          <w:noProof/>
          <w:sz w:val="24"/>
          <w:szCs w:val="24"/>
        </w:rPr>
        <w:t xml:space="preserve">objective of the measure is to </w:t>
      </w:r>
      <w:r w:rsidRPr="00DE4E4F">
        <w:rPr>
          <w:rFonts w:ascii="Times New Roman" w:eastAsia="Times New Roman" w:hAnsi="Times New Roman" w:cs="Times New Roman"/>
          <w:noProof/>
          <w:color w:val="000000" w:themeColor="text1"/>
          <w:sz w:val="24"/>
          <w:szCs w:val="24"/>
        </w:rPr>
        <w:t xml:space="preserve">establish a framework for the efficient and sustainable use of water resources and to support the pilot reorganisation of water service providers. </w:t>
      </w:r>
      <w:r w:rsidRPr="00DE4E4F">
        <w:rPr>
          <w:rFonts w:ascii="Times New Roman" w:eastAsia="Times New Roman" w:hAnsi="Times New Roman" w:cs="Times New Roman"/>
          <w:noProof/>
          <w:sz w:val="24"/>
          <w:szCs w:val="24"/>
        </w:rPr>
        <w:t>The measure consists of adopting the National Water Strategy, and legal act for the expansion of the responsibilities of EYDAP (Athens water supply and sewage Company) and EYATH (Thessaloniki water supply and sewage Company).</w:t>
      </w:r>
    </w:p>
    <w:p w14:paraId="17D20F4D" w14:textId="0990B84A"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Drinking Water Supply and Saving </w:t>
      </w:r>
      <w:r w:rsidR="006A4783" w:rsidRPr="00DE4E4F">
        <w:rPr>
          <w:rFonts w:ascii="Times New Roman" w:hAnsi="Times New Roman"/>
          <w:noProof/>
          <w:sz w:val="24"/>
          <w:szCs w:val="24"/>
        </w:rPr>
        <w:t xml:space="preserve">Projects </w:t>
      </w:r>
      <w:r w:rsidRPr="00DE4E4F">
        <w:rPr>
          <w:rFonts w:ascii="Times New Roman" w:hAnsi="Times New Roman"/>
          <w:noProof/>
          <w:sz w:val="24"/>
          <w:szCs w:val="24"/>
        </w:rPr>
        <w:t>(measure ID: 16850)</w:t>
      </w:r>
    </w:p>
    <w:p w14:paraId="70A1B8D6" w14:textId="36B8EE50"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enhance the availability and quality of drinking water, and reduce leakage and public health risks related to water infrastructure. The measure </w:t>
      </w:r>
      <w:r w:rsidR="00734D9F" w:rsidRPr="00DE4E4F">
        <w:rPr>
          <w:rFonts w:ascii="Times New Roman" w:hAnsi="Times New Roman"/>
          <w:noProof/>
          <w:sz w:val="24"/>
          <w:szCs w:val="24"/>
        </w:rPr>
        <w:t>consists</w:t>
      </w:r>
      <w:r w:rsidRPr="00DE4E4F">
        <w:rPr>
          <w:rFonts w:ascii="Times New Roman" w:hAnsi="Times New Roman"/>
          <w:noProof/>
          <w:sz w:val="24"/>
          <w:szCs w:val="24"/>
        </w:rPr>
        <w:t xml:space="preserve"> of the construction of water supply infrastructures, the installation of telemetry - remote control systems and of digital water meters.</w:t>
      </w:r>
    </w:p>
    <w:p w14:paraId="073CEEF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Aerial means for crisis management (measure ID: 16911)</w:t>
      </w:r>
    </w:p>
    <w:p w14:paraId="47A8521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increase the aerial capacity for crisis management. The measure consists of the delivery of aerial means for crisis management.</w:t>
      </w:r>
    </w:p>
    <w:p w14:paraId="1F615C4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Forest firefighting, prevention and response equipment (measure ID: 16912)</w:t>
      </w:r>
    </w:p>
    <w:p w14:paraId="751EAEB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objective of the measure is to increase forest firefighting, prevention, and response capacities. The measure consists of the delivery of firefighting and response equipment.</w:t>
      </w:r>
    </w:p>
    <w:p w14:paraId="3520A96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Biodiversity protection as a driver for sustainable growth (measure ID: 16851)</w:t>
      </w:r>
    </w:p>
    <w:p w14:paraId="410F7383" w14:textId="7442B013"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protect Greece's natural environment by preserving and showcasing its natural heritage. The measure consists of the monitoring and conservation of biodiversity, the </w:t>
      </w:r>
      <w:r w:rsidR="005A29D9" w:rsidRPr="00DE4E4F">
        <w:rPr>
          <w:rFonts w:ascii="Times New Roman" w:hAnsi="Times New Roman"/>
          <w:noProof/>
          <w:sz w:val="24"/>
          <w:szCs w:val="24"/>
        </w:rPr>
        <w:t>execution</w:t>
      </w:r>
      <w:r w:rsidR="00590802" w:rsidRPr="00DE4E4F">
        <w:rPr>
          <w:rFonts w:ascii="Times New Roman" w:hAnsi="Times New Roman"/>
          <w:noProof/>
          <w:sz w:val="24"/>
          <w:szCs w:val="24"/>
        </w:rPr>
        <w:t xml:space="preserve"> of projects concerning</w:t>
      </w:r>
      <w:r w:rsidRPr="00DE4E4F">
        <w:rPr>
          <w:rFonts w:ascii="Times New Roman" w:hAnsi="Times New Roman"/>
          <w:noProof/>
          <w:sz w:val="24"/>
          <w:szCs w:val="24"/>
        </w:rPr>
        <w:t xml:space="preserve"> trail </w:t>
      </w:r>
      <w:r w:rsidR="00DE4E4F" w:rsidRPr="00DE4E4F">
        <w:rPr>
          <w:rFonts w:ascii="Times New Roman" w:hAnsi="Times New Roman"/>
          <w:noProof/>
          <w:sz w:val="24"/>
          <w:szCs w:val="24"/>
        </w:rPr>
        <w:t>networks, museum</w:t>
      </w:r>
      <w:r w:rsidRPr="00DE4E4F">
        <w:rPr>
          <w:rFonts w:ascii="Times New Roman" w:hAnsi="Times New Roman"/>
          <w:noProof/>
          <w:sz w:val="24"/>
          <w:szCs w:val="24"/>
        </w:rPr>
        <w:t xml:space="preserve"> renovation</w:t>
      </w:r>
      <w:r w:rsidR="008D63EF" w:rsidRPr="00DE4E4F">
        <w:rPr>
          <w:rFonts w:ascii="Times New Roman" w:hAnsi="Times New Roman"/>
          <w:noProof/>
          <w:sz w:val="24"/>
          <w:szCs w:val="24"/>
        </w:rPr>
        <w:t xml:space="preserve"> and the digitization of Greek Natural History Collections.</w:t>
      </w:r>
    </w:p>
    <w:p w14:paraId="08CF510B"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Civil protection management and monitoring (measure ID: 16910)</w:t>
      </w:r>
    </w:p>
    <w:p w14:paraId="1464CE6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improve the management and monitoring system for civil protection. The measure consists of delivery and installation of equipment and construction and renovation works in pre-defined buildings.</w:t>
      </w:r>
    </w:p>
    <w:p w14:paraId="7A4F93EB"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Implementation of Regional Civil Protection Centers (PEKEPP) through PPP schemes (measure ID: 16283)</w:t>
      </w:r>
    </w:p>
    <w:p w14:paraId="59EA8F49"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Construction of 13 Regional Centres for Civil Protection through public-private partnerships. The objective of the investment is to ensure timely and effective management of risks and crises at regional level. The newly constructed buildings shall comply with a Primary Energy Demand (PED) that is at least 20% lower than the NZEB requirement (nearly zero-energy building, national directives). 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Do No Significant Harm Technical Guidance (2021/C58/01). In particular, the measure requires the economic operators carrying out the construction works to ensure that at least 70% (by weight) of the non-hazardous construction and demolition waste (excluding naturally occurring material referred to in category 17 05 04 in the European List of Waste established by Decision 2000/532/EC of 3 May 2000 replacing Decision 94/3/EC establishing a list of wastes pursuant to Article 1(a) of Council Directive 75/442/EEC on waste and Council Decision 94/904/EC establishing a list of hazardous waste pursuant to Article 1(4) of Council Directive 91/689/EEC on hazardous waste (notified under document number C(2000) 1147)) generated on the construction site shall be prepared for re-use, recycling and other material recovery, including backfilling operations using waste to substitute other materials, in accordance with the waste hierarchy and the EU Construction and Demolition Waste Management Protocol. The implementation of the investment shall be completed by 31 December 2025.</w:t>
      </w:r>
    </w:p>
    <w:p w14:paraId="1687D989"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Waste management law for sustainable landfilling and recycling (measure ID: 16772)</w:t>
      </w:r>
    </w:p>
    <w:p w14:paraId="74B11377" w14:textId="77777777" w:rsidR="001B186F" w:rsidRPr="00DE4E4F" w:rsidRDefault="0074517F">
      <w:pPr>
        <w:spacing w:before="120" w:after="0" w:line="240" w:lineRule="auto"/>
        <w:jc w:val="both"/>
        <w:rPr>
          <w:rFonts w:ascii="Times New Roman" w:hAnsi="Times New Roman"/>
          <w:noProof/>
          <w:sz w:val="24"/>
          <w:szCs w:val="24"/>
        </w:rPr>
      </w:pPr>
      <w:r w:rsidRPr="00DE4E4F">
        <w:rPr>
          <w:rFonts w:ascii="Times New Roman" w:hAnsi="Times New Roman"/>
          <w:noProof/>
          <w:sz w:val="24"/>
          <w:szCs w:val="24"/>
        </w:rPr>
        <w:t>The objective of this reform is</w:t>
      </w:r>
      <w:r w:rsidRPr="00DE4E4F">
        <w:rPr>
          <w:rFonts w:ascii="Times New Roman" w:eastAsia="Times New Roman" w:hAnsi="Times New Roman" w:cs="Times New Roman"/>
          <w:noProof/>
          <w:sz w:val="24"/>
          <w:szCs w:val="24"/>
        </w:rPr>
        <w:t xml:space="preserve"> </w:t>
      </w:r>
      <w:r w:rsidRPr="00DE4E4F">
        <w:rPr>
          <w:rFonts w:ascii="Times New Roman" w:hAnsi="Times New Roman"/>
          <w:noProof/>
          <w:sz w:val="24"/>
          <w:szCs w:val="24"/>
        </w:rPr>
        <w:t xml:space="preserve">to increase waste prevention, reuse and recycling. This measure consists in the revision of the existing waste management legislation and the set-up and functioning of a waste management regulator. </w:t>
      </w:r>
    </w:p>
    <w:p w14:paraId="4844ACF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Establishment of new water and wastewater regulatory authority (measure ID: 16979)</w:t>
      </w:r>
    </w:p>
    <w:p w14:paraId="0DAD9AB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shall establish a single body, the National Water Regulatory Authority (NWRA), responsible for implementing the policy for a rational management of water resources designed by the Ministry of Environment and Energy. The new Authority shall strengthen the institutional framework and supervise the sector, including the rationalisation of water tariff policy in line with the ‘polluter pays’ principle and ensuring the sustainability of water services in Greece. The implementation of the reform shall be completed by 31 December 2023.</w:t>
      </w:r>
    </w:p>
    <w:p w14:paraId="58151D6B" w14:textId="0B774B16"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Investment:</w:t>
      </w:r>
      <w:r w:rsidRPr="00DE4E4F">
        <w:rPr>
          <w:rFonts w:ascii="Times New Roman" w:hAnsi="Times New Roman"/>
          <w:noProof/>
          <w:sz w:val="24"/>
        </w:rPr>
        <w:t xml:space="preserve"> </w:t>
      </w:r>
      <w:r w:rsidR="000666BE" w:rsidRPr="00DE4E4F">
        <w:rPr>
          <w:rFonts w:ascii="Times New Roman" w:hAnsi="Times New Roman"/>
          <w:noProof/>
          <w:sz w:val="24"/>
        </w:rPr>
        <w:t xml:space="preserve">Primary </w:t>
      </w:r>
      <w:r w:rsidRPr="00DE4E4F">
        <w:rPr>
          <w:rFonts w:ascii="Times New Roman" w:hAnsi="Times New Roman"/>
          <w:noProof/>
          <w:sz w:val="24"/>
        </w:rPr>
        <w:t>inspection of seismic resistance of buildings</w:t>
      </w:r>
      <w:r w:rsidR="000666BE" w:rsidRPr="00DE4E4F">
        <w:rPr>
          <w:rFonts w:ascii="Times New Roman" w:hAnsi="Times New Roman"/>
          <w:noProof/>
          <w:sz w:val="24"/>
        </w:rPr>
        <w:t xml:space="preserve"> or sport</w:t>
      </w:r>
      <w:r w:rsidR="00D516FB" w:rsidRPr="00DE4E4F">
        <w:rPr>
          <w:rFonts w:ascii="Times New Roman" w:hAnsi="Times New Roman"/>
          <w:noProof/>
          <w:sz w:val="24"/>
        </w:rPr>
        <w:t>s</w:t>
      </w:r>
      <w:r w:rsidR="000666BE" w:rsidRPr="00DE4E4F">
        <w:rPr>
          <w:rFonts w:ascii="Times New Roman" w:hAnsi="Times New Roman"/>
          <w:noProof/>
          <w:sz w:val="24"/>
        </w:rPr>
        <w:t xml:space="preserve"> facilities</w:t>
      </w:r>
      <w:r w:rsidRPr="00DE4E4F">
        <w:rPr>
          <w:rFonts w:ascii="Times New Roman" w:hAnsi="Times New Roman"/>
          <w:noProof/>
          <w:sz w:val="24"/>
        </w:rPr>
        <w:t xml:space="preserve"> (measure ID: 16983)</w:t>
      </w:r>
    </w:p>
    <w:p w14:paraId="3D1681E4" w14:textId="2BE86B6B"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 xml:space="preserve">The objective of the investment is to assess the resilience in an earthquake of various critical buildings </w:t>
      </w:r>
      <w:r w:rsidR="00AF2390" w:rsidRPr="00DE4E4F">
        <w:rPr>
          <w:rFonts w:ascii="Times New Roman" w:hAnsi="Times New Roman"/>
          <w:noProof/>
          <w:sz w:val="24"/>
        </w:rPr>
        <w:t>and sport</w:t>
      </w:r>
      <w:r w:rsidR="00D516FB" w:rsidRPr="00DE4E4F">
        <w:rPr>
          <w:rFonts w:ascii="Times New Roman" w:hAnsi="Times New Roman"/>
          <w:noProof/>
          <w:sz w:val="24"/>
        </w:rPr>
        <w:t>s</w:t>
      </w:r>
      <w:r w:rsidR="00AF2390" w:rsidRPr="00DE4E4F">
        <w:rPr>
          <w:rFonts w:ascii="Times New Roman" w:hAnsi="Times New Roman"/>
          <w:noProof/>
          <w:sz w:val="24"/>
        </w:rPr>
        <w:t xml:space="preserve"> facilities </w:t>
      </w:r>
      <w:r w:rsidRPr="00DE4E4F">
        <w:rPr>
          <w:rFonts w:ascii="Times New Roman" w:hAnsi="Times New Roman"/>
          <w:noProof/>
          <w:sz w:val="24"/>
        </w:rPr>
        <w:t>in the country. The measure consists of</w:t>
      </w:r>
      <w:r w:rsidR="003D231E" w:rsidRPr="00DE4E4F">
        <w:rPr>
          <w:rFonts w:ascii="Times New Roman" w:hAnsi="Times New Roman"/>
          <w:noProof/>
          <w:sz w:val="24"/>
        </w:rPr>
        <w:t xml:space="preserve"> issuance of primary inspection certificates for buildings or sports facilities</w:t>
      </w:r>
      <w:r w:rsidRPr="00DE4E4F">
        <w:rPr>
          <w:rFonts w:ascii="Times New Roman" w:hAnsi="Times New Roman"/>
          <w:noProof/>
          <w:sz w:val="24"/>
        </w:rPr>
        <w:t xml:space="preserve">. </w:t>
      </w:r>
    </w:p>
    <w:p w14:paraId="2381D08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Development Program for Local Government “Antonis Tritsis” (measure ID: 16404)</w:t>
      </w:r>
    </w:p>
    <w:p w14:paraId="4628EC69"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this investment is to support urban development, climate resilience and the green transition of Greek municipalities. </w:t>
      </w:r>
    </w:p>
    <w:p w14:paraId="2B02422D"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investment consists of public space interventions in urban areas, flood mitigation works, purchase of electric vehicles and installation of charging infrastructure, and investments in urban drinking water and wastewater infrastructures.</w:t>
      </w:r>
    </w:p>
    <w:p w14:paraId="10B17D82" w14:textId="77777777" w:rsidR="001B186F" w:rsidRPr="00DE4E4F" w:rsidRDefault="001B186F">
      <w:pPr>
        <w:spacing w:before="120" w:after="120" w:line="240" w:lineRule="auto"/>
        <w:jc w:val="both"/>
        <w:rPr>
          <w:rFonts w:ascii="Times New Roman" w:hAnsi="Times New Roman"/>
          <w:noProof/>
          <w:sz w:val="24"/>
          <w:szCs w:val="24"/>
        </w:rPr>
        <w:sectPr w:rsidR="001B186F" w:rsidRPr="00DE4E4F">
          <w:headerReference w:type="even" r:id="rId96"/>
          <w:headerReference w:type="default" r:id="rId97"/>
          <w:footerReference w:type="even" r:id="rId98"/>
          <w:footerReference w:type="default" r:id="rId99"/>
          <w:headerReference w:type="first" r:id="rId100"/>
          <w:footerReference w:type="first" r:id="rId101"/>
          <w:pgSz w:w="11906" w:h="16838"/>
          <w:pgMar w:top="1134" w:right="1134" w:bottom="1134" w:left="1134" w:header="567" w:footer="567" w:gutter="0"/>
          <w:cols w:space="708"/>
          <w:docGrid w:linePitch="360"/>
        </w:sectPr>
      </w:pPr>
    </w:p>
    <w:p w14:paraId="0428B0CF" w14:textId="77777777" w:rsidR="001B186F" w:rsidRPr="00DE4E4F" w:rsidRDefault="0074517F">
      <w:pPr>
        <w:keepNext/>
        <w:keepLines/>
        <w:spacing w:before="40" w:after="0" w:line="240" w:lineRule="auto"/>
        <w:jc w:val="both"/>
        <w:outlineLvl w:val="4"/>
        <w:rPr>
          <w:rFonts w:ascii="Times New Roman" w:hAnsi="Times New Roman"/>
          <w:b/>
          <w:noProof/>
          <w:sz w:val="24"/>
          <w:u w:val="single"/>
        </w:rPr>
      </w:pPr>
      <w:r w:rsidRPr="00DE4E4F">
        <w:rPr>
          <w:rFonts w:ascii="Times New Roman" w:hAnsi="Times New Roman"/>
          <w:b/>
          <w:noProof/>
          <w:sz w:val="24"/>
          <w:u w:val="single"/>
        </w:rPr>
        <w:t>D.2. Milestones, targets, indicators, and timetable for monitoring and implementation for non-repayable financial support</w:t>
      </w:r>
    </w:p>
    <w:p w14:paraId="28139ABD"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Key reform 4: Waste management and water reform for sustainable use of resource</w:t>
      </w:r>
    </w:p>
    <w:tbl>
      <w:tblPr>
        <w:tblW w:w="15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953"/>
        <w:gridCol w:w="1162"/>
        <w:gridCol w:w="1190"/>
        <w:gridCol w:w="1468"/>
        <w:gridCol w:w="1031"/>
        <w:gridCol w:w="857"/>
        <w:gridCol w:w="844"/>
        <w:gridCol w:w="851"/>
        <w:gridCol w:w="709"/>
        <w:gridCol w:w="5019"/>
      </w:tblGrid>
      <w:tr w:rsidR="00682269" w:rsidRPr="00DE4E4F" w14:paraId="35275E89" w14:textId="77777777" w:rsidTr="00897F7F">
        <w:trPr>
          <w:trHeight w:val="927"/>
          <w:tblHeader/>
          <w:jc w:val="center"/>
        </w:trPr>
        <w:tc>
          <w:tcPr>
            <w:tcW w:w="675" w:type="dxa"/>
            <w:vMerge w:val="restart"/>
            <w:shd w:val="clear" w:color="auto" w:fill="BDD7EE"/>
            <w:vAlign w:val="center"/>
            <w:hideMark/>
          </w:tcPr>
          <w:p w14:paraId="13241E94"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w:t>
            </w:r>
            <w:r w:rsidRPr="00DE4E4F">
              <w:rPr>
                <w:rFonts w:ascii="Times New Roman" w:hAnsi="Times New Roman"/>
                <w:b/>
                <w:noProof/>
                <w:sz w:val="18"/>
              </w:rPr>
              <w:br/>
              <w:t>No.</w:t>
            </w:r>
          </w:p>
        </w:tc>
        <w:tc>
          <w:tcPr>
            <w:tcW w:w="1953" w:type="dxa"/>
            <w:vMerge w:val="restart"/>
            <w:shd w:val="clear" w:color="auto" w:fill="BDD7EE"/>
            <w:vAlign w:val="center"/>
            <w:hideMark/>
          </w:tcPr>
          <w:p w14:paraId="6BB5C60A"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62" w:type="dxa"/>
            <w:vMerge w:val="restart"/>
            <w:shd w:val="clear" w:color="auto" w:fill="BDD7EE"/>
            <w:vAlign w:val="center"/>
            <w:hideMark/>
          </w:tcPr>
          <w:p w14:paraId="377B6944"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90" w:type="dxa"/>
            <w:vMerge w:val="restart"/>
            <w:shd w:val="clear" w:color="auto" w:fill="BDD7EE"/>
            <w:vAlign w:val="center"/>
            <w:hideMark/>
          </w:tcPr>
          <w:p w14:paraId="14822475"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68" w:type="dxa"/>
            <w:vMerge w:val="restart"/>
            <w:shd w:val="clear" w:color="auto" w:fill="BDD7EE"/>
            <w:vAlign w:val="center"/>
            <w:hideMark/>
          </w:tcPr>
          <w:p w14:paraId="5FBD4C4E"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732" w:type="dxa"/>
            <w:gridSpan w:val="3"/>
            <w:shd w:val="clear" w:color="auto" w:fill="BDD7EE"/>
            <w:vAlign w:val="center"/>
            <w:hideMark/>
          </w:tcPr>
          <w:p w14:paraId="7C254830"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560" w:type="dxa"/>
            <w:gridSpan w:val="2"/>
            <w:shd w:val="clear" w:color="auto" w:fill="BDD7EE"/>
            <w:vAlign w:val="center"/>
            <w:hideMark/>
          </w:tcPr>
          <w:p w14:paraId="3D4F634E"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5019" w:type="dxa"/>
            <w:vMerge w:val="restart"/>
            <w:shd w:val="clear" w:color="auto" w:fill="BDD7EE"/>
            <w:vAlign w:val="center"/>
            <w:hideMark/>
          </w:tcPr>
          <w:p w14:paraId="29A18992"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4CDC1DC3" w14:textId="77777777" w:rsidTr="00897F7F">
        <w:trPr>
          <w:trHeight w:val="479"/>
          <w:tblHeader/>
          <w:jc w:val="center"/>
        </w:trPr>
        <w:tc>
          <w:tcPr>
            <w:tcW w:w="675" w:type="dxa"/>
            <w:vMerge/>
            <w:vAlign w:val="center"/>
            <w:hideMark/>
          </w:tcPr>
          <w:p w14:paraId="426285F6"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953" w:type="dxa"/>
            <w:vMerge/>
            <w:vAlign w:val="center"/>
            <w:hideMark/>
          </w:tcPr>
          <w:p w14:paraId="58BA0030"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162" w:type="dxa"/>
            <w:vMerge/>
            <w:vAlign w:val="center"/>
            <w:hideMark/>
          </w:tcPr>
          <w:p w14:paraId="72A618C3"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190" w:type="dxa"/>
            <w:vMerge/>
            <w:vAlign w:val="center"/>
            <w:hideMark/>
          </w:tcPr>
          <w:p w14:paraId="6910DD2F"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468" w:type="dxa"/>
            <w:vMerge/>
            <w:vAlign w:val="center"/>
            <w:hideMark/>
          </w:tcPr>
          <w:p w14:paraId="47024717"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031" w:type="dxa"/>
            <w:shd w:val="clear" w:color="auto" w:fill="BDD7EE"/>
            <w:vAlign w:val="center"/>
            <w:hideMark/>
          </w:tcPr>
          <w:p w14:paraId="3D6E103A"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427156DD"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44" w:type="dxa"/>
            <w:shd w:val="clear" w:color="auto" w:fill="BDD7EE"/>
            <w:vAlign w:val="center"/>
            <w:hideMark/>
          </w:tcPr>
          <w:p w14:paraId="111E354E"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51" w:type="dxa"/>
            <w:shd w:val="clear" w:color="auto" w:fill="BDD7EE"/>
            <w:vAlign w:val="center"/>
            <w:hideMark/>
          </w:tcPr>
          <w:p w14:paraId="4EEF9CB8"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595C1F33"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5019" w:type="dxa"/>
            <w:vMerge/>
            <w:vAlign w:val="center"/>
            <w:hideMark/>
          </w:tcPr>
          <w:p w14:paraId="3E25D7FF"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r>
      <w:tr w:rsidR="00682269" w:rsidRPr="00DE4E4F" w14:paraId="73DC4C71" w14:textId="77777777" w:rsidTr="00897F7F">
        <w:trPr>
          <w:trHeight w:val="309"/>
          <w:jc w:val="center"/>
        </w:trPr>
        <w:tc>
          <w:tcPr>
            <w:tcW w:w="675" w:type="dxa"/>
            <w:shd w:val="clear" w:color="auto" w:fill="C6EFCE"/>
            <w:noWrap/>
          </w:tcPr>
          <w:p w14:paraId="336EB0A9"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56</w:t>
            </w:r>
          </w:p>
        </w:tc>
        <w:tc>
          <w:tcPr>
            <w:tcW w:w="1953" w:type="dxa"/>
            <w:shd w:val="clear" w:color="auto" w:fill="C6EFCE"/>
            <w:noWrap/>
          </w:tcPr>
          <w:p w14:paraId="387C0FAC"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- 16772_Waste management law for the implementation of sustainable landfilling and recycling</w:t>
            </w:r>
          </w:p>
        </w:tc>
        <w:tc>
          <w:tcPr>
            <w:tcW w:w="1162" w:type="dxa"/>
            <w:shd w:val="clear" w:color="auto" w:fill="C6EFCE"/>
            <w:noWrap/>
          </w:tcPr>
          <w:p w14:paraId="0A720FE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54D7EEC6"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waste management law</w:t>
            </w:r>
          </w:p>
        </w:tc>
        <w:tc>
          <w:tcPr>
            <w:tcW w:w="1468" w:type="dxa"/>
            <w:shd w:val="clear" w:color="auto" w:fill="C6EFCE"/>
            <w:noWrap/>
          </w:tcPr>
          <w:p w14:paraId="7AEFF91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1031" w:type="dxa"/>
            <w:shd w:val="clear" w:color="auto" w:fill="C6EFCE"/>
            <w:noWrap/>
          </w:tcPr>
          <w:p w14:paraId="63330AE4"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3835C7A3"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023886E5"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D9BA807"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6789EE28"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5019" w:type="dxa"/>
            <w:shd w:val="clear" w:color="auto" w:fill="C6EFCE"/>
            <w:noWrap/>
          </w:tcPr>
          <w:p w14:paraId="31826EAA"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law for recycling and landfilling as well as the introduction of incentives for municipalities to achieve high rates of reuse and recycling and the implementation of a landfill tax. The landfilling tax shall be applied as of the first quarter of 2022 and the tariffs shall progressively increase until they reach the upper threshold of the landfilling tax by the third quarter of 2024.</w:t>
            </w:r>
          </w:p>
        </w:tc>
      </w:tr>
      <w:tr w:rsidR="00682269" w:rsidRPr="00DE4E4F" w14:paraId="3953229D" w14:textId="77777777" w:rsidTr="00897F7F">
        <w:trPr>
          <w:trHeight w:val="309"/>
          <w:jc w:val="center"/>
        </w:trPr>
        <w:tc>
          <w:tcPr>
            <w:tcW w:w="675" w:type="dxa"/>
            <w:shd w:val="clear" w:color="auto" w:fill="C6EFCE"/>
            <w:noWrap/>
          </w:tcPr>
          <w:p w14:paraId="656D7F56"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57</w:t>
            </w:r>
          </w:p>
        </w:tc>
        <w:tc>
          <w:tcPr>
            <w:tcW w:w="1953" w:type="dxa"/>
            <w:shd w:val="clear" w:color="auto" w:fill="C6EFCE"/>
            <w:noWrap/>
          </w:tcPr>
          <w:p w14:paraId="34BB02D9"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- 16772_Waste management law for the implementation of sustainable landfilling and recycling</w:t>
            </w:r>
          </w:p>
        </w:tc>
        <w:tc>
          <w:tcPr>
            <w:tcW w:w="1162" w:type="dxa"/>
            <w:shd w:val="clear" w:color="auto" w:fill="C6EFCE"/>
            <w:noWrap/>
          </w:tcPr>
          <w:p w14:paraId="05691B4C"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2C48EBA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waste management regulator law</w:t>
            </w:r>
          </w:p>
        </w:tc>
        <w:tc>
          <w:tcPr>
            <w:tcW w:w="1468" w:type="dxa"/>
            <w:shd w:val="clear" w:color="auto" w:fill="C6EFCE"/>
            <w:noWrap/>
          </w:tcPr>
          <w:p w14:paraId="04846219"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w:t>
            </w:r>
          </w:p>
        </w:tc>
        <w:tc>
          <w:tcPr>
            <w:tcW w:w="1031" w:type="dxa"/>
            <w:shd w:val="clear" w:color="auto" w:fill="C6EFCE"/>
            <w:noWrap/>
          </w:tcPr>
          <w:p w14:paraId="65B40E0E"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78C1909"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64A941F6"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C547673"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5F50EBD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5019" w:type="dxa"/>
            <w:shd w:val="clear" w:color="auto" w:fill="C6EFCE"/>
            <w:noWrap/>
          </w:tcPr>
          <w:p w14:paraId="3E73D385" w14:textId="77777777" w:rsidR="001B186F" w:rsidRPr="00DE4E4F" w:rsidRDefault="0074517F" w:rsidP="00897F7F">
            <w:pPr>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law to:</w:t>
            </w:r>
          </w:p>
          <w:p w14:paraId="7C86754C" w14:textId="77777777" w:rsidR="001B186F" w:rsidRPr="00DE4E4F" w:rsidRDefault="0074517F" w:rsidP="00897F7F">
            <w:pPr>
              <w:numPr>
                <w:ilvl w:val="0"/>
                <w:numId w:val="27"/>
              </w:numPr>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set-up a National Waste Regulatory Authority, its operation and its responsibilities;</w:t>
            </w:r>
          </w:p>
          <w:p w14:paraId="4D4ED899" w14:textId="77777777" w:rsidR="001B186F" w:rsidRPr="00DE4E4F" w:rsidRDefault="0074517F" w:rsidP="00897F7F">
            <w:pPr>
              <w:numPr>
                <w:ilvl w:val="0"/>
                <w:numId w:val="27"/>
              </w:numPr>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Reform of the regional and local waste management bodies (FOSDA); and</w:t>
            </w:r>
          </w:p>
          <w:p w14:paraId="64D84650" w14:textId="77777777" w:rsidR="001B186F" w:rsidRPr="00DE4E4F" w:rsidRDefault="0074517F" w:rsidP="00897F7F">
            <w:pPr>
              <w:numPr>
                <w:ilvl w:val="0"/>
                <w:numId w:val="27"/>
              </w:numPr>
              <w:spacing w:after="0" w:line="240" w:lineRule="auto"/>
              <w:jc w:val="both"/>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Introduce sound costing and pricing policies in line with “pay as you throw” and “polluter pays” principles.</w:t>
            </w:r>
          </w:p>
          <w:p w14:paraId="580E5802" w14:textId="77777777" w:rsidR="001B186F" w:rsidRPr="00DE4E4F" w:rsidRDefault="001B186F" w:rsidP="00897F7F">
            <w:pPr>
              <w:spacing w:after="0" w:line="240" w:lineRule="auto"/>
              <w:ind w:left="720"/>
              <w:jc w:val="both"/>
              <w:rPr>
                <w:rFonts w:ascii="Times New Roman" w:hAnsi="Times New Roman" w:cs="Times New Roman"/>
                <w:noProof/>
                <w:color w:val="006100"/>
                <w:sz w:val="18"/>
                <w:szCs w:val="18"/>
              </w:rPr>
            </w:pPr>
          </w:p>
        </w:tc>
      </w:tr>
      <w:tr w:rsidR="00682269" w:rsidRPr="00DE4E4F" w14:paraId="4AACF50D" w14:textId="77777777" w:rsidTr="00897F7F">
        <w:trPr>
          <w:trHeight w:val="309"/>
          <w:jc w:val="center"/>
        </w:trPr>
        <w:tc>
          <w:tcPr>
            <w:tcW w:w="675" w:type="dxa"/>
            <w:shd w:val="clear" w:color="auto" w:fill="C6EFCE"/>
            <w:noWrap/>
          </w:tcPr>
          <w:p w14:paraId="4563AB5D"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58</w:t>
            </w:r>
          </w:p>
        </w:tc>
        <w:tc>
          <w:tcPr>
            <w:tcW w:w="1953" w:type="dxa"/>
            <w:shd w:val="clear" w:color="auto" w:fill="C6EFCE"/>
            <w:noWrap/>
          </w:tcPr>
          <w:p w14:paraId="1BB1EFD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- 16979_Establishment of new water and wastewater regulatory authority</w:t>
            </w:r>
          </w:p>
        </w:tc>
        <w:tc>
          <w:tcPr>
            <w:tcW w:w="1162" w:type="dxa"/>
            <w:shd w:val="clear" w:color="auto" w:fill="C6EFCE"/>
            <w:noWrap/>
          </w:tcPr>
          <w:p w14:paraId="144A076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770A0800"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water regulator law</w:t>
            </w:r>
          </w:p>
        </w:tc>
        <w:tc>
          <w:tcPr>
            <w:tcW w:w="1468" w:type="dxa"/>
            <w:shd w:val="clear" w:color="auto" w:fill="C6EFCE"/>
            <w:noWrap/>
          </w:tcPr>
          <w:p w14:paraId="56E1DA3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w:t>
            </w:r>
          </w:p>
        </w:tc>
        <w:tc>
          <w:tcPr>
            <w:tcW w:w="1031" w:type="dxa"/>
            <w:shd w:val="clear" w:color="auto" w:fill="C6EFCE"/>
            <w:noWrap/>
          </w:tcPr>
          <w:p w14:paraId="317C5CBF"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AFEE827"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701CCEB2"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C327B27"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7AB3DA4"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5019" w:type="dxa"/>
            <w:shd w:val="clear" w:color="auto" w:fill="C6EFCE"/>
            <w:noWrap/>
          </w:tcPr>
          <w:p w14:paraId="5F689870"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law for the establishment and the operation of a new Water and Wastewater Regulatory Authority.</w:t>
            </w:r>
          </w:p>
        </w:tc>
      </w:tr>
      <w:tr w:rsidR="00682269" w:rsidRPr="00DE4E4F" w14:paraId="7AC514A4" w14:textId="77777777" w:rsidTr="00897F7F">
        <w:trPr>
          <w:trHeight w:val="309"/>
          <w:jc w:val="center"/>
        </w:trPr>
        <w:tc>
          <w:tcPr>
            <w:tcW w:w="675" w:type="dxa"/>
            <w:shd w:val="clear" w:color="auto" w:fill="C6EFCE"/>
            <w:noWrap/>
          </w:tcPr>
          <w:p w14:paraId="6841D0EE"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59</w:t>
            </w:r>
          </w:p>
        </w:tc>
        <w:tc>
          <w:tcPr>
            <w:tcW w:w="1953" w:type="dxa"/>
            <w:shd w:val="clear" w:color="auto" w:fill="C6EFCE"/>
            <w:noWrap/>
          </w:tcPr>
          <w:p w14:paraId="3FF9392A"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- 16772_Waste management law for the implementation of sustainable landfilling and recycling</w:t>
            </w:r>
          </w:p>
        </w:tc>
        <w:tc>
          <w:tcPr>
            <w:tcW w:w="1162" w:type="dxa"/>
            <w:shd w:val="clear" w:color="auto" w:fill="C6EFCE"/>
            <w:noWrap/>
          </w:tcPr>
          <w:p w14:paraId="5712E004"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0A28D88A"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Set-up and functioning of the waste management regulator</w:t>
            </w:r>
          </w:p>
        </w:tc>
        <w:tc>
          <w:tcPr>
            <w:tcW w:w="1468" w:type="dxa"/>
            <w:shd w:val="clear" w:color="auto" w:fill="C6EFCE"/>
            <w:noWrap/>
          </w:tcPr>
          <w:p w14:paraId="5C07ECDD"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Joint Ministerial Decision and all necessary administrative and legislative measures for setting up the Authority </w:t>
            </w:r>
          </w:p>
        </w:tc>
        <w:tc>
          <w:tcPr>
            <w:tcW w:w="1031" w:type="dxa"/>
            <w:shd w:val="clear" w:color="auto" w:fill="C6EFCE"/>
            <w:noWrap/>
          </w:tcPr>
          <w:p w14:paraId="3716C61C"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FBAE241"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3F86DFC2"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3442F0F7"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0723054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5019" w:type="dxa"/>
            <w:shd w:val="clear" w:color="auto" w:fill="C6EFCE"/>
            <w:noWrap/>
          </w:tcPr>
          <w:p w14:paraId="658D5A10"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new National Waste Regulatory Authority is staffed and equipped with premises.</w:t>
            </w:r>
          </w:p>
        </w:tc>
      </w:tr>
      <w:tr w:rsidR="00682269" w:rsidRPr="00DE4E4F" w14:paraId="137C185B" w14:textId="77777777" w:rsidTr="00897F7F">
        <w:trPr>
          <w:trHeight w:val="309"/>
          <w:jc w:val="center"/>
        </w:trPr>
        <w:tc>
          <w:tcPr>
            <w:tcW w:w="675" w:type="dxa"/>
            <w:shd w:val="clear" w:color="auto" w:fill="C6EFCE"/>
            <w:noWrap/>
          </w:tcPr>
          <w:p w14:paraId="75B5C8F1" w14:textId="7777777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59a</w:t>
            </w:r>
          </w:p>
        </w:tc>
        <w:tc>
          <w:tcPr>
            <w:tcW w:w="1953" w:type="dxa"/>
            <w:shd w:val="clear" w:color="auto" w:fill="C6EFCE"/>
            <w:noWrap/>
          </w:tcPr>
          <w:p w14:paraId="59EABF02" w14:textId="7777777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- 16772_Waste management law for sustainable landfilling and recycling</w:t>
            </w:r>
          </w:p>
        </w:tc>
        <w:tc>
          <w:tcPr>
            <w:tcW w:w="1162" w:type="dxa"/>
            <w:shd w:val="clear" w:color="auto" w:fill="C6EFCE"/>
            <w:noWrap/>
          </w:tcPr>
          <w:p w14:paraId="1DAE9A80" w14:textId="7777777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4E69F41F" w14:textId="1CCC006B" w:rsidR="001B186F" w:rsidRPr="00DE4E4F" w:rsidRDefault="1BBEC17D" w:rsidP="00897F7F">
            <w:pPr>
              <w:spacing w:after="0" w:line="240" w:lineRule="auto"/>
              <w:rPr>
                <w:rFonts w:ascii="Times New Roman" w:eastAsiaTheme="minorEastAsia"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Assessment of the Managerial adequacy </w:t>
            </w:r>
            <w:r w:rsidR="0074517F" w:rsidRPr="00DE4E4F">
              <w:rPr>
                <w:rFonts w:ascii="Times New Roman" w:eastAsia="Times New Roman" w:hAnsi="Times New Roman" w:cs="Times New Roman"/>
                <w:noProof/>
                <w:color w:val="006100"/>
                <w:sz w:val="18"/>
                <w:szCs w:val="18"/>
              </w:rPr>
              <w:t>of the solid waste</w:t>
            </w:r>
            <w:r w:rsidR="0074517F" w:rsidRPr="00DE4E4F">
              <w:rPr>
                <w:rFonts w:ascii="Times New Roman" w:hAnsi="Times New Roman" w:cs="Times New Roman"/>
                <w:noProof/>
                <w:color w:val="006100"/>
                <w:sz w:val="18"/>
                <w:szCs w:val="18"/>
              </w:rPr>
              <w:t xml:space="preserve"> management bodies (FODSAs) by the Regulatory Authority</w:t>
            </w:r>
          </w:p>
        </w:tc>
        <w:tc>
          <w:tcPr>
            <w:tcW w:w="1468" w:type="dxa"/>
            <w:shd w:val="clear" w:color="auto" w:fill="C6EFCE"/>
            <w:noWrap/>
          </w:tcPr>
          <w:p w14:paraId="51C71803" w14:textId="71030F7A" w:rsidR="001B186F" w:rsidRPr="00DE4E4F" w:rsidRDefault="77D5A960" w:rsidP="00897F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14 annual decisions on the managerial adequacy of the Greek </w:t>
            </w:r>
            <w:r w:rsidR="0074517F" w:rsidRPr="00DE4E4F">
              <w:rPr>
                <w:rFonts w:ascii="Times New Roman" w:eastAsia="Times New Roman" w:hAnsi="Times New Roman" w:cs="Times New Roman"/>
                <w:noProof/>
                <w:color w:val="006100"/>
                <w:sz w:val="18"/>
                <w:szCs w:val="18"/>
              </w:rPr>
              <w:t>solid waste management bodies (FODSAs) by the Regulatory Authority for Waste, Energy and Water (RAAEY)</w:t>
            </w:r>
            <w:r w:rsidR="40A43722" w:rsidRPr="00DE4E4F">
              <w:rPr>
                <w:rFonts w:ascii="Times New Roman" w:eastAsia="Times New Roman" w:hAnsi="Times New Roman" w:cs="Times New Roman"/>
                <w:noProof/>
                <w:color w:val="006100"/>
                <w:sz w:val="18"/>
                <w:szCs w:val="18"/>
              </w:rPr>
              <w:t xml:space="preserve"> for the year 2026</w:t>
            </w:r>
          </w:p>
        </w:tc>
        <w:tc>
          <w:tcPr>
            <w:tcW w:w="1031" w:type="dxa"/>
            <w:shd w:val="clear" w:color="auto" w:fill="C6EFCE"/>
            <w:noWrap/>
          </w:tcPr>
          <w:p w14:paraId="5DF10142"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1CA1679"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40CCDD19"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E4AEA52" w14:textId="7777777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B0BF4EC" w14:textId="7777777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019" w:type="dxa"/>
            <w:shd w:val="clear" w:color="auto" w:fill="C6EFCE"/>
            <w:noWrap/>
          </w:tcPr>
          <w:p w14:paraId="44BFF739" w14:textId="5BF3E682"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The Regulatory Authority for Waste, Energy and Water (RAAEY) </w:t>
            </w:r>
            <w:r w:rsidR="3BCFA1E5" w:rsidRPr="00DE4E4F">
              <w:rPr>
                <w:rFonts w:ascii="Times New Roman" w:eastAsia="Times New Roman" w:hAnsi="Times New Roman" w:cs="Times New Roman"/>
                <w:noProof/>
                <w:color w:val="006100"/>
                <w:sz w:val="18"/>
                <w:szCs w:val="18"/>
              </w:rPr>
              <w:t>shall</w:t>
            </w:r>
            <w:r w:rsidRPr="00DE4E4F">
              <w:rPr>
                <w:rFonts w:ascii="Times New Roman" w:eastAsia="Times New Roman" w:hAnsi="Times New Roman" w:cs="Times New Roman"/>
                <w:noProof/>
                <w:color w:val="006100"/>
                <w:sz w:val="18"/>
                <w:szCs w:val="18"/>
              </w:rPr>
              <w:t xml:space="preserve"> </w:t>
            </w:r>
            <w:r w:rsidR="281FEBD3" w:rsidRPr="00DE4E4F">
              <w:rPr>
                <w:rFonts w:ascii="Times New Roman" w:eastAsia="Times New Roman" w:hAnsi="Times New Roman" w:cs="Times New Roman"/>
                <w:noProof/>
                <w:color w:val="006100"/>
                <w:sz w:val="18"/>
                <w:szCs w:val="18"/>
              </w:rPr>
              <w:t>issue 14 individual decisions, each confirming the managerial adequacy of</w:t>
            </w:r>
            <w:r w:rsidR="00102608" w:rsidRPr="00DE4E4F">
              <w:rPr>
                <w:rFonts w:ascii="Times New Roman" w:eastAsia="Times New Roman" w:hAnsi="Times New Roman" w:cs="Times New Roman"/>
                <w:noProof/>
                <w:color w:val="006100"/>
                <w:sz w:val="18"/>
                <w:szCs w:val="18"/>
              </w:rPr>
              <w:t xml:space="preserve"> </w:t>
            </w:r>
            <w:r w:rsidR="4456C5A5" w:rsidRPr="00DE4E4F">
              <w:rPr>
                <w:rFonts w:ascii="Times New Roman" w:eastAsia="Times New Roman" w:hAnsi="Times New Roman" w:cs="Times New Roman"/>
                <w:noProof/>
                <w:color w:val="006100"/>
                <w:sz w:val="18"/>
                <w:szCs w:val="18"/>
              </w:rPr>
              <w:t xml:space="preserve">one </w:t>
            </w:r>
            <w:r w:rsidR="281FEBD3" w:rsidRPr="00DE4E4F">
              <w:rPr>
                <w:rFonts w:ascii="Times New Roman" w:eastAsia="Times New Roman" w:hAnsi="Times New Roman" w:cs="Times New Roman"/>
                <w:noProof/>
                <w:color w:val="006100"/>
                <w:sz w:val="18"/>
                <w:szCs w:val="18"/>
              </w:rPr>
              <w:t xml:space="preserve">of </w:t>
            </w:r>
            <w:r w:rsidRPr="00DE4E4F">
              <w:rPr>
                <w:rFonts w:ascii="Times New Roman" w:eastAsia="Times New Roman" w:hAnsi="Times New Roman" w:cs="Times New Roman"/>
                <w:noProof/>
                <w:color w:val="006100"/>
                <w:sz w:val="18"/>
                <w:szCs w:val="18"/>
              </w:rPr>
              <w:t>the 14 solid waste management bodies of Greece (FODSAs) in accordance with</w:t>
            </w:r>
            <w:r w:rsidR="55B7CD32" w:rsidRPr="00DE4E4F">
              <w:rPr>
                <w:rFonts w:ascii="Times New Roman" w:eastAsia="Times New Roman" w:hAnsi="Times New Roman" w:cs="Times New Roman"/>
                <w:noProof/>
                <w:color w:val="006100"/>
                <w:sz w:val="18"/>
                <w:szCs w:val="18"/>
              </w:rPr>
              <w:t xml:space="preserve"> the annual assessment requirements under</w:t>
            </w:r>
            <w:r w:rsidRPr="00DE4E4F">
              <w:rPr>
                <w:rFonts w:ascii="Times New Roman" w:eastAsia="Times New Roman" w:hAnsi="Times New Roman" w:cs="Times New Roman"/>
                <w:noProof/>
                <w:color w:val="006100"/>
                <w:sz w:val="18"/>
                <w:szCs w:val="18"/>
              </w:rPr>
              <w:t xml:space="preserve"> the National legislation.</w:t>
            </w:r>
          </w:p>
        </w:tc>
      </w:tr>
      <w:tr w:rsidR="00682269" w:rsidRPr="00DE4E4F" w14:paraId="3A7223F1" w14:textId="77777777" w:rsidTr="00897F7F">
        <w:trPr>
          <w:trHeight w:val="309"/>
          <w:jc w:val="center"/>
        </w:trPr>
        <w:tc>
          <w:tcPr>
            <w:tcW w:w="675" w:type="dxa"/>
            <w:shd w:val="clear" w:color="auto" w:fill="C6EFCE"/>
            <w:noWrap/>
          </w:tcPr>
          <w:p w14:paraId="1ABF1BF3"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60</w:t>
            </w:r>
          </w:p>
        </w:tc>
        <w:tc>
          <w:tcPr>
            <w:tcW w:w="1953" w:type="dxa"/>
            <w:shd w:val="clear" w:color="auto" w:fill="C6EFCE"/>
            <w:noWrap/>
          </w:tcPr>
          <w:p w14:paraId="309FF84B"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- 16979_Establishment of new water and wastewater regulatory authority</w:t>
            </w:r>
          </w:p>
        </w:tc>
        <w:tc>
          <w:tcPr>
            <w:tcW w:w="1162" w:type="dxa"/>
            <w:shd w:val="clear" w:color="auto" w:fill="C6EFCE"/>
            <w:noWrap/>
          </w:tcPr>
          <w:p w14:paraId="040525DF"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548AA09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Set-up and functioning of the water management regulator</w:t>
            </w:r>
          </w:p>
        </w:tc>
        <w:tc>
          <w:tcPr>
            <w:tcW w:w="1468" w:type="dxa"/>
            <w:shd w:val="clear" w:color="auto" w:fill="C6EFCE"/>
            <w:noWrap/>
          </w:tcPr>
          <w:p w14:paraId="653EE298"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Joint Ministerial Decision and all necessary administrative and legislative measures for setting up the Authority </w:t>
            </w:r>
          </w:p>
        </w:tc>
        <w:tc>
          <w:tcPr>
            <w:tcW w:w="1031" w:type="dxa"/>
            <w:shd w:val="clear" w:color="auto" w:fill="C6EFCE"/>
            <w:noWrap/>
          </w:tcPr>
          <w:p w14:paraId="3887CE17"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CFA1F46"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328E8EE1"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220C2E66"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485CBEAB"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5019" w:type="dxa"/>
            <w:shd w:val="clear" w:color="auto" w:fill="C6EFCE"/>
            <w:noWrap/>
          </w:tcPr>
          <w:p w14:paraId="290B882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new National Water and Wastewater Regulatory Authority is staffed and equipped with premises.</w:t>
            </w:r>
          </w:p>
        </w:tc>
      </w:tr>
      <w:tr w:rsidR="00682269" w:rsidRPr="00DE4E4F" w14:paraId="745E33A4" w14:textId="77777777" w:rsidTr="00897F7F">
        <w:trPr>
          <w:trHeight w:val="300"/>
          <w:jc w:val="center"/>
        </w:trPr>
        <w:tc>
          <w:tcPr>
            <w:tcW w:w="675" w:type="dxa"/>
            <w:shd w:val="clear" w:color="auto" w:fill="C6EFCE"/>
            <w:noWrap/>
          </w:tcPr>
          <w:p w14:paraId="47D9B91B" w14:textId="77777777" w:rsidR="001B186F" w:rsidRPr="00DE4E4F" w:rsidRDefault="0074517F"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316</w:t>
            </w:r>
          </w:p>
        </w:tc>
        <w:tc>
          <w:tcPr>
            <w:tcW w:w="1953" w:type="dxa"/>
            <w:shd w:val="clear" w:color="auto" w:fill="C6EFCE"/>
            <w:noWrap/>
          </w:tcPr>
          <w:p w14:paraId="069F1183" w14:textId="77777777" w:rsidR="001B186F" w:rsidRPr="00DE4E4F" w:rsidRDefault="0074517F"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16285_National Water Strategy</w:t>
            </w:r>
          </w:p>
        </w:tc>
        <w:tc>
          <w:tcPr>
            <w:tcW w:w="1162" w:type="dxa"/>
            <w:shd w:val="clear" w:color="auto" w:fill="C6EFCE"/>
            <w:noWrap/>
          </w:tcPr>
          <w:p w14:paraId="1F6F73C2" w14:textId="77777777" w:rsidR="001B186F" w:rsidRPr="00DE4E4F" w:rsidRDefault="0074517F"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90" w:type="dxa"/>
            <w:shd w:val="clear" w:color="auto" w:fill="C6EFCE"/>
            <w:noWrap/>
          </w:tcPr>
          <w:p w14:paraId="11B8908D" w14:textId="77777777" w:rsidR="001B186F" w:rsidRPr="00DE4E4F" w:rsidRDefault="0074517F" w:rsidP="00897F7F">
            <w:pPr>
              <w:spacing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National Water Strategy, and expansion of responsibilities of two water utilities</w:t>
            </w:r>
          </w:p>
        </w:tc>
        <w:tc>
          <w:tcPr>
            <w:tcW w:w="1468" w:type="dxa"/>
            <w:shd w:val="clear" w:color="auto" w:fill="C6EFCE"/>
            <w:noWrap/>
          </w:tcPr>
          <w:p w14:paraId="1B0B3735" w14:textId="0070DA66"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Entry into force of legal acts for the adoption of the National Water Strategy and the expansion of the responsibilities of EYDAP (Athens water supply and sewage Company) and EYATH (Thessaloniki water supply and sewage Company)</w:t>
            </w:r>
          </w:p>
        </w:tc>
        <w:tc>
          <w:tcPr>
            <w:tcW w:w="1031" w:type="dxa"/>
            <w:shd w:val="clear" w:color="auto" w:fill="C6EFCE"/>
            <w:noWrap/>
          </w:tcPr>
          <w:p w14:paraId="1851A62D" w14:textId="77777777" w:rsidR="001B186F" w:rsidRPr="00DE4E4F" w:rsidRDefault="001B186F" w:rsidP="00897F7F">
            <w:pPr>
              <w:spacing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F60CF7D" w14:textId="77777777" w:rsidR="001B186F" w:rsidRPr="00DE4E4F" w:rsidRDefault="001B186F" w:rsidP="00897F7F">
            <w:pPr>
              <w:spacing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1004984C" w14:textId="77777777" w:rsidR="001B186F" w:rsidRPr="00DE4E4F" w:rsidRDefault="001B186F" w:rsidP="00897F7F">
            <w:pPr>
              <w:spacing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B5363B1" w14:textId="77777777" w:rsidR="001B186F" w:rsidRPr="00DE4E4F" w:rsidRDefault="0074517F"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9244D19" w14:textId="77777777" w:rsidR="001B186F" w:rsidRPr="00DE4E4F" w:rsidRDefault="0074517F"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019" w:type="dxa"/>
            <w:shd w:val="clear" w:color="auto" w:fill="C6EFCE"/>
            <w:noWrap/>
          </w:tcPr>
          <w:p w14:paraId="30AEA315" w14:textId="0CEE397D" w:rsidR="001B186F" w:rsidRPr="00DE4E4F" w:rsidRDefault="0074517F" w:rsidP="00897F7F">
            <w:pPr>
              <w:spacing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Entry into force of the following legal acts:</w:t>
            </w:r>
          </w:p>
          <w:p w14:paraId="36B31ECB" w14:textId="77777777" w:rsidR="001B186F" w:rsidRPr="00DE4E4F" w:rsidRDefault="0074517F" w:rsidP="00897F7F">
            <w:pPr>
              <w:spacing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National Water Strategy assessing the current state of water management and establishing policy directions for ensuring the protection and sustainable management of water resources;</w:t>
            </w:r>
          </w:p>
          <w:p w14:paraId="10B11423" w14:textId="7EFA5522" w:rsidR="001B186F" w:rsidRPr="00DE4E4F" w:rsidRDefault="0074517F" w:rsidP="00897F7F">
            <w:pPr>
              <w:spacing w:line="240" w:lineRule="auto"/>
              <w:rPr>
                <w:rFonts w:ascii="Times New Roman" w:eastAsia="Times New Roman" w:hAnsi="Times New Roman" w:cs="Times New Roman"/>
                <w:noProof/>
                <w:sz w:val="18"/>
                <w:szCs w:val="18"/>
              </w:rPr>
            </w:pPr>
            <w:r w:rsidRPr="00DE4E4F">
              <w:rPr>
                <w:rFonts w:ascii="Times New Roman" w:eastAsia="Times New Roman" w:hAnsi="Times New Roman" w:cs="Times New Roman"/>
                <w:noProof/>
                <w:color w:val="006100"/>
                <w:sz w:val="18"/>
                <w:szCs w:val="18"/>
              </w:rPr>
              <w:t xml:space="preserve">primary legal act for the geographic expansion of the responsibilities of EYDAP (Athens water supply and sewage company) </w:t>
            </w:r>
            <w:r w:rsidR="60ED8D2A" w:rsidRPr="00DE4E4F">
              <w:rPr>
                <w:rFonts w:ascii="Times New Roman" w:eastAsia="Times New Roman" w:hAnsi="Times New Roman" w:cs="Times New Roman"/>
                <w:noProof/>
                <w:color w:val="006100"/>
                <w:sz w:val="18"/>
                <w:szCs w:val="18"/>
              </w:rPr>
              <w:t>to</w:t>
            </w:r>
            <w:r w:rsidR="00DE4C0C" w:rsidRPr="00DE4E4F">
              <w:rPr>
                <w:rFonts w:ascii="Times New Roman" w:eastAsia="Times New Roman" w:hAnsi="Times New Roman" w:cs="Times New Roman"/>
                <w:noProof/>
                <w:color w:val="006100"/>
                <w:sz w:val="18"/>
                <w:szCs w:val="18"/>
              </w:rPr>
              <w:t xml:space="preserve"> </w:t>
            </w:r>
            <w:r w:rsidR="60ED8D2A" w:rsidRPr="00DE4E4F">
              <w:rPr>
                <w:rFonts w:ascii="Times New Roman" w:eastAsia="Times New Roman" w:hAnsi="Times New Roman" w:cs="Times New Roman"/>
                <w:noProof/>
                <w:color w:val="006100"/>
                <w:sz w:val="18"/>
                <w:szCs w:val="18"/>
              </w:rPr>
              <w:t xml:space="preserve">Attica and Boeotia, </w:t>
            </w:r>
            <w:r w:rsidRPr="00DE4E4F">
              <w:rPr>
                <w:rFonts w:ascii="Times New Roman" w:eastAsia="Times New Roman" w:hAnsi="Times New Roman" w:cs="Times New Roman"/>
                <w:noProof/>
                <w:color w:val="006100"/>
                <w:sz w:val="18"/>
                <w:szCs w:val="18"/>
              </w:rPr>
              <w:t>and EYATH (Thessaloniki water supply and sewage company)</w:t>
            </w:r>
            <w:r w:rsidR="6A7C74D6" w:rsidRPr="00DE4E4F">
              <w:rPr>
                <w:rFonts w:ascii="Times New Roman" w:eastAsia="Times New Roman" w:hAnsi="Times New Roman" w:cs="Times New Roman"/>
                <w:noProof/>
                <w:color w:val="006100"/>
                <w:sz w:val="18"/>
                <w:szCs w:val="18"/>
              </w:rPr>
              <w:t xml:space="preserve"> to</w:t>
            </w:r>
            <w:r w:rsidR="00DE4C0C" w:rsidRPr="00DE4E4F">
              <w:rPr>
                <w:rFonts w:ascii="Times New Roman" w:eastAsia="Times New Roman" w:hAnsi="Times New Roman" w:cs="Times New Roman"/>
                <w:noProof/>
                <w:color w:val="006100"/>
                <w:sz w:val="18"/>
                <w:szCs w:val="18"/>
              </w:rPr>
              <w:t xml:space="preserve"> </w:t>
            </w:r>
            <w:r w:rsidR="6A7C74D6" w:rsidRPr="00DE4E4F">
              <w:rPr>
                <w:rFonts w:ascii="Times New Roman" w:eastAsia="Times New Roman" w:hAnsi="Times New Roman" w:cs="Times New Roman"/>
                <w:noProof/>
                <w:color w:val="006100"/>
                <w:sz w:val="18"/>
                <w:szCs w:val="18"/>
              </w:rPr>
              <w:t>Chalkidiki and Thessaloniki</w:t>
            </w:r>
            <w:r w:rsidRPr="00DE4E4F">
              <w:rPr>
                <w:rFonts w:ascii="Times New Roman" w:eastAsia="Times New Roman" w:hAnsi="Times New Roman" w:cs="Times New Roman"/>
                <w:noProof/>
                <w:color w:val="006100"/>
                <w:sz w:val="18"/>
                <w:szCs w:val="18"/>
                <w:u w:val="single"/>
              </w:rPr>
              <w:t>,</w:t>
            </w:r>
            <w:r w:rsidRPr="00DE4E4F">
              <w:rPr>
                <w:rFonts w:ascii="Times New Roman" w:eastAsia="Times New Roman" w:hAnsi="Times New Roman" w:cs="Times New Roman"/>
                <w:noProof/>
                <w:color w:val="006100"/>
                <w:sz w:val="18"/>
                <w:szCs w:val="18"/>
              </w:rPr>
              <w:t xml:space="preserve"> as well as the extension of their responsibilities to irrigation water services.</w:t>
            </w:r>
          </w:p>
        </w:tc>
      </w:tr>
    </w:tbl>
    <w:p w14:paraId="5CF00BDE"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00043611"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3C9AEBAA"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5: National Reforestation Plan and Biodiversity Protection</w:t>
      </w:r>
    </w:p>
    <w:p w14:paraId="1E4FA929" w14:textId="16268F4F" w:rsidR="001B186F" w:rsidRPr="00DE4E4F" w:rsidRDefault="0074517F" w:rsidP="00B55F84">
      <w:pPr>
        <w:spacing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71194768" w14:textId="77777777" w:rsidR="001B186F" w:rsidRPr="00DE4E4F" w:rsidRDefault="0074517F" w:rsidP="00B55F84">
      <w:pPr>
        <w:spacing w:after="0" w:line="240" w:lineRule="auto"/>
        <w:rPr>
          <w:rFonts w:ascii="Times New Roman" w:hAnsi="Times New Roman" w:cs="Times New Roman"/>
          <w:noProof/>
          <w:sz w:val="24"/>
          <w:szCs w:val="24"/>
        </w:rPr>
      </w:pPr>
      <w:r w:rsidRPr="00DE4E4F">
        <w:rPr>
          <w:rFonts w:ascii="Times New Roman" w:hAnsi="Times New Roman"/>
          <w:noProof/>
          <w:sz w:val="24"/>
        </w:rPr>
        <w:t>●</w:t>
      </w:r>
      <w:r w:rsidRPr="00DE4E4F">
        <w:rPr>
          <w:noProof/>
        </w:rPr>
        <w:tab/>
      </w:r>
      <w:r w:rsidRPr="00DE4E4F">
        <w:rPr>
          <w:rFonts w:ascii="Times New Roman" w:hAnsi="Times New Roman"/>
          <w:noProof/>
          <w:sz w:val="24"/>
        </w:rPr>
        <w:t xml:space="preserve"> National Reforestation Plan, restoration and prevention (“antiNERO”), anti-erosion and flood protection measures (ID: 16849)</w:t>
      </w:r>
    </w:p>
    <w:p w14:paraId="71D565DA" w14:textId="77777777" w:rsidR="001B186F" w:rsidRPr="00DE4E4F" w:rsidRDefault="0074517F" w:rsidP="00F613BD">
      <w:pPr>
        <w:spacing w:after="0" w:line="240" w:lineRule="auto"/>
        <w:rPr>
          <w:rFonts w:ascii="Times New Roman" w:hAnsi="Times New Roman"/>
          <w:noProof/>
          <w:sz w:val="16"/>
          <w:szCs w:val="16"/>
        </w:rPr>
      </w:pPr>
      <w:r w:rsidRPr="00DE4E4F">
        <w:rPr>
          <w:rFonts w:ascii="Times New Roman" w:hAnsi="Times New Roman"/>
          <w:noProof/>
          <w:sz w:val="24"/>
        </w:rPr>
        <w:t>●</w:t>
      </w:r>
      <w:r w:rsidRPr="00DE4E4F">
        <w:rPr>
          <w:noProof/>
        </w:rPr>
        <w:tab/>
      </w:r>
      <w:r w:rsidRPr="00DE4E4F">
        <w:rPr>
          <w:rFonts w:ascii="Times New Roman" w:hAnsi="Times New Roman"/>
          <w:noProof/>
          <w:sz w:val="24"/>
        </w:rPr>
        <w:t xml:space="preserve">Biodiversity protection as a driver for sustainable growth (ID: 16851) </w:t>
      </w:r>
    </w:p>
    <w:p w14:paraId="074EE3E7" w14:textId="77777777" w:rsidR="00F613BD" w:rsidRPr="00DE4E4F" w:rsidRDefault="00F613BD" w:rsidP="00F613BD">
      <w:pPr>
        <w:spacing w:after="0" w:line="240" w:lineRule="auto"/>
        <w:rPr>
          <w:rFonts w:ascii="Times New Roman" w:hAnsi="Times New Roman"/>
          <w:noProof/>
          <w:sz w:val="6"/>
          <w:szCs w:val="6"/>
        </w:rPr>
      </w:pPr>
    </w:p>
    <w:tbl>
      <w:tblPr>
        <w:tblStyle w:val="TableGrid1"/>
        <w:tblW w:w="15735" w:type="dxa"/>
        <w:tblInd w:w="-743" w:type="dxa"/>
        <w:tblLook w:val="04A0" w:firstRow="1" w:lastRow="0" w:firstColumn="1" w:lastColumn="0" w:noHBand="0" w:noVBand="1"/>
      </w:tblPr>
      <w:tblGrid>
        <w:gridCol w:w="709"/>
        <w:gridCol w:w="2153"/>
        <w:gridCol w:w="1259"/>
        <w:gridCol w:w="1284"/>
        <w:gridCol w:w="1271"/>
        <w:gridCol w:w="1199"/>
        <w:gridCol w:w="1199"/>
        <w:gridCol w:w="1199"/>
        <w:gridCol w:w="1217"/>
        <w:gridCol w:w="1228"/>
        <w:gridCol w:w="3017"/>
      </w:tblGrid>
      <w:tr w:rsidR="00F613BD" w:rsidRPr="00DE4E4F" w14:paraId="13F8C494" w14:textId="77777777" w:rsidTr="00F613BD">
        <w:trPr>
          <w:tblHeader/>
        </w:trPr>
        <w:tc>
          <w:tcPr>
            <w:tcW w:w="709" w:type="dxa"/>
            <w:vMerge w:val="restart"/>
            <w:shd w:val="clear" w:color="auto" w:fill="B8CCE4"/>
          </w:tcPr>
          <w:p w14:paraId="0852E30C"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Seq.</w:t>
            </w:r>
            <w:r w:rsidRPr="00DE4E4F">
              <w:rPr>
                <w:rFonts w:ascii="Times New Roman" w:eastAsia="Aptos" w:hAnsi="Times New Roman" w:cs="Times New Roman"/>
                <w:b/>
                <w:noProof/>
                <w:kern w:val="2"/>
                <w:sz w:val="18"/>
                <w:lang w:val="en-GB"/>
              </w:rPr>
              <w:br/>
              <w:t>No.</w:t>
            </w:r>
          </w:p>
        </w:tc>
        <w:tc>
          <w:tcPr>
            <w:tcW w:w="2153" w:type="dxa"/>
            <w:vMerge w:val="restart"/>
            <w:shd w:val="clear" w:color="auto" w:fill="B8CCE4"/>
          </w:tcPr>
          <w:p w14:paraId="6EDCFF13"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Related Measure (Reform or Investment)</w:t>
            </w:r>
          </w:p>
        </w:tc>
        <w:tc>
          <w:tcPr>
            <w:tcW w:w="1259" w:type="dxa"/>
            <w:vMerge w:val="restart"/>
            <w:shd w:val="clear" w:color="auto" w:fill="B8CCE4"/>
          </w:tcPr>
          <w:p w14:paraId="2F327331"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Milestone / Target</w:t>
            </w:r>
          </w:p>
        </w:tc>
        <w:tc>
          <w:tcPr>
            <w:tcW w:w="1284" w:type="dxa"/>
            <w:vMerge w:val="restart"/>
            <w:shd w:val="clear" w:color="auto" w:fill="B8CCE4"/>
          </w:tcPr>
          <w:p w14:paraId="3D79D8DF"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Name</w:t>
            </w:r>
          </w:p>
        </w:tc>
        <w:tc>
          <w:tcPr>
            <w:tcW w:w="1271" w:type="dxa"/>
            <w:vMerge w:val="restart"/>
            <w:shd w:val="clear" w:color="auto" w:fill="B8CCE4"/>
          </w:tcPr>
          <w:p w14:paraId="0681B417"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Qualitative indicators (for milestones)</w:t>
            </w:r>
          </w:p>
        </w:tc>
        <w:tc>
          <w:tcPr>
            <w:tcW w:w="3597" w:type="dxa"/>
            <w:gridSpan w:val="3"/>
            <w:shd w:val="clear" w:color="auto" w:fill="B8CCE4"/>
          </w:tcPr>
          <w:p w14:paraId="38E67800"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 xml:space="preserve">Quantitative indicators </w:t>
            </w:r>
            <w:r w:rsidRPr="00DE4E4F">
              <w:rPr>
                <w:rFonts w:ascii="Times New Roman" w:eastAsia="Aptos" w:hAnsi="Times New Roman" w:cs="Times New Roman"/>
                <w:b/>
                <w:noProof/>
                <w:kern w:val="2"/>
                <w:sz w:val="18"/>
                <w:szCs w:val="18"/>
                <w:lang w:val="en-GB"/>
              </w:rPr>
              <w:br/>
            </w:r>
            <w:r w:rsidRPr="00DE4E4F">
              <w:rPr>
                <w:rFonts w:ascii="Times New Roman" w:eastAsia="Aptos" w:hAnsi="Times New Roman" w:cs="Times New Roman"/>
                <w:b/>
                <w:noProof/>
                <w:kern w:val="2"/>
                <w:sz w:val="18"/>
                <w:lang w:val="en-GB"/>
              </w:rPr>
              <w:t>(for targets)</w:t>
            </w:r>
          </w:p>
        </w:tc>
        <w:tc>
          <w:tcPr>
            <w:tcW w:w="2445" w:type="dxa"/>
            <w:gridSpan w:val="2"/>
            <w:shd w:val="clear" w:color="auto" w:fill="B8CCE4"/>
          </w:tcPr>
          <w:p w14:paraId="7C9660D4"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Indicative timeline for completion</w:t>
            </w:r>
          </w:p>
        </w:tc>
        <w:tc>
          <w:tcPr>
            <w:tcW w:w="3017" w:type="dxa"/>
            <w:vMerge w:val="restart"/>
            <w:shd w:val="clear" w:color="auto" w:fill="B8CCE4"/>
          </w:tcPr>
          <w:p w14:paraId="300D9423"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Description of each milestone and target</w:t>
            </w:r>
          </w:p>
        </w:tc>
      </w:tr>
      <w:tr w:rsidR="00F613BD" w:rsidRPr="00DE4E4F" w14:paraId="29AA5AD1" w14:textId="77777777" w:rsidTr="00F613BD">
        <w:trPr>
          <w:tblHeader/>
        </w:trPr>
        <w:tc>
          <w:tcPr>
            <w:tcW w:w="709" w:type="dxa"/>
            <w:vMerge/>
            <w:tcBorders>
              <w:bottom w:val="single" w:sz="4" w:space="0" w:color="auto"/>
            </w:tcBorders>
            <w:shd w:val="clear" w:color="auto" w:fill="B8CCE4"/>
            <w:vAlign w:val="center"/>
          </w:tcPr>
          <w:p w14:paraId="499A2EA4" w14:textId="77777777" w:rsidR="00F613BD" w:rsidRPr="00DE4E4F" w:rsidRDefault="00F613BD" w:rsidP="00F613BD">
            <w:pPr>
              <w:spacing w:after="0" w:line="240" w:lineRule="auto"/>
              <w:rPr>
                <w:rFonts w:ascii="Aptos" w:eastAsia="Aptos" w:hAnsi="Aptos" w:cs="Times New Roman"/>
                <w:noProof/>
                <w:kern w:val="2"/>
                <w:lang w:val="en-GB"/>
              </w:rPr>
            </w:pPr>
          </w:p>
        </w:tc>
        <w:tc>
          <w:tcPr>
            <w:tcW w:w="2153" w:type="dxa"/>
            <w:vMerge/>
            <w:tcBorders>
              <w:bottom w:val="single" w:sz="4" w:space="0" w:color="auto"/>
            </w:tcBorders>
            <w:shd w:val="clear" w:color="auto" w:fill="B8CCE4"/>
            <w:vAlign w:val="center"/>
          </w:tcPr>
          <w:p w14:paraId="3AFC315B" w14:textId="77777777" w:rsidR="00F613BD" w:rsidRPr="00DE4E4F" w:rsidRDefault="00F613BD" w:rsidP="00F613BD">
            <w:pPr>
              <w:spacing w:after="0" w:line="240" w:lineRule="auto"/>
              <w:rPr>
                <w:rFonts w:ascii="Aptos" w:eastAsia="Aptos" w:hAnsi="Aptos" w:cs="Times New Roman"/>
                <w:noProof/>
                <w:kern w:val="2"/>
                <w:lang w:val="en-GB"/>
              </w:rPr>
            </w:pPr>
          </w:p>
        </w:tc>
        <w:tc>
          <w:tcPr>
            <w:tcW w:w="1259" w:type="dxa"/>
            <w:vMerge/>
            <w:tcBorders>
              <w:bottom w:val="single" w:sz="4" w:space="0" w:color="auto"/>
            </w:tcBorders>
            <w:shd w:val="clear" w:color="auto" w:fill="B8CCE4"/>
            <w:vAlign w:val="center"/>
          </w:tcPr>
          <w:p w14:paraId="77FE397C" w14:textId="77777777" w:rsidR="00F613BD" w:rsidRPr="00DE4E4F" w:rsidRDefault="00F613BD" w:rsidP="00F613BD">
            <w:pPr>
              <w:spacing w:after="0" w:line="240" w:lineRule="auto"/>
              <w:rPr>
                <w:rFonts w:ascii="Aptos" w:eastAsia="Aptos" w:hAnsi="Aptos" w:cs="Times New Roman"/>
                <w:noProof/>
                <w:kern w:val="2"/>
                <w:lang w:val="en-GB"/>
              </w:rPr>
            </w:pPr>
          </w:p>
        </w:tc>
        <w:tc>
          <w:tcPr>
            <w:tcW w:w="1284" w:type="dxa"/>
            <w:vMerge/>
            <w:tcBorders>
              <w:bottom w:val="single" w:sz="4" w:space="0" w:color="auto"/>
            </w:tcBorders>
            <w:shd w:val="clear" w:color="auto" w:fill="B8CCE4"/>
            <w:vAlign w:val="center"/>
          </w:tcPr>
          <w:p w14:paraId="6EF04A8C" w14:textId="77777777" w:rsidR="00F613BD" w:rsidRPr="00DE4E4F" w:rsidRDefault="00F613BD" w:rsidP="00F613BD">
            <w:pPr>
              <w:spacing w:after="0" w:line="240" w:lineRule="auto"/>
              <w:rPr>
                <w:rFonts w:ascii="Aptos" w:eastAsia="Aptos" w:hAnsi="Aptos" w:cs="Times New Roman"/>
                <w:noProof/>
                <w:kern w:val="2"/>
                <w:lang w:val="en-GB"/>
              </w:rPr>
            </w:pPr>
          </w:p>
        </w:tc>
        <w:tc>
          <w:tcPr>
            <w:tcW w:w="1271" w:type="dxa"/>
            <w:vMerge/>
            <w:tcBorders>
              <w:bottom w:val="single" w:sz="4" w:space="0" w:color="auto"/>
            </w:tcBorders>
            <w:shd w:val="clear" w:color="auto" w:fill="B8CCE4"/>
            <w:vAlign w:val="center"/>
          </w:tcPr>
          <w:p w14:paraId="1368CA7C"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tcBorders>
              <w:bottom w:val="single" w:sz="4" w:space="0" w:color="auto"/>
            </w:tcBorders>
            <w:shd w:val="clear" w:color="auto" w:fill="B8CCE4"/>
            <w:vAlign w:val="center"/>
          </w:tcPr>
          <w:p w14:paraId="362CA0A2"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Unit of measure</w:t>
            </w:r>
          </w:p>
        </w:tc>
        <w:tc>
          <w:tcPr>
            <w:tcW w:w="1199" w:type="dxa"/>
            <w:tcBorders>
              <w:bottom w:val="single" w:sz="4" w:space="0" w:color="auto"/>
            </w:tcBorders>
            <w:shd w:val="clear" w:color="auto" w:fill="B8CCE4"/>
          </w:tcPr>
          <w:p w14:paraId="691B396C"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Baseline</w:t>
            </w:r>
          </w:p>
        </w:tc>
        <w:tc>
          <w:tcPr>
            <w:tcW w:w="1199" w:type="dxa"/>
            <w:tcBorders>
              <w:bottom w:val="single" w:sz="4" w:space="0" w:color="auto"/>
            </w:tcBorders>
            <w:shd w:val="clear" w:color="auto" w:fill="B8CCE4"/>
          </w:tcPr>
          <w:p w14:paraId="5476C484"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Goal</w:t>
            </w:r>
          </w:p>
        </w:tc>
        <w:tc>
          <w:tcPr>
            <w:tcW w:w="1217" w:type="dxa"/>
            <w:tcBorders>
              <w:bottom w:val="single" w:sz="4" w:space="0" w:color="auto"/>
            </w:tcBorders>
            <w:shd w:val="clear" w:color="auto" w:fill="B8CCE4"/>
          </w:tcPr>
          <w:p w14:paraId="6B5DE573"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Quarter</w:t>
            </w:r>
          </w:p>
        </w:tc>
        <w:tc>
          <w:tcPr>
            <w:tcW w:w="1228" w:type="dxa"/>
            <w:tcBorders>
              <w:bottom w:val="single" w:sz="4" w:space="0" w:color="auto"/>
            </w:tcBorders>
            <w:shd w:val="clear" w:color="auto" w:fill="B8CCE4"/>
          </w:tcPr>
          <w:p w14:paraId="0C386364"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Year</w:t>
            </w:r>
          </w:p>
        </w:tc>
        <w:tc>
          <w:tcPr>
            <w:tcW w:w="3017" w:type="dxa"/>
            <w:vMerge/>
            <w:tcBorders>
              <w:bottom w:val="single" w:sz="4" w:space="0" w:color="auto"/>
            </w:tcBorders>
            <w:shd w:val="clear" w:color="auto" w:fill="B8CCE4"/>
          </w:tcPr>
          <w:p w14:paraId="6A49BB7B" w14:textId="77777777" w:rsidR="00F613BD" w:rsidRPr="00DE4E4F" w:rsidRDefault="00F613BD" w:rsidP="00F613BD">
            <w:pPr>
              <w:spacing w:after="0" w:line="240" w:lineRule="auto"/>
              <w:rPr>
                <w:rFonts w:ascii="Aptos" w:eastAsia="Aptos" w:hAnsi="Aptos" w:cs="Times New Roman"/>
                <w:noProof/>
                <w:kern w:val="2"/>
                <w:lang w:val="en-GB"/>
              </w:rPr>
            </w:pPr>
          </w:p>
        </w:tc>
      </w:tr>
      <w:tr w:rsidR="00F613BD" w:rsidRPr="00DE4E4F" w14:paraId="00444F72" w14:textId="77777777" w:rsidTr="00F613BD">
        <w:trPr>
          <w:tblHeader/>
        </w:trPr>
        <w:tc>
          <w:tcPr>
            <w:tcW w:w="709" w:type="dxa"/>
            <w:shd w:val="clear" w:color="auto" w:fill="C6EFCE"/>
            <w:vAlign w:val="center"/>
          </w:tcPr>
          <w:p w14:paraId="076AC471"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61</w:t>
            </w:r>
          </w:p>
        </w:tc>
        <w:tc>
          <w:tcPr>
            <w:tcW w:w="2153" w:type="dxa"/>
            <w:shd w:val="clear" w:color="auto" w:fill="C6EFCE"/>
            <w:vAlign w:val="center"/>
          </w:tcPr>
          <w:p w14:paraId="25FEE597"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4 - 1.4. Sustainable use of resources, climate resilience and environmental protection - 16849_ National Reforestation Plan, restoration and prevention (“antiNERO”), anti-erosion and flood protection measures</w:t>
            </w:r>
          </w:p>
        </w:tc>
        <w:tc>
          <w:tcPr>
            <w:tcW w:w="1259" w:type="dxa"/>
            <w:shd w:val="clear" w:color="auto" w:fill="C6EFCE"/>
            <w:vAlign w:val="center"/>
          </w:tcPr>
          <w:p w14:paraId="3EBA90B9"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Milestone</w:t>
            </w:r>
          </w:p>
        </w:tc>
        <w:tc>
          <w:tcPr>
            <w:tcW w:w="1284" w:type="dxa"/>
            <w:shd w:val="clear" w:color="auto" w:fill="C6EFCE"/>
            <w:vAlign w:val="center"/>
          </w:tcPr>
          <w:p w14:paraId="164ECBE5"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Reforestation, restoration and prevention — contracts 1</w:t>
            </w:r>
          </w:p>
        </w:tc>
        <w:tc>
          <w:tcPr>
            <w:tcW w:w="1271" w:type="dxa"/>
            <w:shd w:val="clear" w:color="auto" w:fill="C6EFCE"/>
            <w:vAlign w:val="center"/>
          </w:tcPr>
          <w:p w14:paraId="67F0DCFE" w14:textId="7E457C1A"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 xml:space="preserve">Notification of award </w:t>
            </w:r>
            <w:r w:rsidR="00DE4E4F" w:rsidRPr="00DE4E4F">
              <w:rPr>
                <w:rFonts w:ascii="Times New Roman" w:eastAsia="Aptos" w:hAnsi="Times New Roman" w:cs="Times New Roman"/>
                <w:noProof/>
                <w:color w:val="006100"/>
                <w:kern w:val="2"/>
                <w:sz w:val="18"/>
                <w:szCs w:val="18"/>
                <w:lang w:val="en-GB"/>
              </w:rPr>
              <w:t>of contracts</w:t>
            </w:r>
          </w:p>
        </w:tc>
        <w:tc>
          <w:tcPr>
            <w:tcW w:w="1199" w:type="dxa"/>
            <w:shd w:val="clear" w:color="auto" w:fill="C6EFCE"/>
            <w:vAlign w:val="center"/>
          </w:tcPr>
          <w:p w14:paraId="1E5ADD15"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vAlign w:val="center"/>
          </w:tcPr>
          <w:p w14:paraId="1EE03C2F"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vAlign w:val="center"/>
          </w:tcPr>
          <w:p w14:paraId="1B718A7A" w14:textId="77777777" w:rsidR="00F613BD" w:rsidRPr="00DE4E4F" w:rsidRDefault="00F613BD" w:rsidP="00F613BD">
            <w:pPr>
              <w:spacing w:after="0" w:line="240" w:lineRule="auto"/>
              <w:rPr>
                <w:rFonts w:ascii="Aptos" w:eastAsia="Aptos" w:hAnsi="Aptos" w:cs="Times New Roman"/>
                <w:noProof/>
                <w:kern w:val="2"/>
                <w:lang w:val="en-GB"/>
              </w:rPr>
            </w:pPr>
          </w:p>
        </w:tc>
        <w:tc>
          <w:tcPr>
            <w:tcW w:w="1217" w:type="dxa"/>
            <w:shd w:val="clear" w:color="auto" w:fill="C6EFCE"/>
            <w:vAlign w:val="center"/>
          </w:tcPr>
          <w:p w14:paraId="6DDA3505" w14:textId="592F49CB" w:rsidR="00F613BD" w:rsidRPr="00DE4E4F" w:rsidRDefault="00AC7E97" w:rsidP="00F613BD">
            <w:pPr>
              <w:spacing w:after="0" w:line="240" w:lineRule="auto"/>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Q2</w:t>
            </w:r>
          </w:p>
        </w:tc>
        <w:tc>
          <w:tcPr>
            <w:tcW w:w="1228" w:type="dxa"/>
            <w:shd w:val="clear" w:color="auto" w:fill="C6EFCE"/>
            <w:vAlign w:val="center"/>
          </w:tcPr>
          <w:p w14:paraId="673104B0" w14:textId="5BD3BCF4" w:rsidR="00F613BD" w:rsidRPr="00DE4E4F" w:rsidRDefault="00AC7E97" w:rsidP="00F613BD">
            <w:pPr>
              <w:spacing w:after="0" w:line="240" w:lineRule="auto"/>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2023</w:t>
            </w:r>
          </w:p>
        </w:tc>
        <w:tc>
          <w:tcPr>
            <w:tcW w:w="3017" w:type="dxa"/>
            <w:shd w:val="clear" w:color="auto" w:fill="C6EFCE"/>
          </w:tcPr>
          <w:p w14:paraId="5E8DC826"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 xml:space="preserve">Notification of award of all contracts for- Antinero programs I and II for the upgrade of 37 500 ha of degraded forest ecosystems, including forest and woodland clearings and the maintenance of the forest road network and existing fire zones. </w:t>
            </w:r>
          </w:p>
        </w:tc>
      </w:tr>
      <w:tr w:rsidR="00F613BD" w:rsidRPr="00DE4E4F" w14:paraId="0D983669" w14:textId="77777777" w:rsidTr="00F613BD">
        <w:trPr>
          <w:tblHeader/>
        </w:trPr>
        <w:tc>
          <w:tcPr>
            <w:tcW w:w="709" w:type="dxa"/>
            <w:shd w:val="clear" w:color="auto" w:fill="C6EFCE"/>
          </w:tcPr>
          <w:p w14:paraId="57A882A2"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62</w:t>
            </w:r>
          </w:p>
        </w:tc>
        <w:tc>
          <w:tcPr>
            <w:tcW w:w="2153" w:type="dxa"/>
            <w:shd w:val="clear" w:color="auto" w:fill="C6EFCE"/>
          </w:tcPr>
          <w:p w14:paraId="76A85FDC"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4 - 1.4. Sustainable use of resources, climate resilience and environmental protection - 16849_ National Reforestation Plan, restoration and prevention (“antiNERO”), anti-erosion and flood protection measures</w:t>
            </w:r>
          </w:p>
        </w:tc>
        <w:tc>
          <w:tcPr>
            <w:tcW w:w="1259" w:type="dxa"/>
            <w:shd w:val="clear" w:color="auto" w:fill="C6EFCE"/>
          </w:tcPr>
          <w:p w14:paraId="34726F70"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Milestone</w:t>
            </w:r>
          </w:p>
        </w:tc>
        <w:tc>
          <w:tcPr>
            <w:tcW w:w="1284" w:type="dxa"/>
            <w:shd w:val="clear" w:color="auto" w:fill="C6EFCE"/>
          </w:tcPr>
          <w:p w14:paraId="2529E08C"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Reforestation, restoration and prevention — contracts 2</w:t>
            </w:r>
          </w:p>
        </w:tc>
        <w:tc>
          <w:tcPr>
            <w:tcW w:w="1271" w:type="dxa"/>
            <w:shd w:val="clear" w:color="auto" w:fill="C6EFCE"/>
          </w:tcPr>
          <w:p w14:paraId="529831ED"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Notification of award of contracts</w:t>
            </w:r>
          </w:p>
        </w:tc>
        <w:tc>
          <w:tcPr>
            <w:tcW w:w="1199" w:type="dxa"/>
            <w:shd w:val="clear" w:color="auto" w:fill="C6EFCE"/>
          </w:tcPr>
          <w:p w14:paraId="33C02D7C"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tcPr>
          <w:p w14:paraId="6E9DC676"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tcPr>
          <w:p w14:paraId="35D38398" w14:textId="77777777" w:rsidR="00F613BD" w:rsidRPr="00DE4E4F" w:rsidRDefault="00F613BD" w:rsidP="00F613BD">
            <w:pPr>
              <w:spacing w:after="0" w:line="240" w:lineRule="auto"/>
              <w:rPr>
                <w:rFonts w:ascii="Aptos" w:eastAsia="Aptos" w:hAnsi="Aptos" w:cs="Times New Roman"/>
                <w:noProof/>
                <w:kern w:val="2"/>
                <w:lang w:val="en-GB"/>
              </w:rPr>
            </w:pPr>
          </w:p>
        </w:tc>
        <w:tc>
          <w:tcPr>
            <w:tcW w:w="1217" w:type="dxa"/>
            <w:shd w:val="clear" w:color="auto" w:fill="C6EFCE"/>
          </w:tcPr>
          <w:p w14:paraId="0E6C3943"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Q4</w:t>
            </w:r>
          </w:p>
        </w:tc>
        <w:tc>
          <w:tcPr>
            <w:tcW w:w="1228" w:type="dxa"/>
            <w:shd w:val="clear" w:color="auto" w:fill="C6EFCE"/>
          </w:tcPr>
          <w:p w14:paraId="68DD670D"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2023</w:t>
            </w:r>
          </w:p>
        </w:tc>
        <w:tc>
          <w:tcPr>
            <w:tcW w:w="3017" w:type="dxa"/>
            <w:shd w:val="clear" w:color="auto" w:fill="C6EFCE"/>
          </w:tcPr>
          <w:p w14:paraId="10C741E8" w14:textId="77777777" w:rsidR="00F613BD" w:rsidRPr="00DE4E4F" w:rsidRDefault="00F613BD" w:rsidP="00F613BD">
            <w:pPr>
              <w:spacing w:after="0" w:line="240" w:lineRule="auto"/>
              <w:rPr>
                <w:rFonts w:ascii="Times New Roman" w:eastAsia="Times New Roman"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Notification of award of all contracts for:</w:t>
            </w:r>
          </w:p>
          <w:p w14:paraId="47380F23" w14:textId="77777777" w:rsidR="00F613BD" w:rsidRPr="00DE4E4F" w:rsidRDefault="00F613BD" w:rsidP="00F613BD">
            <w:pPr>
              <w:spacing w:after="0" w:line="240" w:lineRule="auto"/>
              <w:rPr>
                <w:rFonts w:ascii="Times New Roman" w:eastAsia="Times New Roman"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1. Restoration of 5 700 ha of degraded forest ecosystems in Greece through sapling plantings using at least 50% of native species; and</w:t>
            </w:r>
          </w:p>
          <w:p w14:paraId="4CA991D9" w14:textId="77777777" w:rsidR="00F613BD" w:rsidRPr="00DE4E4F" w:rsidRDefault="00F613BD" w:rsidP="00F613BD">
            <w:pPr>
              <w:spacing w:after="0" w:line="240" w:lineRule="auto"/>
              <w:rPr>
                <w:rFonts w:ascii="Times New Roman" w:eastAsia="Times New Roman"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2. Upgrading and modernization of the four forest nurseries; and</w:t>
            </w:r>
          </w:p>
          <w:p w14:paraId="204D0D66" w14:textId="77777777" w:rsidR="00F613BD" w:rsidRPr="00DE4E4F" w:rsidRDefault="00F613BD" w:rsidP="00F613BD">
            <w:pPr>
              <w:spacing w:after="0" w:line="240" w:lineRule="auto"/>
              <w:rPr>
                <w:rFonts w:ascii="Times New Roman" w:eastAsia="Times New Roman"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 xml:space="preserve">3. Pilot Implementation of the National Reforestation Plan; and </w:t>
            </w:r>
          </w:p>
          <w:p w14:paraId="4707B42E"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 xml:space="preserve">4. Anti-erosion and anti-flood measures in Evros and Rhodopes covering a total of 5 000 hectares of anti-erosion works and 175 000 m2 of flood protection works. </w:t>
            </w:r>
          </w:p>
        </w:tc>
      </w:tr>
      <w:tr w:rsidR="00F613BD" w:rsidRPr="00DE4E4F" w14:paraId="1DB4C061" w14:textId="77777777" w:rsidTr="00F613BD">
        <w:trPr>
          <w:tblHeader/>
        </w:trPr>
        <w:tc>
          <w:tcPr>
            <w:tcW w:w="709" w:type="dxa"/>
            <w:shd w:val="clear" w:color="auto" w:fill="C6EFCE"/>
          </w:tcPr>
          <w:p w14:paraId="236C0AA0"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63</w:t>
            </w:r>
          </w:p>
        </w:tc>
        <w:tc>
          <w:tcPr>
            <w:tcW w:w="2153" w:type="dxa"/>
            <w:shd w:val="clear" w:color="auto" w:fill="C6EFCE"/>
          </w:tcPr>
          <w:p w14:paraId="02E0639C"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4 - 1.4. Sustainable use of resources, climate resilience and environmental protection – 16849_ National Reforestation Plan, restoration and prevention (“antiNERO”), anti-erosion and flood protection measures</w:t>
            </w:r>
          </w:p>
        </w:tc>
        <w:tc>
          <w:tcPr>
            <w:tcW w:w="1259" w:type="dxa"/>
            <w:shd w:val="clear" w:color="auto" w:fill="C6EFCE"/>
          </w:tcPr>
          <w:p w14:paraId="755A1616"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Milestone</w:t>
            </w:r>
          </w:p>
        </w:tc>
        <w:tc>
          <w:tcPr>
            <w:tcW w:w="1284" w:type="dxa"/>
            <w:shd w:val="clear" w:color="auto" w:fill="C6EFCE"/>
          </w:tcPr>
          <w:p w14:paraId="1C0E2F9A"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Reforestation, restoration and prevention – execution</w:t>
            </w:r>
          </w:p>
        </w:tc>
        <w:tc>
          <w:tcPr>
            <w:tcW w:w="1271" w:type="dxa"/>
            <w:shd w:val="clear" w:color="auto" w:fill="C6EFCE"/>
          </w:tcPr>
          <w:p w14:paraId="6744D6D3"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Execution of works</w:t>
            </w:r>
          </w:p>
        </w:tc>
        <w:tc>
          <w:tcPr>
            <w:tcW w:w="1199" w:type="dxa"/>
            <w:shd w:val="clear" w:color="auto" w:fill="C6EFCE"/>
          </w:tcPr>
          <w:p w14:paraId="56F2391D"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tcPr>
          <w:p w14:paraId="2585ECEC"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tcPr>
          <w:p w14:paraId="1DDED5FB" w14:textId="77777777" w:rsidR="00F613BD" w:rsidRPr="00DE4E4F" w:rsidRDefault="00F613BD" w:rsidP="00F613BD">
            <w:pPr>
              <w:spacing w:after="0" w:line="240" w:lineRule="auto"/>
              <w:rPr>
                <w:rFonts w:ascii="Aptos" w:eastAsia="Aptos" w:hAnsi="Aptos" w:cs="Times New Roman"/>
                <w:noProof/>
                <w:kern w:val="2"/>
                <w:lang w:val="en-GB"/>
              </w:rPr>
            </w:pPr>
          </w:p>
        </w:tc>
        <w:tc>
          <w:tcPr>
            <w:tcW w:w="1217" w:type="dxa"/>
            <w:shd w:val="clear" w:color="auto" w:fill="C6EFCE"/>
          </w:tcPr>
          <w:p w14:paraId="08C3B329"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Q4</w:t>
            </w:r>
          </w:p>
        </w:tc>
        <w:tc>
          <w:tcPr>
            <w:tcW w:w="1228" w:type="dxa"/>
            <w:shd w:val="clear" w:color="auto" w:fill="C6EFCE"/>
          </w:tcPr>
          <w:p w14:paraId="56BCEF7B"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2025</w:t>
            </w:r>
          </w:p>
        </w:tc>
        <w:tc>
          <w:tcPr>
            <w:tcW w:w="3017" w:type="dxa"/>
            <w:shd w:val="clear" w:color="auto" w:fill="C6EFCE"/>
          </w:tcPr>
          <w:p w14:paraId="293C1561" w14:textId="77777777" w:rsidR="00F613BD" w:rsidRPr="00DE4E4F" w:rsidRDefault="00F613BD" w:rsidP="00F613BD">
            <w:pPr>
              <w:numPr>
                <w:ilvl w:val="0"/>
                <w:numId w:val="28"/>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Restoration of 5 084 ha of degraded forest ecosystems;</w:t>
            </w:r>
          </w:p>
          <w:p w14:paraId="010CFFF6" w14:textId="77777777" w:rsidR="00F613BD" w:rsidRPr="00DE4E4F" w:rsidRDefault="00F613BD" w:rsidP="00F613BD">
            <w:pPr>
              <w:numPr>
                <w:ilvl w:val="0"/>
                <w:numId w:val="28"/>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Antinero I, II, III, IV &amp; V for the upgrade of 91 640 ha of degraded ecosystems;</w:t>
            </w:r>
          </w:p>
          <w:p w14:paraId="6AC42C0C" w14:textId="77777777" w:rsidR="00F613BD" w:rsidRPr="00DE4E4F" w:rsidRDefault="00F613BD" w:rsidP="00F613BD">
            <w:pPr>
              <w:numPr>
                <w:ilvl w:val="0"/>
                <w:numId w:val="28"/>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Anti-erosion measures covering 8 020 ha;</w:t>
            </w:r>
          </w:p>
          <w:p w14:paraId="02DAC499" w14:textId="77777777" w:rsidR="00F613BD" w:rsidRPr="00DE4E4F" w:rsidRDefault="00F613BD" w:rsidP="004970B7">
            <w:pPr>
              <w:numPr>
                <w:ilvl w:val="0"/>
                <w:numId w:val="28"/>
              </w:numPr>
              <w:spacing w:after="0" w:line="240" w:lineRule="auto"/>
              <w:contextualSpacing/>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Anti-flood measures covering 401 437 m2</w:t>
            </w:r>
          </w:p>
        </w:tc>
      </w:tr>
    </w:tbl>
    <w:p w14:paraId="5B03C74F" w14:textId="77777777" w:rsidR="00B55F84" w:rsidRPr="00DE4E4F" w:rsidRDefault="00B55F84" w:rsidP="00897F7F">
      <w:pPr>
        <w:spacing w:before="120" w:after="0" w:line="240" w:lineRule="auto"/>
        <w:rPr>
          <w:rFonts w:ascii="Times New Roman" w:hAnsi="Times New Roman"/>
          <w:noProof/>
          <w:sz w:val="16"/>
          <w:szCs w:val="16"/>
        </w:rPr>
      </w:pPr>
    </w:p>
    <w:tbl>
      <w:tblPr>
        <w:tblStyle w:val="TableGrid2"/>
        <w:tblW w:w="15735" w:type="dxa"/>
        <w:tblInd w:w="-743" w:type="dxa"/>
        <w:tblLook w:val="04A0" w:firstRow="1" w:lastRow="0" w:firstColumn="1" w:lastColumn="0" w:noHBand="0" w:noVBand="1"/>
      </w:tblPr>
      <w:tblGrid>
        <w:gridCol w:w="709"/>
        <w:gridCol w:w="2153"/>
        <w:gridCol w:w="1259"/>
        <w:gridCol w:w="1284"/>
        <w:gridCol w:w="1271"/>
        <w:gridCol w:w="1199"/>
        <w:gridCol w:w="1199"/>
        <w:gridCol w:w="1199"/>
        <w:gridCol w:w="1217"/>
        <w:gridCol w:w="1228"/>
        <w:gridCol w:w="3017"/>
      </w:tblGrid>
      <w:tr w:rsidR="00F613BD" w:rsidRPr="00DE4E4F" w14:paraId="09F9DA1C" w14:textId="77777777" w:rsidTr="00F613BD">
        <w:trPr>
          <w:tblHeader/>
        </w:trPr>
        <w:tc>
          <w:tcPr>
            <w:tcW w:w="709" w:type="dxa"/>
            <w:vMerge w:val="restart"/>
            <w:shd w:val="clear" w:color="auto" w:fill="B8CCE4"/>
          </w:tcPr>
          <w:p w14:paraId="696009B6"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Seq.</w:t>
            </w:r>
            <w:r w:rsidRPr="00DE4E4F">
              <w:rPr>
                <w:rFonts w:ascii="Times New Roman" w:eastAsia="Aptos" w:hAnsi="Times New Roman" w:cs="Times New Roman"/>
                <w:b/>
                <w:noProof/>
                <w:kern w:val="2"/>
                <w:sz w:val="18"/>
                <w:lang w:val="en-GB"/>
              </w:rPr>
              <w:br/>
              <w:t>No.</w:t>
            </w:r>
          </w:p>
        </w:tc>
        <w:tc>
          <w:tcPr>
            <w:tcW w:w="2153" w:type="dxa"/>
            <w:vMerge w:val="restart"/>
            <w:shd w:val="clear" w:color="auto" w:fill="B8CCE4"/>
          </w:tcPr>
          <w:p w14:paraId="24618A1F"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Related Measure (Reform or Investment)</w:t>
            </w:r>
          </w:p>
        </w:tc>
        <w:tc>
          <w:tcPr>
            <w:tcW w:w="1259" w:type="dxa"/>
            <w:vMerge w:val="restart"/>
            <w:shd w:val="clear" w:color="auto" w:fill="B8CCE4"/>
          </w:tcPr>
          <w:p w14:paraId="4CFC9C88"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Milestone / Target</w:t>
            </w:r>
          </w:p>
        </w:tc>
        <w:tc>
          <w:tcPr>
            <w:tcW w:w="1284" w:type="dxa"/>
            <w:vMerge w:val="restart"/>
            <w:shd w:val="clear" w:color="auto" w:fill="B8CCE4"/>
          </w:tcPr>
          <w:p w14:paraId="120DDC02"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Name</w:t>
            </w:r>
          </w:p>
        </w:tc>
        <w:tc>
          <w:tcPr>
            <w:tcW w:w="1271" w:type="dxa"/>
            <w:vMerge w:val="restart"/>
            <w:shd w:val="clear" w:color="auto" w:fill="B8CCE4"/>
          </w:tcPr>
          <w:p w14:paraId="38BE00F5"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Qualitative indicators (for milestones)</w:t>
            </w:r>
          </w:p>
        </w:tc>
        <w:tc>
          <w:tcPr>
            <w:tcW w:w="3597" w:type="dxa"/>
            <w:gridSpan w:val="3"/>
            <w:shd w:val="clear" w:color="auto" w:fill="B8CCE4"/>
          </w:tcPr>
          <w:p w14:paraId="6C3794BD"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 xml:space="preserve">Quantitative indicators </w:t>
            </w:r>
            <w:r w:rsidRPr="00DE4E4F">
              <w:rPr>
                <w:rFonts w:ascii="Times New Roman" w:eastAsia="Aptos" w:hAnsi="Times New Roman" w:cs="Times New Roman"/>
                <w:b/>
                <w:noProof/>
                <w:kern w:val="2"/>
                <w:sz w:val="18"/>
                <w:szCs w:val="18"/>
                <w:lang w:val="en-GB"/>
              </w:rPr>
              <w:br/>
            </w:r>
            <w:r w:rsidRPr="00DE4E4F">
              <w:rPr>
                <w:rFonts w:ascii="Times New Roman" w:eastAsia="Aptos" w:hAnsi="Times New Roman" w:cs="Times New Roman"/>
                <w:b/>
                <w:noProof/>
                <w:kern w:val="2"/>
                <w:sz w:val="18"/>
                <w:lang w:val="en-GB"/>
              </w:rPr>
              <w:t>(for targets)</w:t>
            </w:r>
          </w:p>
        </w:tc>
        <w:tc>
          <w:tcPr>
            <w:tcW w:w="2445" w:type="dxa"/>
            <w:gridSpan w:val="2"/>
            <w:shd w:val="clear" w:color="auto" w:fill="B8CCE4"/>
          </w:tcPr>
          <w:p w14:paraId="2B51F96B"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Indicative timeline for completion</w:t>
            </w:r>
          </w:p>
        </w:tc>
        <w:tc>
          <w:tcPr>
            <w:tcW w:w="3017" w:type="dxa"/>
            <w:vMerge w:val="restart"/>
            <w:shd w:val="clear" w:color="auto" w:fill="B8CCE4"/>
          </w:tcPr>
          <w:p w14:paraId="02DA40F0" w14:textId="77777777" w:rsidR="00F613BD" w:rsidRPr="00DE4E4F" w:rsidRDefault="00F613BD" w:rsidP="00F613BD">
            <w:pPr>
              <w:spacing w:after="0" w:line="240" w:lineRule="auto"/>
              <w:jc w:val="center"/>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Description of each milestone and target</w:t>
            </w:r>
          </w:p>
        </w:tc>
      </w:tr>
      <w:tr w:rsidR="00F613BD" w:rsidRPr="00DE4E4F" w14:paraId="6C3D746B" w14:textId="77777777" w:rsidTr="00F613BD">
        <w:trPr>
          <w:tblHeader/>
        </w:trPr>
        <w:tc>
          <w:tcPr>
            <w:tcW w:w="709" w:type="dxa"/>
            <w:vMerge/>
            <w:tcBorders>
              <w:bottom w:val="single" w:sz="4" w:space="0" w:color="auto"/>
            </w:tcBorders>
            <w:shd w:val="clear" w:color="auto" w:fill="B8CCE4"/>
            <w:vAlign w:val="center"/>
          </w:tcPr>
          <w:p w14:paraId="51310A03" w14:textId="77777777" w:rsidR="00F613BD" w:rsidRPr="00DE4E4F" w:rsidRDefault="00F613BD" w:rsidP="00F613BD">
            <w:pPr>
              <w:spacing w:after="0" w:line="240" w:lineRule="auto"/>
              <w:rPr>
                <w:rFonts w:ascii="Aptos" w:eastAsia="Aptos" w:hAnsi="Aptos" w:cs="Times New Roman"/>
                <w:noProof/>
                <w:kern w:val="2"/>
                <w:lang w:val="en-GB"/>
              </w:rPr>
            </w:pPr>
          </w:p>
        </w:tc>
        <w:tc>
          <w:tcPr>
            <w:tcW w:w="2153" w:type="dxa"/>
            <w:vMerge/>
            <w:tcBorders>
              <w:bottom w:val="single" w:sz="4" w:space="0" w:color="auto"/>
            </w:tcBorders>
            <w:shd w:val="clear" w:color="auto" w:fill="B8CCE4"/>
            <w:vAlign w:val="center"/>
          </w:tcPr>
          <w:p w14:paraId="6159FB81" w14:textId="77777777" w:rsidR="00F613BD" w:rsidRPr="00DE4E4F" w:rsidRDefault="00F613BD" w:rsidP="00F613BD">
            <w:pPr>
              <w:spacing w:after="0" w:line="240" w:lineRule="auto"/>
              <w:rPr>
                <w:rFonts w:ascii="Aptos" w:eastAsia="Aptos" w:hAnsi="Aptos" w:cs="Times New Roman"/>
                <w:noProof/>
                <w:kern w:val="2"/>
                <w:lang w:val="en-GB"/>
              </w:rPr>
            </w:pPr>
          </w:p>
        </w:tc>
        <w:tc>
          <w:tcPr>
            <w:tcW w:w="1259" w:type="dxa"/>
            <w:vMerge/>
            <w:tcBorders>
              <w:bottom w:val="single" w:sz="4" w:space="0" w:color="auto"/>
            </w:tcBorders>
            <w:shd w:val="clear" w:color="auto" w:fill="B8CCE4"/>
            <w:vAlign w:val="center"/>
          </w:tcPr>
          <w:p w14:paraId="54128065" w14:textId="77777777" w:rsidR="00F613BD" w:rsidRPr="00DE4E4F" w:rsidRDefault="00F613BD" w:rsidP="00F613BD">
            <w:pPr>
              <w:spacing w:after="0" w:line="240" w:lineRule="auto"/>
              <w:rPr>
                <w:rFonts w:ascii="Aptos" w:eastAsia="Aptos" w:hAnsi="Aptos" w:cs="Times New Roman"/>
                <w:noProof/>
                <w:kern w:val="2"/>
                <w:lang w:val="en-GB"/>
              </w:rPr>
            </w:pPr>
          </w:p>
        </w:tc>
        <w:tc>
          <w:tcPr>
            <w:tcW w:w="1284" w:type="dxa"/>
            <w:vMerge/>
            <w:tcBorders>
              <w:bottom w:val="single" w:sz="4" w:space="0" w:color="auto"/>
            </w:tcBorders>
            <w:shd w:val="clear" w:color="auto" w:fill="B8CCE4"/>
            <w:vAlign w:val="center"/>
          </w:tcPr>
          <w:p w14:paraId="64D4782F" w14:textId="77777777" w:rsidR="00F613BD" w:rsidRPr="00DE4E4F" w:rsidRDefault="00F613BD" w:rsidP="00F613BD">
            <w:pPr>
              <w:spacing w:after="0" w:line="240" w:lineRule="auto"/>
              <w:rPr>
                <w:rFonts w:ascii="Aptos" w:eastAsia="Aptos" w:hAnsi="Aptos" w:cs="Times New Roman"/>
                <w:noProof/>
                <w:kern w:val="2"/>
                <w:lang w:val="en-GB"/>
              </w:rPr>
            </w:pPr>
          </w:p>
        </w:tc>
        <w:tc>
          <w:tcPr>
            <w:tcW w:w="1271" w:type="dxa"/>
            <w:vMerge/>
            <w:tcBorders>
              <w:bottom w:val="single" w:sz="4" w:space="0" w:color="auto"/>
            </w:tcBorders>
            <w:shd w:val="clear" w:color="auto" w:fill="B8CCE4"/>
            <w:vAlign w:val="center"/>
          </w:tcPr>
          <w:p w14:paraId="46138694"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tcBorders>
              <w:bottom w:val="single" w:sz="4" w:space="0" w:color="auto"/>
            </w:tcBorders>
            <w:shd w:val="clear" w:color="auto" w:fill="B8CCE4"/>
            <w:vAlign w:val="center"/>
          </w:tcPr>
          <w:p w14:paraId="761EBDFE"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Unit of measure</w:t>
            </w:r>
          </w:p>
        </w:tc>
        <w:tc>
          <w:tcPr>
            <w:tcW w:w="1199" w:type="dxa"/>
            <w:tcBorders>
              <w:bottom w:val="single" w:sz="4" w:space="0" w:color="auto"/>
            </w:tcBorders>
            <w:shd w:val="clear" w:color="auto" w:fill="B8CCE4"/>
          </w:tcPr>
          <w:p w14:paraId="146BBE80"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Baseline</w:t>
            </w:r>
          </w:p>
        </w:tc>
        <w:tc>
          <w:tcPr>
            <w:tcW w:w="1199" w:type="dxa"/>
            <w:tcBorders>
              <w:bottom w:val="single" w:sz="4" w:space="0" w:color="auto"/>
            </w:tcBorders>
            <w:shd w:val="clear" w:color="auto" w:fill="B8CCE4"/>
          </w:tcPr>
          <w:p w14:paraId="0477E67B"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Goal</w:t>
            </w:r>
          </w:p>
        </w:tc>
        <w:tc>
          <w:tcPr>
            <w:tcW w:w="1217" w:type="dxa"/>
            <w:tcBorders>
              <w:bottom w:val="single" w:sz="4" w:space="0" w:color="auto"/>
            </w:tcBorders>
            <w:shd w:val="clear" w:color="auto" w:fill="B8CCE4"/>
          </w:tcPr>
          <w:p w14:paraId="06D1B615"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Quarter</w:t>
            </w:r>
          </w:p>
        </w:tc>
        <w:tc>
          <w:tcPr>
            <w:tcW w:w="1228" w:type="dxa"/>
            <w:tcBorders>
              <w:bottom w:val="single" w:sz="4" w:space="0" w:color="auto"/>
            </w:tcBorders>
            <w:shd w:val="clear" w:color="auto" w:fill="B8CCE4"/>
          </w:tcPr>
          <w:p w14:paraId="3642FC5A"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b/>
                <w:noProof/>
                <w:kern w:val="2"/>
                <w:sz w:val="18"/>
                <w:lang w:val="en-GB"/>
              </w:rPr>
              <w:t>Year</w:t>
            </w:r>
          </w:p>
        </w:tc>
        <w:tc>
          <w:tcPr>
            <w:tcW w:w="3017" w:type="dxa"/>
            <w:vMerge/>
            <w:tcBorders>
              <w:bottom w:val="single" w:sz="4" w:space="0" w:color="auto"/>
            </w:tcBorders>
            <w:shd w:val="clear" w:color="auto" w:fill="B8CCE4"/>
          </w:tcPr>
          <w:p w14:paraId="42D7CF6E" w14:textId="77777777" w:rsidR="00F613BD" w:rsidRPr="00DE4E4F" w:rsidRDefault="00F613BD" w:rsidP="00F613BD">
            <w:pPr>
              <w:spacing w:after="0" w:line="240" w:lineRule="auto"/>
              <w:rPr>
                <w:rFonts w:ascii="Aptos" w:eastAsia="Aptos" w:hAnsi="Aptos" w:cs="Times New Roman"/>
                <w:noProof/>
                <w:kern w:val="2"/>
                <w:lang w:val="en-GB"/>
              </w:rPr>
            </w:pPr>
          </w:p>
        </w:tc>
      </w:tr>
      <w:tr w:rsidR="00F613BD" w:rsidRPr="00DE4E4F" w14:paraId="1C486198" w14:textId="77777777" w:rsidTr="00F613BD">
        <w:trPr>
          <w:tblHeader/>
        </w:trPr>
        <w:tc>
          <w:tcPr>
            <w:tcW w:w="709" w:type="dxa"/>
            <w:shd w:val="clear" w:color="auto" w:fill="C6EFCE"/>
          </w:tcPr>
          <w:p w14:paraId="0CA81553"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lang w:val="en-GB"/>
              </w:rPr>
              <w:t>64</w:t>
            </w:r>
          </w:p>
        </w:tc>
        <w:tc>
          <w:tcPr>
            <w:tcW w:w="2153" w:type="dxa"/>
            <w:shd w:val="clear" w:color="auto" w:fill="C6EFCE"/>
          </w:tcPr>
          <w:p w14:paraId="2746CCB9"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lang w:val="en-GB"/>
              </w:rPr>
              <w:t>4 - 1.4. Sustainable use of resources, climate resilience and environmental protection - 16851_Biodiversity protection as a driver for sustainable growth</w:t>
            </w:r>
          </w:p>
        </w:tc>
        <w:tc>
          <w:tcPr>
            <w:tcW w:w="1259" w:type="dxa"/>
            <w:shd w:val="clear" w:color="auto" w:fill="C6EFCE"/>
          </w:tcPr>
          <w:p w14:paraId="62289831"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lang w:val="en-GB"/>
              </w:rPr>
              <w:t>Milestone</w:t>
            </w:r>
          </w:p>
        </w:tc>
        <w:tc>
          <w:tcPr>
            <w:tcW w:w="1284" w:type="dxa"/>
            <w:shd w:val="clear" w:color="auto" w:fill="C6EFCE"/>
          </w:tcPr>
          <w:p w14:paraId="4A63787A" w14:textId="77777777" w:rsidR="00F613BD" w:rsidRPr="00DE4E4F" w:rsidRDefault="00F613BD" w:rsidP="00F613BD">
            <w:pPr>
              <w:spacing w:after="0" w:line="240" w:lineRule="auto"/>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 xml:space="preserve">Biodiversity </w:t>
            </w:r>
          </w:p>
        </w:tc>
        <w:tc>
          <w:tcPr>
            <w:tcW w:w="1271" w:type="dxa"/>
            <w:shd w:val="clear" w:color="auto" w:fill="C6EFCE"/>
          </w:tcPr>
          <w:p w14:paraId="6511B0A4" w14:textId="77777777" w:rsidR="00F613BD" w:rsidRPr="00DE4E4F" w:rsidRDefault="00F613BD" w:rsidP="00F613BD">
            <w:pPr>
              <w:spacing w:after="0" w:line="240" w:lineRule="auto"/>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Delivery of projects as described in the milestone description</w:t>
            </w:r>
          </w:p>
          <w:p w14:paraId="72B278FD" w14:textId="77777777" w:rsidR="00F613BD" w:rsidRPr="00DE4E4F" w:rsidRDefault="00F613BD" w:rsidP="00F613BD">
            <w:pPr>
              <w:spacing w:after="0" w:line="240" w:lineRule="auto"/>
              <w:rPr>
                <w:rFonts w:ascii="Aptos" w:eastAsia="Aptos" w:hAnsi="Aptos" w:cs="Times New Roman"/>
                <w:noProof/>
                <w:kern w:val="2"/>
                <w:lang w:val="en-GB"/>
              </w:rPr>
            </w:pPr>
          </w:p>
        </w:tc>
        <w:tc>
          <w:tcPr>
            <w:tcW w:w="1199" w:type="dxa"/>
            <w:shd w:val="clear" w:color="auto" w:fill="C6EFCE"/>
          </w:tcPr>
          <w:p w14:paraId="43D873F3" w14:textId="77777777" w:rsidR="00F613BD" w:rsidRPr="00DE4E4F" w:rsidRDefault="00F613BD" w:rsidP="00F613BD">
            <w:pPr>
              <w:spacing w:after="0" w:line="240" w:lineRule="auto"/>
              <w:rPr>
                <w:rFonts w:ascii="Times New Roman" w:eastAsia="Aptos" w:hAnsi="Times New Roman" w:cs="Times New Roman"/>
                <w:b/>
                <w:noProof/>
                <w:kern w:val="2"/>
                <w:sz w:val="18"/>
                <w:lang w:val="en-GB"/>
              </w:rPr>
            </w:pPr>
          </w:p>
        </w:tc>
        <w:tc>
          <w:tcPr>
            <w:tcW w:w="1199" w:type="dxa"/>
            <w:shd w:val="clear" w:color="auto" w:fill="C6EFCE"/>
          </w:tcPr>
          <w:p w14:paraId="61E51CCC" w14:textId="77777777" w:rsidR="00F613BD" w:rsidRPr="00DE4E4F" w:rsidRDefault="00F613BD" w:rsidP="00F613BD">
            <w:pPr>
              <w:spacing w:after="0" w:line="240" w:lineRule="auto"/>
              <w:rPr>
                <w:rFonts w:ascii="Times New Roman" w:eastAsia="Aptos" w:hAnsi="Times New Roman" w:cs="Times New Roman"/>
                <w:b/>
                <w:noProof/>
                <w:kern w:val="2"/>
                <w:sz w:val="18"/>
                <w:lang w:val="en-GB"/>
              </w:rPr>
            </w:pPr>
          </w:p>
        </w:tc>
        <w:tc>
          <w:tcPr>
            <w:tcW w:w="1199" w:type="dxa"/>
            <w:shd w:val="clear" w:color="auto" w:fill="C6EFCE"/>
          </w:tcPr>
          <w:p w14:paraId="2D8EB10D" w14:textId="77777777" w:rsidR="00F613BD" w:rsidRPr="00DE4E4F" w:rsidRDefault="00F613BD" w:rsidP="00F613BD">
            <w:pPr>
              <w:spacing w:after="0" w:line="240" w:lineRule="auto"/>
              <w:rPr>
                <w:rFonts w:ascii="Times New Roman" w:eastAsia="Aptos" w:hAnsi="Times New Roman" w:cs="Times New Roman"/>
                <w:b/>
                <w:noProof/>
                <w:kern w:val="2"/>
                <w:sz w:val="18"/>
                <w:lang w:val="en-GB"/>
              </w:rPr>
            </w:pPr>
          </w:p>
        </w:tc>
        <w:tc>
          <w:tcPr>
            <w:tcW w:w="1217" w:type="dxa"/>
            <w:shd w:val="clear" w:color="auto" w:fill="C6EFCE"/>
          </w:tcPr>
          <w:p w14:paraId="562B0BA0" w14:textId="77777777" w:rsidR="00F613BD" w:rsidRPr="00DE4E4F" w:rsidRDefault="00F613BD" w:rsidP="00F613BD">
            <w:pPr>
              <w:spacing w:after="0" w:line="240" w:lineRule="auto"/>
              <w:rPr>
                <w:rFonts w:ascii="Times New Roman" w:eastAsia="Aptos" w:hAnsi="Times New Roman" w:cs="Times New Roman"/>
                <w:b/>
                <w:noProof/>
                <w:kern w:val="2"/>
                <w:sz w:val="18"/>
                <w:lang w:val="en-GB"/>
              </w:rPr>
            </w:pPr>
            <w:r w:rsidRPr="00DE4E4F">
              <w:rPr>
                <w:rFonts w:ascii="Times New Roman" w:eastAsia="Aptos" w:hAnsi="Times New Roman" w:cs="Times New Roman"/>
                <w:noProof/>
                <w:color w:val="006100"/>
                <w:kern w:val="2"/>
                <w:sz w:val="18"/>
                <w:lang w:val="en-GB"/>
              </w:rPr>
              <w:t>Q4</w:t>
            </w:r>
          </w:p>
        </w:tc>
        <w:tc>
          <w:tcPr>
            <w:tcW w:w="1228" w:type="dxa"/>
            <w:shd w:val="clear" w:color="auto" w:fill="C6EFCE"/>
          </w:tcPr>
          <w:p w14:paraId="4C69D30A" w14:textId="77777777" w:rsidR="00F613BD" w:rsidRPr="00DE4E4F" w:rsidRDefault="00F613BD" w:rsidP="00F613BD">
            <w:pPr>
              <w:spacing w:after="0" w:line="240" w:lineRule="auto"/>
              <w:rPr>
                <w:rFonts w:ascii="Times New Roman" w:eastAsia="Aptos" w:hAnsi="Times New Roman" w:cs="Times New Roman"/>
                <w:b/>
                <w:noProof/>
                <w:kern w:val="2"/>
                <w:sz w:val="18"/>
                <w:lang w:val="en-GB"/>
              </w:rPr>
            </w:pPr>
            <w:r w:rsidRPr="00DE4E4F">
              <w:rPr>
                <w:rFonts w:ascii="Times New Roman" w:eastAsia="Aptos" w:hAnsi="Times New Roman" w:cs="Times New Roman"/>
                <w:noProof/>
                <w:color w:val="006100"/>
                <w:kern w:val="2"/>
                <w:sz w:val="18"/>
                <w:lang w:val="en-GB"/>
              </w:rPr>
              <w:t>2025</w:t>
            </w:r>
          </w:p>
        </w:tc>
        <w:tc>
          <w:tcPr>
            <w:tcW w:w="3017" w:type="dxa"/>
            <w:shd w:val="clear" w:color="auto" w:fill="C6EFCE"/>
          </w:tcPr>
          <w:p w14:paraId="12D1FF47" w14:textId="35B210A9" w:rsidR="00F613BD" w:rsidRPr="00DE4E4F" w:rsidRDefault="00F613BD" w:rsidP="00F613BD">
            <w:pPr>
              <w:numPr>
                <w:ilvl w:val="0"/>
                <w:numId w:val="29"/>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Execution of projects concerning the national network of paths and hiking trails;</w:t>
            </w:r>
          </w:p>
          <w:p w14:paraId="1D3AF5B3" w14:textId="77777777" w:rsidR="00F613BD" w:rsidRPr="00DE4E4F" w:rsidRDefault="00F613BD" w:rsidP="00F613BD">
            <w:pPr>
              <w:numPr>
                <w:ilvl w:val="0"/>
                <w:numId w:val="29"/>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Renovation of the Natural History Museum of Crete;</w:t>
            </w:r>
          </w:p>
          <w:p w14:paraId="79F0A2A0" w14:textId="77777777" w:rsidR="00F613BD" w:rsidRPr="00DE4E4F" w:rsidRDefault="00F613BD" w:rsidP="00F613BD">
            <w:pPr>
              <w:numPr>
                <w:ilvl w:val="0"/>
                <w:numId w:val="29"/>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Recognition of the Goulandris Natural History Museum as a National Museum of Natural History;</w:t>
            </w:r>
          </w:p>
          <w:p w14:paraId="3589EA94" w14:textId="7C10CB7D" w:rsidR="00F613BD" w:rsidRPr="00DE4E4F" w:rsidRDefault="00F613BD" w:rsidP="00E917E0">
            <w:pPr>
              <w:numPr>
                <w:ilvl w:val="0"/>
                <w:numId w:val="29"/>
              </w:numPr>
              <w:spacing w:after="0" w:line="240" w:lineRule="auto"/>
              <w:contextualSpacing/>
              <w:rPr>
                <w:rFonts w:ascii="Times New Roman" w:eastAsia="Aptos" w:hAnsi="Times New Roman" w:cs="Times New Roman"/>
                <w:noProof/>
                <w:color w:val="006100"/>
                <w:kern w:val="2"/>
                <w:sz w:val="18"/>
                <w:szCs w:val="18"/>
                <w:lang w:val="en-GB"/>
              </w:rPr>
            </w:pPr>
            <w:r w:rsidRPr="00DE4E4F">
              <w:rPr>
                <w:rFonts w:ascii="Times New Roman" w:eastAsia="Aptos" w:hAnsi="Times New Roman" w:cs="Times New Roman"/>
                <w:noProof/>
                <w:color w:val="006100"/>
                <w:kern w:val="2"/>
                <w:sz w:val="18"/>
                <w:szCs w:val="18"/>
                <w:lang w:val="en-GB"/>
              </w:rPr>
              <w:t>Delivery of equipment for a</w:t>
            </w:r>
            <w:r w:rsidR="00C835F9" w:rsidRPr="00DE4E4F">
              <w:rPr>
                <w:rFonts w:ascii="Times New Roman" w:eastAsia="Aptos" w:hAnsi="Times New Roman" w:cs="Times New Roman"/>
                <w:noProof/>
                <w:color w:val="006100"/>
                <w:kern w:val="2"/>
                <w:sz w:val="18"/>
                <w:szCs w:val="18"/>
                <w:lang w:val="en-GB"/>
              </w:rPr>
              <w:t xml:space="preserve"> </w:t>
            </w:r>
            <w:r w:rsidRPr="00DE4E4F">
              <w:rPr>
                <w:rFonts w:ascii="Times New Roman" w:eastAsia="Aptos" w:hAnsi="Times New Roman" w:cs="Times New Roman"/>
                <w:noProof/>
                <w:color w:val="006100"/>
                <w:kern w:val="2"/>
                <w:sz w:val="18"/>
                <w:szCs w:val="18"/>
                <w:lang w:val="en-GB"/>
              </w:rPr>
              <w:t>monitoring and patrolling system for protected areas;</w:t>
            </w:r>
          </w:p>
          <w:p w14:paraId="06F91286" w14:textId="77777777" w:rsidR="00F613BD" w:rsidRPr="00DE4E4F" w:rsidRDefault="00F613BD" w:rsidP="00C835F9">
            <w:pPr>
              <w:numPr>
                <w:ilvl w:val="0"/>
                <w:numId w:val="29"/>
              </w:numPr>
              <w:spacing w:after="0" w:line="240" w:lineRule="auto"/>
              <w:contextualSpacing/>
              <w:rPr>
                <w:rFonts w:ascii="Aptos" w:eastAsia="Aptos" w:hAnsi="Aptos" w:cs="Times New Roman"/>
                <w:noProof/>
                <w:kern w:val="2"/>
                <w:lang w:val="en-GB"/>
              </w:rPr>
            </w:pPr>
            <w:r w:rsidRPr="00DE4E4F">
              <w:rPr>
                <w:rFonts w:ascii="Times New Roman" w:eastAsia="Aptos" w:hAnsi="Times New Roman" w:cs="Times New Roman"/>
                <w:noProof/>
                <w:color w:val="006100"/>
                <w:kern w:val="2"/>
                <w:sz w:val="18"/>
                <w:szCs w:val="18"/>
                <w:lang w:val="en-GB"/>
              </w:rPr>
              <w:t>Digitization of Greek Natural History Collections.</w:t>
            </w:r>
          </w:p>
        </w:tc>
      </w:tr>
    </w:tbl>
    <w:p w14:paraId="72EC22D1" w14:textId="77777777" w:rsidR="00F613BD" w:rsidRPr="00DE4E4F" w:rsidRDefault="00F613BD" w:rsidP="00897F7F">
      <w:pPr>
        <w:spacing w:before="120" w:after="0" w:line="240" w:lineRule="auto"/>
        <w:rPr>
          <w:rFonts w:ascii="Times New Roman" w:hAnsi="Times New Roman"/>
          <w:noProof/>
          <w:sz w:val="16"/>
          <w:szCs w:val="16"/>
        </w:rPr>
      </w:pPr>
    </w:p>
    <w:p w14:paraId="0B8B86C8" w14:textId="77777777" w:rsidR="001B186F" w:rsidRPr="00DE4E4F" w:rsidRDefault="001B186F">
      <w:pPr>
        <w:rPr>
          <w:noProof/>
        </w:rPr>
      </w:pPr>
    </w:p>
    <w:p w14:paraId="02BE5DA8" w14:textId="77777777" w:rsidR="001B186F" w:rsidRPr="00DE4E4F" w:rsidRDefault="001B186F">
      <w:pPr>
        <w:keepNext/>
        <w:keepLines/>
        <w:spacing w:before="240" w:after="0" w:line="240" w:lineRule="auto"/>
        <w:jc w:val="both"/>
        <w:outlineLvl w:val="4"/>
        <w:rPr>
          <w:rFonts w:ascii="Cambria" w:hAnsi="Cambria"/>
          <w:noProof/>
          <w:color w:val="365F91"/>
          <w:sz w:val="24"/>
        </w:rPr>
        <w:sectPr w:rsidR="001B186F" w:rsidRPr="00DE4E4F">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p>
    <w:p w14:paraId="5C1BB5F2"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6: Wastewater &amp; water infrastructure, water savings</w:t>
      </w:r>
    </w:p>
    <w:p w14:paraId="2E1FDC6F"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17585ECD" w14:textId="26A1AED0" w:rsidR="001B186F" w:rsidRPr="00DE4E4F" w:rsidRDefault="0074517F" w:rsidP="464ADBDD">
      <w:pPr>
        <w:spacing w:before="120" w:after="120" w:line="240" w:lineRule="auto"/>
        <w:rPr>
          <w:rFonts w:ascii="Times New Roman" w:hAnsi="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Urban Wastewater and Sludge Management Infrastructures</w:t>
      </w:r>
      <w:r w:rsidR="5A42299D" w:rsidRPr="00DE4E4F">
        <w:rPr>
          <w:rFonts w:ascii="Times New Roman" w:eastAsia="Times New Roman" w:hAnsi="Times New Roman" w:cs="Times New Roman"/>
          <w:noProof/>
          <w:sz w:val="24"/>
          <w:szCs w:val="24"/>
        </w:rPr>
        <w:t xml:space="preserve"> and </w:t>
      </w:r>
      <w:r w:rsidR="2F10876C" w:rsidRPr="00DE4E4F">
        <w:rPr>
          <w:rFonts w:ascii="Times New Roman" w:eastAsia="Times New Roman" w:hAnsi="Times New Roman" w:cs="Times New Roman"/>
          <w:noProof/>
          <w:sz w:val="24"/>
          <w:szCs w:val="24"/>
        </w:rPr>
        <w:t>Purchase</w:t>
      </w:r>
      <w:r w:rsidR="5A42299D" w:rsidRPr="00DE4E4F">
        <w:rPr>
          <w:rFonts w:ascii="Times New Roman" w:eastAsia="Times New Roman" w:hAnsi="Times New Roman" w:cs="Times New Roman"/>
          <w:noProof/>
          <w:sz w:val="24"/>
          <w:szCs w:val="24"/>
        </w:rPr>
        <w:t xml:space="preserve"> of Municipal Waste Management Equipment</w:t>
      </w:r>
      <w:r w:rsidRPr="00DE4E4F">
        <w:rPr>
          <w:rFonts w:ascii="Times New Roman" w:hAnsi="Times New Roman"/>
          <w:noProof/>
          <w:sz w:val="24"/>
          <w:szCs w:val="24"/>
        </w:rPr>
        <w:t xml:space="preserve"> (ID: 16846)</w:t>
      </w:r>
    </w:p>
    <w:p w14:paraId="34399519" w14:textId="49483B10" w:rsidR="001B186F" w:rsidRPr="00DE4E4F" w:rsidRDefault="0074517F">
      <w:pPr>
        <w:spacing w:before="120" w:after="120" w:line="240" w:lineRule="auto"/>
        <w:rPr>
          <w:rFonts w:ascii="Times New Roman" w:hAnsi="Times New Roman" w:cs="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 xml:space="preserve">Drinking Water Supply and Saving </w:t>
      </w:r>
      <w:r w:rsidR="006A4783" w:rsidRPr="00DE4E4F">
        <w:rPr>
          <w:rFonts w:ascii="Times New Roman" w:hAnsi="Times New Roman"/>
          <w:noProof/>
          <w:sz w:val="24"/>
          <w:szCs w:val="24"/>
        </w:rPr>
        <w:t xml:space="preserve">Projects </w:t>
      </w:r>
      <w:r w:rsidRPr="00DE4E4F">
        <w:rPr>
          <w:rFonts w:ascii="Times New Roman" w:hAnsi="Times New Roman"/>
          <w:noProof/>
          <w:sz w:val="24"/>
          <w:szCs w:val="24"/>
        </w:rPr>
        <w:t>(ID: 16850)</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062"/>
        <w:gridCol w:w="1559"/>
        <w:gridCol w:w="1418"/>
        <w:gridCol w:w="1082"/>
        <w:gridCol w:w="902"/>
        <w:gridCol w:w="709"/>
        <w:gridCol w:w="967"/>
        <w:gridCol w:w="709"/>
        <w:gridCol w:w="4600"/>
      </w:tblGrid>
      <w:tr w:rsidR="00682269" w:rsidRPr="00DE4E4F" w14:paraId="541468BA" w14:textId="77777777" w:rsidTr="00897F7F">
        <w:trPr>
          <w:trHeight w:val="939"/>
          <w:tblHeader/>
          <w:jc w:val="center"/>
        </w:trPr>
        <w:tc>
          <w:tcPr>
            <w:tcW w:w="588" w:type="dxa"/>
            <w:vMerge w:val="restart"/>
            <w:shd w:val="clear" w:color="auto" w:fill="BDD7EE"/>
            <w:vAlign w:val="center"/>
            <w:hideMark/>
          </w:tcPr>
          <w:p w14:paraId="2019A385"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 No.</w:t>
            </w:r>
          </w:p>
        </w:tc>
        <w:tc>
          <w:tcPr>
            <w:tcW w:w="1680" w:type="dxa"/>
            <w:vMerge w:val="restart"/>
            <w:shd w:val="clear" w:color="auto" w:fill="BDD7EE"/>
            <w:vAlign w:val="center"/>
            <w:hideMark/>
          </w:tcPr>
          <w:p w14:paraId="12A2EB14"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62" w:type="dxa"/>
            <w:vMerge w:val="restart"/>
            <w:shd w:val="clear" w:color="auto" w:fill="BDD7EE"/>
            <w:vAlign w:val="center"/>
            <w:hideMark/>
          </w:tcPr>
          <w:p w14:paraId="0F2115DE"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59" w:type="dxa"/>
            <w:vMerge w:val="restart"/>
            <w:shd w:val="clear" w:color="auto" w:fill="BDD7EE"/>
            <w:vAlign w:val="center"/>
            <w:hideMark/>
          </w:tcPr>
          <w:p w14:paraId="03509096"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18" w:type="dxa"/>
            <w:vMerge w:val="restart"/>
            <w:shd w:val="clear" w:color="auto" w:fill="BDD7EE"/>
            <w:vAlign w:val="center"/>
            <w:hideMark/>
          </w:tcPr>
          <w:p w14:paraId="44C7810A" w14:textId="4A3B8E6B"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w:t>
            </w:r>
            <w:r w:rsidR="00DE4C0C" w:rsidRPr="00DE4E4F">
              <w:rPr>
                <w:rFonts w:ascii="Times New Roman" w:hAnsi="Times New Roman"/>
                <w:b/>
                <w:noProof/>
                <w:sz w:val="18"/>
              </w:rPr>
              <w:t xml:space="preserve"> </w:t>
            </w:r>
            <w:r w:rsidRPr="00DE4E4F">
              <w:rPr>
                <w:rFonts w:ascii="Times New Roman" w:hAnsi="Times New Roman"/>
                <w:b/>
                <w:noProof/>
                <w:sz w:val="18"/>
              </w:rPr>
              <w:br/>
              <w:t xml:space="preserve"> (for milestones)</w:t>
            </w:r>
          </w:p>
        </w:tc>
        <w:tc>
          <w:tcPr>
            <w:tcW w:w="2693" w:type="dxa"/>
            <w:gridSpan w:val="3"/>
            <w:shd w:val="clear" w:color="auto" w:fill="BDD7EE"/>
            <w:vAlign w:val="center"/>
            <w:hideMark/>
          </w:tcPr>
          <w:p w14:paraId="34AE3F77"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76" w:type="dxa"/>
            <w:gridSpan w:val="2"/>
            <w:shd w:val="clear" w:color="auto" w:fill="BDD7EE"/>
            <w:vAlign w:val="center"/>
            <w:hideMark/>
          </w:tcPr>
          <w:p w14:paraId="1BC5991E"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600" w:type="dxa"/>
            <w:vMerge w:val="restart"/>
            <w:shd w:val="clear" w:color="auto" w:fill="BDD7EE"/>
            <w:vAlign w:val="center"/>
            <w:hideMark/>
          </w:tcPr>
          <w:p w14:paraId="068FC20F"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461E73A5" w14:textId="77777777" w:rsidTr="00897F7F">
        <w:trPr>
          <w:trHeight w:val="609"/>
          <w:tblHeader/>
          <w:jc w:val="center"/>
        </w:trPr>
        <w:tc>
          <w:tcPr>
            <w:tcW w:w="588" w:type="dxa"/>
            <w:vMerge/>
            <w:vAlign w:val="center"/>
            <w:hideMark/>
          </w:tcPr>
          <w:p w14:paraId="2E029903"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680" w:type="dxa"/>
            <w:vMerge/>
            <w:vAlign w:val="center"/>
            <w:hideMark/>
          </w:tcPr>
          <w:p w14:paraId="34B4E214"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062" w:type="dxa"/>
            <w:vMerge/>
            <w:vAlign w:val="center"/>
            <w:hideMark/>
          </w:tcPr>
          <w:p w14:paraId="1A51F8E0"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559" w:type="dxa"/>
            <w:vMerge/>
            <w:vAlign w:val="center"/>
            <w:hideMark/>
          </w:tcPr>
          <w:p w14:paraId="55C57A85"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418" w:type="dxa"/>
            <w:vMerge/>
            <w:vAlign w:val="center"/>
            <w:hideMark/>
          </w:tcPr>
          <w:p w14:paraId="13FA35A8"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c>
          <w:tcPr>
            <w:tcW w:w="1082" w:type="dxa"/>
            <w:shd w:val="clear" w:color="auto" w:fill="BDD7EE"/>
            <w:vAlign w:val="center"/>
            <w:hideMark/>
          </w:tcPr>
          <w:p w14:paraId="00E932BF"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02" w:type="dxa"/>
            <w:shd w:val="clear" w:color="auto" w:fill="BDD7EE"/>
            <w:vAlign w:val="center"/>
            <w:hideMark/>
          </w:tcPr>
          <w:p w14:paraId="0D4C6C28"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09" w:type="dxa"/>
            <w:shd w:val="clear" w:color="auto" w:fill="BDD7EE"/>
            <w:vAlign w:val="center"/>
            <w:hideMark/>
          </w:tcPr>
          <w:p w14:paraId="47DDF8CC"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67" w:type="dxa"/>
            <w:shd w:val="clear" w:color="auto" w:fill="BDD7EE"/>
            <w:vAlign w:val="center"/>
            <w:hideMark/>
          </w:tcPr>
          <w:p w14:paraId="299E8D47"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429EB2D0" w14:textId="77777777" w:rsidR="001B186F" w:rsidRPr="00DE4E4F" w:rsidRDefault="0074517F" w:rsidP="00897F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600" w:type="dxa"/>
            <w:vMerge/>
            <w:vAlign w:val="center"/>
            <w:hideMark/>
          </w:tcPr>
          <w:p w14:paraId="5D3E9D1E" w14:textId="77777777" w:rsidR="001B186F" w:rsidRPr="00DE4E4F" w:rsidRDefault="001B186F" w:rsidP="00897F7F">
            <w:pPr>
              <w:spacing w:after="0" w:line="240" w:lineRule="auto"/>
              <w:rPr>
                <w:rFonts w:ascii="Times New Roman" w:eastAsia="Times New Roman" w:hAnsi="Times New Roman" w:cs="Times New Roman"/>
                <w:b/>
                <w:bCs/>
                <w:noProof/>
                <w:sz w:val="18"/>
                <w:szCs w:val="18"/>
                <w:lang w:eastAsia="en-GB"/>
              </w:rPr>
            </w:pPr>
          </w:p>
        </w:tc>
      </w:tr>
      <w:tr w:rsidR="00682269" w:rsidRPr="00DE4E4F" w14:paraId="68F361D5" w14:textId="77777777" w:rsidTr="00897F7F">
        <w:trPr>
          <w:trHeight w:val="313"/>
          <w:jc w:val="center"/>
        </w:trPr>
        <w:tc>
          <w:tcPr>
            <w:tcW w:w="588" w:type="dxa"/>
            <w:shd w:val="clear" w:color="auto" w:fill="C6EFCE"/>
            <w:noWrap/>
          </w:tcPr>
          <w:p w14:paraId="1947626D"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66</w:t>
            </w:r>
          </w:p>
        </w:tc>
        <w:tc>
          <w:tcPr>
            <w:tcW w:w="1680" w:type="dxa"/>
            <w:shd w:val="clear" w:color="auto" w:fill="C6EFCE"/>
            <w:noWrap/>
          </w:tcPr>
          <w:p w14:paraId="6297AF23"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4 - 1.4. Sustainable use of resources, climate resilience and environmental protection - 16850_Drinking Water Supply and Saving Infrastructures</w:t>
            </w:r>
          </w:p>
        </w:tc>
        <w:tc>
          <w:tcPr>
            <w:tcW w:w="1062" w:type="dxa"/>
            <w:shd w:val="clear" w:color="auto" w:fill="C6EFCE"/>
            <w:noWrap/>
          </w:tcPr>
          <w:p w14:paraId="7026ACC0"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16BE363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of applications for water infrastructures</w:t>
            </w:r>
          </w:p>
        </w:tc>
        <w:tc>
          <w:tcPr>
            <w:tcW w:w="1418" w:type="dxa"/>
            <w:shd w:val="clear" w:color="auto" w:fill="C6EFCE"/>
            <w:noWrap/>
          </w:tcPr>
          <w:p w14:paraId="1A31B3C5"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Applications approved by the Ministry of Environment and Energy</w:t>
            </w:r>
          </w:p>
        </w:tc>
        <w:tc>
          <w:tcPr>
            <w:tcW w:w="1082" w:type="dxa"/>
            <w:shd w:val="clear" w:color="auto" w:fill="C6EFCE"/>
            <w:noWrap/>
          </w:tcPr>
          <w:p w14:paraId="7FCA485B"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02" w:type="dxa"/>
            <w:shd w:val="clear" w:color="auto" w:fill="C6EFCE"/>
            <w:noWrap/>
          </w:tcPr>
          <w:p w14:paraId="0E46C951"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4CA5DE73"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67" w:type="dxa"/>
            <w:shd w:val="clear" w:color="auto" w:fill="C6EFCE"/>
            <w:noWrap/>
          </w:tcPr>
          <w:p w14:paraId="1253BA3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311AD087"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600" w:type="dxa"/>
            <w:shd w:val="clear" w:color="auto" w:fill="C6EFCE"/>
            <w:noWrap/>
          </w:tcPr>
          <w:p w14:paraId="6CBEA601" w14:textId="77777777" w:rsidR="001B186F" w:rsidRPr="00DE4E4F" w:rsidRDefault="0074517F" w:rsidP="00897F7F">
            <w:p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Issuance of a call of interest for water infrastructure projects, to include the following requirements: (i) for newly constructed systems to have an Infrastructure Leakage Index (ILI) that shall be less or equal to 1,5 (ii) for renovation activities to decrease the leakage by more than 20% or to decrease the average energy consumption by more than 20% and (iii) for desalination plants to be connected to renewable energy sources and to have an average energy consumption that shall be less or equal to 0,5 kWh.</w:t>
            </w:r>
          </w:p>
        </w:tc>
      </w:tr>
      <w:tr w:rsidR="00682269" w:rsidRPr="00DE4E4F" w14:paraId="742C805B" w14:textId="77777777" w:rsidTr="004970B7">
        <w:trPr>
          <w:trHeight w:val="2420"/>
          <w:jc w:val="center"/>
        </w:trPr>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5BFD10C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68</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167896EE" w14:textId="70320DAD"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4 - 1.4. Sustainable use of resources, climate resilience and environmental protection - 16846_ </w:t>
            </w:r>
            <w:r w:rsidRPr="00DE4E4F" w:rsidDel="0074517F">
              <w:rPr>
                <w:rFonts w:ascii="Times New Roman" w:hAnsi="Times New Roman" w:cs="Times New Roman"/>
                <w:noProof/>
                <w:color w:val="006100"/>
                <w:sz w:val="18"/>
                <w:szCs w:val="18"/>
              </w:rPr>
              <w:t>Urban Wastewater and Sludge Management Infrastructures from Wastewater Treatment</w:t>
            </w:r>
          </w:p>
        </w:tc>
        <w:tc>
          <w:tcPr>
            <w:tcW w:w="1062" w:type="dxa"/>
            <w:tcBorders>
              <w:top w:val="single" w:sz="4" w:space="0" w:color="auto"/>
              <w:left w:val="single" w:sz="4" w:space="0" w:color="auto"/>
              <w:bottom w:val="single" w:sz="4" w:space="0" w:color="auto"/>
              <w:right w:val="single" w:sz="4" w:space="0" w:color="auto"/>
            </w:tcBorders>
            <w:shd w:val="clear" w:color="auto" w:fill="C6EFCE"/>
            <w:noWrap/>
          </w:tcPr>
          <w:p w14:paraId="2B42E1A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3FD6CE08"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 for wastewater projects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2EAADC0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all contracts</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BC6D6B2"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02" w:type="dxa"/>
            <w:tcBorders>
              <w:top w:val="single" w:sz="4" w:space="0" w:color="auto"/>
              <w:left w:val="single" w:sz="4" w:space="0" w:color="auto"/>
              <w:bottom w:val="single" w:sz="4" w:space="0" w:color="auto"/>
              <w:right w:val="single" w:sz="4" w:space="0" w:color="auto"/>
            </w:tcBorders>
            <w:shd w:val="clear" w:color="auto" w:fill="C6EFCE"/>
            <w:noWrap/>
          </w:tcPr>
          <w:p w14:paraId="46275DAE"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41AF27"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45E96E4B"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739084B"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600" w:type="dxa"/>
            <w:tcBorders>
              <w:top w:val="single" w:sz="4" w:space="0" w:color="auto"/>
              <w:left w:val="single" w:sz="4" w:space="0" w:color="auto"/>
              <w:bottom w:val="single" w:sz="4" w:space="0" w:color="auto"/>
              <w:right w:val="single" w:sz="4" w:space="0" w:color="auto"/>
            </w:tcBorders>
            <w:shd w:val="clear" w:color="auto" w:fill="C6EFCE"/>
            <w:noWrap/>
          </w:tcPr>
          <w:p w14:paraId="51FFDEF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contract award for wastewater and sludge management projects:</w:t>
            </w:r>
          </w:p>
          <w:p w14:paraId="60189825"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Sewage network infrastructure and Wastewater Treatment Plants (WWTP).</w:t>
            </w:r>
          </w:p>
          <w:p w14:paraId="2A91A00E"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Upgrading, expansion and modernization of Wastewater Treatment Plants and reuse of treated water.</w:t>
            </w:r>
          </w:p>
          <w:p w14:paraId="2FB6000B" w14:textId="77777777" w:rsidR="001B186F" w:rsidRPr="00DE4E4F" w:rsidRDefault="0074517F" w:rsidP="00897F7F">
            <w:p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3. Implementation of sludge management infrastructure from Water Waste Treatment Plants.</w:t>
            </w:r>
          </w:p>
        </w:tc>
      </w:tr>
      <w:tr w:rsidR="00682269" w:rsidRPr="00DE4E4F" w14:paraId="30255581" w14:textId="77777777" w:rsidTr="00897F7F">
        <w:trPr>
          <w:trHeight w:val="615"/>
          <w:jc w:val="center"/>
        </w:trPr>
        <w:tc>
          <w:tcPr>
            <w:tcW w:w="588" w:type="dxa"/>
            <w:shd w:val="clear" w:color="auto" w:fill="C6EFCE"/>
            <w:noWrap/>
          </w:tcPr>
          <w:p w14:paraId="6A45258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73</w:t>
            </w:r>
          </w:p>
        </w:tc>
        <w:tc>
          <w:tcPr>
            <w:tcW w:w="1680" w:type="dxa"/>
            <w:shd w:val="clear" w:color="auto" w:fill="C6EFCE"/>
            <w:noWrap/>
          </w:tcPr>
          <w:p w14:paraId="79BCCF34" w14:textId="014718C7"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4 - 1.4. Sustainable use of resources, climate resilience and environmental protection - 16846_ </w:t>
            </w:r>
            <w:r w:rsidR="514A7007" w:rsidRPr="00DE4E4F">
              <w:rPr>
                <w:rFonts w:ascii="Times New Roman" w:hAnsi="Times New Roman" w:cs="Times New Roman"/>
                <w:noProof/>
                <w:color w:val="006100"/>
                <w:sz w:val="18"/>
                <w:szCs w:val="18"/>
              </w:rPr>
              <w:t xml:space="preserve">Urban Wastewater and Sludge Management Infrastructures and </w:t>
            </w:r>
            <w:r w:rsidR="2F10876C" w:rsidRPr="00DE4E4F">
              <w:rPr>
                <w:rFonts w:ascii="Times New Roman" w:hAnsi="Times New Roman" w:cs="Times New Roman"/>
                <w:noProof/>
                <w:color w:val="006100"/>
                <w:sz w:val="18"/>
                <w:szCs w:val="18"/>
              </w:rPr>
              <w:t>Purchase</w:t>
            </w:r>
            <w:r w:rsidR="514A7007" w:rsidRPr="00DE4E4F">
              <w:rPr>
                <w:rFonts w:ascii="Times New Roman" w:hAnsi="Times New Roman" w:cs="Times New Roman"/>
                <w:noProof/>
                <w:color w:val="006100"/>
                <w:sz w:val="18"/>
                <w:szCs w:val="18"/>
              </w:rPr>
              <w:t xml:space="preserve"> of Municipal Waste Management Equipment</w:t>
            </w:r>
          </w:p>
        </w:tc>
        <w:tc>
          <w:tcPr>
            <w:tcW w:w="1062" w:type="dxa"/>
            <w:shd w:val="clear" w:color="auto" w:fill="C6EFCE"/>
            <w:noWrap/>
          </w:tcPr>
          <w:p w14:paraId="5B65FC12"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728413E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Urban Wastewater and Sludge Management Infrastructure projects constructed</w:t>
            </w:r>
          </w:p>
        </w:tc>
        <w:tc>
          <w:tcPr>
            <w:tcW w:w="1418" w:type="dxa"/>
            <w:shd w:val="clear" w:color="auto" w:fill="C6EFCE"/>
            <w:noWrap/>
          </w:tcPr>
          <w:p w14:paraId="4FFB9AAB" w14:textId="6C7E2CEC"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70 projects constructed</w:t>
            </w:r>
          </w:p>
        </w:tc>
        <w:tc>
          <w:tcPr>
            <w:tcW w:w="1082" w:type="dxa"/>
            <w:shd w:val="clear" w:color="auto" w:fill="C6EFCE"/>
            <w:noWrap/>
          </w:tcPr>
          <w:p w14:paraId="02697CC0"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02" w:type="dxa"/>
            <w:shd w:val="clear" w:color="auto" w:fill="C6EFCE"/>
            <w:noWrap/>
          </w:tcPr>
          <w:p w14:paraId="23E37112"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67759688"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67" w:type="dxa"/>
            <w:shd w:val="clear" w:color="auto" w:fill="C6EFCE"/>
            <w:noWrap/>
          </w:tcPr>
          <w:p w14:paraId="251CCBD4"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CC4577C"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600" w:type="dxa"/>
            <w:shd w:val="clear" w:color="auto" w:fill="C6EFCE"/>
            <w:noWrap/>
          </w:tcPr>
          <w:p w14:paraId="735D1738" w14:textId="0D0855D6"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C</w:t>
            </w:r>
            <w:r w:rsidR="1712F53B" w:rsidRPr="00DE4E4F">
              <w:rPr>
                <w:rFonts w:ascii="Times New Roman" w:eastAsiaTheme="minorEastAsia" w:hAnsi="Times New Roman" w:cs="Times New Roman"/>
                <w:noProof/>
                <w:color w:val="006100"/>
                <w:sz w:val="18"/>
                <w:szCs w:val="18"/>
              </w:rPr>
              <w:t>ompletion certificates confirming the c</w:t>
            </w:r>
            <w:r w:rsidRPr="00DE4E4F">
              <w:rPr>
                <w:rFonts w:ascii="Times New Roman" w:eastAsiaTheme="minorEastAsia" w:hAnsi="Times New Roman" w:cs="Times New Roman"/>
                <w:noProof/>
                <w:color w:val="006100"/>
                <w:sz w:val="18"/>
                <w:szCs w:val="18"/>
              </w:rPr>
              <w:t xml:space="preserve">onstruction of 70 projects </w:t>
            </w:r>
            <w:r w:rsidR="527E82EE" w:rsidRPr="00DE4E4F">
              <w:rPr>
                <w:rFonts w:ascii="Times New Roman" w:eastAsiaTheme="minorEastAsia" w:hAnsi="Times New Roman" w:cs="Times New Roman"/>
                <w:noProof/>
                <w:color w:val="006100"/>
                <w:sz w:val="18"/>
                <w:szCs w:val="18"/>
              </w:rPr>
              <w:t>of the following types</w:t>
            </w:r>
            <w:r w:rsidRPr="00DE4E4F">
              <w:rPr>
                <w:rFonts w:ascii="Times New Roman" w:eastAsiaTheme="minorEastAsia" w:hAnsi="Times New Roman" w:cs="Times New Roman"/>
                <w:noProof/>
                <w:color w:val="006100"/>
                <w:sz w:val="18"/>
                <w:szCs w:val="18"/>
              </w:rPr>
              <w:t>:</w:t>
            </w:r>
          </w:p>
          <w:p w14:paraId="5550C41E" w14:textId="77777777" w:rsidR="001B186F" w:rsidRPr="00DE4E4F" w:rsidRDefault="0074517F" w:rsidP="00897F7F">
            <w:pPr>
              <w:pStyle w:val="ListParagraph"/>
              <w:numPr>
                <w:ilvl w:val="0"/>
                <w:numId w:val="30"/>
              </w:num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sewage network infrastructures, sewage connection pipes and wastewater treatment plants (WWTPs);</w:t>
            </w:r>
          </w:p>
          <w:p w14:paraId="168087A5" w14:textId="77777777" w:rsidR="001B186F" w:rsidRPr="00DE4E4F" w:rsidRDefault="0074517F" w:rsidP="00897F7F">
            <w:pPr>
              <w:pStyle w:val="ListParagraph"/>
              <w:numPr>
                <w:ilvl w:val="0"/>
                <w:numId w:val="31"/>
              </w:numPr>
              <w:spacing w:after="0" w:line="240" w:lineRule="auto"/>
              <w:jc w:val="both"/>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upgrading, extension and modernisation of WWTPs and reuse of treated water; and </w:t>
            </w:r>
          </w:p>
          <w:p w14:paraId="5BE08920" w14:textId="7385305C" w:rsidR="001B186F" w:rsidRPr="00DE4E4F" w:rsidRDefault="0074517F" w:rsidP="00897F7F">
            <w:pPr>
              <w:pStyle w:val="ListParagraph"/>
              <w:numPr>
                <w:ilvl w:val="0"/>
                <w:numId w:val="32"/>
              </w:numPr>
              <w:spacing w:after="0" w:line="240" w:lineRule="auto"/>
              <w:jc w:val="both"/>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sludge management infrastructures from WWTPs.</w:t>
            </w:r>
            <w:r w:rsidR="00DE4C0C" w:rsidRPr="00DE4E4F">
              <w:rPr>
                <w:rFonts w:ascii="Times New Roman" w:eastAsiaTheme="minorEastAsia" w:hAnsi="Times New Roman" w:cs="Times New Roman"/>
                <w:noProof/>
                <w:color w:val="006100"/>
                <w:sz w:val="18"/>
                <w:szCs w:val="18"/>
              </w:rPr>
              <w:t xml:space="preserve"> </w:t>
            </w:r>
          </w:p>
          <w:p w14:paraId="4FF975B4" w14:textId="77777777" w:rsidR="001B186F" w:rsidRPr="00DE4E4F" w:rsidRDefault="001B186F" w:rsidP="00897F7F">
            <w:pPr>
              <w:spacing w:after="0" w:line="240" w:lineRule="auto"/>
              <w:rPr>
                <w:rFonts w:ascii="Times New Roman" w:eastAsiaTheme="minorEastAsia" w:hAnsi="Times New Roman" w:cs="Times New Roman"/>
                <w:noProof/>
                <w:color w:val="006100"/>
                <w:sz w:val="18"/>
                <w:szCs w:val="18"/>
              </w:rPr>
            </w:pPr>
          </w:p>
        </w:tc>
      </w:tr>
      <w:tr w:rsidR="464ADBDD" w:rsidRPr="00DE4E4F" w14:paraId="25DF7331" w14:textId="77777777" w:rsidTr="00897F7F">
        <w:trPr>
          <w:trHeight w:val="313"/>
          <w:jc w:val="center"/>
        </w:trPr>
        <w:tc>
          <w:tcPr>
            <w:tcW w:w="588" w:type="dxa"/>
            <w:shd w:val="clear" w:color="auto" w:fill="C6EFCE"/>
            <w:noWrap/>
          </w:tcPr>
          <w:p w14:paraId="112290AF" w14:textId="44DC2817" w:rsidR="464ADBDD" w:rsidRPr="00DE4E4F" w:rsidRDefault="464ADBDD"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73</w:t>
            </w:r>
            <w:r w:rsidR="722D4501" w:rsidRPr="00DE4E4F">
              <w:rPr>
                <w:rFonts w:ascii="Times New Roman" w:hAnsi="Times New Roman" w:cs="Times New Roman"/>
                <w:noProof/>
                <w:color w:val="006100"/>
                <w:sz w:val="18"/>
                <w:szCs w:val="18"/>
              </w:rPr>
              <w:t>a</w:t>
            </w:r>
          </w:p>
        </w:tc>
        <w:tc>
          <w:tcPr>
            <w:tcW w:w="1680" w:type="dxa"/>
            <w:shd w:val="clear" w:color="auto" w:fill="C6EFCE"/>
            <w:noWrap/>
          </w:tcPr>
          <w:p w14:paraId="433CC43A" w14:textId="1F8E318F" w:rsidR="464ADBDD" w:rsidRPr="00DE4E4F" w:rsidRDefault="464ADBDD"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4 - 1.4. Sustainable use of resources, climate resilience and environmental protection - 16846_ Urban Wastewater and Sludge Management Infrastructures </w:t>
            </w:r>
            <w:r w:rsidR="7CC1BACC" w:rsidRPr="00DE4E4F">
              <w:rPr>
                <w:rFonts w:ascii="Times New Roman" w:hAnsi="Times New Roman" w:cs="Times New Roman"/>
                <w:noProof/>
                <w:color w:val="006100"/>
                <w:sz w:val="18"/>
                <w:szCs w:val="18"/>
              </w:rPr>
              <w:t xml:space="preserve">and </w:t>
            </w:r>
            <w:r w:rsidR="2F10876C" w:rsidRPr="00DE4E4F">
              <w:rPr>
                <w:rFonts w:ascii="Times New Roman" w:hAnsi="Times New Roman" w:cs="Times New Roman"/>
                <w:noProof/>
                <w:color w:val="006100"/>
                <w:sz w:val="18"/>
                <w:szCs w:val="18"/>
              </w:rPr>
              <w:t>Purchase</w:t>
            </w:r>
            <w:r w:rsidR="7CC1BACC" w:rsidRPr="00DE4E4F">
              <w:rPr>
                <w:rFonts w:ascii="Times New Roman" w:hAnsi="Times New Roman" w:cs="Times New Roman"/>
                <w:noProof/>
                <w:color w:val="006100"/>
                <w:sz w:val="18"/>
                <w:szCs w:val="18"/>
              </w:rPr>
              <w:t xml:space="preserve"> of Municipal Waste Management Equipment</w:t>
            </w:r>
          </w:p>
        </w:tc>
        <w:tc>
          <w:tcPr>
            <w:tcW w:w="1062" w:type="dxa"/>
            <w:shd w:val="clear" w:color="auto" w:fill="C6EFCE"/>
            <w:noWrap/>
          </w:tcPr>
          <w:p w14:paraId="0AEABC04" w14:textId="2D1003B1" w:rsidR="464ADBDD" w:rsidRPr="00DE4E4F" w:rsidRDefault="00EE6E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shd w:val="clear" w:color="auto" w:fill="C6EFCE"/>
            <w:noWrap/>
          </w:tcPr>
          <w:p w14:paraId="34969D52" w14:textId="7A8C1DAD" w:rsidR="58D2DC9B" w:rsidRPr="00DE4E4F" w:rsidRDefault="007200BD" w:rsidP="00897F7F">
            <w:pPr>
              <w:spacing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Purchase</w:t>
            </w:r>
            <w:r w:rsidR="58D2DC9B" w:rsidRPr="00DE4E4F">
              <w:rPr>
                <w:rFonts w:ascii="Times New Roman" w:eastAsia="Times New Roman" w:hAnsi="Times New Roman" w:cs="Times New Roman"/>
                <w:noProof/>
                <w:color w:val="006100"/>
                <w:sz w:val="18"/>
                <w:szCs w:val="18"/>
              </w:rPr>
              <w:t xml:space="preserve"> of 130 electric </w:t>
            </w:r>
            <w:r w:rsidR="00354667" w:rsidRPr="00DE4E4F">
              <w:rPr>
                <w:rFonts w:ascii="Times New Roman" w:eastAsia="Times New Roman" w:hAnsi="Times New Roman" w:cs="Times New Roman"/>
                <w:noProof/>
                <w:color w:val="006100"/>
                <w:sz w:val="18"/>
                <w:szCs w:val="18"/>
              </w:rPr>
              <w:t>waste</w:t>
            </w:r>
            <w:r w:rsidR="00430C66" w:rsidRPr="00DE4E4F">
              <w:rPr>
                <w:rFonts w:ascii="Times New Roman" w:eastAsia="Times New Roman" w:hAnsi="Times New Roman" w:cs="Times New Roman"/>
                <w:noProof/>
                <w:color w:val="006100"/>
                <w:sz w:val="18"/>
                <w:szCs w:val="18"/>
              </w:rPr>
              <w:t xml:space="preserve"> </w:t>
            </w:r>
            <w:r w:rsidR="58D2DC9B" w:rsidRPr="00DE4E4F">
              <w:rPr>
                <w:rFonts w:ascii="Times New Roman" w:eastAsia="Times New Roman" w:hAnsi="Times New Roman" w:cs="Times New Roman"/>
                <w:noProof/>
                <w:color w:val="006100"/>
                <w:sz w:val="18"/>
                <w:szCs w:val="18"/>
              </w:rPr>
              <w:t>collection vehicles</w:t>
            </w:r>
          </w:p>
          <w:p w14:paraId="10DE07EC" w14:textId="3C19585D" w:rsidR="464ADBDD" w:rsidRPr="00DE4E4F" w:rsidRDefault="464ADBDD" w:rsidP="00897F7F">
            <w:pPr>
              <w:spacing w:line="240" w:lineRule="auto"/>
              <w:rPr>
                <w:rFonts w:ascii="Times New Roman" w:eastAsia="Times New Roman" w:hAnsi="Times New Roman" w:cs="Times New Roman"/>
                <w:noProof/>
                <w:color w:val="006100"/>
                <w:sz w:val="18"/>
                <w:szCs w:val="18"/>
              </w:rPr>
            </w:pPr>
          </w:p>
        </w:tc>
        <w:tc>
          <w:tcPr>
            <w:tcW w:w="1418" w:type="dxa"/>
            <w:shd w:val="clear" w:color="auto" w:fill="C6EFCE"/>
            <w:noWrap/>
          </w:tcPr>
          <w:p w14:paraId="1D94F0E1" w14:textId="5D9D1409" w:rsidR="464ADBDD" w:rsidRPr="00DE4E4F" w:rsidRDefault="464ADBDD" w:rsidP="00897F7F">
            <w:pPr>
              <w:spacing w:line="240" w:lineRule="auto"/>
              <w:rPr>
                <w:rFonts w:ascii="Times New Roman" w:hAnsi="Times New Roman" w:cs="Times New Roman"/>
                <w:noProof/>
                <w:color w:val="006100"/>
                <w:sz w:val="18"/>
                <w:szCs w:val="18"/>
              </w:rPr>
            </w:pPr>
          </w:p>
        </w:tc>
        <w:tc>
          <w:tcPr>
            <w:tcW w:w="1082" w:type="dxa"/>
            <w:shd w:val="clear" w:color="auto" w:fill="C6EFCE"/>
            <w:noWrap/>
          </w:tcPr>
          <w:p w14:paraId="0EDE4345" w14:textId="6C0572D8" w:rsidR="464ADBDD" w:rsidRPr="00DE4E4F" w:rsidRDefault="2033046E" w:rsidP="00897F7F">
            <w:pPr>
              <w:spacing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Number of vehicles </w:t>
            </w:r>
            <w:r w:rsidR="00535218" w:rsidRPr="00DE4E4F">
              <w:rPr>
                <w:rFonts w:ascii="Times New Roman" w:eastAsia="Times New Roman" w:hAnsi="Times New Roman" w:cs="Times New Roman"/>
                <w:noProof/>
                <w:color w:val="006100"/>
                <w:sz w:val="18"/>
                <w:szCs w:val="18"/>
                <w:lang w:eastAsia="en-GB"/>
              </w:rPr>
              <w:t>purchased</w:t>
            </w:r>
          </w:p>
        </w:tc>
        <w:tc>
          <w:tcPr>
            <w:tcW w:w="902" w:type="dxa"/>
            <w:shd w:val="clear" w:color="auto" w:fill="C6EFCE"/>
            <w:noWrap/>
          </w:tcPr>
          <w:p w14:paraId="4B6BCB71" w14:textId="7ABF3E26" w:rsidR="464ADBDD" w:rsidRPr="00DE4E4F" w:rsidRDefault="00FB4CCD" w:rsidP="00897F7F">
            <w:pPr>
              <w:spacing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709" w:type="dxa"/>
            <w:shd w:val="clear" w:color="auto" w:fill="C6EFCE"/>
            <w:noWrap/>
          </w:tcPr>
          <w:p w14:paraId="7EC0E707" w14:textId="2F3130CA" w:rsidR="464ADBDD" w:rsidRPr="00DE4E4F" w:rsidRDefault="00FB4CCD" w:rsidP="00897F7F">
            <w:pPr>
              <w:spacing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130</w:t>
            </w:r>
          </w:p>
        </w:tc>
        <w:tc>
          <w:tcPr>
            <w:tcW w:w="967" w:type="dxa"/>
            <w:shd w:val="clear" w:color="auto" w:fill="C6EFCE"/>
            <w:noWrap/>
          </w:tcPr>
          <w:p w14:paraId="4A6A6B6C" w14:textId="2813B99D" w:rsidR="41D290DB" w:rsidRPr="00DE4E4F" w:rsidRDefault="41D290DB"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FB4CCD" w:rsidRPr="00DE4E4F">
              <w:rPr>
                <w:rFonts w:ascii="Times New Roman" w:hAnsi="Times New Roman" w:cs="Times New Roman"/>
                <w:noProof/>
                <w:color w:val="006100"/>
                <w:sz w:val="18"/>
                <w:szCs w:val="18"/>
              </w:rPr>
              <w:t>2</w:t>
            </w:r>
          </w:p>
        </w:tc>
        <w:tc>
          <w:tcPr>
            <w:tcW w:w="709" w:type="dxa"/>
            <w:shd w:val="clear" w:color="auto" w:fill="C6EFCE"/>
            <w:noWrap/>
          </w:tcPr>
          <w:p w14:paraId="4A2E74A1" w14:textId="17C47A4E" w:rsidR="41D290DB" w:rsidRPr="00DE4E4F" w:rsidRDefault="41D290DB" w:rsidP="00897F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w:t>
            </w:r>
            <w:r w:rsidR="00FB4CCD" w:rsidRPr="00DE4E4F">
              <w:rPr>
                <w:rFonts w:ascii="Times New Roman" w:hAnsi="Times New Roman" w:cs="Times New Roman"/>
                <w:noProof/>
                <w:color w:val="006100"/>
                <w:sz w:val="18"/>
                <w:szCs w:val="18"/>
              </w:rPr>
              <w:t>6</w:t>
            </w:r>
          </w:p>
        </w:tc>
        <w:tc>
          <w:tcPr>
            <w:tcW w:w="4600" w:type="dxa"/>
            <w:shd w:val="clear" w:color="auto" w:fill="C6EFCE"/>
            <w:noWrap/>
          </w:tcPr>
          <w:p w14:paraId="6F742AE7" w14:textId="450EE86D" w:rsidR="41D290DB" w:rsidRPr="00DE4E4F" w:rsidRDefault="00E46C0E" w:rsidP="00897F7F">
            <w:pPr>
              <w:spacing w:line="240" w:lineRule="auto"/>
              <w:rPr>
                <w:rFonts w:ascii="Times New Roman" w:hAnsi="Times New Roman" w:cs="Times New Roman"/>
                <w:noProof/>
                <w:color w:val="006100"/>
              </w:rPr>
            </w:pPr>
            <w:r w:rsidRPr="00DE4E4F">
              <w:rPr>
                <w:rFonts w:ascii="Times New Roman" w:eastAsiaTheme="minorEastAsia" w:hAnsi="Times New Roman" w:cs="Times New Roman"/>
                <w:noProof/>
                <w:color w:val="006100"/>
                <w:sz w:val="18"/>
                <w:szCs w:val="18"/>
              </w:rPr>
              <w:t>Purchase</w:t>
            </w:r>
            <w:r w:rsidR="41D290DB" w:rsidRPr="00DE4E4F">
              <w:rPr>
                <w:rFonts w:ascii="Times New Roman" w:eastAsiaTheme="minorEastAsia" w:hAnsi="Times New Roman" w:cs="Times New Roman"/>
                <w:noProof/>
                <w:color w:val="006100"/>
                <w:sz w:val="18"/>
                <w:szCs w:val="18"/>
              </w:rPr>
              <w:t xml:space="preserve"> of 130 electric </w:t>
            </w:r>
            <w:r w:rsidR="00FB4CCD" w:rsidRPr="00DE4E4F">
              <w:rPr>
                <w:rFonts w:ascii="Times New Roman" w:eastAsiaTheme="minorEastAsia" w:hAnsi="Times New Roman" w:cs="Times New Roman"/>
                <w:noProof/>
                <w:color w:val="006100"/>
                <w:sz w:val="18"/>
                <w:szCs w:val="18"/>
              </w:rPr>
              <w:t>waste</w:t>
            </w:r>
            <w:r w:rsidR="00DE4C0C" w:rsidRPr="00DE4E4F">
              <w:rPr>
                <w:rFonts w:ascii="Times New Roman" w:eastAsiaTheme="minorEastAsia" w:hAnsi="Times New Roman" w:cs="Times New Roman"/>
                <w:noProof/>
                <w:color w:val="006100"/>
                <w:sz w:val="18"/>
                <w:szCs w:val="18"/>
              </w:rPr>
              <w:t xml:space="preserve"> </w:t>
            </w:r>
            <w:r w:rsidR="41D290DB" w:rsidRPr="00DE4E4F">
              <w:rPr>
                <w:rFonts w:ascii="Times New Roman" w:eastAsiaTheme="minorEastAsia" w:hAnsi="Times New Roman" w:cs="Times New Roman"/>
                <w:noProof/>
                <w:color w:val="006100"/>
                <w:sz w:val="18"/>
                <w:szCs w:val="18"/>
              </w:rPr>
              <w:t>collection vehicles</w:t>
            </w:r>
            <w:r w:rsidR="00FB4CCD" w:rsidRPr="00DE4E4F">
              <w:rPr>
                <w:rFonts w:ascii="Times New Roman" w:eastAsiaTheme="minorEastAsia" w:hAnsi="Times New Roman" w:cs="Times New Roman"/>
                <w:noProof/>
                <w:color w:val="006100"/>
                <w:sz w:val="18"/>
                <w:szCs w:val="18"/>
              </w:rPr>
              <w:t>.</w:t>
            </w:r>
          </w:p>
        </w:tc>
      </w:tr>
      <w:tr w:rsidR="00682269" w:rsidRPr="00DE4E4F" w14:paraId="0F12D742" w14:textId="77777777" w:rsidTr="00897F7F">
        <w:trPr>
          <w:trHeight w:val="313"/>
          <w:jc w:val="center"/>
        </w:trPr>
        <w:tc>
          <w:tcPr>
            <w:tcW w:w="588" w:type="dxa"/>
            <w:shd w:val="clear" w:color="auto" w:fill="C6EFCE"/>
            <w:noWrap/>
          </w:tcPr>
          <w:p w14:paraId="234E0AE9"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74</w:t>
            </w:r>
          </w:p>
        </w:tc>
        <w:tc>
          <w:tcPr>
            <w:tcW w:w="1680" w:type="dxa"/>
            <w:shd w:val="clear" w:color="auto" w:fill="C6EFCE"/>
            <w:noWrap/>
          </w:tcPr>
          <w:p w14:paraId="04054658" w14:textId="6C6974F4"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4 - 1.4. Sustainable use of resources, climate resilience and environmental protection - 16850_Drinking Water Supply and Saving </w:t>
            </w:r>
            <w:r w:rsidR="00C56954" w:rsidRPr="00DE4E4F">
              <w:rPr>
                <w:rFonts w:ascii="Times New Roman" w:hAnsi="Times New Roman" w:cs="Times New Roman"/>
                <w:noProof/>
                <w:color w:val="006100"/>
                <w:sz w:val="18"/>
                <w:szCs w:val="18"/>
              </w:rPr>
              <w:t>Projects</w:t>
            </w:r>
          </w:p>
        </w:tc>
        <w:tc>
          <w:tcPr>
            <w:tcW w:w="1062" w:type="dxa"/>
            <w:shd w:val="clear" w:color="auto" w:fill="C6EFCE"/>
            <w:noWrap/>
          </w:tcPr>
          <w:p w14:paraId="59684C33"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11401D24" w14:textId="05A2B58B" w:rsidR="001B186F" w:rsidRPr="00DE4E4F" w:rsidRDefault="0074517F" w:rsidP="00897F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Water</w:t>
            </w:r>
            <w:r w:rsidR="12F1FBDF" w:rsidRPr="00DE4E4F">
              <w:rPr>
                <w:rFonts w:ascii="Times New Roman" w:hAnsi="Times New Roman" w:cs="Times New Roman"/>
                <w:noProof/>
                <w:color w:val="006100"/>
                <w:sz w:val="18"/>
                <w:szCs w:val="18"/>
              </w:rPr>
              <w:t xml:space="preserve"> Supply and Saving</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projects </w:t>
            </w:r>
          </w:p>
        </w:tc>
        <w:tc>
          <w:tcPr>
            <w:tcW w:w="1418" w:type="dxa"/>
            <w:shd w:val="clear" w:color="auto" w:fill="C6EFCE"/>
            <w:noWrap/>
          </w:tcPr>
          <w:p w14:paraId="63AAB509" w14:textId="79B87199" w:rsidR="001B186F" w:rsidRPr="00DE4E4F" w:rsidRDefault="0074517F" w:rsidP="00897F7F">
            <w:pPr>
              <w:spacing w:after="0" w:line="240" w:lineRule="auto"/>
              <w:rPr>
                <w:noProof/>
              </w:rPr>
            </w:pPr>
            <w:r w:rsidRPr="00DE4E4F">
              <w:rPr>
                <w:rFonts w:ascii="Times New Roman" w:eastAsia="Times New Roman" w:hAnsi="Times New Roman" w:cs="Times New Roman"/>
                <w:noProof/>
                <w:color w:val="006100"/>
                <w:sz w:val="18"/>
                <w:szCs w:val="18"/>
                <w:lang w:eastAsia="en-GB"/>
              </w:rPr>
              <w:t xml:space="preserve">At least 50 projects </w:t>
            </w:r>
            <w:r w:rsidR="0D47B6F2" w:rsidRPr="00DE4E4F">
              <w:rPr>
                <w:rFonts w:ascii="Times New Roman" w:eastAsia="Times New Roman" w:hAnsi="Times New Roman" w:cs="Times New Roman"/>
                <w:noProof/>
                <w:color w:val="006100"/>
                <w:sz w:val="18"/>
                <w:szCs w:val="18"/>
                <w:lang w:eastAsia="en-GB"/>
              </w:rPr>
              <w:t>delivered</w:t>
            </w:r>
          </w:p>
        </w:tc>
        <w:tc>
          <w:tcPr>
            <w:tcW w:w="1082" w:type="dxa"/>
            <w:shd w:val="clear" w:color="auto" w:fill="C6EFCE"/>
            <w:noWrap/>
          </w:tcPr>
          <w:p w14:paraId="26EFF4A3"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02" w:type="dxa"/>
            <w:shd w:val="clear" w:color="auto" w:fill="C6EFCE"/>
            <w:noWrap/>
          </w:tcPr>
          <w:p w14:paraId="5E88C6F0"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4044C818" w14:textId="77777777" w:rsidR="001B186F" w:rsidRPr="00DE4E4F" w:rsidRDefault="001B186F" w:rsidP="00897F7F">
            <w:pPr>
              <w:spacing w:after="0" w:line="240" w:lineRule="auto"/>
              <w:rPr>
                <w:rFonts w:ascii="Times New Roman" w:eastAsia="Times New Roman" w:hAnsi="Times New Roman" w:cs="Times New Roman"/>
                <w:noProof/>
                <w:color w:val="006100"/>
                <w:sz w:val="18"/>
                <w:szCs w:val="18"/>
                <w:lang w:eastAsia="en-GB"/>
              </w:rPr>
            </w:pPr>
          </w:p>
        </w:tc>
        <w:tc>
          <w:tcPr>
            <w:tcW w:w="967" w:type="dxa"/>
            <w:shd w:val="clear" w:color="auto" w:fill="C6EFCE"/>
            <w:noWrap/>
          </w:tcPr>
          <w:p w14:paraId="29BD1191"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557C124" w14:textId="77777777"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600" w:type="dxa"/>
            <w:shd w:val="clear" w:color="auto" w:fill="C6EFCE"/>
            <w:noWrap/>
          </w:tcPr>
          <w:p w14:paraId="22995746" w14:textId="2120921B" w:rsidR="001B186F" w:rsidRPr="00DE4E4F" w:rsidRDefault="40F57520"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certificates or acceptance protocols confirming the d</w:t>
            </w:r>
            <w:r w:rsidR="026886E5" w:rsidRPr="00DE4E4F">
              <w:rPr>
                <w:rFonts w:ascii="Times New Roman" w:hAnsi="Times New Roman" w:cs="Times New Roman"/>
                <w:noProof/>
                <w:color w:val="006100"/>
                <w:sz w:val="18"/>
                <w:szCs w:val="18"/>
              </w:rPr>
              <w:t>elivery</w:t>
            </w:r>
            <w:r w:rsidR="0074517F" w:rsidRPr="00DE4E4F">
              <w:rPr>
                <w:rFonts w:ascii="Times New Roman" w:hAnsi="Times New Roman" w:cs="Times New Roman"/>
                <w:noProof/>
                <w:color w:val="006100"/>
                <w:sz w:val="18"/>
                <w:szCs w:val="18"/>
              </w:rPr>
              <w:t xml:space="preserve"> of at least 50 water supply and saving projects, including: </w:t>
            </w:r>
          </w:p>
          <w:p w14:paraId="1DA79EA0" w14:textId="2E9CEC1A" w:rsidR="001B186F" w:rsidRPr="00DE4E4F" w:rsidRDefault="0074517F" w:rsidP="00897F7F">
            <w:pPr>
              <w:spacing w:after="0" w:line="240" w:lineRule="auto"/>
              <w:rPr>
                <w:noProof/>
              </w:rPr>
            </w:pPr>
            <w:r w:rsidRPr="00DE4E4F">
              <w:rPr>
                <w:rFonts w:ascii="Times New Roman" w:hAnsi="Times New Roman" w:cs="Times New Roman"/>
                <w:noProof/>
                <w:color w:val="006100"/>
                <w:sz w:val="18"/>
                <w:szCs w:val="18"/>
              </w:rPr>
              <w:t>(a) construction of water supply infrastructures in at least seven areas</w:t>
            </w:r>
            <w:r w:rsidR="5F264B05" w:rsidRPr="00DE4E4F">
              <w:rPr>
                <w:rFonts w:ascii="Times New Roman" w:hAnsi="Times New Roman" w:cs="Times New Roman"/>
                <w:noProof/>
                <w:color w:val="006100"/>
                <w:sz w:val="18"/>
                <w:szCs w:val="18"/>
              </w:rPr>
              <w:t>,</w:t>
            </w:r>
          </w:p>
          <w:p w14:paraId="6FB5E00F" w14:textId="7F77AE4C" w:rsidR="001B186F" w:rsidRPr="00DE4E4F" w:rsidRDefault="15F232B1"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installation of</w:t>
            </w:r>
            <w:r w:rsidR="0074517F" w:rsidRPr="00DE4E4F">
              <w:rPr>
                <w:rFonts w:ascii="Times New Roman" w:hAnsi="Times New Roman" w:cs="Times New Roman"/>
                <w:noProof/>
                <w:color w:val="006100"/>
                <w:sz w:val="18"/>
                <w:szCs w:val="18"/>
              </w:rPr>
              <w:t xml:space="preserve"> a desalination plant</w:t>
            </w:r>
          </w:p>
          <w:p w14:paraId="2F61922A" w14:textId="561E9BC0"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w:t>
            </w:r>
            <w:r w:rsidR="00252F62" w:rsidRPr="00DE4E4F">
              <w:rPr>
                <w:rFonts w:ascii="Times New Roman" w:hAnsi="Times New Roman" w:cs="Times New Roman"/>
                <w:noProof/>
                <w:color w:val="006100"/>
                <w:sz w:val="18"/>
                <w:szCs w:val="18"/>
              </w:rPr>
              <w:t>c</w:t>
            </w:r>
            <w:r w:rsidRPr="00DE4E4F">
              <w:rPr>
                <w:rFonts w:ascii="Times New Roman" w:hAnsi="Times New Roman" w:cs="Times New Roman"/>
                <w:noProof/>
                <w:color w:val="006100"/>
                <w:sz w:val="18"/>
                <w:szCs w:val="18"/>
              </w:rPr>
              <w:t>) installation of telemetry - remote control systems for</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leak detection in water supply networks and</w:t>
            </w:r>
          </w:p>
          <w:p w14:paraId="73729D8B" w14:textId="058063EF" w:rsidR="001B186F" w:rsidRPr="00DE4E4F" w:rsidRDefault="0074517F" w:rsidP="00897F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w:t>
            </w:r>
            <w:r w:rsidR="00252F62" w:rsidRPr="00DE4E4F">
              <w:rPr>
                <w:rFonts w:ascii="Times New Roman" w:hAnsi="Times New Roman" w:cs="Times New Roman"/>
                <w:noProof/>
                <w:color w:val="006100"/>
                <w:sz w:val="18"/>
                <w:szCs w:val="18"/>
              </w:rPr>
              <w:t>d</w:t>
            </w:r>
            <w:r w:rsidRPr="00DE4E4F">
              <w:rPr>
                <w:rFonts w:ascii="Times New Roman" w:hAnsi="Times New Roman" w:cs="Times New Roman"/>
                <w:noProof/>
                <w:color w:val="006100"/>
                <w:sz w:val="18"/>
                <w:szCs w:val="18"/>
              </w:rPr>
              <w:t xml:space="preserve">) installation of digital water meters </w:t>
            </w:r>
          </w:p>
        </w:tc>
      </w:tr>
    </w:tbl>
    <w:p w14:paraId="60D8B8E5" w14:textId="77777777" w:rsidR="001B186F" w:rsidRPr="00DE4E4F" w:rsidRDefault="001B186F">
      <w:pPr>
        <w:spacing w:before="120" w:after="120" w:line="240" w:lineRule="auto"/>
        <w:rPr>
          <w:rFonts w:ascii="Times New Roman" w:hAnsi="Times New Roman" w:cs="Times New Roman"/>
          <w:noProof/>
          <w:sz w:val="24"/>
        </w:rPr>
      </w:pPr>
    </w:p>
    <w:p w14:paraId="4FEBE08C" w14:textId="5C03E255" w:rsidR="001B186F" w:rsidRPr="00DE4E4F" w:rsidRDefault="0074517F" w:rsidP="003E29CB">
      <w:pPr>
        <w:rPr>
          <w:rFonts w:ascii="Cambria" w:eastAsia="Times New Roman" w:hAnsi="Cambria"/>
          <w:noProof/>
          <w:color w:val="365F91"/>
          <w:sz w:val="24"/>
        </w:rPr>
      </w:pPr>
      <w:r w:rsidRPr="00DE4E4F">
        <w:rPr>
          <w:rFonts w:ascii="Times New Roman" w:hAnsi="Times New Roman" w:cs="Times New Roman"/>
          <w:noProof/>
          <w:sz w:val="24"/>
        </w:rPr>
        <w:br w:type="page"/>
      </w:r>
      <w:r w:rsidRPr="00DE4E4F">
        <w:rPr>
          <w:rFonts w:ascii="Cambria" w:hAnsi="Cambria"/>
          <w:noProof/>
          <w:color w:val="365F91"/>
          <w:sz w:val="24"/>
        </w:rPr>
        <w:t>Group 7: Civil Protection Projects</w:t>
      </w:r>
    </w:p>
    <w:p w14:paraId="27124961" w14:textId="77777777" w:rsidR="001B186F" w:rsidRPr="00DE4E4F" w:rsidRDefault="0074517F">
      <w:pPr>
        <w:spacing w:before="120" w:after="120" w:line="240" w:lineRule="auto"/>
        <w:rPr>
          <w:rFonts w:ascii="Times New Roman" w:hAnsi="Times New Roman" w:cs="Times New Roman"/>
          <w:noProof/>
          <w:sz w:val="24"/>
        </w:rPr>
      </w:pPr>
      <w:r w:rsidRPr="00DE4E4F">
        <w:rPr>
          <w:rFonts w:ascii="Times New Roman" w:hAnsi="Times New Roman"/>
          <w:noProof/>
          <w:sz w:val="24"/>
        </w:rPr>
        <w:t>The measures included within this group are:</w:t>
      </w:r>
    </w:p>
    <w:p w14:paraId="0395E502" w14:textId="77777777" w:rsidR="001B186F" w:rsidRPr="00DE4E4F" w:rsidRDefault="0074517F">
      <w:pPr>
        <w:pStyle w:val="ListParagraph"/>
        <w:numPr>
          <w:ilvl w:val="0"/>
          <w:numId w:val="33"/>
        </w:numPr>
        <w:spacing w:before="120" w:after="120" w:line="240" w:lineRule="auto"/>
        <w:rPr>
          <w:rFonts w:ascii="Times New Roman" w:hAnsi="Times New Roman" w:cs="Times New Roman"/>
          <w:noProof/>
          <w:sz w:val="24"/>
        </w:rPr>
      </w:pPr>
      <w:r w:rsidRPr="00DE4E4F">
        <w:rPr>
          <w:rFonts w:ascii="Times New Roman" w:hAnsi="Times New Roman"/>
          <w:noProof/>
          <w:sz w:val="24"/>
        </w:rPr>
        <w:t>Aerial means for crisis management (ID: 16911)</w:t>
      </w:r>
    </w:p>
    <w:p w14:paraId="287F3E3E" w14:textId="77777777" w:rsidR="001B186F" w:rsidRPr="00DE4E4F" w:rsidRDefault="0074517F">
      <w:pPr>
        <w:pStyle w:val="ListParagraph"/>
        <w:numPr>
          <w:ilvl w:val="0"/>
          <w:numId w:val="33"/>
        </w:numPr>
        <w:spacing w:before="120" w:after="120" w:line="240" w:lineRule="auto"/>
        <w:rPr>
          <w:rFonts w:ascii="Times New Roman" w:hAnsi="Times New Roman" w:cs="Times New Roman"/>
          <w:noProof/>
          <w:sz w:val="24"/>
        </w:rPr>
      </w:pPr>
      <w:r w:rsidRPr="00DE4E4F">
        <w:rPr>
          <w:rFonts w:ascii="Times New Roman" w:hAnsi="Times New Roman"/>
          <w:noProof/>
          <w:sz w:val="24"/>
        </w:rPr>
        <w:t>Civil protection management and monitoring (ID: 16910)</w:t>
      </w:r>
    </w:p>
    <w:p w14:paraId="34839310" w14:textId="77777777" w:rsidR="001B186F" w:rsidRPr="00DE4E4F" w:rsidRDefault="0074517F">
      <w:pPr>
        <w:pStyle w:val="ListParagraph"/>
        <w:numPr>
          <w:ilvl w:val="0"/>
          <w:numId w:val="33"/>
        </w:numPr>
        <w:spacing w:before="120" w:after="120" w:line="240" w:lineRule="auto"/>
        <w:rPr>
          <w:rFonts w:ascii="Times New Roman" w:hAnsi="Times New Roman" w:cs="Times New Roman"/>
          <w:noProof/>
          <w:sz w:val="24"/>
        </w:rPr>
      </w:pPr>
      <w:r w:rsidRPr="00DE4E4F">
        <w:rPr>
          <w:rFonts w:ascii="Times New Roman" w:hAnsi="Times New Roman"/>
          <w:noProof/>
          <w:sz w:val="24"/>
        </w:rPr>
        <w:t>Forest firefighting, prevention and response equipment (ID: 16912)</w:t>
      </w:r>
    </w:p>
    <w:p w14:paraId="36AD8BAE" w14:textId="77777777" w:rsidR="001B186F" w:rsidRPr="00DE4E4F" w:rsidRDefault="0074517F">
      <w:pPr>
        <w:pStyle w:val="ListParagraph"/>
        <w:numPr>
          <w:ilvl w:val="0"/>
          <w:numId w:val="33"/>
        </w:numPr>
        <w:spacing w:before="120" w:after="120" w:line="240" w:lineRule="auto"/>
        <w:rPr>
          <w:rFonts w:ascii="Times New Roman" w:hAnsi="Times New Roman" w:cs="Times New Roman"/>
          <w:noProof/>
          <w:sz w:val="24"/>
        </w:rPr>
      </w:pPr>
      <w:r w:rsidRPr="00DE4E4F">
        <w:rPr>
          <w:rFonts w:ascii="Times New Roman" w:hAnsi="Times New Roman"/>
          <w:noProof/>
          <w:sz w:val="24"/>
        </w:rPr>
        <w:t>Implementation of Regional Civil Protection Centers (PEKEPP) through PPP schemes (ID: 16283)</w:t>
      </w:r>
    </w:p>
    <w:p w14:paraId="3AD454E6" w14:textId="68B5FF3E" w:rsidR="001B186F" w:rsidRPr="00DE4E4F" w:rsidRDefault="006F475B">
      <w:pPr>
        <w:pStyle w:val="ListParagraph"/>
        <w:numPr>
          <w:ilvl w:val="0"/>
          <w:numId w:val="33"/>
        </w:numPr>
        <w:spacing w:before="120" w:after="120" w:line="240" w:lineRule="auto"/>
        <w:rPr>
          <w:rFonts w:ascii="Times New Roman" w:hAnsi="Times New Roman"/>
          <w:noProof/>
          <w:sz w:val="24"/>
        </w:rPr>
      </w:pPr>
      <w:r w:rsidRPr="00DE4E4F">
        <w:rPr>
          <w:rFonts w:ascii="Times New Roman" w:hAnsi="Times New Roman"/>
          <w:noProof/>
          <w:sz w:val="24"/>
        </w:rPr>
        <w:t xml:space="preserve">Primary </w:t>
      </w:r>
      <w:r w:rsidR="0074517F" w:rsidRPr="00DE4E4F">
        <w:rPr>
          <w:rFonts w:ascii="Times New Roman" w:hAnsi="Times New Roman"/>
          <w:noProof/>
          <w:sz w:val="24"/>
        </w:rPr>
        <w:t>inspection of seismic resistance of buildings</w:t>
      </w:r>
      <w:r w:rsidRPr="00DE4E4F">
        <w:rPr>
          <w:rFonts w:ascii="Times New Roman" w:hAnsi="Times New Roman"/>
          <w:noProof/>
          <w:sz w:val="24"/>
        </w:rPr>
        <w:t xml:space="preserve"> or sport</w:t>
      </w:r>
      <w:r w:rsidR="00D516FB" w:rsidRPr="00DE4E4F">
        <w:rPr>
          <w:rFonts w:ascii="Times New Roman" w:hAnsi="Times New Roman"/>
          <w:noProof/>
          <w:sz w:val="24"/>
        </w:rPr>
        <w:t>s</w:t>
      </w:r>
      <w:r w:rsidRPr="00DE4E4F">
        <w:rPr>
          <w:rFonts w:ascii="Times New Roman" w:hAnsi="Times New Roman"/>
          <w:noProof/>
          <w:sz w:val="24"/>
        </w:rPr>
        <w:t xml:space="preserve"> facilities</w:t>
      </w:r>
      <w:r w:rsidR="0074517F" w:rsidRPr="00DE4E4F">
        <w:rPr>
          <w:rFonts w:ascii="Times New Roman" w:hAnsi="Times New Roman"/>
          <w:noProof/>
          <w:sz w:val="24"/>
        </w:rPr>
        <w:t xml:space="preserve"> (ID: 16983)</w:t>
      </w:r>
    </w:p>
    <w:tbl>
      <w:tblPr>
        <w:tblStyle w:val="TableGrid"/>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75"/>
        <w:gridCol w:w="1680"/>
        <w:gridCol w:w="1143"/>
        <w:gridCol w:w="1277"/>
        <w:gridCol w:w="1320"/>
        <w:gridCol w:w="1200"/>
        <w:gridCol w:w="960"/>
        <w:gridCol w:w="960"/>
        <w:gridCol w:w="960"/>
        <w:gridCol w:w="960"/>
        <w:gridCol w:w="4553"/>
      </w:tblGrid>
      <w:tr w:rsidR="00682269" w:rsidRPr="00DE4E4F" w14:paraId="5302DFFE" w14:textId="77777777">
        <w:trPr>
          <w:trHeight w:val="612"/>
          <w:tblHeader/>
          <w:jc w:val="center"/>
        </w:trPr>
        <w:tc>
          <w:tcPr>
            <w:tcW w:w="575" w:type="dxa"/>
            <w:vMerge w:val="restart"/>
            <w:shd w:val="clear" w:color="auto" w:fill="BDD7EE"/>
            <w:vAlign w:val="center"/>
            <w:hideMark/>
          </w:tcPr>
          <w:p w14:paraId="7EC9C85A"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Seq. No.</w:t>
            </w:r>
          </w:p>
        </w:tc>
        <w:tc>
          <w:tcPr>
            <w:tcW w:w="1680" w:type="dxa"/>
            <w:vMerge w:val="restart"/>
            <w:shd w:val="clear" w:color="auto" w:fill="BDD7EE"/>
            <w:vAlign w:val="center"/>
            <w:hideMark/>
          </w:tcPr>
          <w:p w14:paraId="1E182BDE"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Related Measure (Reform or Investment)</w:t>
            </w:r>
          </w:p>
        </w:tc>
        <w:tc>
          <w:tcPr>
            <w:tcW w:w="1143" w:type="dxa"/>
            <w:vMerge w:val="restart"/>
            <w:shd w:val="clear" w:color="auto" w:fill="BDD7EE"/>
            <w:vAlign w:val="center"/>
            <w:hideMark/>
          </w:tcPr>
          <w:p w14:paraId="2057B134"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Milestone / Target</w:t>
            </w:r>
          </w:p>
        </w:tc>
        <w:tc>
          <w:tcPr>
            <w:tcW w:w="1277" w:type="dxa"/>
            <w:vMerge w:val="restart"/>
            <w:shd w:val="clear" w:color="auto" w:fill="BDD7EE"/>
            <w:vAlign w:val="center"/>
            <w:hideMark/>
          </w:tcPr>
          <w:p w14:paraId="5F35CB4A"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Name</w:t>
            </w:r>
          </w:p>
        </w:tc>
        <w:tc>
          <w:tcPr>
            <w:tcW w:w="1320" w:type="dxa"/>
            <w:vMerge w:val="restart"/>
            <w:shd w:val="clear" w:color="auto" w:fill="BDD7EE"/>
            <w:vAlign w:val="center"/>
            <w:hideMark/>
          </w:tcPr>
          <w:p w14:paraId="2DC4C6F3"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Qualitative indicators (for milestones)</w:t>
            </w:r>
          </w:p>
        </w:tc>
        <w:tc>
          <w:tcPr>
            <w:tcW w:w="3120" w:type="dxa"/>
            <w:gridSpan w:val="3"/>
            <w:shd w:val="clear" w:color="auto" w:fill="BDD7EE"/>
            <w:vAlign w:val="center"/>
            <w:hideMark/>
          </w:tcPr>
          <w:p w14:paraId="711135C9" w14:textId="32016D12"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Quantitative indicators</w:t>
            </w:r>
            <w:r w:rsidR="00DE4C0C" w:rsidRPr="00DE4E4F">
              <w:rPr>
                <w:rFonts w:ascii="Times New Roman" w:hAnsi="Times New Roman"/>
                <w:b/>
                <w:noProof/>
                <w:sz w:val="18"/>
                <w:lang w:val="en-GB"/>
              </w:rPr>
              <w:t xml:space="preserve"> </w:t>
            </w:r>
            <w:r w:rsidRPr="00DE4E4F">
              <w:rPr>
                <w:rFonts w:ascii="Times New Roman" w:hAnsi="Times New Roman" w:cs="Times New Roman"/>
                <w:b/>
                <w:noProof/>
                <w:sz w:val="18"/>
                <w:szCs w:val="18"/>
                <w:lang w:val="en-GB"/>
              </w:rPr>
              <w:br/>
            </w:r>
            <w:r w:rsidRPr="00DE4E4F">
              <w:rPr>
                <w:rFonts w:ascii="Times New Roman" w:hAnsi="Times New Roman"/>
                <w:b/>
                <w:noProof/>
                <w:sz w:val="18"/>
                <w:lang w:val="en-GB"/>
              </w:rPr>
              <w:t xml:space="preserve"> (for targets)</w:t>
            </w:r>
          </w:p>
        </w:tc>
        <w:tc>
          <w:tcPr>
            <w:tcW w:w="1920" w:type="dxa"/>
            <w:gridSpan w:val="2"/>
            <w:shd w:val="clear" w:color="auto" w:fill="BDD7EE"/>
            <w:vAlign w:val="center"/>
            <w:hideMark/>
          </w:tcPr>
          <w:p w14:paraId="3C49543C"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 xml:space="preserve">Indicative timeline for completion </w:t>
            </w:r>
          </w:p>
        </w:tc>
        <w:tc>
          <w:tcPr>
            <w:tcW w:w="4553" w:type="dxa"/>
            <w:vMerge w:val="restart"/>
            <w:shd w:val="clear" w:color="auto" w:fill="BDD7EE"/>
            <w:vAlign w:val="center"/>
            <w:hideMark/>
          </w:tcPr>
          <w:p w14:paraId="64315125"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Description of each milestone and target</w:t>
            </w:r>
          </w:p>
        </w:tc>
      </w:tr>
      <w:tr w:rsidR="00682269" w:rsidRPr="00DE4E4F" w14:paraId="7F542223" w14:textId="77777777">
        <w:trPr>
          <w:trHeight w:val="540"/>
          <w:tblHeader/>
          <w:jc w:val="center"/>
        </w:trPr>
        <w:tc>
          <w:tcPr>
            <w:tcW w:w="575" w:type="dxa"/>
            <w:vMerge/>
            <w:vAlign w:val="center"/>
            <w:hideMark/>
          </w:tcPr>
          <w:p w14:paraId="3057EE2A" w14:textId="77777777" w:rsidR="001B186F" w:rsidRPr="00DE4E4F" w:rsidRDefault="001B186F">
            <w:pPr>
              <w:rPr>
                <w:rFonts w:ascii="Times New Roman" w:eastAsia="Times New Roman" w:hAnsi="Times New Roman" w:cs="Times New Roman"/>
                <w:b/>
                <w:bCs/>
                <w:noProof/>
                <w:sz w:val="18"/>
                <w:szCs w:val="18"/>
                <w:lang w:val="en-GB" w:eastAsia="en-GB"/>
              </w:rPr>
            </w:pPr>
          </w:p>
        </w:tc>
        <w:tc>
          <w:tcPr>
            <w:tcW w:w="1680" w:type="dxa"/>
            <w:vMerge/>
            <w:vAlign w:val="center"/>
            <w:hideMark/>
          </w:tcPr>
          <w:p w14:paraId="38588166" w14:textId="77777777" w:rsidR="001B186F" w:rsidRPr="00DE4E4F" w:rsidRDefault="001B186F">
            <w:pPr>
              <w:rPr>
                <w:rFonts w:ascii="Times New Roman" w:eastAsia="Times New Roman" w:hAnsi="Times New Roman" w:cs="Times New Roman"/>
                <w:b/>
                <w:bCs/>
                <w:noProof/>
                <w:sz w:val="18"/>
                <w:szCs w:val="18"/>
                <w:lang w:val="en-GB" w:eastAsia="en-GB"/>
              </w:rPr>
            </w:pPr>
          </w:p>
        </w:tc>
        <w:tc>
          <w:tcPr>
            <w:tcW w:w="1143" w:type="dxa"/>
            <w:vMerge/>
            <w:vAlign w:val="center"/>
            <w:hideMark/>
          </w:tcPr>
          <w:p w14:paraId="3668EC1D" w14:textId="77777777" w:rsidR="001B186F" w:rsidRPr="00DE4E4F" w:rsidRDefault="001B186F">
            <w:pPr>
              <w:rPr>
                <w:rFonts w:ascii="Times New Roman" w:eastAsia="Times New Roman" w:hAnsi="Times New Roman" w:cs="Times New Roman"/>
                <w:b/>
                <w:bCs/>
                <w:noProof/>
                <w:sz w:val="18"/>
                <w:szCs w:val="18"/>
                <w:lang w:val="en-GB" w:eastAsia="en-GB"/>
              </w:rPr>
            </w:pPr>
          </w:p>
        </w:tc>
        <w:tc>
          <w:tcPr>
            <w:tcW w:w="1277" w:type="dxa"/>
            <w:vMerge/>
            <w:vAlign w:val="center"/>
            <w:hideMark/>
          </w:tcPr>
          <w:p w14:paraId="7236E801" w14:textId="77777777" w:rsidR="001B186F" w:rsidRPr="00DE4E4F" w:rsidRDefault="001B186F">
            <w:pPr>
              <w:rPr>
                <w:rFonts w:ascii="Times New Roman" w:eastAsia="Times New Roman" w:hAnsi="Times New Roman" w:cs="Times New Roman"/>
                <w:b/>
                <w:bCs/>
                <w:noProof/>
                <w:sz w:val="18"/>
                <w:szCs w:val="18"/>
                <w:lang w:val="en-GB" w:eastAsia="en-GB"/>
              </w:rPr>
            </w:pPr>
          </w:p>
        </w:tc>
        <w:tc>
          <w:tcPr>
            <w:tcW w:w="1320" w:type="dxa"/>
            <w:vMerge/>
            <w:vAlign w:val="center"/>
            <w:hideMark/>
          </w:tcPr>
          <w:p w14:paraId="3F6F558A" w14:textId="77777777" w:rsidR="001B186F" w:rsidRPr="00DE4E4F" w:rsidRDefault="001B186F">
            <w:pPr>
              <w:rPr>
                <w:rFonts w:ascii="Times New Roman" w:eastAsia="Times New Roman" w:hAnsi="Times New Roman" w:cs="Times New Roman"/>
                <w:b/>
                <w:bCs/>
                <w:noProof/>
                <w:sz w:val="18"/>
                <w:szCs w:val="18"/>
                <w:lang w:val="en-GB" w:eastAsia="en-GB"/>
              </w:rPr>
            </w:pPr>
          </w:p>
        </w:tc>
        <w:tc>
          <w:tcPr>
            <w:tcW w:w="1200" w:type="dxa"/>
            <w:shd w:val="clear" w:color="auto" w:fill="BDD7EE"/>
            <w:vAlign w:val="center"/>
            <w:hideMark/>
          </w:tcPr>
          <w:p w14:paraId="2D316D9E"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Unit of measure</w:t>
            </w:r>
          </w:p>
        </w:tc>
        <w:tc>
          <w:tcPr>
            <w:tcW w:w="960" w:type="dxa"/>
            <w:shd w:val="clear" w:color="auto" w:fill="BDD7EE"/>
            <w:vAlign w:val="center"/>
            <w:hideMark/>
          </w:tcPr>
          <w:p w14:paraId="5C47221C"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 xml:space="preserve">Baseline </w:t>
            </w:r>
          </w:p>
        </w:tc>
        <w:tc>
          <w:tcPr>
            <w:tcW w:w="960" w:type="dxa"/>
            <w:shd w:val="clear" w:color="auto" w:fill="BDD7EE"/>
            <w:vAlign w:val="center"/>
            <w:hideMark/>
          </w:tcPr>
          <w:p w14:paraId="2FF4729A"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 xml:space="preserve">Goal </w:t>
            </w:r>
          </w:p>
        </w:tc>
        <w:tc>
          <w:tcPr>
            <w:tcW w:w="960" w:type="dxa"/>
            <w:shd w:val="clear" w:color="auto" w:fill="BDD7EE"/>
            <w:vAlign w:val="center"/>
            <w:hideMark/>
          </w:tcPr>
          <w:p w14:paraId="4FDD3D09"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Quarter</w:t>
            </w:r>
          </w:p>
        </w:tc>
        <w:tc>
          <w:tcPr>
            <w:tcW w:w="960" w:type="dxa"/>
            <w:shd w:val="clear" w:color="auto" w:fill="BDD7EE"/>
            <w:vAlign w:val="center"/>
            <w:hideMark/>
          </w:tcPr>
          <w:p w14:paraId="757B59DC" w14:textId="77777777" w:rsidR="001B186F" w:rsidRPr="00DE4E4F" w:rsidRDefault="0074517F">
            <w:pPr>
              <w:jc w:val="center"/>
              <w:rPr>
                <w:rFonts w:ascii="Times New Roman" w:eastAsia="Times New Roman" w:hAnsi="Times New Roman" w:cs="Times New Roman"/>
                <w:b/>
                <w:bCs/>
                <w:noProof/>
                <w:sz w:val="18"/>
                <w:szCs w:val="18"/>
                <w:lang w:val="en-GB"/>
              </w:rPr>
            </w:pPr>
            <w:r w:rsidRPr="00DE4E4F">
              <w:rPr>
                <w:rFonts w:ascii="Times New Roman" w:hAnsi="Times New Roman"/>
                <w:b/>
                <w:noProof/>
                <w:sz w:val="18"/>
                <w:lang w:val="en-GB"/>
              </w:rPr>
              <w:t>Year</w:t>
            </w:r>
          </w:p>
        </w:tc>
        <w:tc>
          <w:tcPr>
            <w:tcW w:w="4553" w:type="dxa"/>
            <w:vMerge/>
            <w:vAlign w:val="center"/>
            <w:hideMark/>
          </w:tcPr>
          <w:p w14:paraId="183333BA" w14:textId="77777777" w:rsidR="001B186F" w:rsidRPr="00DE4E4F" w:rsidRDefault="001B186F">
            <w:pPr>
              <w:rPr>
                <w:rFonts w:ascii="Times New Roman" w:eastAsia="Times New Roman" w:hAnsi="Times New Roman" w:cs="Times New Roman"/>
                <w:b/>
                <w:bCs/>
                <w:noProof/>
                <w:sz w:val="18"/>
                <w:szCs w:val="18"/>
                <w:lang w:val="en-GB" w:eastAsia="en-GB"/>
              </w:rPr>
            </w:pPr>
          </w:p>
        </w:tc>
      </w:tr>
      <w:tr w:rsidR="00682269" w:rsidRPr="00DE4E4F" w14:paraId="5BFCD9E4" w14:textId="77777777">
        <w:trPr>
          <w:trHeight w:val="309"/>
          <w:jc w:val="center"/>
        </w:trPr>
        <w:tc>
          <w:tcPr>
            <w:tcW w:w="575" w:type="dxa"/>
            <w:shd w:val="clear" w:color="auto" w:fill="C6EFCE"/>
            <w:noWrap/>
          </w:tcPr>
          <w:p w14:paraId="59AE8210"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77</w:t>
            </w:r>
          </w:p>
        </w:tc>
        <w:tc>
          <w:tcPr>
            <w:tcW w:w="1680" w:type="dxa"/>
            <w:shd w:val="clear" w:color="auto" w:fill="C6EFCE"/>
            <w:noWrap/>
          </w:tcPr>
          <w:p w14:paraId="16C088A4"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- 16283_ Implementation of Regional Civil Protection Centers (PEKEPP) through PPP schemes</w:t>
            </w:r>
          </w:p>
        </w:tc>
        <w:tc>
          <w:tcPr>
            <w:tcW w:w="1143" w:type="dxa"/>
            <w:shd w:val="clear" w:color="auto" w:fill="C6EFCE"/>
            <w:noWrap/>
          </w:tcPr>
          <w:p w14:paraId="7346B379"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7A601620" w14:textId="50E58F54"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Tender for 13</w:t>
            </w:r>
            <w:r w:rsidR="00374ABB" w:rsidRPr="00DE4E4F">
              <w:rPr>
                <w:rFonts w:ascii="Times New Roman" w:hAnsi="Times New Roman" w:cs="Times New Roman"/>
                <w:noProof/>
                <w:color w:val="006100"/>
                <w:sz w:val="18"/>
                <w:szCs w:val="18"/>
                <w:lang w:val="en-GB"/>
              </w:rPr>
              <w:t> </w:t>
            </w:r>
            <w:r w:rsidRPr="00DE4E4F">
              <w:rPr>
                <w:rFonts w:ascii="Times New Roman" w:hAnsi="Times New Roman" w:cs="Times New Roman"/>
                <w:noProof/>
                <w:color w:val="006100"/>
                <w:sz w:val="18"/>
                <w:szCs w:val="18"/>
                <w:lang w:val="en-GB"/>
              </w:rPr>
              <w:t>Regional Centres</w:t>
            </w:r>
          </w:p>
        </w:tc>
        <w:tc>
          <w:tcPr>
            <w:tcW w:w="1320" w:type="dxa"/>
            <w:shd w:val="clear" w:color="auto" w:fill="C6EFCE"/>
            <w:noWrap/>
          </w:tcPr>
          <w:p w14:paraId="533DBC7D"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Publication of tender notice</w:t>
            </w:r>
          </w:p>
        </w:tc>
        <w:tc>
          <w:tcPr>
            <w:tcW w:w="1200" w:type="dxa"/>
            <w:shd w:val="clear" w:color="auto" w:fill="C6EFCE"/>
            <w:noWrap/>
          </w:tcPr>
          <w:p w14:paraId="0274F2C9"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B92C7A9"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2902728B"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DF1084D"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Q3</w:t>
            </w:r>
          </w:p>
        </w:tc>
        <w:tc>
          <w:tcPr>
            <w:tcW w:w="960" w:type="dxa"/>
            <w:shd w:val="clear" w:color="auto" w:fill="C6EFCE"/>
            <w:noWrap/>
          </w:tcPr>
          <w:p w14:paraId="02D84898"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2021</w:t>
            </w:r>
          </w:p>
        </w:tc>
        <w:tc>
          <w:tcPr>
            <w:tcW w:w="4553" w:type="dxa"/>
            <w:shd w:val="clear" w:color="auto" w:fill="C6EFCE"/>
            <w:noWrap/>
          </w:tcPr>
          <w:p w14:paraId="3E65A1CC" w14:textId="3A780FBD"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Publication of tender notice for the construction of 13</w:t>
            </w:r>
            <w:r w:rsidR="00374ABB" w:rsidRPr="00DE4E4F">
              <w:rPr>
                <w:rFonts w:ascii="Times New Roman" w:hAnsi="Times New Roman" w:cs="Times New Roman"/>
                <w:noProof/>
                <w:color w:val="006100"/>
                <w:sz w:val="18"/>
                <w:szCs w:val="18"/>
                <w:lang w:val="en-GB"/>
              </w:rPr>
              <w:t> </w:t>
            </w:r>
            <w:r w:rsidRPr="00DE4E4F">
              <w:rPr>
                <w:rFonts w:ascii="Times New Roman" w:hAnsi="Times New Roman" w:cs="Times New Roman"/>
                <w:noProof/>
                <w:color w:val="006100"/>
                <w:sz w:val="18"/>
                <w:szCs w:val="18"/>
                <w:lang w:val="en-GB"/>
              </w:rPr>
              <w:t>Regional Civil protection centres.</w:t>
            </w:r>
          </w:p>
        </w:tc>
      </w:tr>
      <w:tr w:rsidR="00682269" w:rsidRPr="00DE4E4F" w14:paraId="523EE8FA" w14:textId="77777777">
        <w:trPr>
          <w:trHeight w:val="309"/>
          <w:jc w:val="center"/>
        </w:trPr>
        <w:tc>
          <w:tcPr>
            <w:tcW w:w="575" w:type="dxa"/>
            <w:shd w:val="clear" w:color="auto" w:fill="C6EFCE"/>
            <w:noWrap/>
          </w:tcPr>
          <w:p w14:paraId="0E3FD4F3"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78</w:t>
            </w:r>
          </w:p>
        </w:tc>
        <w:tc>
          <w:tcPr>
            <w:tcW w:w="1680" w:type="dxa"/>
            <w:shd w:val="clear" w:color="auto" w:fill="C6EFCE"/>
            <w:noWrap/>
          </w:tcPr>
          <w:p w14:paraId="41D92EF1"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- 16910_Monitoring and Management System</w:t>
            </w:r>
          </w:p>
        </w:tc>
        <w:tc>
          <w:tcPr>
            <w:tcW w:w="1143" w:type="dxa"/>
            <w:shd w:val="clear" w:color="auto" w:fill="C6EFCE"/>
            <w:noWrap/>
          </w:tcPr>
          <w:p w14:paraId="43EAA406"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1BA3572B"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Contract for GPS</w:t>
            </w:r>
          </w:p>
        </w:tc>
        <w:tc>
          <w:tcPr>
            <w:tcW w:w="1320" w:type="dxa"/>
            <w:shd w:val="clear" w:color="auto" w:fill="C6EFCE"/>
            <w:noWrap/>
          </w:tcPr>
          <w:p w14:paraId="6453D00E"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Notification of award of contracts </w:t>
            </w:r>
          </w:p>
        </w:tc>
        <w:tc>
          <w:tcPr>
            <w:tcW w:w="1200" w:type="dxa"/>
            <w:shd w:val="clear" w:color="auto" w:fill="C6EFCE"/>
            <w:noWrap/>
          </w:tcPr>
          <w:p w14:paraId="7E619534"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00A5F038"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78FD3F6D"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26772373"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Q4</w:t>
            </w:r>
          </w:p>
        </w:tc>
        <w:tc>
          <w:tcPr>
            <w:tcW w:w="960" w:type="dxa"/>
            <w:shd w:val="clear" w:color="auto" w:fill="C6EFCE"/>
            <w:noWrap/>
          </w:tcPr>
          <w:p w14:paraId="4397B28B"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2022</w:t>
            </w:r>
          </w:p>
        </w:tc>
        <w:tc>
          <w:tcPr>
            <w:tcW w:w="4553" w:type="dxa"/>
            <w:shd w:val="clear" w:color="auto" w:fill="C6EFCE"/>
            <w:noWrap/>
          </w:tcPr>
          <w:p w14:paraId="2DA94814"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Notification of contract award for the GPS Monitoring System and Early warning system. </w:t>
            </w:r>
          </w:p>
        </w:tc>
      </w:tr>
      <w:tr w:rsidR="00682269" w:rsidRPr="00DE4E4F" w14:paraId="17EC3DDF" w14:textId="77777777" w:rsidTr="009A6FC8">
        <w:trPr>
          <w:trHeight w:val="1312"/>
          <w:jc w:val="center"/>
        </w:trPr>
        <w:tc>
          <w:tcPr>
            <w:tcW w:w="575" w:type="dxa"/>
            <w:shd w:val="clear" w:color="auto" w:fill="C6EFCE"/>
            <w:noWrap/>
          </w:tcPr>
          <w:p w14:paraId="527CA41F"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79</w:t>
            </w:r>
          </w:p>
        </w:tc>
        <w:tc>
          <w:tcPr>
            <w:tcW w:w="1680" w:type="dxa"/>
            <w:shd w:val="clear" w:color="auto" w:fill="C6EFCE"/>
            <w:noWrap/>
          </w:tcPr>
          <w:p w14:paraId="12B12948"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- 16911_Aerial means for crisis management</w:t>
            </w:r>
          </w:p>
        </w:tc>
        <w:tc>
          <w:tcPr>
            <w:tcW w:w="1143" w:type="dxa"/>
            <w:shd w:val="clear" w:color="auto" w:fill="C6EFCE"/>
            <w:noWrap/>
          </w:tcPr>
          <w:p w14:paraId="318977D7"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01C72DEE"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Purchase of two medium – size firefighting helicopters</w:t>
            </w:r>
          </w:p>
        </w:tc>
        <w:tc>
          <w:tcPr>
            <w:tcW w:w="1320" w:type="dxa"/>
            <w:shd w:val="clear" w:color="auto" w:fill="C6EFCE"/>
            <w:noWrap/>
          </w:tcPr>
          <w:p w14:paraId="5139A720"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Notification of award of contracts </w:t>
            </w:r>
          </w:p>
        </w:tc>
        <w:tc>
          <w:tcPr>
            <w:tcW w:w="1200" w:type="dxa"/>
            <w:shd w:val="clear" w:color="auto" w:fill="C6EFCE"/>
            <w:noWrap/>
          </w:tcPr>
          <w:p w14:paraId="2BCD6227"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013B2F63"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695ABCD"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46ECB236"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Q4</w:t>
            </w:r>
          </w:p>
        </w:tc>
        <w:tc>
          <w:tcPr>
            <w:tcW w:w="960" w:type="dxa"/>
            <w:shd w:val="clear" w:color="auto" w:fill="C6EFCE"/>
            <w:noWrap/>
          </w:tcPr>
          <w:p w14:paraId="017DA5A7"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2023</w:t>
            </w:r>
          </w:p>
        </w:tc>
        <w:tc>
          <w:tcPr>
            <w:tcW w:w="4553" w:type="dxa"/>
            <w:shd w:val="clear" w:color="auto" w:fill="C6EFCE"/>
            <w:noWrap/>
          </w:tcPr>
          <w:p w14:paraId="4C489796"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Notification of award of the contract for the purchase of two medium – size firefighting helicopters for civil protection and firefighting needs.</w:t>
            </w:r>
          </w:p>
        </w:tc>
      </w:tr>
      <w:tr w:rsidR="00682269" w:rsidRPr="00DE4E4F" w14:paraId="2C465C67" w14:textId="77777777">
        <w:trPr>
          <w:trHeight w:val="309"/>
          <w:jc w:val="center"/>
        </w:trPr>
        <w:tc>
          <w:tcPr>
            <w:tcW w:w="575" w:type="dxa"/>
            <w:shd w:val="clear" w:color="auto" w:fill="C6EFCE"/>
            <w:noWrap/>
          </w:tcPr>
          <w:p w14:paraId="5D0E53ED"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81</w:t>
            </w:r>
          </w:p>
        </w:tc>
        <w:tc>
          <w:tcPr>
            <w:tcW w:w="1680" w:type="dxa"/>
            <w:shd w:val="clear" w:color="auto" w:fill="C6EFCE"/>
            <w:noWrap/>
          </w:tcPr>
          <w:p w14:paraId="09B6829E" w14:textId="5E5257C0"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- 16910_ Civil protection management and monitoring</w:t>
            </w:r>
            <w:r w:rsidR="00DE4C0C" w:rsidRPr="00DE4E4F">
              <w:rPr>
                <w:rFonts w:ascii="Times New Roman" w:hAnsi="Times New Roman" w:cs="Times New Roman"/>
                <w:noProof/>
                <w:color w:val="006100"/>
                <w:sz w:val="18"/>
                <w:szCs w:val="18"/>
                <w:lang w:val="en-GB"/>
              </w:rPr>
              <w:t xml:space="preserve"> </w:t>
            </w:r>
          </w:p>
        </w:tc>
        <w:tc>
          <w:tcPr>
            <w:tcW w:w="1143" w:type="dxa"/>
            <w:shd w:val="clear" w:color="auto" w:fill="C6EFCE"/>
            <w:noWrap/>
          </w:tcPr>
          <w:p w14:paraId="39BDA0DF"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3AD14AB4" w14:textId="152F5836" w:rsidR="001B186F" w:rsidRPr="00DE4E4F" w:rsidRDefault="002E7CE3">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Delivery of equipment and construction and renovation works in pre-defined buildings</w:t>
            </w:r>
          </w:p>
        </w:tc>
        <w:tc>
          <w:tcPr>
            <w:tcW w:w="1320" w:type="dxa"/>
            <w:shd w:val="clear" w:color="auto" w:fill="C6EFCE"/>
            <w:noWrap/>
          </w:tcPr>
          <w:p w14:paraId="0A2B9E01" w14:textId="5457D9B8"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Delivery of equipment and construction and renovation works in pre-defined buildings</w:t>
            </w:r>
          </w:p>
        </w:tc>
        <w:tc>
          <w:tcPr>
            <w:tcW w:w="1200" w:type="dxa"/>
            <w:shd w:val="clear" w:color="auto" w:fill="C6EFCE"/>
            <w:noWrap/>
          </w:tcPr>
          <w:p w14:paraId="46595232"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6BB32D17"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3D5BEE5"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4A0934A0"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Q4</w:t>
            </w:r>
          </w:p>
        </w:tc>
        <w:tc>
          <w:tcPr>
            <w:tcW w:w="960" w:type="dxa"/>
            <w:shd w:val="clear" w:color="auto" w:fill="C6EFCE"/>
            <w:noWrap/>
          </w:tcPr>
          <w:p w14:paraId="5E34CB5E"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2025</w:t>
            </w:r>
          </w:p>
        </w:tc>
        <w:tc>
          <w:tcPr>
            <w:tcW w:w="4553" w:type="dxa"/>
            <w:shd w:val="clear" w:color="auto" w:fill="C6EFCE"/>
            <w:noWrap/>
          </w:tcPr>
          <w:p w14:paraId="2A6ACEE9" w14:textId="77777777" w:rsidR="001B186F" w:rsidRPr="00DE4E4F" w:rsidRDefault="0074517F">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Delivery of GPS Fleet Management System for Fire Service Vehicles, Civil Protection Vehicles of Regions and Municipalities. Upgrade of the “engage” information system;</w:t>
            </w:r>
          </w:p>
          <w:p w14:paraId="5E907A7D" w14:textId="1E0B5215" w:rsidR="001B186F" w:rsidRPr="00DE4E4F" w:rsidRDefault="0074517F">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Delivery of </w:t>
            </w:r>
            <w:r w:rsidRPr="00DE4E4F">
              <w:rPr>
                <w:rFonts w:ascii="Times New Roman" w:eastAsia="Times New Roman" w:hAnsi="Times New Roman" w:cs="Times New Roman"/>
                <w:noProof/>
                <w:color w:val="006100"/>
                <w:sz w:val="18"/>
                <w:szCs w:val="18"/>
                <w:lang w:val="en-GB"/>
              </w:rPr>
              <w:t xml:space="preserve">Meteorological Stations for </w:t>
            </w:r>
            <w:r w:rsidRPr="00DE4E4F">
              <w:rPr>
                <w:rFonts w:ascii="Times New Roman" w:hAnsi="Times New Roman" w:cs="Times New Roman"/>
                <w:noProof/>
                <w:color w:val="006100"/>
                <w:sz w:val="18"/>
                <w:szCs w:val="18"/>
                <w:lang w:val="en-GB"/>
              </w:rPr>
              <w:t>Early Warning of Natural Disasters;</w:t>
            </w:r>
          </w:p>
          <w:p w14:paraId="67B7EFF0" w14:textId="77777777" w:rsidR="001B186F" w:rsidRPr="00DE4E4F" w:rsidRDefault="0074517F">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Delivery of emergency communication stations and provision of climatic data of areas of interest (radars);</w:t>
            </w:r>
          </w:p>
          <w:p w14:paraId="167CC4EC" w14:textId="64A660FE" w:rsidR="001B186F" w:rsidRPr="00DE4E4F" w:rsidRDefault="0074517F">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eastAsia="Times New Roman" w:hAnsi="Times New Roman" w:cs="Times New Roman"/>
                <w:noProof/>
                <w:color w:val="006100"/>
                <w:sz w:val="18"/>
                <w:szCs w:val="18"/>
                <w:lang w:val="en-GB"/>
              </w:rPr>
              <w:t xml:space="preserve">Construction </w:t>
            </w:r>
            <w:r w:rsidR="005C225A" w:rsidRPr="00DE4E4F">
              <w:rPr>
                <w:rFonts w:ascii="Times New Roman" w:eastAsia="Times New Roman" w:hAnsi="Times New Roman" w:cs="Times New Roman"/>
                <w:noProof/>
                <w:color w:val="006100"/>
                <w:sz w:val="18"/>
                <w:szCs w:val="18"/>
                <w:lang w:val="en-GB"/>
              </w:rPr>
              <w:t xml:space="preserve">and renovation </w:t>
            </w:r>
            <w:r w:rsidR="00DF6717" w:rsidRPr="00DE4E4F">
              <w:rPr>
                <w:rFonts w:ascii="Times New Roman" w:eastAsia="Times New Roman" w:hAnsi="Times New Roman" w:cs="Times New Roman"/>
                <w:noProof/>
                <w:color w:val="006100"/>
                <w:sz w:val="18"/>
                <w:szCs w:val="18"/>
                <w:lang w:val="en-GB"/>
              </w:rPr>
              <w:t>at</w:t>
            </w:r>
            <w:r w:rsidR="005C225A" w:rsidRPr="00DE4E4F">
              <w:rPr>
                <w:rFonts w:ascii="Times New Roman" w:eastAsia="Times New Roman" w:hAnsi="Times New Roman" w:cs="Times New Roman"/>
                <w:noProof/>
                <w:color w:val="006100"/>
                <w:sz w:val="18"/>
                <w:szCs w:val="18"/>
                <w:lang w:val="en-GB"/>
              </w:rPr>
              <w:t xml:space="preserve"> the buildings located at 37–39 Kifissias Avenue, Maroussi. </w:t>
            </w:r>
            <w:r w:rsidR="0036532A" w:rsidRPr="00DE4E4F">
              <w:rPr>
                <w:rFonts w:ascii="Times New Roman" w:eastAsia="Times New Roman" w:hAnsi="Times New Roman" w:cs="Times New Roman"/>
                <w:noProof/>
                <w:color w:val="006100"/>
                <w:sz w:val="18"/>
                <w:szCs w:val="18"/>
                <w:lang w:val="en-GB"/>
              </w:rPr>
              <w:t xml:space="preserve">Delivery of equipment to the same buildings. </w:t>
            </w:r>
            <w:r w:rsidR="005C225A" w:rsidRPr="00DE4E4F">
              <w:rPr>
                <w:rFonts w:ascii="Times New Roman" w:eastAsia="Times New Roman" w:hAnsi="Times New Roman" w:cs="Times New Roman"/>
                <w:noProof/>
                <w:color w:val="006100"/>
                <w:sz w:val="18"/>
                <w:szCs w:val="18"/>
                <w:lang w:val="en-GB"/>
              </w:rPr>
              <w:t>Services provided for the operation of large-scale vaccination centers in Attiki and Thessaloniki;</w:t>
            </w:r>
          </w:p>
          <w:p w14:paraId="4B9B5971" w14:textId="6AA041A7" w:rsidR="001B186F" w:rsidRPr="00DE4E4F" w:rsidRDefault="0074517F">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eastAsia="Times New Roman" w:hAnsi="Times New Roman" w:cs="Times New Roman"/>
                <w:noProof/>
                <w:color w:val="006100"/>
                <w:sz w:val="18"/>
                <w:szCs w:val="18"/>
                <w:lang w:val="en-GB"/>
              </w:rPr>
              <w:t xml:space="preserve">Renovation </w:t>
            </w:r>
            <w:r w:rsidR="00536F00" w:rsidRPr="00DE4E4F">
              <w:rPr>
                <w:rFonts w:ascii="Times New Roman" w:eastAsia="Times New Roman" w:hAnsi="Times New Roman" w:cs="Times New Roman"/>
                <w:noProof/>
                <w:color w:val="006100"/>
                <w:sz w:val="18"/>
                <w:szCs w:val="18"/>
                <w:lang w:val="en-GB"/>
              </w:rPr>
              <w:t>of</w:t>
            </w:r>
            <w:r w:rsidR="00AC7728" w:rsidRPr="00DE4E4F">
              <w:rPr>
                <w:rFonts w:ascii="Times New Roman" w:eastAsia="Times New Roman" w:hAnsi="Times New Roman" w:cs="Times New Roman"/>
                <w:noProof/>
                <w:color w:val="006100"/>
                <w:sz w:val="18"/>
                <w:szCs w:val="18"/>
                <w:lang w:val="en-GB"/>
              </w:rPr>
              <w:t xml:space="preserve"> the Building Facilities of the Civil Protection Academy (Villia) and </w:t>
            </w:r>
            <w:r w:rsidR="003F493D" w:rsidRPr="00DE4E4F">
              <w:rPr>
                <w:rFonts w:ascii="Times New Roman" w:eastAsia="Times New Roman" w:hAnsi="Times New Roman" w:cs="Times New Roman"/>
                <w:noProof/>
                <w:color w:val="006100"/>
                <w:sz w:val="18"/>
                <w:szCs w:val="18"/>
                <w:lang w:val="en-GB"/>
              </w:rPr>
              <w:t xml:space="preserve">the </w:t>
            </w:r>
            <w:r w:rsidR="00AC7728" w:rsidRPr="00DE4E4F">
              <w:rPr>
                <w:rFonts w:ascii="Times New Roman" w:eastAsia="Times New Roman" w:hAnsi="Times New Roman" w:cs="Times New Roman"/>
                <w:noProof/>
                <w:color w:val="006100"/>
                <w:sz w:val="18"/>
                <w:szCs w:val="18"/>
                <w:lang w:val="en-GB"/>
              </w:rPr>
              <w:t>Firefighters School in Tsotyli. Delivery of equipment</w:t>
            </w:r>
            <w:r w:rsidR="00E7649C" w:rsidRPr="00DE4E4F">
              <w:rPr>
                <w:rFonts w:ascii="Times New Roman" w:eastAsia="Times New Roman" w:hAnsi="Times New Roman" w:cs="Times New Roman"/>
                <w:noProof/>
                <w:color w:val="006100"/>
                <w:sz w:val="18"/>
                <w:szCs w:val="18"/>
                <w:lang w:val="en-GB"/>
              </w:rPr>
              <w:t>,</w:t>
            </w:r>
            <w:r w:rsidR="00AC7728" w:rsidRPr="00DE4E4F">
              <w:rPr>
                <w:rFonts w:ascii="Times New Roman" w:eastAsia="Times New Roman" w:hAnsi="Times New Roman" w:cs="Times New Roman"/>
                <w:noProof/>
                <w:color w:val="006100"/>
                <w:sz w:val="18"/>
                <w:szCs w:val="18"/>
                <w:lang w:val="en-GB"/>
              </w:rPr>
              <w:t xml:space="preserve"> simulators</w:t>
            </w:r>
            <w:r w:rsidR="00E7649C" w:rsidRPr="00DE4E4F">
              <w:rPr>
                <w:rFonts w:ascii="Times New Roman" w:eastAsia="Times New Roman" w:hAnsi="Times New Roman" w:cs="Times New Roman"/>
                <w:noProof/>
                <w:color w:val="006100"/>
                <w:sz w:val="18"/>
                <w:szCs w:val="18"/>
                <w:lang w:val="en-GB"/>
              </w:rPr>
              <w:t xml:space="preserve"> and emulators</w:t>
            </w:r>
            <w:r w:rsidR="00AC7728" w:rsidRPr="00DE4E4F">
              <w:rPr>
                <w:rFonts w:ascii="Times New Roman" w:eastAsia="Times New Roman" w:hAnsi="Times New Roman" w:cs="Times New Roman"/>
                <w:noProof/>
                <w:color w:val="006100"/>
                <w:sz w:val="18"/>
                <w:szCs w:val="18"/>
                <w:lang w:val="en-GB"/>
              </w:rPr>
              <w:t>;</w:t>
            </w:r>
          </w:p>
          <w:p w14:paraId="546470C0" w14:textId="04B31884" w:rsidR="001B186F" w:rsidRPr="00DE4E4F" w:rsidRDefault="0074517F" w:rsidP="00DE4C0C">
            <w:pPr>
              <w:numPr>
                <w:ilvl w:val="0"/>
                <w:numId w:val="34"/>
              </w:numPr>
              <w:spacing w:before="120" w:after="0" w:line="259" w:lineRule="auto"/>
              <w:contextualSpacing/>
              <w:jc w:val="both"/>
              <w:rPr>
                <w:rFonts w:ascii="Times New Roman" w:eastAsia="Times New Roman" w:hAnsi="Times New Roman" w:cs="Times New Roman"/>
                <w:noProof/>
                <w:color w:val="006100"/>
                <w:sz w:val="18"/>
                <w:szCs w:val="18"/>
                <w:lang w:val="en-GB" w:eastAsia="en-GB"/>
              </w:rPr>
            </w:pPr>
            <w:r w:rsidRPr="00DE4E4F">
              <w:rPr>
                <w:rFonts w:ascii="Times New Roman" w:eastAsia="Times New Roman" w:hAnsi="Times New Roman" w:cs="Times New Roman"/>
                <w:noProof/>
                <w:color w:val="006100"/>
                <w:sz w:val="18"/>
                <w:szCs w:val="18"/>
                <w:lang w:val="en-GB"/>
              </w:rPr>
              <w:t xml:space="preserve">Delivery of three aircraft as air-surveillance control and management centres. </w:t>
            </w:r>
          </w:p>
        </w:tc>
      </w:tr>
      <w:tr w:rsidR="00682269" w:rsidRPr="00DE4E4F" w14:paraId="136D358F" w14:textId="77777777">
        <w:trPr>
          <w:trHeight w:val="309"/>
          <w:jc w:val="center"/>
        </w:trPr>
        <w:tc>
          <w:tcPr>
            <w:tcW w:w="575" w:type="dxa"/>
            <w:shd w:val="clear" w:color="auto" w:fill="C6EFCE"/>
            <w:noWrap/>
          </w:tcPr>
          <w:p w14:paraId="2253AF6A"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82</w:t>
            </w:r>
          </w:p>
        </w:tc>
        <w:tc>
          <w:tcPr>
            <w:tcW w:w="1680" w:type="dxa"/>
            <w:shd w:val="clear" w:color="auto" w:fill="C6EFCE"/>
            <w:noWrap/>
          </w:tcPr>
          <w:p w14:paraId="7F7D40BB"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- 16911_Aerial means for crisis management</w:t>
            </w:r>
          </w:p>
        </w:tc>
        <w:tc>
          <w:tcPr>
            <w:tcW w:w="1143" w:type="dxa"/>
            <w:shd w:val="clear" w:color="auto" w:fill="C6EFCE"/>
            <w:noWrap/>
          </w:tcPr>
          <w:p w14:paraId="0329543A"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6390E626"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Completion of project of aerial means for crisis management</w:t>
            </w:r>
          </w:p>
        </w:tc>
        <w:tc>
          <w:tcPr>
            <w:tcW w:w="1320" w:type="dxa"/>
            <w:shd w:val="clear" w:color="auto" w:fill="C6EFCE"/>
            <w:noWrap/>
          </w:tcPr>
          <w:p w14:paraId="48DA18AC"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Aerial means for crisis management delivered</w:t>
            </w:r>
          </w:p>
        </w:tc>
        <w:tc>
          <w:tcPr>
            <w:tcW w:w="1200" w:type="dxa"/>
            <w:shd w:val="clear" w:color="auto" w:fill="C6EFCE"/>
            <w:noWrap/>
          </w:tcPr>
          <w:p w14:paraId="71F1594B"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2FB9824"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19088DB3"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7830BFBA"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Q4</w:t>
            </w:r>
          </w:p>
        </w:tc>
        <w:tc>
          <w:tcPr>
            <w:tcW w:w="960" w:type="dxa"/>
            <w:shd w:val="clear" w:color="auto" w:fill="C6EFCE"/>
            <w:noWrap/>
          </w:tcPr>
          <w:p w14:paraId="01382927"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2025</w:t>
            </w:r>
          </w:p>
        </w:tc>
        <w:tc>
          <w:tcPr>
            <w:tcW w:w="4553" w:type="dxa"/>
            <w:shd w:val="clear" w:color="auto" w:fill="C6EFCE"/>
            <w:noWrap/>
          </w:tcPr>
          <w:p w14:paraId="628F63E7" w14:textId="77777777" w:rsidR="001B186F" w:rsidRPr="00DE4E4F" w:rsidRDefault="0074517F">
            <w:pPr>
              <w:tabs>
                <w:tab w:val="center" w:pos="2168"/>
              </w:tabs>
              <w:rPr>
                <w:rFonts w:ascii="Times New Roman" w:eastAsia="Times New Roman" w:hAnsi="Times New Roman" w:cs="Times New Roman"/>
                <w:noProof/>
                <w:color w:val="006100"/>
                <w:sz w:val="18"/>
                <w:szCs w:val="18"/>
                <w:lang w:val="en-GB"/>
              </w:rPr>
            </w:pPr>
            <w:r w:rsidRPr="00DE4E4F">
              <w:rPr>
                <w:rFonts w:ascii="Times New Roman" w:eastAsia="Times New Roman" w:hAnsi="Times New Roman" w:cs="Times New Roman"/>
                <w:noProof/>
                <w:color w:val="006100"/>
                <w:sz w:val="18"/>
                <w:szCs w:val="18"/>
                <w:lang w:val="en-GB"/>
              </w:rPr>
              <w:t>Delivery of:</w:t>
            </w:r>
            <w:r w:rsidRPr="00DE4E4F">
              <w:rPr>
                <w:rFonts w:ascii="Times New Roman" w:eastAsia="Times New Roman" w:hAnsi="Times New Roman" w:cs="Times New Roman"/>
                <w:noProof/>
                <w:color w:val="006100"/>
                <w:sz w:val="18"/>
                <w:szCs w:val="18"/>
                <w:lang w:val="en-GB"/>
              </w:rPr>
              <w:tab/>
            </w:r>
          </w:p>
          <w:p w14:paraId="31F8919A" w14:textId="77777777" w:rsidR="001B186F" w:rsidRPr="00DE4E4F" w:rsidRDefault="0074517F">
            <w:pPr>
              <w:numPr>
                <w:ilvl w:val="0"/>
                <w:numId w:val="35"/>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 medium – size utility helicopters for medical use;</w:t>
            </w:r>
          </w:p>
          <w:p w14:paraId="27F6897A" w14:textId="53039A0D" w:rsidR="001B186F" w:rsidRPr="00DE4E4F" w:rsidRDefault="0074517F">
            <w:pPr>
              <w:numPr>
                <w:ilvl w:val="0"/>
                <w:numId w:val="35"/>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 medium – size firefighting helicopters</w:t>
            </w:r>
            <w:r w:rsidR="00EB1302" w:rsidRPr="00DE4E4F">
              <w:rPr>
                <w:rFonts w:ascii="Times New Roman" w:hAnsi="Times New Roman" w:cs="Times New Roman"/>
                <w:noProof/>
                <w:color w:val="006100"/>
                <w:sz w:val="18"/>
                <w:szCs w:val="18"/>
                <w:lang w:val="en-GB"/>
              </w:rPr>
              <w:t xml:space="preserve"> at completion of the ground tests</w:t>
            </w:r>
            <w:r w:rsidRPr="00DE4E4F">
              <w:rPr>
                <w:rFonts w:ascii="Times New Roman" w:hAnsi="Times New Roman" w:cs="Times New Roman"/>
                <w:noProof/>
                <w:color w:val="006100"/>
                <w:sz w:val="18"/>
                <w:szCs w:val="18"/>
                <w:lang w:val="en-GB"/>
              </w:rPr>
              <w:t>;</w:t>
            </w:r>
          </w:p>
          <w:p w14:paraId="3804E091" w14:textId="77777777" w:rsidR="001B186F" w:rsidRPr="00DE4E4F" w:rsidRDefault="0074517F">
            <w:pPr>
              <w:numPr>
                <w:ilvl w:val="0"/>
                <w:numId w:val="35"/>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1 helicopter for the transportation of GSCP’s Incident Management Team.</w:t>
            </w:r>
          </w:p>
          <w:p w14:paraId="2E27ECF3" w14:textId="77777777" w:rsidR="001B186F" w:rsidRPr="00DE4E4F" w:rsidRDefault="001B186F">
            <w:pPr>
              <w:spacing w:before="120" w:after="0" w:line="259" w:lineRule="auto"/>
              <w:contextualSpacing/>
              <w:jc w:val="both"/>
              <w:rPr>
                <w:rFonts w:ascii="Times New Roman" w:eastAsia="Times New Roman" w:hAnsi="Times New Roman" w:cs="Times New Roman"/>
                <w:noProof/>
                <w:color w:val="006100"/>
                <w:sz w:val="18"/>
                <w:szCs w:val="18"/>
                <w:lang w:val="en-GB"/>
              </w:rPr>
            </w:pPr>
          </w:p>
          <w:p w14:paraId="4CB9EAB0" w14:textId="77777777" w:rsidR="001B186F" w:rsidRPr="00DE4E4F" w:rsidRDefault="0074517F">
            <w:p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eastAsia="Times New Roman" w:hAnsi="Times New Roman" w:cs="Times New Roman"/>
                <w:noProof/>
                <w:color w:val="006100"/>
                <w:sz w:val="18"/>
                <w:szCs w:val="18"/>
                <w:lang w:val="en-GB"/>
              </w:rPr>
              <w:t>All special-purpose aircraft must represent the best available environmental performance in their class.</w:t>
            </w:r>
          </w:p>
        </w:tc>
      </w:tr>
      <w:tr w:rsidR="00682269" w:rsidRPr="00DE4E4F" w14:paraId="0EAA6D69" w14:textId="77777777">
        <w:trPr>
          <w:trHeight w:val="309"/>
          <w:jc w:val="center"/>
        </w:trPr>
        <w:tc>
          <w:tcPr>
            <w:tcW w:w="575" w:type="dxa"/>
            <w:shd w:val="clear" w:color="auto" w:fill="C6EFCE"/>
            <w:noWrap/>
          </w:tcPr>
          <w:p w14:paraId="5FAC7DB2"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83</w:t>
            </w:r>
          </w:p>
        </w:tc>
        <w:tc>
          <w:tcPr>
            <w:tcW w:w="1680" w:type="dxa"/>
            <w:shd w:val="clear" w:color="auto" w:fill="C6EFCE"/>
            <w:noWrap/>
          </w:tcPr>
          <w:p w14:paraId="775F1231"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- 16912_Forest firefighting, prevention and response equipment</w:t>
            </w:r>
          </w:p>
        </w:tc>
        <w:tc>
          <w:tcPr>
            <w:tcW w:w="1143" w:type="dxa"/>
            <w:shd w:val="clear" w:color="auto" w:fill="C6EFCE"/>
            <w:noWrap/>
          </w:tcPr>
          <w:p w14:paraId="1549DDA9"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4DC9599C"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Completion of forest fighting equipment</w:t>
            </w:r>
          </w:p>
        </w:tc>
        <w:tc>
          <w:tcPr>
            <w:tcW w:w="1320" w:type="dxa"/>
            <w:shd w:val="clear" w:color="auto" w:fill="C6EFCE"/>
            <w:noWrap/>
          </w:tcPr>
          <w:p w14:paraId="407F9EDF"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Delivery of firefighting and response equipment</w:t>
            </w:r>
          </w:p>
        </w:tc>
        <w:tc>
          <w:tcPr>
            <w:tcW w:w="1200" w:type="dxa"/>
            <w:shd w:val="clear" w:color="auto" w:fill="C6EFCE"/>
            <w:noWrap/>
          </w:tcPr>
          <w:p w14:paraId="7AFEABBF"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170FBD51"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51DE9AE0"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63E86408"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Q4</w:t>
            </w:r>
          </w:p>
        </w:tc>
        <w:tc>
          <w:tcPr>
            <w:tcW w:w="960" w:type="dxa"/>
            <w:shd w:val="clear" w:color="auto" w:fill="C6EFCE"/>
            <w:noWrap/>
          </w:tcPr>
          <w:p w14:paraId="65526CE2"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2025</w:t>
            </w:r>
          </w:p>
        </w:tc>
        <w:tc>
          <w:tcPr>
            <w:tcW w:w="4553" w:type="dxa"/>
            <w:shd w:val="clear" w:color="auto" w:fill="C6EFCE"/>
            <w:noWrap/>
          </w:tcPr>
          <w:p w14:paraId="2627FC1C"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eastAsia="Times New Roman" w:hAnsi="Times New Roman" w:cs="Times New Roman"/>
                <w:noProof/>
                <w:color w:val="006100"/>
                <w:sz w:val="18"/>
                <w:szCs w:val="18"/>
                <w:lang w:val="en-GB"/>
              </w:rPr>
              <w:t>Delivery of:</w:t>
            </w:r>
          </w:p>
          <w:p w14:paraId="66FF8820" w14:textId="77777777" w:rsidR="001B186F" w:rsidRPr="00DE4E4F" w:rsidRDefault="0074517F">
            <w:pPr>
              <w:numPr>
                <w:ilvl w:val="0"/>
                <w:numId w:val="36"/>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fire engines and other response vehicles, and of equipment;</w:t>
            </w:r>
          </w:p>
          <w:p w14:paraId="7416182D" w14:textId="77777777" w:rsidR="001B186F" w:rsidRPr="00DE4E4F" w:rsidRDefault="0074517F">
            <w:pPr>
              <w:numPr>
                <w:ilvl w:val="0"/>
                <w:numId w:val="36"/>
              </w:numPr>
              <w:spacing w:before="120" w:after="0" w:line="259" w:lineRule="auto"/>
              <w:contextualSpacing/>
              <w:jc w:val="both"/>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collapsible transportable bridges. </w:t>
            </w:r>
          </w:p>
        </w:tc>
      </w:tr>
      <w:tr w:rsidR="00682269" w:rsidRPr="00DE4E4F" w14:paraId="55BE7B3A" w14:textId="77777777">
        <w:trPr>
          <w:trHeight w:val="309"/>
          <w:jc w:val="center"/>
        </w:trPr>
        <w:tc>
          <w:tcPr>
            <w:tcW w:w="575" w:type="dxa"/>
            <w:shd w:val="clear" w:color="auto" w:fill="C6EFCE"/>
            <w:noWrap/>
          </w:tcPr>
          <w:p w14:paraId="3B3420BF"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332</w:t>
            </w:r>
          </w:p>
        </w:tc>
        <w:tc>
          <w:tcPr>
            <w:tcW w:w="1680" w:type="dxa"/>
            <w:shd w:val="clear" w:color="auto" w:fill="C6EFCE"/>
            <w:noWrap/>
          </w:tcPr>
          <w:p w14:paraId="59D923CA" w14:textId="2B51EC99"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16983_</w:t>
            </w:r>
            <w:r w:rsidR="00332E8F" w:rsidRPr="00DE4E4F">
              <w:rPr>
                <w:rFonts w:ascii="Times New Roman" w:hAnsi="Times New Roman" w:cs="Times New Roman"/>
                <w:noProof/>
                <w:color w:val="006100"/>
                <w:sz w:val="18"/>
                <w:szCs w:val="18"/>
                <w:lang w:val="en-GB"/>
              </w:rPr>
              <w:t xml:space="preserve">Primary </w:t>
            </w:r>
            <w:r w:rsidRPr="00DE4E4F">
              <w:rPr>
                <w:rFonts w:ascii="Times New Roman" w:hAnsi="Times New Roman" w:cs="Times New Roman"/>
                <w:noProof/>
                <w:color w:val="006100"/>
                <w:sz w:val="18"/>
                <w:szCs w:val="18"/>
                <w:lang w:val="en-GB"/>
              </w:rPr>
              <w:t>inspection of seismic resistance of buildings</w:t>
            </w:r>
            <w:r w:rsidR="0045764C" w:rsidRPr="00DE4E4F">
              <w:rPr>
                <w:rFonts w:ascii="Times New Roman" w:hAnsi="Times New Roman" w:cs="Times New Roman"/>
                <w:noProof/>
                <w:color w:val="006100"/>
                <w:sz w:val="18"/>
                <w:szCs w:val="18"/>
                <w:lang w:val="en-GB"/>
              </w:rPr>
              <w:t xml:space="preserve"> or sports facilities</w:t>
            </w:r>
          </w:p>
        </w:tc>
        <w:tc>
          <w:tcPr>
            <w:tcW w:w="1143" w:type="dxa"/>
            <w:shd w:val="clear" w:color="auto" w:fill="C6EFCE"/>
            <w:noWrap/>
          </w:tcPr>
          <w:p w14:paraId="7A3EE581"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59F77FFF" w14:textId="00EE72CB"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Completion of </w:t>
            </w:r>
            <w:r w:rsidR="00332E8F" w:rsidRPr="00DE4E4F">
              <w:rPr>
                <w:rFonts w:ascii="Times New Roman" w:hAnsi="Times New Roman" w:cs="Times New Roman"/>
                <w:noProof/>
                <w:color w:val="006100"/>
                <w:sz w:val="18"/>
                <w:szCs w:val="18"/>
                <w:lang w:val="en-GB"/>
              </w:rPr>
              <w:t xml:space="preserve">primary </w:t>
            </w:r>
            <w:r w:rsidRPr="00DE4E4F">
              <w:rPr>
                <w:rFonts w:ascii="Times New Roman" w:hAnsi="Times New Roman" w:cs="Times New Roman"/>
                <w:noProof/>
                <w:color w:val="006100"/>
                <w:sz w:val="18"/>
                <w:szCs w:val="18"/>
                <w:lang w:val="en-GB"/>
              </w:rPr>
              <w:t>seismic inspections</w:t>
            </w:r>
          </w:p>
        </w:tc>
        <w:tc>
          <w:tcPr>
            <w:tcW w:w="1320" w:type="dxa"/>
            <w:shd w:val="clear" w:color="auto" w:fill="C6EFCE"/>
            <w:noWrap/>
          </w:tcPr>
          <w:p w14:paraId="06F6367A" w14:textId="3758AB29" w:rsidR="001B186F" w:rsidRPr="00DE4E4F" w:rsidRDefault="00332E8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Primary inspection certificates issued for buildings or sports facilities</w:t>
            </w:r>
          </w:p>
        </w:tc>
        <w:tc>
          <w:tcPr>
            <w:tcW w:w="1200" w:type="dxa"/>
            <w:shd w:val="clear" w:color="auto" w:fill="C6EFCE"/>
            <w:noWrap/>
          </w:tcPr>
          <w:p w14:paraId="2E949BD2"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162A954B"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7AAE1517"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036C1210"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Q1</w:t>
            </w:r>
          </w:p>
        </w:tc>
        <w:tc>
          <w:tcPr>
            <w:tcW w:w="960" w:type="dxa"/>
            <w:shd w:val="clear" w:color="auto" w:fill="C6EFCE"/>
            <w:noWrap/>
          </w:tcPr>
          <w:p w14:paraId="63FDA948" w14:textId="77777777" w:rsidR="001B186F" w:rsidRPr="00DE4E4F" w:rsidRDefault="0074517F">
            <w:pPr>
              <w:rPr>
                <w:rFonts w:ascii="Times New Roman" w:eastAsia="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2025</w:t>
            </w:r>
          </w:p>
        </w:tc>
        <w:tc>
          <w:tcPr>
            <w:tcW w:w="4553" w:type="dxa"/>
            <w:shd w:val="clear" w:color="auto" w:fill="C6EFCE"/>
            <w:noWrap/>
          </w:tcPr>
          <w:p w14:paraId="15541536" w14:textId="1B3C80B8" w:rsidR="001B186F" w:rsidRPr="00DE4E4F" w:rsidRDefault="00A30F15">
            <w:pPr>
              <w:rPr>
                <w:rFonts w:ascii="Times New Roman" w:hAnsi="Times New Roman" w:cs="Times New Roman"/>
                <w:noProof/>
                <w:sz w:val="18"/>
                <w:szCs w:val="18"/>
                <w:lang w:val="en-GB"/>
              </w:rPr>
            </w:pPr>
            <w:r w:rsidRPr="00DE4E4F">
              <w:rPr>
                <w:rFonts w:ascii="Times New Roman" w:hAnsi="Times New Roman" w:cs="Times New Roman"/>
                <w:noProof/>
                <w:color w:val="006100"/>
                <w:sz w:val="18"/>
                <w:szCs w:val="18"/>
                <w:lang w:val="en-GB"/>
              </w:rPr>
              <w:t>43</w:t>
            </w:r>
            <w:r w:rsidR="00DE4C0C" w:rsidRPr="00DE4E4F">
              <w:rPr>
                <w:rFonts w:ascii="Times New Roman" w:hAnsi="Times New Roman" w:cs="Times New Roman"/>
                <w:noProof/>
                <w:color w:val="006100"/>
                <w:sz w:val="18"/>
                <w:szCs w:val="18"/>
                <w:lang w:val="en-GB"/>
              </w:rPr>
              <w:t> </w:t>
            </w:r>
            <w:r w:rsidRPr="00DE4E4F">
              <w:rPr>
                <w:rFonts w:ascii="Times New Roman" w:hAnsi="Times New Roman" w:cs="Times New Roman"/>
                <w:noProof/>
                <w:color w:val="006100"/>
                <w:sz w:val="18"/>
                <w:szCs w:val="18"/>
                <w:lang w:val="en-GB"/>
              </w:rPr>
              <w:t>365 primary inspection certificates for buildings or sports facilities issued</w:t>
            </w:r>
          </w:p>
        </w:tc>
      </w:tr>
      <w:tr w:rsidR="00682269" w:rsidRPr="00DE4E4F" w14:paraId="2F33DFA1" w14:textId="77777777">
        <w:trPr>
          <w:trHeight w:val="309"/>
          <w:jc w:val="center"/>
        </w:trPr>
        <w:tc>
          <w:tcPr>
            <w:tcW w:w="575" w:type="dxa"/>
            <w:shd w:val="clear" w:color="auto" w:fill="C6EFCE"/>
            <w:noWrap/>
          </w:tcPr>
          <w:p w14:paraId="078A4C45" w14:textId="77777777" w:rsidR="001B186F" w:rsidRPr="00DE4E4F" w:rsidRDefault="0074517F">
            <w:pPr>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385</w:t>
            </w:r>
          </w:p>
        </w:tc>
        <w:tc>
          <w:tcPr>
            <w:tcW w:w="1680" w:type="dxa"/>
            <w:shd w:val="clear" w:color="auto" w:fill="C6EFCE"/>
            <w:noWrap/>
          </w:tcPr>
          <w:p w14:paraId="5F9CB1A1"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4 - 1.4. Sustainable use of resources, climate resilience and environmental protection – 16404_ Development Program for Local Government “Antonis Tritsis”</w:t>
            </w:r>
          </w:p>
        </w:tc>
        <w:tc>
          <w:tcPr>
            <w:tcW w:w="1143" w:type="dxa"/>
            <w:shd w:val="clear" w:color="auto" w:fill="C6EFCE"/>
            <w:noWrap/>
          </w:tcPr>
          <w:p w14:paraId="19576108" w14:textId="77777777" w:rsidR="001B186F" w:rsidRPr="00DE4E4F" w:rsidRDefault="0074517F">
            <w:pPr>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Milestone</w:t>
            </w:r>
          </w:p>
        </w:tc>
        <w:tc>
          <w:tcPr>
            <w:tcW w:w="1277" w:type="dxa"/>
            <w:shd w:val="clear" w:color="auto" w:fill="C6EFCE"/>
            <w:noWrap/>
          </w:tcPr>
          <w:p w14:paraId="483226D4" w14:textId="77777777"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Development Program for Local Government “Antonis Tritsis”</w:t>
            </w:r>
          </w:p>
        </w:tc>
        <w:tc>
          <w:tcPr>
            <w:tcW w:w="1320" w:type="dxa"/>
            <w:shd w:val="clear" w:color="auto" w:fill="C6EFCE"/>
            <w:noWrap/>
          </w:tcPr>
          <w:p w14:paraId="47087253" w14:textId="6A46E60A" w:rsidR="001B186F" w:rsidRPr="00DE4E4F" w:rsidRDefault="0074517F">
            <w:pPr>
              <w:spacing w:after="0" w:line="240" w:lineRule="auto"/>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Delivery of </w:t>
            </w:r>
            <w:r w:rsidR="00E3562B" w:rsidRPr="00DE4E4F">
              <w:rPr>
                <w:rFonts w:ascii="Times New Roman" w:hAnsi="Times New Roman" w:cs="Times New Roman"/>
                <w:noProof/>
                <w:color w:val="006100"/>
                <w:sz w:val="18"/>
                <w:szCs w:val="18"/>
                <w:lang w:val="en-GB"/>
              </w:rPr>
              <w:t>83</w:t>
            </w:r>
            <w:r w:rsidR="00374ABB" w:rsidRPr="00DE4E4F">
              <w:rPr>
                <w:rFonts w:ascii="Times New Roman" w:hAnsi="Times New Roman" w:cs="Times New Roman"/>
                <w:noProof/>
                <w:color w:val="006100"/>
                <w:sz w:val="18"/>
                <w:szCs w:val="18"/>
                <w:lang w:val="en-GB"/>
              </w:rPr>
              <w:t> </w:t>
            </w:r>
            <w:r w:rsidRPr="00DE4E4F">
              <w:rPr>
                <w:rFonts w:ascii="Times New Roman" w:hAnsi="Times New Roman" w:cs="Times New Roman"/>
                <w:noProof/>
                <w:color w:val="006100"/>
                <w:sz w:val="18"/>
                <w:szCs w:val="18"/>
                <w:lang w:val="en-GB"/>
              </w:rPr>
              <w:t>projects under Antonis Tritsis Program</w:t>
            </w:r>
          </w:p>
        </w:tc>
        <w:tc>
          <w:tcPr>
            <w:tcW w:w="1200" w:type="dxa"/>
            <w:shd w:val="clear" w:color="auto" w:fill="C6EFCE"/>
            <w:noWrap/>
          </w:tcPr>
          <w:p w14:paraId="2A16B5CB"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4448E5D7"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3BA652AE" w14:textId="77777777" w:rsidR="001B186F" w:rsidRPr="00DE4E4F" w:rsidRDefault="001B186F">
            <w:pPr>
              <w:rPr>
                <w:rFonts w:ascii="Times New Roman" w:eastAsia="Times New Roman" w:hAnsi="Times New Roman" w:cs="Times New Roman"/>
                <w:noProof/>
                <w:color w:val="006100"/>
                <w:sz w:val="18"/>
                <w:szCs w:val="18"/>
                <w:lang w:val="en-GB" w:eastAsia="en-GB"/>
              </w:rPr>
            </w:pPr>
          </w:p>
        </w:tc>
        <w:tc>
          <w:tcPr>
            <w:tcW w:w="960" w:type="dxa"/>
            <w:shd w:val="clear" w:color="auto" w:fill="C6EFCE"/>
            <w:noWrap/>
          </w:tcPr>
          <w:p w14:paraId="76BEB46D" w14:textId="77777777" w:rsidR="001B186F" w:rsidRPr="00DE4E4F" w:rsidRDefault="0074517F">
            <w:pPr>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Q2</w:t>
            </w:r>
          </w:p>
        </w:tc>
        <w:tc>
          <w:tcPr>
            <w:tcW w:w="960" w:type="dxa"/>
            <w:shd w:val="clear" w:color="auto" w:fill="C6EFCE"/>
            <w:noWrap/>
          </w:tcPr>
          <w:p w14:paraId="0D1CA3ED" w14:textId="77777777" w:rsidR="001B186F" w:rsidRPr="00DE4E4F" w:rsidRDefault="0074517F">
            <w:pPr>
              <w:rPr>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2025</w:t>
            </w:r>
          </w:p>
        </w:tc>
        <w:tc>
          <w:tcPr>
            <w:tcW w:w="4553" w:type="dxa"/>
            <w:shd w:val="clear" w:color="auto" w:fill="C6EFCE"/>
            <w:noWrap/>
          </w:tcPr>
          <w:p w14:paraId="1EC964FC" w14:textId="3F2DE001" w:rsidR="001B186F" w:rsidRPr="00DE4E4F" w:rsidRDefault="0074517F">
            <w:pPr>
              <w:rPr>
                <w:rStyle w:val="FootnoteReference"/>
                <w:rFonts w:ascii="Times New Roman" w:hAnsi="Times New Roman" w:cs="Times New Roman"/>
                <w:noProof/>
                <w:color w:val="006100"/>
                <w:sz w:val="18"/>
                <w:szCs w:val="18"/>
                <w:lang w:val="en-GB"/>
              </w:rPr>
            </w:pPr>
            <w:r w:rsidRPr="00DE4E4F">
              <w:rPr>
                <w:rFonts w:ascii="Times New Roman" w:hAnsi="Times New Roman" w:cs="Times New Roman"/>
                <w:noProof/>
                <w:color w:val="006100"/>
                <w:sz w:val="18"/>
                <w:szCs w:val="18"/>
                <w:lang w:val="en-GB"/>
              </w:rPr>
              <w:t xml:space="preserve">Delivery of </w:t>
            </w:r>
            <w:r w:rsidR="009A3829" w:rsidRPr="00DE4E4F">
              <w:rPr>
                <w:rFonts w:ascii="Times New Roman" w:hAnsi="Times New Roman" w:cs="Times New Roman"/>
                <w:noProof/>
                <w:color w:val="006100"/>
                <w:sz w:val="18"/>
                <w:szCs w:val="18"/>
                <w:lang w:val="en-GB"/>
              </w:rPr>
              <w:t>83</w:t>
            </w:r>
            <w:r w:rsidRPr="00DE4E4F">
              <w:rPr>
                <w:rFonts w:ascii="Times New Roman" w:hAnsi="Times New Roman" w:cs="Times New Roman"/>
                <w:noProof/>
                <w:color w:val="006100"/>
                <w:sz w:val="18"/>
                <w:szCs w:val="18"/>
                <w:lang w:val="en-GB"/>
              </w:rPr>
              <w:t xml:space="preserve"> projects under Antonis Tritsis Program. In the case of construction of front-to-end waste water systems, the measure shall have net zero energy use, and in the case of the renewal of the front-to-end waste water systems, the measure shall lead to a decreased average energy use by at least 10% (solely by energy efficiency measures and not by material changes or changes in load).</w:t>
            </w:r>
          </w:p>
        </w:tc>
      </w:tr>
    </w:tbl>
    <w:p w14:paraId="295C674E" w14:textId="77777777" w:rsidR="001B186F" w:rsidRPr="00DE4E4F" w:rsidRDefault="0074517F">
      <w:pPr>
        <w:spacing w:before="120" w:after="120" w:line="240" w:lineRule="auto"/>
        <w:rPr>
          <w:rFonts w:ascii="Times New Roman" w:hAnsi="Times New Roman" w:cs="Times New Roman"/>
          <w:noProof/>
          <w:sz w:val="2"/>
          <w:szCs w:val="2"/>
        </w:rPr>
        <w:sectPr w:rsidR="001B186F" w:rsidRPr="00DE4E4F">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r w:rsidRPr="00DE4E4F">
        <w:rPr>
          <w:noProof/>
        </w:rPr>
        <w:tab/>
      </w:r>
    </w:p>
    <w:p w14:paraId="58F3DAE0" w14:textId="77777777" w:rsidR="001B186F" w:rsidRPr="00DE4E4F" w:rsidRDefault="0074517F">
      <w:pPr>
        <w:pStyle w:val="ListParagraph"/>
        <w:numPr>
          <w:ilvl w:val="0"/>
          <w:numId w:val="37"/>
        </w:numPr>
        <w:spacing w:before="120" w:after="120" w:line="240" w:lineRule="auto"/>
        <w:jc w:val="both"/>
        <w:outlineLvl w:val="3"/>
        <w:rPr>
          <w:rFonts w:ascii="Times New Roman" w:hAnsi="Times New Roman" w:cs="Times New Roman"/>
          <w:b/>
          <w:bCs/>
          <w:noProof/>
          <w:sz w:val="24"/>
          <w:u w:val="single"/>
        </w:rPr>
      </w:pPr>
      <w:r w:rsidRPr="00DE4E4F">
        <w:rPr>
          <w:rFonts w:ascii="Times New Roman" w:hAnsi="Times New Roman"/>
          <w:b/>
          <w:noProof/>
          <w:sz w:val="24"/>
          <w:u w:val="single"/>
        </w:rPr>
        <w:t>COMPONENT 2.1: CONNECT</w:t>
      </w:r>
    </w:p>
    <w:p w14:paraId="1E209E6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This component </w:t>
      </w:r>
      <w:r w:rsidRPr="00DE4E4F">
        <w:rPr>
          <w:rFonts w:ascii="Times New Roman" w:hAnsi="Times New Roman"/>
          <w:noProof/>
          <w:color w:val="000000"/>
          <w:sz w:val="24"/>
        </w:rPr>
        <w:t>of the Greek recovery and resilience plan</w:t>
      </w:r>
      <w:r w:rsidRPr="00DE4E4F">
        <w:rPr>
          <w:rFonts w:ascii="Times New Roman" w:hAnsi="Times New Roman"/>
          <w:noProof/>
          <w:sz w:val="24"/>
        </w:rPr>
        <w:t xml:space="preserve"> contains measures that aim to foster and facilitate the widespread deployment of very high capacity networks, including 5G and fibre, in line with the EU’s 2025 5G and Gigabit connectivity objectives, and the development of a constellation of small satellites. The investments included under this component concern the installation of fibre optic infrastructure in buildings and the utilisation of space technologies and applications by developing a constellation of small-satellites that shall support secure connectivity services coupled with multipurpose applications for earth observation. The reforms included under this component establish a framework to facilitate the switch to fast broadband connections and the transition to 5G technology.</w:t>
      </w:r>
    </w:p>
    <w:p w14:paraId="646A1695"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 xml:space="preserve">All proposed investments and reforms address the challenges resulting from the increasing need for connectivity and earth observation and surveillance. The measures support addressing the </w:t>
      </w:r>
      <w:r w:rsidRPr="00DE4E4F">
        <w:rPr>
          <w:rFonts w:ascii="Times New Roman" w:hAnsi="Times New Roman"/>
          <w:i/>
          <w:noProof/>
          <w:color w:val="000000" w:themeColor="text1"/>
          <w:sz w:val="24"/>
        </w:rPr>
        <w:t xml:space="preserve">Country Specific Recommendation </w:t>
      </w:r>
      <w:r w:rsidRPr="00DE4E4F">
        <w:rPr>
          <w:rFonts w:ascii="Times New Roman" w:hAnsi="Times New Roman"/>
          <w:noProof/>
          <w:sz w:val="24"/>
        </w:rPr>
        <w:t>on public and private investment (</w:t>
      </w:r>
      <w:r w:rsidRPr="00DE4E4F">
        <w:rPr>
          <w:rFonts w:ascii="Times New Roman" w:hAnsi="Times New Roman"/>
          <w:i/>
          <w:noProof/>
          <w:color w:val="000000" w:themeColor="text1"/>
          <w:sz w:val="24"/>
        </w:rPr>
        <w:t xml:space="preserve">Country Specific Recommendation </w:t>
      </w:r>
      <w:r w:rsidRPr="00DE4E4F">
        <w:rPr>
          <w:rFonts w:ascii="Times New Roman" w:hAnsi="Times New Roman"/>
          <w:noProof/>
          <w:sz w:val="24"/>
        </w:rPr>
        <w:t>3 2020), which calls Greece to focus investment on digital transition and particularly on very-high-capacity digital infrastructure. They also respond effectively to the digital transition and/or the challenges resulting from it, as they are expected to significantly contribute to improve very-high-speed connectivity in Greece.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4F1364F"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E.1. Description of the reforms and investments for non-repayable financial support</w:t>
      </w:r>
    </w:p>
    <w:p w14:paraId="44BD48EB"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Small-satellites (measure ID: 16855)</w:t>
      </w:r>
    </w:p>
    <w:p w14:paraId="13A1A25A" w14:textId="77777777" w:rsidR="00655F96" w:rsidRPr="00DE4E4F" w:rsidRDefault="0074517F" w:rsidP="000C3000">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investment is the launch and put into orbit of a constellation of small satellites. The investment consists of a constellation of small satellites aimed to support connectivity services, as well as earth observation applications for mapping, shipping, precision agriculture, spatial planning and others.</w:t>
      </w:r>
      <w:r w:rsidR="000C3000" w:rsidRPr="00DE4E4F">
        <w:rPr>
          <w:rFonts w:ascii="Times New Roman" w:hAnsi="Times New Roman"/>
          <w:noProof/>
          <w:sz w:val="24"/>
          <w:szCs w:val="24"/>
        </w:rPr>
        <w:t xml:space="preserve"> </w:t>
      </w:r>
    </w:p>
    <w:p w14:paraId="52E20491" w14:textId="1FA2D5E2" w:rsidR="006A4783" w:rsidRPr="00DE4E4F" w:rsidRDefault="006A4783" w:rsidP="000C3000">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measure shall</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also</w:t>
      </w:r>
      <w:r w:rsidR="00EE0BDA" w:rsidRPr="00DE4E4F">
        <w:rPr>
          <w:rFonts w:ascii="Times New Roman" w:hAnsi="Times New Roman"/>
          <w:noProof/>
          <w:sz w:val="24"/>
          <w:szCs w:val="24"/>
        </w:rPr>
        <w:t xml:space="preserve"> </w:t>
      </w:r>
      <w:r w:rsidRPr="00DE4E4F">
        <w:rPr>
          <w:rFonts w:ascii="Times New Roman" w:hAnsi="Times New Roman"/>
          <w:noProof/>
          <w:sz w:val="24"/>
          <w:szCs w:val="24"/>
        </w:rPr>
        <w:t>consist of</w:t>
      </w:r>
      <w:r w:rsidR="00EE0BDA" w:rsidRPr="00DE4E4F">
        <w:rPr>
          <w:rFonts w:ascii="Times New Roman" w:hAnsi="Times New Roman"/>
          <w:noProof/>
          <w:sz w:val="24"/>
          <w:szCs w:val="24"/>
        </w:rPr>
        <w:t xml:space="preserve"> </w:t>
      </w:r>
      <w:r w:rsidRPr="00DE4E4F">
        <w:rPr>
          <w:rFonts w:ascii="Times New Roman" w:hAnsi="Times New Roman"/>
          <w:noProof/>
          <w:sz w:val="24"/>
          <w:szCs w:val="24"/>
        </w:rPr>
        <w:t>(i)</w:t>
      </w:r>
      <w:r w:rsidR="00EE0BDA" w:rsidRPr="00DE4E4F">
        <w:rPr>
          <w:rFonts w:ascii="Times New Roman" w:hAnsi="Times New Roman"/>
          <w:noProof/>
          <w:sz w:val="24"/>
          <w:szCs w:val="24"/>
        </w:rPr>
        <w:t xml:space="preserve"> </w:t>
      </w:r>
      <w:r w:rsidRPr="00DE4E4F">
        <w:rPr>
          <w:rFonts w:ascii="Times New Roman" w:hAnsi="Times New Roman"/>
          <w:noProof/>
          <w:sz w:val="24"/>
          <w:szCs w:val="24"/>
        </w:rPr>
        <w:t>the signature of</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an amendment to the</w:t>
      </w:r>
      <w:r w:rsidR="00EE0BDA" w:rsidRPr="00DE4E4F">
        <w:rPr>
          <w:rFonts w:ascii="Times New Roman" w:hAnsi="Times New Roman"/>
          <w:noProof/>
          <w:sz w:val="24"/>
          <w:szCs w:val="24"/>
        </w:rPr>
        <w:t xml:space="preserve"> </w:t>
      </w:r>
      <w:r w:rsidRPr="00DE4E4F">
        <w:rPr>
          <w:rFonts w:ascii="Times New Roman" w:hAnsi="Times New Roman"/>
          <w:noProof/>
          <w:sz w:val="24"/>
          <w:szCs w:val="24"/>
        </w:rPr>
        <w:t>Project Arrangement</w:t>
      </w:r>
      <w:r w:rsidR="00EE0BDA" w:rsidRPr="00DE4E4F">
        <w:rPr>
          <w:rFonts w:ascii="Times New Roman" w:hAnsi="Times New Roman"/>
          <w:noProof/>
          <w:sz w:val="24"/>
          <w:szCs w:val="24"/>
        </w:rPr>
        <w:t xml:space="preserve"> </w:t>
      </w:r>
      <w:r w:rsidRPr="00DE4E4F">
        <w:rPr>
          <w:rFonts w:ascii="Times New Roman" w:hAnsi="Times New Roman"/>
          <w:noProof/>
          <w:sz w:val="24"/>
          <w:szCs w:val="24"/>
        </w:rPr>
        <w:t>for</w:t>
      </w:r>
      <w:r w:rsidR="00EE0BDA" w:rsidRPr="00DE4E4F">
        <w:rPr>
          <w:rFonts w:ascii="Times New Roman" w:hAnsi="Times New Roman"/>
          <w:noProof/>
          <w:sz w:val="24"/>
          <w:szCs w:val="24"/>
        </w:rPr>
        <w:t xml:space="preserve"> </w:t>
      </w:r>
      <w:r w:rsidRPr="00DE4E4F">
        <w:rPr>
          <w:rFonts w:ascii="Times New Roman" w:hAnsi="Times New Roman"/>
          <w:noProof/>
          <w:sz w:val="24"/>
          <w:szCs w:val="24"/>
        </w:rPr>
        <w:t>the European Space Agency (ESA)</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Assistance in the Management and Implementation of The Greek National Satellite Space Project</w:t>
      </w:r>
      <w:r w:rsidR="00102608" w:rsidRPr="00DE4E4F">
        <w:rPr>
          <w:rFonts w:ascii="Times New Roman" w:hAnsi="Times New Roman"/>
          <w:noProof/>
          <w:sz w:val="24"/>
          <w:szCs w:val="24"/>
        </w:rPr>
        <w:t xml:space="preserve"> </w:t>
      </w:r>
      <w:r w:rsidRPr="00DE4E4F">
        <w:rPr>
          <w:rFonts w:ascii="Times New Roman" w:hAnsi="Times New Roman"/>
          <w:noProof/>
          <w:sz w:val="24"/>
          <w:szCs w:val="24"/>
        </w:rPr>
        <w:t>between</w:t>
      </w:r>
      <w:r w:rsidR="00EE0BDA" w:rsidRPr="00DE4E4F">
        <w:rPr>
          <w:rFonts w:ascii="Times New Roman" w:hAnsi="Times New Roman"/>
          <w:noProof/>
          <w:sz w:val="24"/>
          <w:szCs w:val="24"/>
        </w:rPr>
        <w:t xml:space="preserve"> </w:t>
      </w:r>
      <w:r w:rsidRPr="00DE4E4F">
        <w:rPr>
          <w:rFonts w:ascii="Times New Roman" w:hAnsi="Times New Roman"/>
          <w:noProof/>
          <w:sz w:val="24"/>
          <w:szCs w:val="24"/>
        </w:rPr>
        <w:t>the</w:t>
      </w:r>
      <w:r w:rsidR="00EE0BDA" w:rsidRPr="00DE4E4F">
        <w:rPr>
          <w:rFonts w:ascii="Times New Roman" w:hAnsi="Times New Roman"/>
          <w:noProof/>
          <w:sz w:val="24"/>
          <w:szCs w:val="24"/>
        </w:rPr>
        <w:t xml:space="preserve"> </w:t>
      </w:r>
      <w:r w:rsidRPr="00DE4E4F">
        <w:rPr>
          <w:rFonts w:ascii="Times New Roman" w:hAnsi="Times New Roman"/>
          <w:noProof/>
          <w:sz w:val="24"/>
          <w:szCs w:val="24"/>
        </w:rPr>
        <w:t>ESA</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and the Ministry of Digital Governance,</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and</w:t>
      </w:r>
      <w:r w:rsidR="00EE0BDA" w:rsidRPr="00DE4E4F">
        <w:rPr>
          <w:rFonts w:ascii="Times New Roman" w:hAnsi="Times New Roman"/>
          <w:noProof/>
          <w:sz w:val="24"/>
          <w:szCs w:val="24"/>
        </w:rPr>
        <w:t xml:space="preserve"> </w:t>
      </w:r>
      <w:r w:rsidRPr="00DE4E4F">
        <w:rPr>
          <w:rFonts w:ascii="Times New Roman" w:hAnsi="Times New Roman"/>
          <w:noProof/>
          <w:sz w:val="24"/>
          <w:szCs w:val="24"/>
        </w:rPr>
        <w:t>(ii)</w:t>
      </w:r>
      <w:r w:rsidR="00EE0BDA" w:rsidRPr="00DE4E4F">
        <w:rPr>
          <w:rFonts w:ascii="Times New Roman" w:hAnsi="Times New Roman"/>
          <w:noProof/>
          <w:sz w:val="24"/>
          <w:szCs w:val="24"/>
        </w:rPr>
        <w:t xml:space="preserve"> </w:t>
      </w:r>
      <w:r w:rsidRPr="00DE4E4F">
        <w:rPr>
          <w:rFonts w:ascii="Times New Roman" w:hAnsi="Times New Roman"/>
          <w:noProof/>
          <w:sz w:val="24"/>
          <w:szCs w:val="24"/>
        </w:rPr>
        <w:t>a</w:t>
      </w:r>
      <w:r w:rsidR="00EE0BDA" w:rsidRPr="00DE4E4F">
        <w:rPr>
          <w:rFonts w:ascii="Times New Roman" w:hAnsi="Times New Roman"/>
          <w:noProof/>
          <w:sz w:val="24"/>
          <w:szCs w:val="24"/>
        </w:rPr>
        <w:t xml:space="preserve"> </w:t>
      </w:r>
      <w:r w:rsidRPr="00DE4E4F">
        <w:rPr>
          <w:rFonts w:ascii="Times New Roman" w:hAnsi="Times New Roman"/>
          <w:noProof/>
          <w:sz w:val="24"/>
          <w:szCs w:val="24"/>
        </w:rPr>
        <w:t>transfer of funds</w:t>
      </w:r>
      <w:r w:rsidR="00EE0BDA" w:rsidRPr="00DE4E4F">
        <w:rPr>
          <w:rFonts w:ascii="Times New Roman" w:hAnsi="Times New Roman"/>
          <w:noProof/>
          <w:sz w:val="24"/>
          <w:szCs w:val="24"/>
        </w:rPr>
        <w:t xml:space="preserve"> </w:t>
      </w:r>
      <w:r w:rsidRPr="00DE4E4F">
        <w:rPr>
          <w:rFonts w:ascii="Times New Roman" w:hAnsi="Times New Roman"/>
          <w:noProof/>
          <w:sz w:val="24"/>
          <w:szCs w:val="24"/>
        </w:rPr>
        <w:t>of EUR 350</w:t>
      </w:r>
      <w:r w:rsidR="00EE0BDA" w:rsidRPr="00DE4E4F">
        <w:rPr>
          <w:rFonts w:ascii="Times New Roman" w:hAnsi="Times New Roman"/>
          <w:noProof/>
          <w:sz w:val="24"/>
          <w:szCs w:val="24"/>
        </w:rPr>
        <w:t> </w:t>
      </w:r>
      <w:r w:rsidRPr="00DE4E4F">
        <w:rPr>
          <w:rFonts w:ascii="Times New Roman" w:hAnsi="Times New Roman"/>
          <w:noProof/>
          <w:sz w:val="24"/>
          <w:szCs w:val="24"/>
        </w:rPr>
        <w:t>000</w:t>
      </w:r>
      <w:r w:rsidR="00EE0BDA" w:rsidRPr="00DE4E4F">
        <w:rPr>
          <w:rFonts w:ascii="Times New Roman" w:hAnsi="Times New Roman"/>
          <w:noProof/>
          <w:sz w:val="24"/>
          <w:szCs w:val="24"/>
        </w:rPr>
        <w:t> </w:t>
      </w:r>
      <w:r w:rsidRPr="00DE4E4F">
        <w:rPr>
          <w:rFonts w:ascii="Times New Roman" w:hAnsi="Times New Roman"/>
          <w:noProof/>
          <w:sz w:val="24"/>
          <w:szCs w:val="24"/>
        </w:rPr>
        <w:t>000 to the ESA to support the Phase II activities</w:t>
      </w:r>
      <w:r w:rsidR="00EE0BDA" w:rsidRPr="00DE4E4F">
        <w:rPr>
          <w:rFonts w:ascii="Times New Roman" w:hAnsi="Times New Roman"/>
          <w:noProof/>
          <w:sz w:val="24"/>
          <w:szCs w:val="24"/>
        </w:rPr>
        <w:t xml:space="preserve"> </w:t>
      </w:r>
      <w:r w:rsidRPr="00DE4E4F">
        <w:rPr>
          <w:rFonts w:ascii="Times New Roman" w:hAnsi="Times New Roman"/>
          <w:noProof/>
          <w:sz w:val="24"/>
          <w:szCs w:val="24"/>
        </w:rPr>
        <w:t>foreseen under</w:t>
      </w:r>
      <w:r w:rsidR="00EE0BDA" w:rsidRPr="00DE4E4F">
        <w:rPr>
          <w:rFonts w:ascii="Times New Roman" w:hAnsi="Times New Roman"/>
          <w:noProof/>
          <w:sz w:val="24"/>
          <w:szCs w:val="24"/>
        </w:rPr>
        <w:t xml:space="preserve"> </w:t>
      </w:r>
      <w:r w:rsidRPr="00DE4E4F">
        <w:rPr>
          <w:rFonts w:ascii="Times New Roman" w:hAnsi="Times New Roman"/>
          <w:noProof/>
          <w:sz w:val="24"/>
          <w:szCs w:val="24"/>
        </w:rPr>
        <w:t>the Project Arrangement.</w:t>
      </w:r>
    </w:p>
    <w:p w14:paraId="0DC8136E"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Reform:</w:t>
      </w:r>
      <w:r w:rsidRPr="00DE4E4F">
        <w:rPr>
          <w:rFonts w:ascii="Times New Roman" w:hAnsi="Times New Roman"/>
          <w:noProof/>
          <w:sz w:val="24"/>
        </w:rPr>
        <w:t xml:space="preserve"> Transition to 5G technology, facilitating the development of innovative remote services (measure ID: 16844)</w:t>
      </w:r>
    </w:p>
    <w:p w14:paraId="4F9E1516" w14:textId="30C8AF49"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reform is to establish a basis for the transition to 5G technology. The reforms </w:t>
      </w:r>
      <w:r w:rsidR="00734D9F" w:rsidRPr="00DE4E4F">
        <w:rPr>
          <w:rFonts w:ascii="Times New Roman" w:hAnsi="Times New Roman"/>
          <w:noProof/>
          <w:sz w:val="24"/>
          <w:szCs w:val="24"/>
        </w:rPr>
        <w:t>include</w:t>
      </w:r>
      <w:r w:rsidRPr="00DE4E4F">
        <w:rPr>
          <w:rFonts w:ascii="Times New Roman" w:hAnsi="Times New Roman"/>
          <w:noProof/>
          <w:sz w:val="24"/>
          <w:szCs w:val="24"/>
        </w:rPr>
        <w:t xml:space="preserve"> the entry into force of a new regulatory and legislative framework</w:t>
      </w:r>
      <w:r w:rsidRPr="00DE4E4F">
        <w:rPr>
          <w:noProof/>
        </w:rPr>
        <w:t xml:space="preserve"> </w:t>
      </w:r>
      <w:r w:rsidRPr="00DE4E4F">
        <w:rPr>
          <w:rFonts w:ascii="Times New Roman" w:hAnsi="Times New Roman"/>
          <w:noProof/>
          <w:sz w:val="24"/>
          <w:szCs w:val="24"/>
        </w:rPr>
        <w:t>for the transition to 5G.</w:t>
      </w:r>
    </w:p>
    <w:p w14:paraId="7E9BDAA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Reform: </w:t>
      </w:r>
      <w:r w:rsidRPr="00DE4E4F">
        <w:rPr>
          <w:rFonts w:ascii="Times New Roman" w:hAnsi="Times New Roman"/>
          <w:noProof/>
          <w:sz w:val="24"/>
          <w:szCs w:val="24"/>
        </w:rPr>
        <w:t>Switch to Gigabit broadband connections – Transition to Gigabit broadband connections and strengthening of Gigabit broadband demand (measure ID: 16857)</w:t>
      </w:r>
    </w:p>
    <w:p w14:paraId="3C2168C8"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This reform consists in the entry into force of a legal framework for the transition to VHCN-Very High Capacity Network connections through the installation of fibre optics and the accompanying equipment in buildings, as well as submarine cables in the case of Greek islands, enabling greater coverage of Gigabit broadband connections. The legal framework shall define the technical specifications and relevant rules and procedures for the deployment of in-building broadband infrastructure capable to deliver Gigabit connectivity to end-users. The implementation of the reform shall be completed by 30 June 2024.</w:t>
      </w:r>
    </w:p>
    <w:p w14:paraId="68BD883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Fiber optic infrastructure in buildings (measure ID: 16818)</w:t>
      </w:r>
    </w:p>
    <w:p w14:paraId="4A1F6B5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objective of this investment is to promote the installation of the fibre optic infrastructure in residential and commercial buildings and dwellings and end-users’ connection with very high capacity networks (VHCN). The investment includes demand subsidy (voucher) schemes that subsidize (a) the costs of internal cabling and (b) the connection fees (the one-off setup fee of broadband services). </w:t>
      </w:r>
    </w:p>
    <w:p w14:paraId="3A0A682C" w14:textId="7B9E6F9E" w:rsidR="00B53C6D" w:rsidRPr="00DE4E4F" w:rsidRDefault="00B53C6D" w:rsidP="00B53C6D">
      <w:pPr>
        <w:spacing w:before="120" w:after="120" w:line="240" w:lineRule="auto"/>
        <w:jc w:val="both"/>
        <w:rPr>
          <w:rFonts w:ascii="Times New Roman" w:hAnsi="Times New Roman" w:cs="Times New Roman"/>
          <w:noProof/>
          <w:sz w:val="24"/>
        </w:rPr>
      </w:pPr>
    </w:p>
    <w:p w14:paraId="125B4359" w14:textId="77777777" w:rsidR="001B186F" w:rsidRPr="00DE4E4F" w:rsidRDefault="001B186F" w:rsidP="009A6FC8">
      <w:pPr>
        <w:spacing w:before="120" w:after="120" w:line="240" w:lineRule="auto"/>
        <w:jc w:val="both"/>
        <w:rPr>
          <w:rFonts w:ascii="Times New Roman" w:hAnsi="Times New Roman" w:cs="Times New Roman"/>
          <w:noProof/>
          <w:sz w:val="24"/>
        </w:rPr>
        <w:sectPr w:rsidR="001B186F" w:rsidRPr="00DE4E4F">
          <w:headerReference w:type="even" r:id="rId120"/>
          <w:headerReference w:type="default" r:id="rId121"/>
          <w:footerReference w:type="even" r:id="rId122"/>
          <w:footerReference w:type="default" r:id="rId123"/>
          <w:headerReference w:type="first" r:id="rId124"/>
          <w:footerReference w:type="first" r:id="rId125"/>
          <w:pgSz w:w="11906" w:h="16838"/>
          <w:pgMar w:top="1134" w:right="1134" w:bottom="1134" w:left="1134" w:header="567" w:footer="567" w:gutter="0"/>
          <w:cols w:space="708"/>
          <w:docGrid w:linePitch="360"/>
        </w:sectPr>
      </w:pPr>
    </w:p>
    <w:p w14:paraId="52337B68"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E.2. Milestones, targets, indicators, and timetable for monitoring and implementation for non-repayable financial support</w:t>
      </w:r>
    </w:p>
    <w:p w14:paraId="1C1228F7"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8: Connectivity</w:t>
      </w:r>
    </w:p>
    <w:p w14:paraId="7FBA3995"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measures included within this group are:</w:t>
      </w:r>
    </w:p>
    <w:p w14:paraId="26400FA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Transition to 5G technology, facilitating the development of innovative remote services. (ID: 16844)</w:t>
      </w:r>
    </w:p>
    <w:p w14:paraId="02A448C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Switch to Gigabit broadband connections – Transition to Gigabit broadband connections and strengthening of Gigabit broadband demand (ID: 16857)</w:t>
      </w:r>
    </w:p>
    <w:p w14:paraId="7388404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w:t>
      </w:r>
      <w:r w:rsidRPr="00DE4E4F">
        <w:rPr>
          <w:noProof/>
        </w:rPr>
        <w:tab/>
      </w:r>
      <w:r w:rsidRPr="00DE4E4F">
        <w:rPr>
          <w:rFonts w:ascii="Times New Roman" w:hAnsi="Times New Roman"/>
          <w:noProof/>
          <w:sz w:val="24"/>
        </w:rPr>
        <w:t>Fiber optic infrastructure in buildings (ID: 16818)</w:t>
      </w:r>
    </w:p>
    <w:p w14:paraId="4D178D2F" w14:textId="77777777" w:rsidR="001B186F" w:rsidRPr="00DE4E4F" w:rsidRDefault="0074517F">
      <w:pPr>
        <w:spacing w:before="120" w:after="120" w:line="240" w:lineRule="auto"/>
        <w:jc w:val="both"/>
        <w:rPr>
          <w:noProof/>
        </w:rPr>
      </w:pPr>
      <w:r w:rsidRPr="00DE4E4F">
        <w:rPr>
          <w:rFonts w:ascii="Times New Roman" w:hAnsi="Times New Roman"/>
          <w:noProof/>
          <w:sz w:val="24"/>
        </w:rPr>
        <w:t>●</w:t>
      </w:r>
      <w:r w:rsidRPr="00DE4E4F">
        <w:rPr>
          <w:noProof/>
        </w:rPr>
        <w:tab/>
      </w:r>
      <w:r w:rsidRPr="00DE4E4F">
        <w:rPr>
          <w:rFonts w:ascii="Times New Roman" w:hAnsi="Times New Roman"/>
          <w:noProof/>
          <w:sz w:val="24"/>
        </w:rPr>
        <w:t>Small-satellites (ID: 16855)</w:t>
      </w:r>
      <w:r w:rsidRPr="00DE4E4F">
        <w:rPr>
          <w:noProof/>
        </w:rPr>
        <w:tab/>
      </w:r>
    </w:p>
    <w:tbl>
      <w:tblPr>
        <w:tblW w:w="15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680"/>
        <w:gridCol w:w="1155"/>
        <w:gridCol w:w="1560"/>
        <w:gridCol w:w="2268"/>
        <w:gridCol w:w="1417"/>
        <w:gridCol w:w="992"/>
        <w:gridCol w:w="851"/>
        <w:gridCol w:w="984"/>
        <w:gridCol w:w="850"/>
        <w:gridCol w:w="3402"/>
      </w:tblGrid>
      <w:tr w:rsidR="00682269" w:rsidRPr="00DE4E4F" w14:paraId="7BF92D98" w14:textId="77777777">
        <w:trPr>
          <w:trHeight w:val="585"/>
          <w:tblHeader/>
          <w:jc w:val="center"/>
        </w:trPr>
        <w:tc>
          <w:tcPr>
            <w:tcW w:w="588" w:type="dxa"/>
            <w:vMerge w:val="restart"/>
            <w:shd w:val="clear" w:color="auto" w:fill="BDD7EE"/>
            <w:vAlign w:val="center"/>
            <w:hideMark/>
          </w:tcPr>
          <w:p w14:paraId="1B90324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1680" w:type="dxa"/>
            <w:vMerge w:val="restart"/>
            <w:shd w:val="clear" w:color="auto" w:fill="BDD7EE"/>
            <w:vAlign w:val="center"/>
            <w:hideMark/>
          </w:tcPr>
          <w:p w14:paraId="05E6488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55" w:type="dxa"/>
            <w:vMerge w:val="restart"/>
            <w:shd w:val="clear" w:color="auto" w:fill="BDD7EE"/>
            <w:vAlign w:val="center"/>
            <w:hideMark/>
          </w:tcPr>
          <w:p w14:paraId="6E784DD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60" w:type="dxa"/>
            <w:vMerge w:val="restart"/>
            <w:shd w:val="clear" w:color="auto" w:fill="BDD7EE"/>
            <w:vAlign w:val="center"/>
            <w:hideMark/>
          </w:tcPr>
          <w:p w14:paraId="184FD85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2268" w:type="dxa"/>
            <w:vMerge w:val="restart"/>
            <w:shd w:val="clear" w:color="auto" w:fill="BDD7EE"/>
            <w:vAlign w:val="center"/>
            <w:hideMark/>
          </w:tcPr>
          <w:p w14:paraId="4A2AB51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260" w:type="dxa"/>
            <w:gridSpan w:val="3"/>
            <w:shd w:val="clear" w:color="auto" w:fill="BDD7EE"/>
            <w:vAlign w:val="center"/>
            <w:hideMark/>
          </w:tcPr>
          <w:p w14:paraId="63729530" w14:textId="305B82CD"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w:t>
            </w:r>
            <w:r w:rsidR="00DE4C0C" w:rsidRPr="00DE4E4F">
              <w:rPr>
                <w:rFonts w:ascii="Times New Roman" w:hAnsi="Times New Roman"/>
                <w:b/>
                <w:noProof/>
                <w:sz w:val="18"/>
              </w:rPr>
              <w:t xml:space="preserve"> </w:t>
            </w:r>
            <w:r w:rsidRPr="00DE4E4F">
              <w:rPr>
                <w:rFonts w:ascii="Times New Roman" w:hAnsi="Times New Roman" w:cs="Times New Roman"/>
                <w:b/>
                <w:noProof/>
                <w:sz w:val="18"/>
                <w:szCs w:val="18"/>
              </w:rPr>
              <w:br/>
            </w:r>
            <w:r w:rsidRPr="00DE4E4F">
              <w:rPr>
                <w:rFonts w:ascii="Times New Roman" w:hAnsi="Times New Roman"/>
                <w:b/>
                <w:noProof/>
                <w:sz w:val="18"/>
              </w:rPr>
              <w:t xml:space="preserve"> (for targets)</w:t>
            </w:r>
          </w:p>
        </w:tc>
        <w:tc>
          <w:tcPr>
            <w:tcW w:w="1834" w:type="dxa"/>
            <w:gridSpan w:val="2"/>
            <w:shd w:val="clear" w:color="auto" w:fill="BDD7EE"/>
            <w:vAlign w:val="center"/>
            <w:hideMark/>
          </w:tcPr>
          <w:p w14:paraId="3DD23E1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402" w:type="dxa"/>
            <w:vMerge w:val="restart"/>
            <w:shd w:val="clear" w:color="auto" w:fill="BDD7EE"/>
            <w:vAlign w:val="center"/>
            <w:hideMark/>
          </w:tcPr>
          <w:p w14:paraId="45A592A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38C407AA" w14:textId="77777777">
        <w:trPr>
          <w:trHeight w:val="372"/>
          <w:tblHeader/>
          <w:jc w:val="center"/>
        </w:trPr>
        <w:tc>
          <w:tcPr>
            <w:tcW w:w="588" w:type="dxa"/>
            <w:vMerge/>
            <w:vAlign w:val="center"/>
            <w:hideMark/>
          </w:tcPr>
          <w:p w14:paraId="2157213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80" w:type="dxa"/>
            <w:vMerge/>
            <w:vAlign w:val="center"/>
            <w:hideMark/>
          </w:tcPr>
          <w:p w14:paraId="26A33FA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55" w:type="dxa"/>
            <w:vMerge/>
            <w:vAlign w:val="center"/>
            <w:hideMark/>
          </w:tcPr>
          <w:p w14:paraId="5FCD0A3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60" w:type="dxa"/>
            <w:vMerge/>
            <w:vAlign w:val="center"/>
            <w:hideMark/>
          </w:tcPr>
          <w:p w14:paraId="580D83B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68" w:type="dxa"/>
            <w:vMerge/>
            <w:vAlign w:val="center"/>
            <w:hideMark/>
          </w:tcPr>
          <w:p w14:paraId="19831C5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17" w:type="dxa"/>
            <w:shd w:val="clear" w:color="auto" w:fill="BDD7EE"/>
            <w:vAlign w:val="center"/>
            <w:hideMark/>
          </w:tcPr>
          <w:p w14:paraId="55E2D7B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7A79BA4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51" w:type="dxa"/>
            <w:shd w:val="clear" w:color="auto" w:fill="BDD7EE"/>
            <w:vAlign w:val="center"/>
            <w:hideMark/>
          </w:tcPr>
          <w:p w14:paraId="2AED18B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84" w:type="dxa"/>
            <w:shd w:val="clear" w:color="auto" w:fill="BDD7EE"/>
            <w:vAlign w:val="center"/>
            <w:hideMark/>
          </w:tcPr>
          <w:p w14:paraId="64DA820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50" w:type="dxa"/>
            <w:shd w:val="clear" w:color="auto" w:fill="BDD7EE"/>
            <w:vAlign w:val="center"/>
            <w:hideMark/>
          </w:tcPr>
          <w:p w14:paraId="2DBBBE1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402" w:type="dxa"/>
            <w:vMerge/>
            <w:vAlign w:val="center"/>
            <w:hideMark/>
          </w:tcPr>
          <w:p w14:paraId="1678F10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E505255" w14:textId="77777777">
        <w:trPr>
          <w:trHeight w:val="309"/>
          <w:jc w:val="center"/>
        </w:trPr>
        <w:tc>
          <w:tcPr>
            <w:tcW w:w="588" w:type="dxa"/>
            <w:shd w:val="clear" w:color="auto" w:fill="C6EFCE"/>
            <w:noWrap/>
          </w:tcPr>
          <w:p w14:paraId="5366E8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85</w:t>
            </w:r>
          </w:p>
        </w:tc>
        <w:tc>
          <w:tcPr>
            <w:tcW w:w="1680" w:type="dxa"/>
            <w:shd w:val="clear" w:color="auto" w:fill="C6EFCE"/>
            <w:noWrap/>
          </w:tcPr>
          <w:p w14:paraId="2DEC14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5 - 2.1. Connect - 16818_Fiber optic infrastructure in buildings</w:t>
            </w:r>
          </w:p>
        </w:tc>
        <w:tc>
          <w:tcPr>
            <w:tcW w:w="1155" w:type="dxa"/>
            <w:shd w:val="clear" w:color="auto" w:fill="C6EFCE"/>
            <w:noWrap/>
          </w:tcPr>
          <w:p w14:paraId="54D90DC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25F2D6F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for the ‘Fiber optic infrastructure in buildings’ project</w:t>
            </w:r>
          </w:p>
        </w:tc>
        <w:tc>
          <w:tcPr>
            <w:tcW w:w="2268" w:type="dxa"/>
            <w:shd w:val="clear" w:color="auto" w:fill="C6EFCE"/>
            <w:noWrap/>
          </w:tcPr>
          <w:p w14:paraId="702CF693" w14:textId="77777777" w:rsidR="001B186F" w:rsidRPr="00DE4E4F" w:rsidRDefault="0074517F">
            <w:pPr>
              <w:spacing w:after="0" w:line="240" w:lineRule="auto"/>
              <w:rPr>
                <w:rFonts w:ascii="Times New Roman" w:eastAsia="Times New Roman" w:hAnsi="Times New Roman" w:cs="Times New Roman"/>
                <w:strike/>
                <w:noProof/>
                <w:color w:val="006100"/>
                <w:sz w:val="18"/>
                <w:szCs w:val="18"/>
              </w:rPr>
            </w:pPr>
            <w:r w:rsidRPr="00DE4E4F">
              <w:rPr>
                <w:rFonts w:ascii="Times New Roman" w:hAnsi="Times New Roman" w:cs="Times New Roman"/>
                <w:noProof/>
                <w:color w:val="006100"/>
                <w:sz w:val="18"/>
                <w:szCs w:val="18"/>
              </w:rPr>
              <w:t xml:space="preserve">Notification of award of contract(s) </w:t>
            </w:r>
          </w:p>
        </w:tc>
        <w:tc>
          <w:tcPr>
            <w:tcW w:w="1417" w:type="dxa"/>
            <w:shd w:val="clear" w:color="auto" w:fill="C6EFCE"/>
            <w:noWrap/>
          </w:tcPr>
          <w:p w14:paraId="07FC5E7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77C1A94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B8776F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76EB8C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850" w:type="dxa"/>
            <w:shd w:val="clear" w:color="auto" w:fill="C6EFCE"/>
            <w:noWrap/>
          </w:tcPr>
          <w:p w14:paraId="457A72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402" w:type="dxa"/>
            <w:shd w:val="clear" w:color="auto" w:fill="C6EFCE"/>
            <w:noWrap/>
          </w:tcPr>
          <w:p w14:paraId="0597D9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following the successful completion of the tender process for the ‘Fiber optic infrastructure in buildings’ project.</w:t>
            </w:r>
          </w:p>
          <w:p w14:paraId="2D78F5D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147CAEF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Information Society SA/ Ministry of Digital Governance shall ensure that all the submitted applications are examined to confirm whether the applications properly address the Call's demands. Upon the selection of the appropriate contractor, the Information Society S.A./ Ministry of Digital Governance shall proceed with contract award which shall define the obligations, roles and responsibilities of contracting parties.</w:t>
            </w:r>
          </w:p>
        </w:tc>
      </w:tr>
      <w:tr w:rsidR="00682269" w:rsidRPr="00DE4E4F" w14:paraId="71120599" w14:textId="77777777">
        <w:trPr>
          <w:trHeight w:val="309"/>
          <w:jc w:val="center"/>
        </w:trPr>
        <w:tc>
          <w:tcPr>
            <w:tcW w:w="588" w:type="dxa"/>
            <w:shd w:val="clear" w:color="auto" w:fill="C6EFCE"/>
            <w:noWrap/>
          </w:tcPr>
          <w:p w14:paraId="3A73473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87</w:t>
            </w:r>
          </w:p>
        </w:tc>
        <w:tc>
          <w:tcPr>
            <w:tcW w:w="1680" w:type="dxa"/>
            <w:shd w:val="clear" w:color="auto" w:fill="C6EFCE"/>
            <w:noWrap/>
          </w:tcPr>
          <w:p w14:paraId="7380F07C"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5 - 2.1. Connect - 16855_Small-satellites</w:t>
            </w:r>
          </w:p>
        </w:tc>
        <w:tc>
          <w:tcPr>
            <w:tcW w:w="1155" w:type="dxa"/>
            <w:shd w:val="clear" w:color="auto" w:fill="C6EFCE"/>
            <w:noWrap/>
          </w:tcPr>
          <w:p w14:paraId="3496B2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144B5A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for the ‘Small Satellites’ project</w:t>
            </w:r>
          </w:p>
        </w:tc>
        <w:tc>
          <w:tcPr>
            <w:tcW w:w="2268" w:type="dxa"/>
            <w:shd w:val="clear" w:color="auto" w:fill="C6EFCE"/>
            <w:noWrap/>
          </w:tcPr>
          <w:p w14:paraId="29D523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award of contract(s) </w:t>
            </w:r>
          </w:p>
        </w:tc>
        <w:tc>
          <w:tcPr>
            <w:tcW w:w="1417" w:type="dxa"/>
            <w:shd w:val="clear" w:color="auto" w:fill="C6EFCE"/>
            <w:noWrap/>
          </w:tcPr>
          <w:p w14:paraId="70B92D0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B0215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A0F122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5F38A7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50" w:type="dxa"/>
            <w:shd w:val="clear" w:color="auto" w:fill="C6EFCE"/>
            <w:noWrap/>
          </w:tcPr>
          <w:p w14:paraId="1B7FD0D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402" w:type="dxa"/>
            <w:shd w:val="clear" w:color="auto" w:fill="C6EFCE"/>
            <w:noWrap/>
          </w:tcPr>
          <w:p w14:paraId="117AB58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following the successful completion of the tender process for the ‘Small Satellites’ project.</w:t>
            </w:r>
          </w:p>
          <w:p w14:paraId="2B938A9C" w14:textId="77777777" w:rsidR="001B186F" w:rsidRPr="00DE4E4F" w:rsidRDefault="001B186F">
            <w:pPr>
              <w:spacing w:after="0" w:line="240" w:lineRule="auto"/>
              <w:rPr>
                <w:rFonts w:ascii="Times New Roman" w:hAnsi="Times New Roman" w:cs="Times New Roman"/>
                <w:noProof/>
                <w:color w:val="006100"/>
                <w:sz w:val="18"/>
                <w:szCs w:val="18"/>
              </w:rPr>
            </w:pPr>
          </w:p>
          <w:p w14:paraId="563958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bookmarkStart w:id="2" w:name="_Hlk208835858"/>
            <w:r w:rsidRPr="00DE4E4F">
              <w:rPr>
                <w:rFonts w:ascii="Times New Roman" w:eastAsia="Times New Roman" w:hAnsi="Times New Roman" w:cs="Times New Roman"/>
                <w:noProof/>
                <w:color w:val="006100"/>
                <w:sz w:val="18"/>
                <w:szCs w:val="18"/>
              </w:rPr>
              <w:t>The investment concerns the development of a constellation of small satellites to support connectivity services, as well as earth observation applications in the fields of mapping, shipping, precision agriculture, spatial planning and others.</w:t>
            </w:r>
            <w:bookmarkEnd w:id="2"/>
          </w:p>
        </w:tc>
      </w:tr>
      <w:tr w:rsidR="00682269" w:rsidRPr="00DE4E4F" w14:paraId="1F89DD2F" w14:textId="77777777">
        <w:trPr>
          <w:trHeight w:val="309"/>
          <w:jc w:val="center"/>
        </w:trPr>
        <w:tc>
          <w:tcPr>
            <w:tcW w:w="588" w:type="dxa"/>
            <w:shd w:val="clear" w:color="auto" w:fill="C6EFCE"/>
            <w:noWrap/>
          </w:tcPr>
          <w:p w14:paraId="5B6DA21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90</w:t>
            </w:r>
          </w:p>
        </w:tc>
        <w:tc>
          <w:tcPr>
            <w:tcW w:w="1680" w:type="dxa"/>
            <w:shd w:val="clear" w:color="auto" w:fill="C6EFCE"/>
            <w:noWrap/>
          </w:tcPr>
          <w:p w14:paraId="17F008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5 - 2.1. Connect - 16818_Fiber optic infrastructure in buildings</w:t>
            </w:r>
          </w:p>
        </w:tc>
        <w:tc>
          <w:tcPr>
            <w:tcW w:w="1155" w:type="dxa"/>
            <w:shd w:val="clear" w:color="auto" w:fill="C6EFCE"/>
            <w:noWrap/>
          </w:tcPr>
          <w:p w14:paraId="6E7851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60" w:type="dxa"/>
            <w:shd w:val="clear" w:color="auto" w:fill="C6EFCE"/>
            <w:noWrap/>
          </w:tcPr>
          <w:p w14:paraId="18DDFF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the ‘Fiber optic infrastructure in buildings’ project</w:t>
            </w:r>
          </w:p>
        </w:tc>
        <w:tc>
          <w:tcPr>
            <w:tcW w:w="2268" w:type="dxa"/>
            <w:shd w:val="clear" w:color="auto" w:fill="C6EFCE"/>
            <w:noWrap/>
          </w:tcPr>
          <w:p w14:paraId="17ADB98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shd w:val="clear" w:color="auto" w:fill="C6EFCE"/>
            <w:noWrap/>
          </w:tcPr>
          <w:p w14:paraId="7EB3F7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vouchers</w:t>
            </w:r>
          </w:p>
        </w:tc>
        <w:tc>
          <w:tcPr>
            <w:tcW w:w="992" w:type="dxa"/>
            <w:shd w:val="clear" w:color="auto" w:fill="C6EFCE"/>
            <w:noWrap/>
          </w:tcPr>
          <w:p w14:paraId="5935E89B"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51" w:type="dxa"/>
            <w:shd w:val="clear" w:color="auto" w:fill="C6EFCE"/>
            <w:noWrap/>
          </w:tcPr>
          <w:p w14:paraId="042975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300 255</w:t>
            </w:r>
          </w:p>
        </w:tc>
        <w:tc>
          <w:tcPr>
            <w:tcW w:w="984" w:type="dxa"/>
            <w:shd w:val="clear" w:color="auto" w:fill="C6EFCE"/>
            <w:noWrap/>
          </w:tcPr>
          <w:p w14:paraId="459243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50" w:type="dxa"/>
            <w:shd w:val="clear" w:color="auto" w:fill="C6EFCE"/>
            <w:noWrap/>
          </w:tcPr>
          <w:p w14:paraId="173497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57A63D48" w14:textId="6453623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300 255 vouchers </w:t>
            </w:r>
            <w:r w:rsidR="00DE4E4F" w:rsidRPr="00DE4E4F">
              <w:rPr>
                <w:rFonts w:ascii="Times New Roman" w:hAnsi="Times New Roman" w:cs="Times New Roman"/>
                <w:noProof/>
                <w:color w:val="006100"/>
                <w:sz w:val="18"/>
                <w:szCs w:val="18"/>
              </w:rPr>
              <w:t>redeemed</w:t>
            </w:r>
            <w:r w:rsidRPr="00DE4E4F">
              <w:rPr>
                <w:rFonts w:ascii="Times New Roman" w:hAnsi="Times New Roman" w:cs="Times New Roman"/>
                <w:noProof/>
                <w:color w:val="006100"/>
                <w:sz w:val="18"/>
                <w:szCs w:val="18"/>
              </w:rPr>
              <w:t xml:space="preserve"> for dwellings connected with FTTH fibre optic infrastructure and service.</w:t>
            </w:r>
            <w:r w:rsidRPr="00DE4E4F">
              <w:rPr>
                <w:rFonts w:ascii="Times New Roman" w:hAnsi="Times New Roman" w:cs="Times New Roman"/>
                <w:noProof/>
                <w:sz w:val="18"/>
                <w:szCs w:val="18"/>
              </w:rPr>
              <w:t xml:space="preserve"> </w:t>
            </w:r>
          </w:p>
        </w:tc>
      </w:tr>
      <w:tr w:rsidR="00682269" w:rsidRPr="00DE4E4F" w14:paraId="10649370" w14:textId="77777777">
        <w:trPr>
          <w:trHeight w:val="309"/>
          <w:jc w:val="center"/>
        </w:trPr>
        <w:tc>
          <w:tcPr>
            <w:tcW w:w="588" w:type="dxa"/>
            <w:shd w:val="clear" w:color="auto" w:fill="C6EFCE"/>
            <w:noWrap/>
          </w:tcPr>
          <w:p w14:paraId="06F708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92</w:t>
            </w:r>
          </w:p>
        </w:tc>
        <w:tc>
          <w:tcPr>
            <w:tcW w:w="1680" w:type="dxa"/>
            <w:shd w:val="clear" w:color="auto" w:fill="C6EFCE"/>
            <w:noWrap/>
          </w:tcPr>
          <w:p w14:paraId="4E091C79" w14:textId="1E28CE74" w:rsidR="001B186F" w:rsidRPr="00DE4E4F" w:rsidRDefault="0068782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5 - 2.1. </w:t>
            </w:r>
            <w:r w:rsidR="0074517F" w:rsidRPr="00DE4E4F">
              <w:rPr>
                <w:rFonts w:ascii="Times New Roman" w:hAnsi="Times New Roman" w:cs="Times New Roman"/>
                <w:noProof/>
                <w:color w:val="006100"/>
                <w:sz w:val="18"/>
                <w:szCs w:val="18"/>
              </w:rPr>
              <w:t>Connect - 16855_Small-satellites</w:t>
            </w:r>
          </w:p>
        </w:tc>
        <w:tc>
          <w:tcPr>
            <w:tcW w:w="1155" w:type="dxa"/>
            <w:shd w:val="clear" w:color="auto" w:fill="C6EFCE"/>
            <w:noWrap/>
          </w:tcPr>
          <w:p w14:paraId="4E9620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7064FB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the ‘Small satellites’ project</w:t>
            </w:r>
          </w:p>
        </w:tc>
        <w:tc>
          <w:tcPr>
            <w:tcW w:w="2268" w:type="dxa"/>
            <w:shd w:val="clear" w:color="auto" w:fill="C6EFCE"/>
            <w:noWrap/>
          </w:tcPr>
          <w:p w14:paraId="6D1474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In-Orbit Commissioning Reports following the Small Satellites launch </w:t>
            </w:r>
          </w:p>
        </w:tc>
        <w:tc>
          <w:tcPr>
            <w:tcW w:w="1417" w:type="dxa"/>
            <w:shd w:val="clear" w:color="auto" w:fill="C6EFCE"/>
            <w:noWrap/>
          </w:tcPr>
          <w:p w14:paraId="44D45EA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2240568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94470C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71A766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50" w:type="dxa"/>
            <w:shd w:val="clear" w:color="auto" w:fill="C6EFCE"/>
            <w:noWrap/>
          </w:tcPr>
          <w:p w14:paraId="3E0784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417A6AE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Pilot Project starts and the Small Satellites constellation aimed to support connectivity services, as well as earth observation applications for mapping, shipping, precision agriculture, spatial planning and others, is launched and put in orbit.</w:t>
            </w:r>
          </w:p>
        </w:tc>
      </w:tr>
      <w:tr w:rsidR="00D06EF8" w:rsidRPr="00DE4E4F" w14:paraId="5B81A800" w14:textId="77777777">
        <w:trPr>
          <w:trHeight w:val="309"/>
          <w:jc w:val="center"/>
        </w:trPr>
        <w:tc>
          <w:tcPr>
            <w:tcW w:w="588" w:type="dxa"/>
            <w:shd w:val="clear" w:color="auto" w:fill="C6EFCE"/>
            <w:noWrap/>
          </w:tcPr>
          <w:p w14:paraId="3118D05F" w14:textId="5FCA2A11" w:rsidR="00D06EF8" w:rsidRPr="00DE4E4F" w:rsidRDefault="00D06EF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92a</w:t>
            </w:r>
          </w:p>
        </w:tc>
        <w:tc>
          <w:tcPr>
            <w:tcW w:w="1680" w:type="dxa"/>
            <w:shd w:val="clear" w:color="auto" w:fill="C6EFCE"/>
            <w:noWrap/>
          </w:tcPr>
          <w:p w14:paraId="1FFE8BE7" w14:textId="6BB0D976" w:rsidR="00D06EF8" w:rsidRPr="00DE4E4F" w:rsidRDefault="008433D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5 - 2.1. Connect - 16855_Small-satellites</w:t>
            </w:r>
          </w:p>
        </w:tc>
        <w:tc>
          <w:tcPr>
            <w:tcW w:w="1155" w:type="dxa"/>
            <w:shd w:val="clear" w:color="auto" w:fill="C6EFCE"/>
            <w:noWrap/>
          </w:tcPr>
          <w:p w14:paraId="0349EA06" w14:textId="4290643C" w:rsidR="00D06EF8" w:rsidRPr="00DE4E4F" w:rsidRDefault="0083494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45A39822" w14:textId="46849508" w:rsidR="00D06EF8" w:rsidRPr="00DE4E4F" w:rsidRDefault="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Signature of the amendment to the Project Arrangement</w:t>
            </w:r>
            <w:r w:rsidRPr="00DE4E4F">
              <w:rPr>
                <w:rFonts w:ascii="Times New Roman" w:hAnsi="Times New Roman" w:cs="Times New Roman"/>
                <w:noProof/>
                <w:color w:val="006100"/>
                <w:sz w:val="18"/>
                <w:szCs w:val="18"/>
                <w:u w:val="single"/>
              </w:rPr>
              <w:t xml:space="preserve">, </w:t>
            </w:r>
            <w:r w:rsidRPr="00DE4E4F">
              <w:rPr>
                <w:rFonts w:ascii="Times New Roman" w:hAnsi="Times New Roman" w:cs="Times New Roman"/>
                <w:noProof/>
                <w:color w:val="006100"/>
                <w:sz w:val="18"/>
                <w:szCs w:val="18"/>
              </w:rPr>
              <w:t>and transfer of the funds</w:t>
            </w:r>
          </w:p>
        </w:tc>
        <w:tc>
          <w:tcPr>
            <w:tcW w:w="2268" w:type="dxa"/>
            <w:shd w:val="clear" w:color="auto" w:fill="C6EFCE"/>
            <w:noWrap/>
          </w:tcPr>
          <w:p w14:paraId="301033C9" w14:textId="791B9F17" w:rsidR="00D06EF8" w:rsidRPr="00DE4E4F" w:rsidRDefault="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Signature of the amendment to the Project Arrangement between ESA and the Ministry of Digital Governance and transfer of the funds</w:t>
            </w:r>
          </w:p>
        </w:tc>
        <w:tc>
          <w:tcPr>
            <w:tcW w:w="1417" w:type="dxa"/>
            <w:shd w:val="clear" w:color="auto" w:fill="C6EFCE"/>
            <w:noWrap/>
          </w:tcPr>
          <w:p w14:paraId="789F71EB" w14:textId="77777777" w:rsidR="00D06EF8" w:rsidRPr="00DE4E4F" w:rsidRDefault="00D06EF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17E244A7" w14:textId="77777777" w:rsidR="00D06EF8" w:rsidRPr="00DE4E4F" w:rsidRDefault="00D06EF8">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E706CF1" w14:textId="77777777" w:rsidR="00D06EF8" w:rsidRPr="00DE4E4F" w:rsidRDefault="00D06EF8">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1A10552F" w14:textId="2D573F78" w:rsidR="00D06EF8" w:rsidRPr="00DE4E4F" w:rsidRDefault="00872E5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50" w:type="dxa"/>
            <w:shd w:val="clear" w:color="auto" w:fill="C6EFCE"/>
            <w:noWrap/>
          </w:tcPr>
          <w:p w14:paraId="7FA0BAAC" w14:textId="5D0635A8" w:rsidR="00D06EF8" w:rsidRPr="00DE4E4F" w:rsidRDefault="00872E5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402" w:type="dxa"/>
            <w:shd w:val="clear" w:color="auto" w:fill="C6EFCE"/>
            <w:noWrap/>
          </w:tcPr>
          <w:p w14:paraId="12E4AA39"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Signature to the amendment to the Project Arrangement for the European Space Agency (ESA) Assistance in the Management and Implementation of The Greek National Satellite Space Project between Greece and the ESA.</w:t>
            </w:r>
          </w:p>
          <w:p w14:paraId="6962F983" w14:textId="77777777" w:rsidR="006A4783" w:rsidRPr="00DE4E4F" w:rsidRDefault="006A4783" w:rsidP="006A4783">
            <w:pPr>
              <w:spacing w:after="0" w:line="240" w:lineRule="auto"/>
              <w:rPr>
                <w:rFonts w:ascii="Times New Roman" w:hAnsi="Times New Roman" w:cs="Times New Roman"/>
                <w:noProof/>
                <w:color w:val="006100"/>
                <w:sz w:val="18"/>
                <w:szCs w:val="18"/>
              </w:rPr>
            </w:pPr>
          </w:p>
          <w:p w14:paraId="150B0842"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Project Arrangement shall include the activities that would be funded under the Project Arrangement, which shall consist in the implementation of Phase II activities (“Hellas Space 2.0”), namely: </w:t>
            </w:r>
          </w:p>
          <w:p w14:paraId="63489481"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Deployment of sensing constellation of RGBNIR optical satellites, MWIR thermal satellites, RF monitoring satellites; </w:t>
            </w:r>
          </w:p>
          <w:p w14:paraId="72761278"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Space Domain Awareness &amp; In-Orbit Capabilities demonstrator(s); </w:t>
            </w:r>
          </w:p>
          <w:p w14:paraId="36AF7E3B"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Procurement and deployment of Secure Connectivity user terminals and Galileo PRS uptake; </w:t>
            </w:r>
          </w:p>
          <w:p w14:paraId="058A61FF"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Space Innovation &amp; Testbed Programme for EO and Connectivity in-orbit demonstration and hosted-payload opportunities; </w:t>
            </w:r>
          </w:p>
          <w:p w14:paraId="28DE2ED5"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 Secure EO Services &amp; Data Infrastructure for enhancing governmental hub and flagship downstream services;</w:t>
            </w:r>
          </w:p>
          <w:p w14:paraId="6EB767E2"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 Training to Greek graduates in relation to the activities within the scope of this Project Arrangement and Communication activities.</w:t>
            </w:r>
          </w:p>
          <w:p w14:paraId="0D194663" w14:textId="77777777" w:rsidR="006A4783" w:rsidRPr="00DE4E4F" w:rsidRDefault="006A4783" w:rsidP="006A4783">
            <w:pPr>
              <w:spacing w:after="0" w:line="240" w:lineRule="auto"/>
              <w:rPr>
                <w:rFonts w:ascii="Times New Roman" w:hAnsi="Times New Roman" w:cs="Times New Roman"/>
                <w:noProof/>
                <w:color w:val="006100"/>
                <w:sz w:val="18"/>
                <w:szCs w:val="18"/>
              </w:rPr>
            </w:pPr>
          </w:p>
          <w:p w14:paraId="1DADEC0E" w14:textId="77777777" w:rsidR="006A4783"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Project Arrangement shall also include a provision ensuring that the funds shall be fully and exclusively used by ESA for the support of Phase II activities.</w:t>
            </w:r>
          </w:p>
          <w:p w14:paraId="34458F62" w14:textId="77777777" w:rsidR="006A4783" w:rsidRPr="00DE4E4F" w:rsidRDefault="006A4783" w:rsidP="006A4783">
            <w:pPr>
              <w:spacing w:after="0" w:line="240" w:lineRule="auto"/>
              <w:rPr>
                <w:rFonts w:ascii="Times New Roman" w:hAnsi="Times New Roman" w:cs="Times New Roman"/>
                <w:noProof/>
                <w:color w:val="006100"/>
                <w:sz w:val="18"/>
                <w:szCs w:val="18"/>
              </w:rPr>
            </w:pPr>
          </w:p>
          <w:p w14:paraId="54264714" w14:textId="30EE7275" w:rsidR="00D06EF8" w:rsidRPr="00DE4E4F" w:rsidRDefault="006A4783" w:rsidP="006A478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Greece shall transfer EUR 350</w:t>
            </w:r>
            <w:r w:rsidR="005A4B2F"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000</w:t>
            </w:r>
            <w:r w:rsidR="005A4B2F"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000 to ESA for the support of the Phase II activities of the Project Arrangement.</w:t>
            </w:r>
          </w:p>
        </w:tc>
      </w:tr>
      <w:tr w:rsidR="00682269" w:rsidRPr="00DE4E4F" w14:paraId="6D947DB9" w14:textId="77777777">
        <w:trPr>
          <w:trHeight w:val="309"/>
          <w:jc w:val="center"/>
        </w:trPr>
        <w:tc>
          <w:tcPr>
            <w:tcW w:w="588" w:type="dxa"/>
            <w:shd w:val="clear" w:color="auto" w:fill="C6EFCE"/>
            <w:noWrap/>
          </w:tcPr>
          <w:p w14:paraId="7D78EF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333</w:t>
            </w:r>
          </w:p>
        </w:tc>
        <w:tc>
          <w:tcPr>
            <w:tcW w:w="1680" w:type="dxa"/>
            <w:shd w:val="clear" w:color="auto" w:fill="C6EFCE"/>
            <w:noWrap/>
          </w:tcPr>
          <w:p w14:paraId="23983D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5 - 2.1. Connect - 16844_</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Transition to 5G technology, facilitating the development of innovative remote services</w:t>
            </w:r>
          </w:p>
        </w:tc>
        <w:tc>
          <w:tcPr>
            <w:tcW w:w="1155" w:type="dxa"/>
            <w:shd w:val="clear" w:color="auto" w:fill="C6EFCE"/>
            <w:noWrap/>
          </w:tcPr>
          <w:p w14:paraId="228D3C4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1F4DBDE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Transition to 5G technology reform</w:t>
            </w:r>
          </w:p>
        </w:tc>
        <w:tc>
          <w:tcPr>
            <w:tcW w:w="2268" w:type="dxa"/>
            <w:shd w:val="clear" w:color="auto" w:fill="C6EFCE"/>
            <w:noWrap/>
          </w:tcPr>
          <w:p w14:paraId="047AAE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regulatory and legislative framework</w:t>
            </w:r>
          </w:p>
        </w:tc>
        <w:tc>
          <w:tcPr>
            <w:tcW w:w="1417" w:type="dxa"/>
            <w:shd w:val="clear" w:color="auto" w:fill="C6EFCE"/>
            <w:noWrap/>
          </w:tcPr>
          <w:p w14:paraId="718D88F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5DCCF19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A5D9AD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140A8B5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850" w:type="dxa"/>
            <w:shd w:val="clear" w:color="auto" w:fill="C6EFCE"/>
            <w:noWrap/>
          </w:tcPr>
          <w:p w14:paraId="739062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02" w:type="dxa"/>
            <w:shd w:val="clear" w:color="auto" w:fill="C6EFCE"/>
            <w:noWrap/>
          </w:tcPr>
          <w:p w14:paraId="052EC05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secondary legislation defining the process of allocation of 5G Spectrum for Pilot projects via Phaistos fund or/and university entities, including a process for identifying further opportunities and risks in the development of 5G networks, the streamlining of procedures</w:t>
            </w:r>
            <w:r w:rsidRPr="00DE4E4F">
              <w:rPr>
                <w:rFonts w:ascii="Times New Roman" w:eastAsia="Times New Roman" w:hAnsi="Times New Roman" w:cs="Times New Roman"/>
                <w:noProof/>
                <w:color w:val="006100"/>
                <w:sz w:val="18"/>
                <w:szCs w:val="18"/>
              </w:rPr>
              <w:t xml:space="preserve"> for the allocation of 5G spectrum</w:t>
            </w:r>
            <w:r w:rsidRPr="00DE4E4F">
              <w:rPr>
                <w:rFonts w:ascii="Times New Roman" w:hAnsi="Times New Roman" w:cs="Times New Roman"/>
                <w:noProof/>
                <w:color w:val="006100"/>
                <w:sz w:val="18"/>
                <w:szCs w:val="18"/>
              </w:rPr>
              <w:t>, and the assessment of requirements and risks in specific economic applications.</w:t>
            </w:r>
          </w:p>
        </w:tc>
      </w:tr>
      <w:tr w:rsidR="00682269" w:rsidRPr="00DE4E4F" w14:paraId="236DC0ED" w14:textId="77777777">
        <w:trPr>
          <w:trHeight w:val="309"/>
          <w:jc w:val="center"/>
        </w:trPr>
        <w:tc>
          <w:tcPr>
            <w:tcW w:w="588" w:type="dxa"/>
            <w:shd w:val="clear" w:color="auto" w:fill="C6EFCE"/>
            <w:noWrap/>
          </w:tcPr>
          <w:p w14:paraId="74A819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334</w:t>
            </w:r>
          </w:p>
        </w:tc>
        <w:tc>
          <w:tcPr>
            <w:tcW w:w="1680" w:type="dxa"/>
            <w:shd w:val="clear" w:color="auto" w:fill="C6EFCE"/>
            <w:noWrap/>
          </w:tcPr>
          <w:p w14:paraId="6FD59821" w14:textId="03E6B006" w:rsidR="001B186F" w:rsidRPr="00DE4E4F" w:rsidRDefault="0068782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5 - 2.1. Connect - </w:t>
            </w:r>
            <w:r w:rsidR="0074517F" w:rsidRPr="00DE4E4F">
              <w:rPr>
                <w:rFonts w:ascii="Times New Roman" w:hAnsi="Times New Roman" w:cs="Times New Roman"/>
                <w:noProof/>
                <w:color w:val="006100"/>
                <w:sz w:val="18"/>
                <w:szCs w:val="18"/>
              </w:rPr>
              <w:t>16857_Switch to Gigabit broadband connections – Transition to Gigabit broadband connections and strengthening of Gigabit broadband demand</w:t>
            </w:r>
          </w:p>
        </w:tc>
        <w:tc>
          <w:tcPr>
            <w:tcW w:w="1155" w:type="dxa"/>
            <w:shd w:val="clear" w:color="auto" w:fill="C6EFCE"/>
            <w:noWrap/>
          </w:tcPr>
          <w:p w14:paraId="703A21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60" w:type="dxa"/>
            <w:shd w:val="clear" w:color="auto" w:fill="C6EFCE"/>
            <w:noWrap/>
          </w:tcPr>
          <w:p w14:paraId="012F7A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Switch to Gigabit broadband connections reform</w:t>
            </w:r>
          </w:p>
        </w:tc>
        <w:tc>
          <w:tcPr>
            <w:tcW w:w="2268" w:type="dxa"/>
            <w:shd w:val="clear" w:color="auto" w:fill="C6EFCE"/>
            <w:noWrap/>
          </w:tcPr>
          <w:p w14:paraId="156966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legislative framework</w:t>
            </w:r>
          </w:p>
        </w:tc>
        <w:tc>
          <w:tcPr>
            <w:tcW w:w="1417" w:type="dxa"/>
            <w:shd w:val="clear" w:color="auto" w:fill="C6EFCE"/>
            <w:noWrap/>
          </w:tcPr>
          <w:p w14:paraId="078F899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289F03F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77681E9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4" w:type="dxa"/>
            <w:shd w:val="clear" w:color="auto" w:fill="C6EFCE"/>
            <w:noWrap/>
          </w:tcPr>
          <w:p w14:paraId="70697E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50" w:type="dxa"/>
            <w:shd w:val="clear" w:color="auto" w:fill="C6EFCE"/>
            <w:noWrap/>
          </w:tcPr>
          <w:p w14:paraId="1A1C35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02" w:type="dxa"/>
            <w:shd w:val="clear" w:color="auto" w:fill="C6EFCE"/>
            <w:noWrap/>
          </w:tcPr>
          <w:p w14:paraId="4736FBFC" w14:textId="77777777" w:rsidR="001B186F" w:rsidRPr="00DE4E4F" w:rsidRDefault="0074517F">
            <w:pPr>
              <w:pStyle w:val="xmsonormal"/>
              <w:rPr>
                <w:rFonts w:eastAsia="Times New Roman" w:cs="Calibri"/>
                <w:noProof/>
                <w:color w:val="006100"/>
                <w:sz w:val="18"/>
                <w:szCs w:val="18"/>
              </w:rPr>
            </w:pPr>
            <w:r w:rsidRPr="00DE4E4F">
              <w:rPr>
                <w:noProof/>
                <w:color w:val="006100"/>
                <w:sz w:val="18"/>
                <w:szCs w:val="18"/>
              </w:rPr>
              <w:t xml:space="preserve">Entry into force of a legal framework defining the technical specifications and relevant rules and procedures for the deployment of in-building broadband infrastructure capable to deliver Gigabit connectivity to end-users. </w:t>
            </w:r>
          </w:p>
        </w:tc>
      </w:tr>
    </w:tbl>
    <w:p w14:paraId="448EF76C" w14:textId="77777777" w:rsidR="001B186F" w:rsidRPr="00DE4E4F" w:rsidRDefault="001B186F">
      <w:pPr>
        <w:spacing w:before="120" w:after="120" w:line="240" w:lineRule="auto"/>
        <w:ind w:left="709"/>
        <w:jc w:val="both"/>
        <w:rPr>
          <w:rFonts w:ascii="Times New Roman" w:hAnsi="Times New Roman" w:cs="Times New Roman"/>
          <w:noProof/>
          <w:sz w:val="24"/>
          <w:szCs w:val="24"/>
        </w:rPr>
        <w:sectPr w:rsidR="001B186F" w:rsidRPr="00DE4E4F">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3BB6D455"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F. COMPONENT 2.2: MODERNISE</w:t>
      </w:r>
    </w:p>
    <w:p w14:paraId="6FFCA28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component “Modernise” </w:t>
      </w:r>
      <w:r w:rsidRPr="00DE4E4F">
        <w:rPr>
          <w:rFonts w:ascii="Times New Roman" w:hAnsi="Times New Roman"/>
          <w:noProof/>
          <w:color w:val="000000"/>
          <w:sz w:val="24"/>
        </w:rPr>
        <w:t>of the Greek recovery and resilience plan</w:t>
      </w:r>
      <w:r w:rsidRPr="00DE4E4F">
        <w:rPr>
          <w:rFonts w:ascii="Times New Roman" w:hAnsi="Times New Roman"/>
          <w:noProof/>
          <w:sz w:val="24"/>
        </w:rPr>
        <w:t xml:space="preserve"> aims to modernise the public administration by improving its operational model and achieving provision of high-quality services to citizens and businesses. Accelerating efforts to improve upon the public administration’s digital performance shall act as a catalyst to achieve this aim. Reforms and investments target: (a) the digital transformation of the organisations of the public sector, including the digitisation of archives and enhanced digital services; (b) business process improvements followed by the incorporation of modern IT systems; (c) increased interoperability between systems and data; (d) wide-ranging cybersecurity and data governance strategies and policies; as well as (e) extended use of advanced technologies, such as cloud computing, artificial intelligence and big data.</w:t>
      </w:r>
    </w:p>
    <w:p w14:paraId="49F3491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component aims to address the challenge of modernising and digitalising the public administration, while also streamlining and simplifying its key processes and procedures. It supports addressing the Country Specific Recommendation on public and private investment (Country Specific Recommendations 3 2020 and 2 2019) by improving the effectiveness and digitalisation of the public administration.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546E420"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F.1. Description of the reforms and investments for non-repayable financial support</w:t>
      </w:r>
    </w:p>
    <w:p w14:paraId="5BAA560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Towards Public Administration’s “customer”-oriented services through simplification and improvement of processes, systems enhancements and compliance with European strategies and policies (measure ID 16929)</w:t>
      </w:r>
    </w:p>
    <w:p w14:paraId="30B2F91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reform is to provide user-oriented public services to Greek citizens and businesses and to ensure a better functioning Greek public administration. The reform consists of: a) the entry into force of the relevant chapters of the Single Local Administration Code and b) the delivery of actions for monitoring and measuring administrative burden and for supporting the regulatory impact assessment process. </w:t>
      </w:r>
    </w:p>
    <w:p w14:paraId="5D0A200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Digitisation of archives and related services (measure ID 16778)</w:t>
      </w:r>
    </w:p>
    <w:p w14:paraId="687B6304" w14:textId="77777777" w:rsidR="001B186F" w:rsidRPr="00DE4E4F" w:rsidRDefault="0074517F">
      <w:pPr>
        <w:jc w:val="both"/>
        <w:rPr>
          <w:rFonts w:ascii="Times New Roman" w:hAnsi="Times New Roman"/>
          <w:noProof/>
          <w:sz w:val="24"/>
          <w:szCs w:val="24"/>
        </w:rPr>
      </w:pPr>
      <w:r w:rsidRPr="00DE4E4F">
        <w:rPr>
          <w:rFonts w:ascii="Times New Roman" w:hAnsi="Times New Roman"/>
          <w:noProof/>
          <w:sz w:val="24"/>
          <w:szCs w:val="24"/>
        </w:rPr>
        <w:t xml:space="preserve">The investment consists of the digitisation of key archives in various sectors (justice, health, general archives of the state, urban planning, expropriations, cadastre, immigration and asylum, maritime affairs) and integration in the relevant IT systems, and pilot implementation of secure storage of public sector and “broader” public sector archives (a total of nine subprojects). </w:t>
      </w:r>
    </w:p>
    <w:p w14:paraId="60926C50" w14:textId="77777777" w:rsidR="001B186F" w:rsidRPr="00DE4E4F" w:rsidRDefault="0074517F">
      <w:pPr>
        <w:spacing w:before="120" w:after="120"/>
        <w:jc w:val="both"/>
        <w:rPr>
          <w:rFonts w:ascii="Times New Roman" w:hAnsi="Times New Roman"/>
          <w:noProof/>
          <w:sz w:val="24"/>
          <w:szCs w:val="24"/>
        </w:rPr>
      </w:pPr>
      <w:r w:rsidRPr="00DE4E4F">
        <w:rPr>
          <w:rFonts w:ascii="Times New Roman" w:hAnsi="Times New Roman"/>
          <w:noProof/>
          <w:sz w:val="24"/>
          <w:szCs w:val="24"/>
        </w:rPr>
        <w:t>Specifically, the said subprojects shall comprise of the implementation of digitisation of 1 150 000 000 pages and other necessary actions in relation to the following archives: 1) the justice system, 2) medical records and imaging examinations of the public health system, 3) the General Archives of the State for central and local agencies, 4) the immigration and asylum system, 5) plans of expropriations, 6) construction permits and plans, and creation of metadata and geocoding for urban planning agencies, 7a) property titles and the respective documents in the mortgage offices of the Cadastre and 7b) implementation of Cadastre’s improved services, and 8) maritime affairs. Subproject 9) concerns the pilot implementation of secure storage of 1 440 000 file-boxes containing physical files in other public sector archives. This investment aims to reduce the time cost of providing services to the public by the public administration, while better access to the archives aims to also result in significant cost savings and the freeing-up of resources.</w:t>
      </w:r>
    </w:p>
    <w:p w14:paraId="6C522D6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CRM for the General Government (measure ID 16810)</w:t>
      </w:r>
    </w:p>
    <w:p w14:paraId="27A58BC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the design, set-up and launch of an integrated system for managing the full lifecycle of Public Administration’s relationship with citizens and businesses. The investment consists of a) Customer Relationship Management system for the general government, enabling the management of the public administration’s interactions with citizens and businesses, and b) availability of integrated system for electronic communication between the systems and services of the Public Sector and Greek citizens (Gov. gr – messenger). </w:t>
      </w:r>
    </w:p>
    <w:p w14:paraId="14F15C8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Modernisation of Public Administration’s One-Stop Shops (measure ID 16780)</w:t>
      </w:r>
    </w:p>
    <w:p w14:paraId="0A77F9E5"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objective of the measure is the modernisation of Citizen Services Centres (KEP). The investment consists of the purchase of new digital equipment and tools, and the building renovation of the public administration’s one-stop-shops.</w:t>
      </w:r>
    </w:p>
    <w:p w14:paraId="37BA7EE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New system for Public Procurements (measure ID 16736)</w:t>
      </w:r>
    </w:p>
    <w:p w14:paraId="08A39DBE" w14:textId="79E5FCCD"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eastAsia="Times New Roman" w:hAnsi="Times New Roman" w:cs="Times New Roman"/>
          <w:noProof/>
          <w:color w:val="000000" w:themeColor="text1"/>
          <w:sz w:val="24"/>
          <w:szCs w:val="24"/>
        </w:rPr>
        <w:t xml:space="preserve">The investment concerns the redesign and implementation of a new IT system for public procurement. </w:t>
      </w:r>
      <w:r w:rsidRPr="00DE4E4F">
        <w:rPr>
          <w:rFonts w:ascii="Times New Roman" w:hAnsi="Times New Roman"/>
          <w:noProof/>
          <w:sz w:val="24"/>
          <w:szCs w:val="24"/>
        </w:rPr>
        <w:t xml:space="preserve">The investment shall include: a) the redesign and enrichment of the portal www.eprocurement.gov.gr; b) extensive additions and customizations subsystems used for tenders; c) the reform, rearrangement and enrichment of Central Electronic Register of Public Procurement (KIMDIS), upgrading and expansion of statistical data extraction systems and their further statistical processing; d) the Configuration and implementation of Electronic Public Procurement System (ESIDIS) extensions to support new strategies and business processes in the field of Public Procurement by electronic means; e) the enhancements of the already implemented interoperability services and implementation of new ones for data exchange; f) Electronic interoperability services </w:t>
      </w:r>
      <w:r w:rsidR="00061CFC" w:rsidRPr="00DE4E4F">
        <w:rPr>
          <w:rFonts w:ascii="Times New Roman" w:hAnsi="Times New Roman"/>
          <w:noProof/>
          <w:sz w:val="24"/>
          <w:szCs w:val="24"/>
        </w:rPr>
        <w:t>via Interoperability Center (KED) which is part of the national Single Digital Portal (gov.gr)</w:t>
      </w:r>
      <w:r w:rsidR="5C3276FE" w:rsidRPr="00DE4E4F">
        <w:rPr>
          <w:rFonts w:ascii="Times New Roman" w:hAnsi="Times New Roman"/>
          <w:noProof/>
          <w:sz w:val="24"/>
          <w:szCs w:val="24"/>
        </w:rPr>
        <w:t>;</w:t>
      </w:r>
      <w:r w:rsidRPr="00DE4E4F">
        <w:rPr>
          <w:rFonts w:ascii="Times New Roman" w:hAnsi="Times New Roman"/>
          <w:noProof/>
          <w:sz w:val="24"/>
          <w:szCs w:val="24"/>
        </w:rPr>
        <w:t xml:space="preserve"> g) the establishment of a data encryption mechanism stored in the system databases to prevent malicious actions of ESIDIS and G-Cloud administrators; h) a new security study and additions and or changes to the system to increase its security, certification and interventions to enhance the security of the system in order to </w:t>
      </w:r>
      <w:r w:rsidR="002661A6" w:rsidRPr="00DE4E4F">
        <w:rPr>
          <w:rFonts w:ascii="Times New Roman" w:hAnsi="Times New Roman"/>
          <w:noProof/>
          <w:sz w:val="24"/>
          <w:szCs w:val="24"/>
        </w:rPr>
        <w:t xml:space="preserve">allow future </w:t>
      </w:r>
      <w:r w:rsidR="43D760B5" w:rsidRPr="00DE4E4F">
        <w:rPr>
          <w:rFonts w:ascii="Times New Roman" w:hAnsi="Times New Roman"/>
          <w:noProof/>
          <w:sz w:val="24"/>
          <w:szCs w:val="24"/>
        </w:rPr>
        <w:t>certification</w:t>
      </w:r>
      <w:r w:rsidRPr="00DE4E4F">
        <w:rPr>
          <w:rFonts w:ascii="Times New Roman" w:hAnsi="Times New Roman"/>
          <w:noProof/>
          <w:sz w:val="24"/>
          <w:szCs w:val="24"/>
        </w:rPr>
        <w:t>; i) the improvement and re-launch the procurement planning system for wider support of public procurement and centralized procurement procedures using electronic catalogues; j) the addition of applications for support of economic operators: enrichment of applications for search of tenders, historical and statistical data of their involvement in procurement processes, enrichment of information and communication subsystems of suppliers and contracting authorities; k) the addition of Virtual Assistant capabilities so that anyone interested can ask questions in natural language; l) the addition of an electronic file archiving system (ESIDIS - KIMDIS) that complies with the provisions of the legal framework for electronic files; m) the production of training material and publicity actions; n) technical support and project monitoring services; and o) a study evaluating the possibilities and effectiveness of existing e-procurement tools and selection or upgrade or replacing them with new and more efficient ones.</w:t>
      </w:r>
    </w:p>
    <w:p w14:paraId="07E7477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the Ministry of Foreign Affairs (measure ID 16742)</w:t>
      </w:r>
    </w:p>
    <w:p w14:paraId="4EAE2222" w14:textId="198CD695" w:rsidR="001B186F" w:rsidRPr="00DE4E4F" w:rsidRDefault="0074517F">
      <w:pPr>
        <w:spacing w:after="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 xml:space="preserve">The objective of this measure is to modernise the Ministry of Foreign Affairs. The investment consists of the </w:t>
      </w:r>
      <w:r w:rsidR="00DE4E4F" w:rsidRPr="00DE4E4F">
        <w:rPr>
          <w:rFonts w:ascii="Times New Roman" w:hAnsi="Times New Roman" w:cs="Times New Roman"/>
          <w:noProof/>
          <w:sz w:val="24"/>
          <w:szCs w:val="24"/>
        </w:rPr>
        <w:t>digitalisation</w:t>
      </w:r>
      <w:r w:rsidRPr="00DE4E4F">
        <w:rPr>
          <w:rFonts w:ascii="Times New Roman" w:hAnsi="Times New Roman" w:cs="Times New Roman"/>
          <w:noProof/>
          <w:sz w:val="24"/>
          <w:szCs w:val="24"/>
        </w:rPr>
        <w:t xml:space="preserve"> of operations and IT infrastructure.</w:t>
      </w:r>
    </w:p>
    <w:p w14:paraId="0960542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skills upgrade programs for conscripts (measure ID 16826)</w:t>
      </w:r>
    </w:p>
    <w:p w14:paraId="4F8877C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investment integrates a training program and certification for digital skills into the mandatory military service. The purpose shall be to capitalise on the conscripts' time in service to impart the digital skills needed in today’s armed forces and labour market. The implementation of this investment shall be carried out through the upgrade and expansion of the platform of the Digital Academy of Citizens and shall include: a) Personalized access of conscripts to the training portal which shall have strong cybersecurity mechanisms and deterrence of cyber-attacks, along with enhanced personal data protection architecture b) Configuration of the electronic portfolio (e-portfolio) of the conscript in which his educational profile shall be reflected along with his existing qualifications c) Development and configuration of digital skills training programs d) Development and use of a self-assessment tool e) 50 000 tablets that shall be acquired and supplied to conscripts for the time of attending the distance learning programs f) certification of digital skills acquired during the training process which shall be based on European and national digital skills frameworks. </w:t>
      </w:r>
    </w:p>
    <w:p w14:paraId="416764C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w:t>
      </w:r>
      <w:bookmarkStart w:id="3" w:name="_Hlk213856119"/>
      <w:r w:rsidRPr="00DE4E4F">
        <w:rPr>
          <w:rFonts w:ascii="Times New Roman" w:hAnsi="Times New Roman"/>
          <w:noProof/>
          <w:sz w:val="24"/>
          <w:szCs w:val="24"/>
        </w:rPr>
        <w:t xml:space="preserve">Digital Transformation of the Greek National Tourism Organisation </w:t>
      </w:r>
      <w:bookmarkEnd w:id="3"/>
      <w:r w:rsidRPr="00DE4E4F">
        <w:rPr>
          <w:rFonts w:ascii="Times New Roman" w:hAnsi="Times New Roman"/>
          <w:noProof/>
          <w:sz w:val="24"/>
          <w:szCs w:val="24"/>
        </w:rPr>
        <w:t>(measure ID 16791)</w:t>
      </w:r>
    </w:p>
    <w:p w14:paraId="3691360D" w14:textId="77777777" w:rsidR="001B186F" w:rsidRPr="00DE4E4F" w:rsidRDefault="0074517F">
      <w:pPr>
        <w:spacing w:before="120" w:after="120" w:line="240" w:lineRule="auto"/>
        <w:jc w:val="both"/>
        <w:rPr>
          <w:rFonts w:ascii="Times New Roman" w:hAnsi="Times New Roman"/>
          <w:noProof/>
          <w:sz w:val="24"/>
          <w:szCs w:val="24"/>
        </w:rPr>
      </w:pPr>
      <w:bookmarkStart w:id="4" w:name="_Hlk213856157"/>
      <w:r w:rsidRPr="00DE4E4F">
        <w:rPr>
          <w:rFonts w:ascii="Times New Roman" w:hAnsi="Times New Roman"/>
          <w:noProof/>
          <w:sz w:val="24"/>
          <w:szCs w:val="24"/>
        </w:rPr>
        <w:t xml:space="preserve">The objective of this investment is to develop the digital capacities of the Greek National Tourism Organization. The investment consists of the creation of a digital tourism map, a digital repository for Greece’s cultural assets, and a new system for tourist’s information. </w:t>
      </w:r>
    </w:p>
    <w:bookmarkEnd w:id="4"/>
    <w:p w14:paraId="7BD366D0" w14:textId="16B2C850"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Cybersecurity strategy and National Cybersecur</w:t>
      </w:r>
      <w:r w:rsidR="00BD2608" w:rsidRPr="00DE4E4F">
        <w:rPr>
          <w:rFonts w:ascii="Times New Roman" w:hAnsi="Times New Roman"/>
          <w:noProof/>
          <w:sz w:val="24"/>
          <w:szCs w:val="24"/>
        </w:rPr>
        <w:t>i</w:t>
      </w:r>
      <w:r w:rsidRPr="00DE4E4F">
        <w:rPr>
          <w:rFonts w:ascii="Times New Roman" w:hAnsi="Times New Roman"/>
          <w:noProof/>
          <w:sz w:val="24"/>
          <w:szCs w:val="24"/>
        </w:rPr>
        <w:t>ty Operations Centre (measure ID 16823)</w:t>
      </w:r>
    </w:p>
    <w:p w14:paraId="781C2E73" w14:textId="77777777" w:rsidR="001B186F" w:rsidRPr="00DE4E4F" w:rsidRDefault="0074517F">
      <w:pPr>
        <w:spacing w:after="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improve the cybersecurity of public sector systems. The measure consists of delivering a cybersecurity strategy and a National Cybersecurity Operations Centre (SOC).</w:t>
      </w:r>
    </w:p>
    <w:p w14:paraId="6C2ED96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Web services and Next-Generation Interoperability Centre (KED) (measure ID 16779)</w:t>
      </w:r>
    </w:p>
    <w:p w14:paraId="5C572659"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measure is to develop interoperability infrastructure between public administration services to facilitate information exchange and online services. The investment consists of a) web services; b) Next Generation Interoperability Centre (KED).</w:t>
      </w:r>
    </w:p>
    <w:p w14:paraId="16670DC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Interconnection and interoperability of registries, systems and services for data exchange between national public organisations (measure ID 16782)</w:t>
      </w:r>
    </w:p>
    <w:p w14:paraId="0A8794C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reform is to facilitate the provision of digital public services to the citizens and businesses. The reform consists of introducing a framework for the interconnection and interoperability of registries and services for data exchange between public organisations.</w:t>
      </w:r>
    </w:p>
    <w:p w14:paraId="0E62A2A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E-Registries (measure ID 16824)</w:t>
      </w:r>
    </w:p>
    <w:p w14:paraId="7907BCA2" w14:textId="2600FDE9"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measure is to support the delivery of digital public services</w:t>
      </w:r>
      <w:r w:rsidR="098814DA" w:rsidRPr="00DE4E4F">
        <w:rPr>
          <w:rFonts w:ascii="Times New Roman" w:hAnsi="Times New Roman"/>
          <w:noProof/>
          <w:sz w:val="24"/>
          <w:szCs w:val="24"/>
        </w:rPr>
        <w:t xml:space="preserve"> through e-regist</w:t>
      </w:r>
      <w:r w:rsidR="00F96D0E" w:rsidRPr="00DE4E4F">
        <w:rPr>
          <w:rFonts w:ascii="Times New Roman" w:hAnsi="Times New Roman"/>
          <w:noProof/>
          <w:sz w:val="24"/>
          <w:szCs w:val="24"/>
        </w:rPr>
        <w:t>rie</w:t>
      </w:r>
      <w:r w:rsidR="098814DA" w:rsidRPr="00DE4E4F">
        <w:rPr>
          <w:rFonts w:ascii="Times New Roman" w:hAnsi="Times New Roman"/>
          <w:noProof/>
          <w:sz w:val="24"/>
          <w:szCs w:val="24"/>
        </w:rPr>
        <w:t>s</w:t>
      </w:r>
      <w:r w:rsidR="0062021A" w:rsidRPr="00DE4E4F">
        <w:rPr>
          <w:rFonts w:ascii="Times New Roman" w:hAnsi="Times New Roman"/>
          <w:noProof/>
          <w:sz w:val="24"/>
          <w:szCs w:val="24"/>
        </w:rPr>
        <w:t xml:space="preserve"> and platforms</w:t>
      </w:r>
      <w:r w:rsidRPr="00DE4E4F">
        <w:rPr>
          <w:rFonts w:ascii="Times New Roman" w:hAnsi="Times New Roman"/>
          <w:noProof/>
          <w:sz w:val="24"/>
          <w:szCs w:val="24"/>
        </w:rPr>
        <w:t xml:space="preserve">. The investment consists of </w:t>
      </w:r>
      <w:r w:rsidR="0D26C148" w:rsidRPr="00DE4E4F">
        <w:rPr>
          <w:rFonts w:ascii="Times New Roman" w:hAnsi="Times New Roman"/>
          <w:noProof/>
          <w:sz w:val="24"/>
          <w:szCs w:val="24"/>
        </w:rPr>
        <w:t xml:space="preserve">the delivery of </w:t>
      </w:r>
      <w:r w:rsidR="0062021A" w:rsidRPr="00DE4E4F">
        <w:rPr>
          <w:rFonts w:ascii="Times New Roman" w:hAnsi="Times New Roman"/>
          <w:noProof/>
          <w:sz w:val="24"/>
          <w:szCs w:val="24"/>
        </w:rPr>
        <w:t>e-</w:t>
      </w:r>
      <w:r w:rsidR="0D26C148" w:rsidRPr="00DE4E4F">
        <w:rPr>
          <w:rFonts w:ascii="Times New Roman" w:hAnsi="Times New Roman"/>
          <w:noProof/>
          <w:sz w:val="24"/>
          <w:szCs w:val="24"/>
        </w:rPr>
        <w:t>registries and platforms in the following fields:</w:t>
      </w:r>
      <w:r w:rsidRPr="00DE4E4F">
        <w:rPr>
          <w:rFonts w:ascii="Times New Roman" w:hAnsi="Times New Roman"/>
          <w:noProof/>
          <w:sz w:val="24"/>
          <w:szCs w:val="24"/>
        </w:rPr>
        <w:t xml:space="preserve"> c</w:t>
      </w:r>
      <w:r w:rsidR="0D26C148" w:rsidRPr="00DE4E4F">
        <w:rPr>
          <w:rFonts w:ascii="Times New Roman" w:hAnsi="Times New Roman"/>
          <w:noProof/>
          <w:sz w:val="24"/>
          <w:szCs w:val="24"/>
        </w:rPr>
        <w:t>itizens registry, animal welfare, electromobility infrastructure, and health and social security</w:t>
      </w:r>
      <w:r w:rsidR="0062021A" w:rsidRPr="00DE4E4F">
        <w:rPr>
          <w:rFonts w:ascii="Times New Roman" w:hAnsi="Times New Roman"/>
          <w:noProof/>
          <w:sz w:val="24"/>
          <w:szCs w:val="24"/>
        </w:rPr>
        <w:t>.</w:t>
      </w:r>
    </w:p>
    <w:p w14:paraId="38DC815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szCs w:val="24"/>
        </w:rPr>
        <w:t>Reform:</w:t>
      </w:r>
      <w:r w:rsidRPr="00DE4E4F">
        <w:rPr>
          <w:rFonts w:ascii="Times New Roman" w:hAnsi="Times New Roman"/>
          <w:noProof/>
          <w:sz w:val="24"/>
          <w:szCs w:val="24"/>
        </w:rPr>
        <w:t xml:space="preserve"> Incorporation of new technologies and trends towards Public Administration’s advanced services, increase of efficiency and effectiveness, and decrease of systems operating, upgrade and maintenance costs (measure ID 16928)</w:t>
      </w:r>
    </w:p>
    <w:p w14:paraId="7E5BF05A" w14:textId="70F87BCF"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reform is to modernise public administration services through technological advancements. The reform consists of introducing a framework for the adoption of new technologies into the public administration</w:t>
      </w:r>
      <w:r w:rsidR="00047282" w:rsidRPr="00DE4E4F">
        <w:rPr>
          <w:rFonts w:ascii="Times New Roman" w:hAnsi="Times New Roman"/>
          <w:noProof/>
          <w:sz w:val="24"/>
          <w:szCs w:val="24"/>
        </w:rPr>
        <w:t xml:space="preserve"> and a policy for open and reusable data</w:t>
      </w:r>
      <w:r w:rsidRPr="00DE4E4F">
        <w:rPr>
          <w:rFonts w:ascii="Times New Roman" w:hAnsi="Times New Roman"/>
          <w:noProof/>
          <w:sz w:val="24"/>
          <w:szCs w:val="24"/>
        </w:rPr>
        <w:t xml:space="preserve">. </w:t>
      </w:r>
    </w:p>
    <w:p w14:paraId="28209A8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Smart cities (measure ID 16854)</w:t>
      </w:r>
    </w:p>
    <w:p w14:paraId="05D58511" w14:textId="456384B2"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gradually transform 11 Greek municipalities into ‘smart cities’. The measure consists of the delivery of </w:t>
      </w:r>
      <w:r w:rsidR="007B2F7C" w:rsidRPr="00DE4E4F">
        <w:rPr>
          <w:rFonts w:ascii="Times New Roman" w:hAnsi="Times New Roman"/>
          <w:noProof/>
          <w:sz w:val="24"/>
          <w:szCs w:val="24"/>
        </w:rPr>
        <w:t>‘smart cit</w:t>
      </w:r>
      <w:r w:rsidR="00446640" w:rsidRPr="00DE4E4F">
        <w:rPr>
          <w:rFonts w:ascii="Times New Roman" w:hAnsi="Times New Roman"/>
          <w:noProof/>
          <w:sz w:val="24"/>
          <w:szCs w:val="24"/>
        </w:rPr>
        <w:t>y</w:t>
      </w:r>
      <w:r w:rsidR="007B2F7C" w:rsidRPr="00DE4E4F">
        <w:rPr>
          <w:rFonts w:ascii="Times New Roman" w:hAnsi="Times New Roman"/>
          <w:noProof/>
          <w:sz w:val="24"/>
          <w:szCs w:val="24"/>
        </w:rPr>
        <w:t>’</w:t>
      </w:r>
      <w:r w:rsidRPr="00DE4E4F">
        <w:rPr>
          <w:rFonts w:ascii="Times New Roman" w:hAnsi="Times New Roman"/>
          <w:noProof/>
          <w:sz w:val="24"/>
          <w:szCs w:val="24"/>
        </w:rPr>
        <w:t xml:space="preserve"> projects by 11 municipalities.</w:t>
      </w:r>
    </w:p>
    <w:p w14:paraId="6B5E83F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Supply of Central Cloud Computing Infrastructure and Service (measure ID 16853)</w:t>
      </w:r>
    </w:p>
    <w:p w14:paraId="23FA5E3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investment seeks to enhance the operation of key institutions of the Ministry of Digital Governance, namely GSISPA and IDIKA SA, through the deployment of cloud computing infrastructure and services (in accordance with Law 4727/2020) following international best practices for the implementation of government cloud infrastructure and services (G-Cloud). The </w:t>
      </w:r>
      <w:r w:rsidRPr="00DE4E4F" w:rsidDel="00623319">
        <w:rPr>
          <w:rFonts w:ascii="Times New Roman" w:hAnsi="Times New Roman"/>
          <w:noProof/>
          <w:sz w:val="24"/>
          <w:szCs w:val="24"/>
        </w:rPr>
        <w:t>project</w:t>
      </w:r>
      <w:r w:rsidRPr="00DE4E4F">
        <w:rPr>
          <w:rFonts w:ascii="Times New Roman" w:hAnsi="Times New Roman"/>
          <w:noProof/>
          <w:sz w:val="24"/>
          <w:szCs w:val="24"/>
        </w:rPr>
        <w:t xml:space="preserve"> </w:t>
      </w:r>
      <w:r w:rsidRPr="00DE4E4F" w:rsidDel="00623319">
        <w:rPr>
          <w:rFonts w:ascii="Times New Roman" w:hAnsi="Times New Roman"/>
          <w:noProof/>
          <w:sz w:val="24"/>
          <w:szCs w:val="24"/>
        </w:rPr>
        <w:t xml:space="preserve">shall </w:t>
      </w:r>
      <w:r w:rsidRPr="00DE4E4F">
        <w:rPr>
          <w:rFonts w:ascii="Times New Roman" w:hAnsi="Times New Roman"/>
          <w:noProof/>
          <w:sz w:val="24"/>
          <w:szCs w:val="24"/>
        </w:rPr>
        <w:t>deliver a modern Hybrid Cloud Infrastructure consisting of two tenants: One for the -Cloud and another one for the H-Cloud. Each tenant shall have the private cloud component and the public cloud component in a unified management and service delivery environment. The implementation of the investment shall be completed by 30 June 2024.</w:t>
      </w:r>
    </w:p>
    <w:p w14:paraId="56FC838C"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Data Centres of the Cloud Services Provider shall be required to comply with the “European Code of Conduct on Data Centre Energy Efficiency”. </w:t>
      </w:r>
    </w:p>
    <w:p w14:paraId="304F747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requirement is in alignment with Regulation (EU) 2018/1999 of the European Parliament and of the Council of 11 December 2018 on the Governance of the Energy Union and Climate Action, by supporting the green transition and contributing to the achievement of the Union’s 2030 climate targets set out in Article 2(11) amended by Article 10 of the EU Climate Law and complying with the objective of EU climate neutrality by 2050 and of the digital transition, thereby contributing to the upward economic and social convergence, restoring and promoting sustainable growth and the integration of the economies of the Union.</w:t>
      </w:r>
    </w:p>
    <w:p w14:paraId="7333D49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Upgrade of Cloud-computing infrastructure and services of the National Infrastructures for Research and Technology (GRNET) (measure ID 16955)</w:t>
      </w:r>
    </w:p>
    <w:p w14:paraId="266EA8A0" w14:textId="2660AF80"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upgrade GRNET's infrastructures and services. The investment consists of: (a) the upgrade of GRNET's software and cloud computing services, (b) supercomputer DAEDALUS (execution of Phase A, as specified in the relevant contract), (c) the leasing of fibre optic infrastructure, (d) </w:t>
      </w:r>
      <w:r w:rsidR="005519BB" w:rsidRPr="00DE4E4F">
        <w:rPr>
          <w:rFonts w:ascii="Times New Roman" w:hAnsi="Times New Roman"/>
          <w:noProof/>
          <w:sz w:val="24"/>
          <w:szCs w:val="24"/>
        </w:rPr>
        <w:t xml:space="preserve">the </w:t>
      </w:r>
      <w:r w:rsidR="006109FC" w:rsidRPr="00DE4E4F">
        <w:rPr>
          <w:rFonts w:ascii="Times New Roman" w:hAnsi="Times New Roman"/>
          <w:noProof/>
          <w:sz w:val="24"/>
          <w:szCs w:val="24"/>
        </w:rPr>
        <w:t>delivery or delivery and installation</w:t>
      </w:r>
      <w:r w:rsidR="005519BB" w:rsidRPr="00DE4E4F">
        <w:rPr>
          <w:rFonts w:ascii="Times New Roman" w:hAnsi="Times New Roman"/>
          <w:noProof/>
          <w:sz w:val="24"/>
          <w:szCs w:val="24"/>
        </w:rPr>
        <w:t xml:space="preserve"> </w:t>
      </w:r>
      <w:r w:rsidR="00A52C77" w:rsidRPr="00DE4E4F">
        <w:rPr>
          <w:rFonts w:ascii="Times New Roman" w:hAnsi="Times New Roman"/>
          <w:noProof/>
          <w:sz w:val="24"/>
          <w:szCs w:val="24"/>
        </w:rPr>
        <w:t xml:space="preserve">of </w:t>
      </w:r>
      <w:r w:rsidR="005519BB" w:rsidRPr="00DE4E4F">
        <w:rPr>
          <w:rFonts w:ascii="Times New Roman" w:hAnsi="Times New Roman"/>
          <w:noProof/>
          <w:sz w:val="24"/>
          <w:szCs w:val="24"/>
        </w:rPr>
        <w:t>GRNET’s network equipment</w:t>
      </w:r>
      <w:r w:rsidRPr="00DE4E4F">
        <w:rPr>
          <w:rFonts w:ascii="Times New Roman" w:hAnsi="Times New Roman"/>
          <w:noProof/>
          <w:sz w:val="24"/>
          <w:szCs w:val="24"/>
        </w:rPr>
        <w:t>.</w:t>
      </w:r>
    </w:p>
    <w:p w14:paraId="7E47D5F7" w14:textId="24B89D05"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Expansion of Syzef</w:t>
      </w:r>
      <w:r w:rsidR="00475BD6" w:rsidRPr="00DE4E4F">
        <w:rPr>
          <w:rFonts w:ascii="Times New Roman" w:hAnsi="Times New Roman"/>
          <w:noProof/>
          <w:sz w:val="24"/>
          <w:szCs w:val="24"/>
        </w:rPr>
        <w:t>x</w:t>
      </w:r>
      <w:r w:rsidRPr="00DE4E4F">
        <w:rPr>
          <w:rFonts w:ascii="Times New Roman" w:hAnsi="Times New Roman"/>
          <w:noProof/>
          <w:sz w:val="24"/>
          <w:szCs w:val="24"/>
        </w:rPr>
        <w:t>is II (measure ID 16956)</w:t>
      </w:r>
    </w:p>
    <w:p w14:paraId="24E86EC0" w14:textId="61499BC0"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this investment is to provide </w:t>
      </w:r>
      <w:r w:rsidR="00BB0944" w:rsidRPr="00DE4E4F">
        <w:rPr>
          <w:rFonts w:ascii="Times New Roman" w:hAnsi="Times New Roman"/>
          <w:noProof/>
          <w:sz w:val="24"/>
          <w:szCs w:val="24"/>
        </w:rPr>
        <w:t xml:space="preserve">public sector </w:t>
      </w:r>
      <w:r w:rsidRPr="00DE4E4F">
        <w:rPr>
          <w:rFonts w:ascii="Times New Roman" w:hAnsi="Times New Roman"/>
          <w:noProof/>
          <w:sz w:val="24"/>
          <w:szCs w:val="24"/>
        </w:rPr>
        <w:t xml:space="preserve">bodies with upgraded telecommunications services. The investment consists in the </w:t>
      </w:r>
      <w:r w:rsidR="00292E98" w:rsidRPr="00DE4E4F">
        <w:rPr>
          <w:rFonts w:ascii="Times New Roman" w:hAnsi="Times New Roman"/>
          <w:noProof/>
          <w:sz w:val="24"/>
          <w:szCs w:val="24"/>
        </w:rPr>
        <w:t>delivery of a digital system for site-survey data collection for the SYZEFXIS II rollout, quality control and monitoring services for the installation of National Telecommunications Network cabling systems, the installation of uninterruptible power supply equipment across SYZEFXIS II entities, the establishment of an Information Security Management System for the public sector network, and the installation of network infrastructure in the Panhellenic School Network</w:t>
      </w:r>
      <w:r w:rsidRPr="00DE4E4F">
        <w:rPr>
          <w:rFonts w:ascii="Times New Roman" w:hAnsi="Times New Roman"/>
          <w:noProof/>
          <w:sz w:val="24"/>
          <w:szCs w:val="24"/>
        </w:rPr>
        <w:t xml:space="preserve">. </w:t>
      </w:r>
    </w:p>
    <w:p w14:paraId="0F28CA9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Central BI - Data Analytics (measure ID 16842)</w:t>
      </w:r>
    </w:p>
    <w:p w14:paraId="2AF1B49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to increase the capacity of the public administration to use data for decision making. The investment consists in setting up a Central Business Intelligence Data Analytics Platform, enabling public administration agencies to integrate and analyse data to support their operations and decision making. </w:t>
      </w:r>
    </w:p>
    <w:p w14:paraId="15A8D5C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Central Document Management System (measure ID 16738)</w:t>
      </w:r>
    </w:p>
    <w:p w14:paraId="091CEDA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investment consists of the implementation of a Central Document Management system which shall capture, store, and retrieve paper and electronic documents. This system shall facilitate interoperability between public sector organisations and aiming to accelerate the processing of citizens’ and businesses’ cases and service requests. The investment includes a) the supply of 20 000 approved remote digital signatures b) application development for interoperability, the creation of a unique QR code or ID to be embedded in the documents c) development of subsystems to cover the government needs for signing documents with digital signatures d) support services (including services for the development of studies), training and helpdesk services. </w:t>
      </w:r>
    </w:p>
    <w:p w14:paraId="58B43203" w14:textId="7775B1CB" w:rsidR="57F3FCE2" w:rsidRPr="00DE4E4F" w:rsidRDefault="57F3FCE2" w:rsidP="093B9897">
      <w:pPr>
        <w:spacing w:before="120" w:after="120" w:line="240" w:lineRule="auto"/>
        <w:jc w:val="both"/>
        <w:rPr>
          <w:rFonts w:ascii="Times New Roman" w:hAnsi="Times New Roman"/>
          <w:noProof/>
          <w:sz w:val="24"/>
          <w:szCs w:val="24"/>
        </w:rPr>
      </w:pPr>
      <w:r w:rsidRPr="00DE4E4F">
        <w:rPr>
          <w:rFonts w:ascii="Times New Roman" w:hAnsi="Times New Roman"/>
          <w:b/>
          <w:bCs/>
          <w:noProof/>
          <w:sz w:val="24"/>
          <w:szCs w:val="24"/>
        </w:rPr>
        <w:t xml:space="preserve">Investment: </w:t>
      </w:r>
      <w:r w:rsidRPr="00DE4E4F">
        <w:rPr>
          <w:rFonts w:ascii="Times New Roman" w:hAnsi="Times New Roman"/>
          <w:noProof/>
          <w:sz w:val="24"/>
          <w:szCs w:val="24"/>
        </w:rPr>
        <w:t>Voluntary contribution to the EuroHPC Joint Undertaking</w:t>
      </w:r>
      <w:r w:rsidR="00AC3B6F" w:rsidRPr="00DE4E4F">
        <w:rPr>
          <w:rFonts w:ascii="Times New Roman" w:hAnsi="Times New Roman"/>
          <w:noProof/>
          <w:sz w:val="24"/>
          <w:szCs w:val="24"/>
        </w:rPr>
        <w:t xml:space="preserve"> </w:t>
      </w:r>
      <w:r w:rsidRPr="00DE4E4F">
        <w:rPr>
          <w:rFonts w:ascii="Times New Roman" w:hAnsi="Times New Roman"/>
          <w:noProof/>
          <w:sz w:val="24"/>
          <w:szCs w:val="24"/>
        </w:rPr>
        <w:t>(Measure 16859)</w:t>
      </w:r>
    </w:p>
    <w:p w14:paraId="5BBECE70" w14:textId="77777777" w:rsidR="00D5418F" w:rsidRPr="00DE4E4F" w:rsidRDefault="57F3FCE2" w:rsidP="009A6FC8">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This measure aims to support Greece’s establishment of and access to Artificial Intelligence Gigafactories and their services. </w:t>
      </w:r>
    </w:p>
    <w:p w14:paraId="09DD021E" w14:textId="736CBFAD" w:rsidR="00D5418F" w:rsidRPr="00DE4E4F" w:rsidRDefault="57F3FCE2" w:rsidP="009A6FC8">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measure shall consist of a voluntary contribution of EUR</w:t>
      </w:r>
      <w:r w:rsidR="00DE4C0C" w:rsidRPr="00DE4E4F">
        <w:rPr>
          <w:rFonts w:ascii="Times New Roman" w:hAnsi="Times New Roman"/>
          <w:noProof/>
          <w:sz w:val="24"/>
          <w:szCs w:val="24"/>
        </w:rPr>
        <w:t> </w:t>
      </w:r>
      <w:r w:rsidRPr="00DE4E4F">
        <w:rPr>
          <w:rFonts w:ascii="Times New Roman" w:hAnsi="Times New Roman"/>
          <w:noProof/>
          <w:sz w:val="24"/>
          <w:szCs w:val="24"/>
        </w:rPr>
        <w:t>350</w:t>
      </w:r>
      <w:r w:rsidR="00DE4C0C" w:rsidRPr="00DE4E4F">
        <w:rPr>
          <w:rFonts w:ascii="Times New Roman" w:hAnsi="Times New Roman"/>
          <w:noProof/>
          <w:sz w:val="24"/>
          <w:szCs w:val="24"/>
        </w:rPr>
        <w:t> </w:t>
      </w:r>
      <w:r w:rsidR="009543FA" w:rsidRPr="00DE4E4F">
        <w:rPr>
          <w:rFonts w:ascii="Times New Roman" w:hAnsi="Times New Roman"/>
          <w:noProof/>
          <w:sz w:val="24"/>
          <w:szCs w:val="24"/>
        </w:rPr>
        <w:t xml:space="preserve">000 000 </w:t>
      </w:r>
      <w:r w:rsidRPr="00DE4E4F">
        <w:rPr>
          <w:rFonts w:ascii="Times New Roman" w:hAnsi="Times New Roman"/>
          <w:noProof/>
          <w:sz w:val="24"/>
          <w:szCs w:val="24"/>
        </w:rPr>
        <w:t xml:space="preserve">to the EuroHPC Joint Undertaking. </w:t>
      </w:r>
    </w:p>
    <w:p w14:paraId="2E752925" w14:textId="0E568638" w:rsidR="57F3FCE2" w:rsidRPr="00DE4E4F" w:rsidRDefault="57F3FCE2" w:rsidP="009A6FC8">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contribution will support an AI Gigafactory </w:t>
      </w:r>
      <w:r w:rsidR="0044422D" w:rsidRPr="00DE4E4F">
        <w:rPr>
          <w:rFonts w:ascii="Times New Roman" w:hAnsi="Times New Roman"/>
          <w:noProof/>
          <w:sz w:val="24"/>
          <w:szCs w:val="24"/>
        </w:rPr>
        <w:t>and/or other EuroHPC initiatives such as the AI</w:t>
      </w:r>
      <w:r w:rsidR="00F328D6" w:rsidRPr="00DE4E4F">
        <w:rPr>
          <w:rFonts w:ascii="Times New Roman" w:hAnsi="Times New Roman"/>
          <w:noProof/>
          <w:sz w:val="24"/>
          <w:szCs w:val="24"/>
        </w:rPr>
        <w:t> </w:t>
      </w:r>
      <w:r w:rsidR="0044422D" w:rsidRPr="00DE4E4F">
        <w:rPr>
          <w:rFonts w:ascii="Times New Roman" w:hAnsi="Times New Roman"/>
          <w:noProof/>
          <w:sz w:val="24"/>
          <w:szCs w:val="24"/>
        </w:rPr>
        <w:t>Factories, supercomputers or quantum computers, or other AI, quantum technology or HPC investments related to the objectives of the EuroHPC JU</w:t>
      </w:r>
      <w:r w:rsidR="00CC6280" w:rsidRPr="00DE4E4F">
        <w:rPr>
          <w:rFonts w:ascii="Times New Roman" w:hAnsi="Times New Roman"/>
          <w:noProof/>
          <w:sz w:val="24"/>
          <w:szCs w:val="24"/>
        </w:rPr>
        <w:t xml:space="preserve">, </w:t>
      </w:r>
      <w:r w:rsidRPr="00DE4E4F">
        <w:rPr>
          <w:rFonts w:ascii="Times New Roman" w:hAnsi="Times New Roman"/>
          <w:noProof/>
          <w:sz w:val="24"/>
          <w:szCs w:val="24"/>
        </w:rPr>
        <w:t>to be established in the Union.</w:t>
      </w:r>
    </w:p>
    <w:p w14:paraId="35D5333F" w14:textId="4A17D0D3" w:rsidR="001B186F" w:rsidRPr="00DE4E4F" w:rsidRDefault="001B186F" w:rsidP="009A6FC8">
      <w:pPr>
        <w:spacing w:before="120" w:after="120" w:line="240" w:lineRule="auto"/>
        <w:jc w:val="both"/>
        <w:rPr>
          <w:rFonts w:ascii="Times New Roman" w:hAnsi="Times New Roman" w:cs="Times New Roman"/>
          <w:noProof/>
          <w:sz w:val="24"/>
          <w:szCs w:val="24"/>
        </w:rPr>
        <w:sectPr w:rsidR="001B186F" w:rsidRPr="00DE4E4F">
          <w:headerReference w:type="even" r:id="rId132"/>
          <w:headerReference w:type="default" r:id="rId133"/>
          <w:footerReference w:type="even" r:id="rId134"/>
          <w:footerReference w:type="default" r:id="rId135"/>
          <w:headerReference w:type="first" r:id="rId136"/>
          <w:footerReference w:type="first" r:id="rId137"/>
          <w:pgSz w:w="11906" w:h="16838"/>
          <w:pgMar w:top="1134" w:right="1134" w:bottom="1134" w:left="1134" w:header="567" w:footer="567" w:gutter="0"/>
          <w:cols w:space="708"/>
          <w:docGrid w:linePitch="360"/>
        </w:sectPr>
      </w:pPr>
    </w:p>
    <w:p w14:paraId="4F1BD818" w14:textId="77777777" w:rsidR="001B186F" w:rsidRPr="00DE4E4F" w:rsidRDefault="0074517F">
      <w:pPr>
        <w:spacing w:before="120" w:after="120" w:line="240" w:lineRule="auto"/>
        <w:jc w:val="both"/>
        <w:rPr>
          <w:rFonts w:ascii="Times New Roman" w:hAnsi="Times New Roman"/>
          <w:b/>
          <w:noProof/>
          <w:sz w:val="24"/>
          <w:u w:val="single"/>
        </w:rPr>
      </w:pPr>
      <w:r w:rsidRPr="00DE4E4F">
        <w:rPr>
          <w:rFonts w:ascii="Times New Roman" w:hAnsi="Times New Roman"/>
          <w:b/>
          <w:noProof/>
          <w:sz w:val="24"/>
          <w:u w:val="single"/>
        </w:rPr>
        <w:t>F.2. Milestones, targets, indicators, and timetable for monitoring and implementation for non-repayable financial support</w:t>
      </w:r>
    </w:p>
    <w:p w14:paraId="7A3DF33F"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Top investment 3: Digitisation of archives and related services</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092"/>
        <w:gridCol w:w="1601"/>
        <w:gridCol w:w="1715"/>
        <w:gridCol w:w="1200"/>
        <w:gridCol w:w="1080"/>
        <w:gridCol w:w="960"/>
        <w:gridCol w:w="960"/>
        <w:gridCol w:w="840"/>
        <w:gridCol w:w="3593"/>
      </w:tblGrid>
      <w:tr w:rsidR="00682269" w:rsidRPr="00DE4E4F" w14:paraId="4DBBC57E" w14:textId="77777777">
        <w:trPr>
          <w:trHeight w:val="927"/>
          <w:tblHeader/>
          <w:jc w:val="center"/>
        </w:trPr>
        <w:tc>
          <w:tcPr>
            <w:tcW w:w="562" w:type="dxa"/>
            <w:vMerge w:val="restart"/>
            <w:shd w:val="clear" w:color="auto" w:fill="BDD7EE"/>
            <w:vAlign w:val="center"/>
            <w:hideMark/>
          </w:tcPr>
          <w:p w14:paraId="35A9B29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 No.</w:t>
            </w:r>
          </w:p>
        </w:tc>
        <w:tc>
          <w:tcPr>
            <w:tcW w:w="1985" w:type="dxa"/>
            <w:vMerge w:val="restart"/>
            <w:shd w:val="clear" w:color="auto" w:fill="BDD7EE"/>
            <w:vAlign w:val="center"/>
            <w:hideMark/>
          </w:tcPr>
          <w:p w14:paraId="4A36459E" w14:textId="77777777" w:rsidR="001B186F" w:rsidRPr="00DE4E4F" w:rsidRDefault="0074517F">
            <w:pPr>
              <w:spacing w:after="0" w:line="240" w:lineRule="auto"/>
              <w:ind w:left="-2" w:firstLine="2"/>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92" w:type="dxa"/>
            <w:vMerge w:val="restart"/>
            <w:shd w:val="clear" w:color="auto" w:fill="BDD7EE"/>
            <w:vAlign w:val="center"/>
            <w:hideMark/>
          </w:tcPr>
          <w:p w14:paraId="1F199FA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601" w:type="dxa"/>
            <w:vMerge w:val="restart"/>
            <w:shd w:val="clear" w:color="auto" w:fill="BDD7EE"/>
            <w:vAlign w:val="center"/>
            <w:hideMark/>
          </w:tcPr>
          <w:p w14:paraId="350EC10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715" w:type="dxa"/>
            <w:vMerge w:val="restart"/>
            <w:shd w:val="clear" w:color="auto" w:fill="BDD7EE"/>
            <w:vAlign w:val="center"/>
            <w:hideMark/>
          </w:tcPr>
          <w:p w14:paraId="121010F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240" w:type="dxa"/>
            <w:gridSpan w:val="3"/>
            <w:shd w:val="clear" w:color="auto" w:fill="BDD7EE"/>
            <w:vAlign w:val="center"/>
            <w:hideMark/>
          </w:tcPr>
          <w:p w14:paraId="0D66E0D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800" w:type="dxa"/>
            <w:gridSpan w:val="2"/>
            <w:shd w:val="clear" w:color="auto" w:fill="BDD7EE"/>
            <w:vAlign w:val="center"/>
            <w:hideMark/>
          </w:tcPr>
          <w:p w14:paraId="3ECD6D0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593" w:type="dxa"/>
            <w:vMerge w:val="restart"/>
            <w:shd w:val="clear" w:color="auto" w:fill="BDD7EE"/>
            <w:vAlign w:val="center"/>
            <w:hideMark/>
          </w:tcPr>
          <w:p w14:paraId="69DC913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6132C376" w14:textId="77777777">
        <w:trPr>
          <w:trHeight w:val="512"/>
          <w:tblHeader/>
          <w:jc w:val="center"/>
        </w:trPr>
        <w:tc>
          <w:tcPr>
            <w:tcW w:w="562" w:type="dxa"/>
            <w:vMerge/>
            <w:vAlign w:val="center"/>
            <w:hideMark/>
          </w:tcPr>
          <w:p w14:paraId="37945CC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85" w:type="dxa"/>
            <w:vMerge/>
            <w:vAlign w:val="center"/>
            <w:hideMark/>
          </w:tcPr>
          <w:p w14:paraId="51B8D8C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92" w:type="dxa"/>
            <w:vMerge/>
            <w:vAlign w:val="center"/>
            <w:hideMark/>
          </w:tcPr>
          <w:p w14:paraId="3B60F58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01" w:type="dxa"/>
            <w:vMerge/>
            <w:vAlign w:val="center"/>
            <w:hideMark/>
          </w:tcPr>
          <w:p w14:paraId="11B80E7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15" w:type="dxa"/>
            <w:vMerge/>
            <w:vAlign w:val="center"/>
            <w:hideMark/>
          </w:tcPr>
          <w:p w14:paraId="5D0FBD9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0" w:type="dxa"/>
            <w:shd w:val="clear" w:color="auto" w:fill="BDD7EE"/>
            <w:vAlign w:val="center"/>
            <w:hideMark/>
          </w:tcPr>
          <w:p w14:paraId="3FE8A22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080" w:type="dxa"/>
            <w:shd w:val="clear" w:color="auto" w:fill="BDD7EE"/>
            <w:vAlign w:val="center"/>
            <w:hideMark/>
          </w:tcPr>
          <w:p w14:paraId="5AA134F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960" w:type="dxa"/>
            <w:shd w:val="clear" w:color="auto" w:fill="BDD7EE"/>
            <w:vAlign w:val="center"/>
            <w:hideMark/>
          </w:tcPr>
          <w:p w14:paraId="7578D0A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60" w:type="dxa"/>
            <w:shd w:val="clear" w:color="auto" w:fill="BDD7EE"/>
            <w:vAlign w:val="center"/>
            <w:hideMark/>
          </w:tcPr>
          <w:p w14:paraId="36EA4F7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40" w:type="dxa"/>
            <w:shd w:val="clear" w:color="auto" w:fill="BDD7EE"/>
            <w:vAlign w:val="center"/>
            <w:hideMark/>
          </w:tcPr>
          <w:p w14:paraId="55F87C1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593" w:type="dxa"/>
            <w:vMerge/>
            <w:vAlign w:val="center"/>
            <w:hideMark/>
          </w:tcPr>
          <w:p w14:paraId="38BDB76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3E5676B9" w14:textId="77777777">
        <w:trPr>
          <w:trHeight w:val="309"/>
          <w:jc w:val="center"/>
        </w:trPr>
        <w:tc>
          <w:tcPr>
            <w:tcW w:w="562" w:type="dxa"/>
            <w:shd w:val="clear" w:color="auto" w:fill="C6EFCE"/>
            <w:noWrap/>
          </w:tcPr>
          <w:p w14:paraId="73817129"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93</w:t>
            </w:r>
          </w:p>
          <w:p w14:paraId="47DF364B" w14:textId="77777777" w:rsidR="001B186F" w:rsidRPr="00DE4E4F" w:rsidRDefault="001B186F">
            <w:pPr>
              <w:rPr>
                <w:rFonts w:ascii="Times New Roman" w:eastAsia="Times New Roman" w:hAnsi="Times New Roman" w:cs="Times New Roman"/>
                <w:noProof/>
                <w:sz w:val="18"/>
                <w:szCs w:val="18"/>
              </w:rPr>
            </w:pPr>
          </w:p>
        </w:tc>
        <w:tc>
          <w:tcPr>
            <w:tcW w:w="1985" w:type="dxa"/>
            <w:shd w:val="clear" w:color="auto" w:fill="C6EFCE"/>
            <w:noWrap/>
          </w:tcPr>
          <w:p w14:paraId="5932B3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- 16778_Digitisation of archives and related services</w:t>
            </w:r>
          </w:p>
        </w:tc>
        <w:tc>
          <w:tcPr>
            <w:tcW w:w="1092" w:type="dxa"/>
            <w:shd w:val="clear" w:color="auto" w:fill="C6EFCE"/>
            <w:noWrap/>
          </w:tcPr>
          <w:p w14:paraId="0920614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01" w:type="dxa"/>
            <w:shd w:val="clear" w:color="auto" w:fill="C6EFCE"/>
            <w:noWrap/>
          </w:tcPr>
          <w:p w14:paraId="3A3FB356" w14:textId="77777777" w:rsidR="001B186F" w:rsidRPr="00DE4E4F" w:rsidRDefault="0074517F">
            <w:pPr>
              <w:spacing w:after="0" w:line="240" w:lineRule="auto"/>
              <w:rPr>
                <w:rFonts w:ascii="Times New Roman" w:eastAsia="Times New Roman" w:hAnsi="Times New Roman" w:cs="Times New Roman"/>
                <w:iCs/>
                <w:noProof/>
                <w:color w:val="006100"/>
                <w:sz w:val="18"/>
                <w:szCs w:val="18"/>
              </w:rPr>
            </w:pPr>
            <w:r w:rsidRPr="00DE4E4F">
              <w:rPr>
                <w:rFonts w:ascii="Times New Roman" w:hAnsi="Times New Roman" w:cs="Times New Roman"/>
                <w:noProof/>
                <w:color w:val="006100"/>
                <w:sz w:val="18"/>
                <w:szCs w:val="18"/>
              </w:rPr>
              <w:t>Contract(s) award for digitisation of archives</w:t>
            </w:r>
          </w:p>
        </w:tc>
        <w:tc>
          <w:tcPr>
            <w:tcW w:w="1715" w:type="dxa"/>
            <w:shd w:val="clear" w:color="auto" w:fill="C6EFCE"/>
            <w:noWrap/>
          </w:tcPr>
          <w:p w14:paraId="38CFB0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contract(s) award covering all 9 subprojects of the digitisation of archives project </w:t>
            </w:r>
          </w:p>
        </w:tc>
        <w:tc>
          <w:tcPr>
            <w:tcW w:w="1200" w:type="dxa"/>
            <w:shd w:val="clear" w:color="auto" w:fill="C6EFCE"/>
            <w:noWrap/>
          </w:tcPr>
          <w:p w14:paraId="12C52C4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80" w:type="dxa"/>
            <w:shd w:val="clear" w:color="auto" w:fill="C6EFCE"/>
            <w:noWrap/>
          </w:tcPr>
          <w:p w14:paraId="3140883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shd w:val="clear" w:color="auto" w:fill="C6EFCE"/>
            <w:noWrap/>
          </w:tcPr>
          <w:p w14:paraId="13B7944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shd w:val="clear" w:color="auto" w:fill="C6EFCE"/>
            <w:noWrap/>
          </w:tcPr>
          <w:p w14:paraId="04C14F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40" w:type="dxa"/>
            <w:shd w:val="clear" w:color="auto" w:fill="C6EFCE"/>
            <w:noWrap/>
          </w:tcPr>
          <w:p w14:paraId="071D43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93" w:type="dxa"/>
            <w:shd w:val="clear" w:color="auto" w:fill="C6EFCE"/>
            <w:noWrap/>
          </w:tcPr>
          <w:p w14:paraId="08ABD6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Award of the contract(s) to cover each of the following 9 subprojects, including all their constituent components: </w:t>
            </w:r>
          </w:p>
          <w:p w14:paraId="43607EBD" w14:textId="77777777" w:rsidR="001B186F" w:rsidRPr="00DE4E4F" w:rsidRDefault="0074517F">
            <w:pPr>
              <w:numPr>
                <w:ilvl w:val="0"/>
                <w:numId w:val="38"/>
              </w:numPr>
              <w:spacing w:before="120" w:after="16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1: Digitisation of the archives of the Justice System</w:t>
            </w:r>
          </w:p>
          <w:p w14:paraId="67EAE72F"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2: Digitisation of the archives of the Public Health System</w:t>
            </w:r>
          </w:p>
          <w:p w14:paraId="39B3DDB3"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3: Digitisation of the General Archives of the State</w:t>
            </w:r>
          </w:p>
          <w:p w14:paraId="444CFDE2"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4: Digitisation of the archives of the immigration and asylum system</w:t>
            </w:r>
          </w:p>
          <w:p w14:paraId="58B4A97B"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5: Digitisation of the archives of expropriations</w:t>
            </w:r>
          </w:p>
          <w:p w14:paraId="25D6C07B"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6: Digitisation of the archives of Urban Planning Agencies</w:t>
            </w:r>
          </w:p>
          <w:p w14:paraId="3AA2FEA2"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7A - Digitisation of the archives of the Cadastre (Ktimatologio)</w:t>
            </w:r>
          </w:p>
          <w:p w14:paraId="1A0F5F6D"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7B - Cadastre’s improved digital services</w:t>
            </w:r>
          </w:p>
          <w:p w14:paraId="5ACC9284"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8 - Digitisation of the archives of Maritime</w:t>
            </w:r>
          </w:p>
          <w:p w14:paraId="751DBB73" w14:textId="77777777" w:rsidR="001B186F" w:rsidRPr="00DE4E4F" w:rsidRDefault="0074517F">
            <w:pPr>
              <w:numPr>
                <w:ilvl w:val="0"/>
                <w:numId w:val="38"/>
              </w:numPr>
              <w:spacing w:before="120" w:after="0" w:line="259" w:lineRule="auto"/>
              <w:ind w:left="220" w:hanging="169"/>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Subproject 9: Secure Storage of Public Sector and “Broader” Public Sector</w:t>
            </w:r>
          </w:p>
          <w:p w14:paraId="10AD21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Specifications shall include timelines and objectives and shall detail for each of the 9 subprojects the following: </w:t>
            </w:r>
          </w:p>
          <w:p w14:paraId="5CE6C1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digitisation of physical records </w:t>
            </w:r>
          </w:p>
          <w:p w14:paraId="1B9988D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migration of digital records into existing systems (incl. Justice files in OSDDY-PP/OSDDY-DD; property titles in the Information System of National Land Registry)</w:t>
            </w:r>
          </w:p>
          <w:p w14:paraId="6C227A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analysis, design and implementation of Data Centres and the infrastructure located to local agencies, together with the appropriate single window (incl. central repository for patients’ records; Integrated Geographical Information System of the Unified digital Map of Expropriations and Claims for expropriations; Document &amp; Digital File Management System (DMS / DAS) for Cadastral records; installation of the archive management software).</w:t>
            </w:r>
          </w:p>
          <w:p w14:paraId="01C003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support services (incl. new electronic services related to the search and retrieval of files for citizens; public administration; researchers for State Archives).</w:t>
            </w:r>
          </w:p>
        </w:tc>
      </w:tr>
      <w:tr w:rsidR="00682269" w:rsidRPr="00DE4E4F" w14:paraId="3D0FAA0A" w14:textId="77777777">
        <w:trPr>
          <w:trHeight w:val="309"/>
          <w:jc w:val="center"/>
        </w:trPr>
        <w:tc>
          <w:tcPr>
            <w:tcW w:w="562" w:type="dxa"/>
            <w:shd w:val="clear" w:color="auto" w:fill="C6EFCE"/>
            <w:noWrap/>
            <w:hideMark/>
          </w:tcPr>
          <w:p w14:paraId="161559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95</w:t>
            </w:r>
          </w:p>
        </w:tc>
        <w:tc>
          <w:tcPr>
            <w:tcW w:w="1985" w:type="dxa"/>
            <w:shd w:val="clear" w:color="auto" w:fill="C6EFCE"/>
            <w:noWrap/>
            <w:hideMark/>
          </w:tcPr>
          <w:p w14:paraId="4C2689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- 16778_Digitisation of archives and related services</w:t>
            </w:r>
          </w:p>
        </w:tc>
        <w:tc>
          <w:tcPr>
            <w:tcW w:w="1092" w:type="dxa"/>
            <w:shd w:val="clear" w:color="auto" w:fill="C6EFCE"/>
            <w:noWrap/>
            <w:hideMark/>
          </w:tcPr>
          <w:p w14:paraId="7D88D3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01" w:type="dxa"/>
            <w:shd w:val="clear" w:color="auto" w:fill="C6EFCE"/>
            <w:noWrap/>
            <w:hideMark/>
          </w:tcPr>
          <w:p w14:paraId="0521FE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Digitisation of archives</w:t>
            </w:r>
          </w:p>
        </w:tc>
        <w:tc>
          <w:tcPr>
            <w:tcW w:w="1715" w:type="dxa"/>
            <w:shd w:val="clear" w:color="auto" w:fill="C6EFCE"/>
            <w:noWrap/>
            <w:hideMark/>
          </w:tcPr>
          <w:p w14:paraId="0431A6E1"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D</w:t>
            </w:r>
            <w:r w:rsidRPr="00DE4E4F">
              <w:rPr>
                <w:rFonts w:ascii="Times New Roman" w:eastAsia="Times New Roman" w:hAnsi="Times New Roman" w:cs="Times New Roman"/>
                <w:noProof/>
                <w:color w:val="006100"/>
                <w:sz w:val="18"/>
                <w:szCs w:val="18"/>
                <w:lang w:eastAsia="en-GB"/>
              </w:rPr>
              <w:t>igitalisation, meta-data and migration of archives into existing systems, and delivery of project for the ‘Digital services for Cadastre’, and of the project for the ‘Secure storage of public sector and broader public sector archives’</w:t>
            </w:r>
          </w:p>
        </w:tc>
        <w:tc>
          <w:tcPr>
            <w:tcW w:w="1200" w:type="dxa"/>
            <w:shd w:val="clear" w:color="auto" w:fill="C6EFCE"/>
            <w:noWrap/>
            <w:hideMark/>
          </w:tcPr>
          <w:p w14:paraId="7FDBB10B"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hideMark/>
          </w:tcPr>
          <w:p w14:paraId="2A23F2C0"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hideMark/>
          </w:tcPr>
          <w:p w14:paraId="40247E0D"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hideMark/>
          </w:tcPr>
          <w:p w14:paraId="53048B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40" w:type="dxa"/>
            <w:shd w:val="clear" w:color="auto" w:fill="C6EFCE"/>
            <w:noWrap/>
            <w:hideMark/>
          </w:tcPr>
          <w:p w14:paraId="70665C4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93" w:type="dxa"/>
            <w:shd w:val="clear" w:color="auto" w:fill="C6EFCE"/>
            <w:noWrap/>
            <w:hideMark/>
          </w:tcPr>
          <w:p w14:paraId="21EEA45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Digitisation, including meta-data, and migration into existing systems</w:t>
            </w:r>
            <w:r w:rsidRPr="00DE4E4F">
              <w:rPr>
                <w:rFonts w:ascii="Times New Roman" w:eastAsia="Times New Roman" w:hAnsi="Times New Roman" w:cs="Times New Roman"/>
                <w:noProof/>
                <w:color w:val="006100"/>
                <w:sz w:val="18"/>
                <w:szCs w:val="18"/>
                <w:lang w:eastAsia="en-GB"/>
              </w:rPr>
              <w:t xml:space="preserve">, </w:t>
            </w:r>
            <w:r w:rsidRPr="00DE4E4F">
              <w:rPr>
                <w:rFonts w:ascii="Times New Roman" w:hAnsi="Times New Roman" w:cs="Times New Roman"/>
                <w:noProof/>
                <w:color w:val="006100"/>
                <w:sz w:val="18"/>
                <w:szCs w:val="18"/>
              </w:rPr>
              <w:t xml:space="preserve">of at least 1 035 000 000 pages. </w:t>
            </w:r>
          </w:p>
          <w:p w14:paraId="5B22D54C" w14:textId="77777777" w:rsidR="001B186F" w:rsidRPr="00DE4E4F" w:rsidRDefault="001B186F">
            <w:pPr>
              <w:spacing w:after="0" w:line="240" w:lineRule="auto"/>
              <w:rPr>
                <w:rFonts w:ascii="Times New Roman" w:hAnsi="Times New Roman" w:cs="Times New Roman"/>
                <w:noProof/>
                <w:color w:val="006100"/>
                <w:sz w:val="18"/>
                <w:szCs w:val="18"/>
              </w:rPr>
            </w:pPr>
          </w:p>
          <w:p w14:paraId="40B363FD" w14:textId="25FF0840" w:rsidR="001B186F" w:rsidRPr="00DE4E4F" w:rsidRDefault="0074517F" w:rsidP="009E2E69">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subproject ‘improved digital services for cadastre’ to digitalise services offered by the Hellenic Cadastre, and of subproject ‘secure storage of public sector and broader public sector archives’ for the secure storage of physical files in other public sector archives. </w:t>
            </w:r>
          </w:p>
        </w:tc>
      </w:tr>
    </w:tbl>
    <w:p w14:paraId="1CFB2644" w14:textId="6DFB6AA6" w:rsidR="009E2E69" w:rsidRPr="00DE4E4F" w:rsidRDefault="009E2E69">
      <w:pPr>
        <w:spacing w:before="120" w:after="120" w:line="240" w:lineRule="auto"/>
        <w:ind w:left="709"/>
        <w:jc w:val="both"/>
        <w:rPr>
          <w:rFonts w:ascii="Times New Roman" w:hAnsi="Times New Roman" w:cs="Times New Roman"/>
          <w:noProof/>
          <w:sz w:val="24"/>
          <w:szCs w:val="24"/>
        </w:rPr>
      </w:pPr>
    </w:p>
    <w:p w14:paraId="69F7B001" w14:textId="61374A27" w:rsidR="001B186F" w:rsidRPr="00DE4E4F" w:rsidRDefault="009E2E69" w:rsidP="009E2E69">
      <w:pPr>
        <w:rPr>
          <w:rFonts w:ascii="Cambria" w:eastAsia="Times New Roman" w:hAnsi="Cambria"/>
          <w:noProof/>
          <w:color w:val="365F91"/>
          <w:sz w:val="24"/>
        </w:rPr>
      </w:pPr>
      <w:r w:rsidRPr="00DE4E4F">
        <w:rPr>
          <w:noProof/>
        </w:rPr>
        <w:br w:type="page"/>
      </w:r>
      <w:r w:rsidR="0074517F" w:rsidRPr="00DE4E4F">
        <w:rPr>
          <w:rFonts w:ascii="Cambria" w:hAnsi="Cambria"/>
          <w:noProof/>
          <w:color w:val="365F91"/>
          <w:sz w:val="24"/>
        </w:rPr>
        <w:t>Key reform 5: Towards Public Administration’s “customer”-oriented services through simplification and improvement of processes - Interconnection and interoperability of registries, systems and services</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866"/>
        <w:gridCol w:w="1105"/>
        <w:gridCol w:w="1383"/>
        <w:gridCol w:w="1701"/>
        <w:gridCol w:w="992"/>
        <w:gridCol w:w="992"/>
        <w:gridCol w:w="851"/>
        <w:gridCol w:w="992"/>
        <w:gridCol w:w="723"/>
        <w:gridCol w:w="3989"/>
      </w:tblGrid>
      <w:tr w:rsidR="00682269" w:rsidRPr="00DE4E4F" w14:paraId="2DE1B445" w14:textId="77777777" w:rsidTr="00374ABB">
        <w:trPr>
          <w:trHeight w:val="939"/>
          <w:tblHeader/>
          <w:jc w:val="center"/>
        </w:trPr>
        <w:tc>
          <w:tcPr>
            <w:tcW w:w="708" w:type="dxa"/>
            <w:vMerge w:val="restart"/>
            <w:shd w:val="clear" w:color="auto" w:fill="BDD7EE"/>
            <w:vAlign w:val="center"/>
            <w:hideMark/>
          </w:tcPr>
          <w:p w14:paraId="5E280422"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Seq. No.</w:t>
            </w:r>
          </w:p>
        </w:tc>
        <w:tc>
          <w:tcPr>
            <w:tcW w:w="2866" w:type="dxa"/>
            <w:vMerge w:val="restart"/>
            <w:shd w:val="clear" w:color="auto" w:fill="BDD7EE"/>
            <w:vAlign w:val="center"/>
            <w:hideMark/>
          </w:tcPr>
          <w:p w14:paraId="40336A29" w14:textId="77777777" w:rsidR="001B186F" w:rsidRPr="00DE4E4F" w:rsidRDefault="0074517F" w:rsidP="00E97A98">
            <w:pPr>
              <w:spacing w:after="0" w:line="240" w:lineRule="auto"/>
              <w:jc w:val="center"/>
              <w:rPr>
                <w:rFonts w:ascii="Times New Roman" w:hAnsi="Times New Roman"/>
                <w:b/>
                <w:noProof/>
                <w:sz w:val="18"/>
              </w:rPr>
            </w:pPr>
            <w:r w:rsidRPr="00DE4E4F">
              <w:rPr>
                <w:rFonts w:ascii="Times New Roman" w:hAnsi="Times New Roman"/>
                <w:b/>
                <w:noProof/>
                <w:sz w:val="18"/>
              </w:rPr>
              <w:t xml:space="preserve">Related Measure </w:t>
            </w:r>
          </w:p>
          <w:p w14:paraId="0F7C909F"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(Reform or Investment)</w:t>
            </w:r>
          </w:p>
        </w:tc>
        <w:tc>
          <w:tcPr>
            <w:tcW w:w="1105" w:type="dxa"/>
            <w:vMerge w:val="restart"/>
            <w:shd w:val="clear" w:color="auto" w:fill="BDD7EE"/>
            <w:vAlign w:val="center"/>
            <w:hideMark/>
          </w:tcPr>
          <w:p w14:paraId="38C4E28D"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83" w:type="dxa"/>
            <w:vMerge w:val="restart"/>
            <w:shd w:val="clear" w:color="auto" w:fill="BDD7EE"/>
            <w:vAlign w:val="center"/>
            <w:hideMark/>
          </w:tcPr>
          <w:p w14:paraId="74341D4D"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701" w:type="dxa"/>
            <w:vMerge w:val="restart"/>
            <w:shd w:val="clear" w:color="auto" w:fill="BDD7EE"/>
            <w:vAlign w:val="center"/>
            <w:hideMark/>
          </w:tcPr>
          <w:p w14:paraId="0E550A43"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835" w:type="dxa"/>
            <w:gridSpan w:val="3"/>
            <w:shd w:val="clear" w:color="auto" w:fill="BDD7EE"/>
            <w:vAlign w:val="center"/>
            <w:hideMark/>
          </w:tcPr>
          <w:p w14:paraId="6F776668"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715" w:type="dxa"/>
            <w:gridSpan w:val="2"/>
            <w:shd w:val="clear" w:color="auto" w:fill="BDD7EE"/>
            <w:vAlign w:val="center"/>
            <w:hideMark/>
          </w:tcPr>
          <w:p w14:paraId="52A09B37"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989" w:type="dxa"/>
            <w:vMerge w:val="restart"/>
            <w:shd w:val="clear" w:color="auto" w:fill="BDD7EE"/>
            <w:vAlign w:val="center"/>
            <w:hideMark/>
          </w:tcPr>
          <w:p w14:paraId="766F7B7F"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41122DA6" w14:textId="77777777" w:rsidTr="00374ABB">
        <w:trPr>
          <w:trHeight w:val="612"/>
          <w:tblHeader/>
          <w:jc w:val="center"/>
        </w:trPr>
        <w:tc>
          <w:tcPr>
            <w:tcW w:w="708" w:type="dxa"/>
            <w:vMerge/>
            <w:vAlign w:val="center"/>
            <w:hideMark/>
          </w:tcPr>
          <w:p w14:paraId="46CD7BBB"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c>
          <w:tcPr>
            <w:tcW w:w="2866" w:type="dxa"/>
            <w:vMerge/>
            <w:vAlign w:val="center"/>
            <w:hideMark/>
          </w:tcPr>
          <w:p w14:paraId="54108568"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c>
          <w:tcPr>
            <w:tcW w:w="1105" w:type="dxa"/>
            <w:vMerge/>
            <w:vAlign w:val="center"/>
            <w:hideMark/>
          </w:tcPr>
          <w:p w14:paraId="18DAC3C5"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c>
          <w:tcPr>
            <w:tcW w:w="1383" w:type="dxa"/>
            <w:vMerge/>
            <w:vAlign w:val="center"/>
            <w:hideMark/>
          </w:tcPr>
          <w:p w14:paraId="1B952001"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c>
          <w:tcPr>
            <w:tcW w:w="1701" w:type="dxa"/>
            <w:vMerge/>
            <w:vAlign w:val="center"/>
            <w:hideMark/>
          </w:tcPr>
          <w:p w14:paraId="42F98C1F"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c>
          <w:tcPr>
            <w:tcW w:w="992" w:type="dxa"/>
            <w:shd w:val="clear" w:color="auto" w:fill="BDD7EE"/>
            <w:vAlign w:val="center"/>
            <w:hideMark/>
          </w:tcPr>
          <w:p w14:paraId="7A815F38"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tcPr>
          <w:p w14:paraId="502EDF01"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851" w:type="dxa"/>
            <w:shd w:val="clear" w:color="auto" w:fill="BDD7EE"/>
            <w:vAlign w:val="center"/>
            <w:hideMark/>
          </w:tcPr>
          <w:p w14:paraId="312E065A"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992" w:type="dxa"/>
            <w:shd w:val="clear" w:color="auto" w:fill="BDD7EE"/>
            <w:vAlign w:val="center"/>
            <w:hideMark/>
          </w:tcPr>
          <w:p w14:paraId="4DB66E21"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23" w:type="dxa"/>
            <w:shd w:val="clear" w:color="auto" w:fill="BDD7EE"/>
            <w:vAlign w:val="center"/>
            <w:hideMark/>
          </w:tcPr>
          <w:p w14:paraId="6AABD41C"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989" w:type="dxa"/>
            <w:vMerge/>
            <w:vAlign w:val="center"/>
            <w:hideMark/>
          </w:tcPr>
          <w:p w14:paraId="5CF51421"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r>
      <w:tr w:rsidR="00682269" w:rsidRPr="00DE4E4F" w14:paraId="2DF58313" w14:textId="77777777" w:rsidTr="00E97A98">
        <w:trPr>
          <w:trHeight w:val="313"/>
          <w:jc w:val="center"/>
        </w:trPr>
        <w:tc>
          <w:tcPr>
            <w:tcW w:w="708" w:type="dxa"/>
            <w:shd w:val="clear" w:color="auto" w:fill="C6EFCE"/>
            <w:noWrap/>
          </w:tcPr>
          <w:p w14:paraId="716E1637"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96</w:t>
            </w:r>
          </w:p>
        </w:tc>
        <w:tc>
          <w:tcPr>
            <w:tcW w:w="2866" w:type="dxa"/>
            <w:shd w:val="clear" w:color="auto" w:fill="C6EFCE"/>
            <w:noWrap/>
          </w:tcPr>
          <w:p w14:paraId="27571ED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- 16929_Towards Public Administration’s “customer”-oriented services through simplification and improvement of processes, systems enhancements and compliance with European strategies and policies</w:t>
            </w:r>
          </w:p>
        </w:tc>
        <w:tc>
          <w:tcPr>
            <w:tcW w:w="1105" w:type="dxa"/>
            <w:shd w:val="clear" w:color="auto" w:fill="C6EFCE"/>
            <w:noWrap/>
          </w:tcPr>
          <w:p w14:paraId="5445DB84"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83" w:type="dxa"/>
            <w:shd w:val="clear" w:color="auto" w:fill="C6EFCE"/>
            <w:noWrap/>
          </w:tcPr>
          <w:p w14:paraId="17033B82"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 up of the national registry of procedures and implementation of national plan for process simplification (first phase)</w:t>
            </w:r>
          </w:p>
        </w:tc>
        <w:tc>
          <w:tcPr>
            <w:tcW w:w="1701" w:type="dxa"/>
            <w:shd w:val="clear" w:color="auto" w:fill="C6EFCE"/>
            <w:noWrap/>
          </w:tcPr>
          <w:p w14:paraId="720EBAE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Report by the Ministry of </w:t>
            </w:r>
            <w:r w:rsidRPr="00DE4E4F" w:rsidDel="00865C58">
              <w:rPr>
                <w:rFonts w:ascii="Times New Roman" w:hAnsi="Times New Roman" w:cs="Times New Roman"/>
                <w:noProof/>
                <w:color w:val="006100"/>
                <w:sz w:val="18"/>
                <w:szCs w:val="18"/>
              </w:rPr>
              <w:t>Digital Governance</w:t>
            </w:r>
            <w:r w:rsidRPr="00DE4E4F">
              <w:rPr>
                <w:rFonts w:ascii="Times New Roman" w:hAnsi="Times New Roman" w:cs="Times New Roman"/>
                <w:noProof/>
                <w:color w:val="006100"/>
                <w:sz w:val="18"/>
                <w:szCs w:val="18"/>
              </w:rPr>
              <w:t xml:space="preserve"> attesting to the operationalisation of national registry of procedures and the completion of the work streams under the first phase of the National Programme of Process Simplification </w:t>
            </w:r>
          </w:p>
        </w:tc>
        <w:tc>
          <w:tcPr>
            <w:tcW w:w="992" w:type="dxa"/>
            <w:shd w:val="clear" w:color="auto" w:fill="C6EFCE"/>
            <w:noWrap/>
          </w:tcPr>
          <w:p w14:paraId="3A25E1A0"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5A4D948F"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D491F31"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293E949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23" w:type="dxa"/>
            <w:shd w:val="clear" w:color="auto" w:fill="C6EFCE"/>
            <w:noWrap/>
          </w:tcPr>
          <w:p w14:paraId="60D6123B"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89" w:type="dxa"/>
            <w:shd w:val="clear" w:color="auto" w:fill="C6EFCE"/>
            <w:noWrap/>
          </w:tcPr>
          <w:p w14:paraId="0F864AF0" w14:textId="77777777" w:rsidR="001B186F" w:rsidRPr="00DE4E4F" w:rsidRDefault="0074517F" w:rsidP="00E97A98">
            <w:pPr>
              <w:spacing w:before="120" w:after="12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Operationalisation of the national registry of procedures (“Diavlos”, as per article 90 of Law 4727/2020), and integration into gov.gr portal; and completion of first phase of the simplification work streams as per the timeline provided by the 4-year National Programme of Process simplification, including the digitalisation of public procurement procedures.</w:t>
            </w:r>
          </w:p>
        </w:tc>
      </w:tr>
      <w:tr w:rsidR="00682269" w:rsidRPr="00DE4E4F" w14:paraId="208EFE22" w14:textId="77777777" w:rsidTr="00E97A98">
        <w:trPr>
          <w:trHeight w:val="313"/>
          <w:jc w:val="center"/>
        </w:trPr>
        <w:tc>
          <w:tcPr>
            <w:tcW w:w="708" w:type="dxa"/>
            <w:shd w:val="clear" w:color="auto" w:fill="C6EFCE"/>
            <w:noWrap/>
          </w:tcPr>
          <w:p w14:paraId="3EB237F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97</w:t>
            </w:r>
          </w:p>
        </w:tc>
        <w:tc>
          <w:tcPr>
            <w:tcW w:w="2866" w:type="dxa"/>
            <w:shd w:val="clear" w:color="auto" w:fill="C6EFCE"/>
            <w:noWrap/>
          </w:tcPr>
          <w:p w14:paraId="561A8E58"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- 16929_Towards Public Administration’s “customer”-oriented services through simplification and improvement of processes, systems enhancements and compliance with European strategies and policies</w:t>
            </w:r>
          </w:p>
        </w:tc>
        <w:tc>
          <w:tcPr>
            <w:tcW w:w="1105" w:type="dxa"/>
            <w:shd w:val="clear" w:color="auto" w:fill="C6EFCE"/>
            <w:noWrap/>
          </w:tcPr>
          <w:p w14:paraId="53D3B0F7"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83" w:type="dxa"/>
            <w:shd w:val="clear" w:color="auto" w:fill="C6EFCE"/>
            <w:noWrap/>
          </w:tcPr>
          <w:p w14:paraId="7B38DC41"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Implementation of national plan for process simplification (second phase)</w:t>
            </w:r>
          </w:p>
        </w:tc>
        <w:tc>
          <w:tcPr>
            <w:tcW w:w="1701" w:type="dxa"/>
            <w:shd w:val="clear" w:color="auto" w:fill="C6EFCE"/>
            <w:noWrap/>
          </w:tcPr>
          <w:p w14:paraId="4F66925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Report by the Ministry of Interior attesting to the completion of the second phase of simplification work streams under the National Programme of Process simplification </w:t>
            </w:r>
          </w:p>
        </w:tc>
        <w:tc>
          <w:tcPr>
            <w:tcW w:w="992" w:type="dxa"/>
            <w:shd w:val="clear" w:color="auto" w:fill="C6EFCE"/>
            <w:noWrap/>
          </w:tcPr>
          <w:p w14:paraId="2D09D13A"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6CAC76EF"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2F5B9900"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6809574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3" w:type="dxa"/>
            <w:shd w:val="clear" w:color="auto" w:fill="C6EFCE"/>
            <w:noWrap/>
          </w:tcPr>
          <w:p w14:paraId="49676863"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989" w:type="dxa"/>
            <w:shd w:val="clear" w:color="auto" w:fill="C6EFCE"/>
            <w:noWrap/>
          </w:tcPr>
          <w:p w14:paraId="1F1C6D04"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Complete the second phase of the simplification work streams as per the timeline provided by the 4-year National Programme of Process simplification, including digitisation of impact assessment processes, start-up of sole proprietorships, simplification of procedures relating to citizen ‘life events’ including birth, passing away, and divorce, simplification of justice procedures related to lawyers, court decisions, digital signatures, certificates issued by courts, driver licence renewal and operation of myfoto.gov.gr and electronic circulation of documents within the public administration (attested by issued circulars).</w:t>
            </w:r>
          </w:p>
        </w:tc>
      </w:tr>
      <w:tr w:rsidR="00682269" w:rsidRPr="00DE4E4F" w14:paraId="1914C455" w14:textId="77777777" w:rsidTr="00E97A98">
        <w:trPr>
          <w:trHeight w:val="313"/>
          <w:jc w:val="center"/>
        </w:trPr>
        <w:tc>
          <w:tcPr>
            <w:tcW w:w="708" w:type="dxa"/>
            <w:shd w:val="clear" w:color="auto" w:fill="C6EFCE"/>
            <w:noWrap/>
          </w:tcPr>
          <w:p w14:paraId="28B8235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98</w:t>
            </w:r>
          </w:p>
        </w:tc>
        <w:tc>
          <w:tcPr>
            <w:tcW w:w="2866" w:type="dxa"/>
            <w:shd w:val="clear" w:color="auto" w:fill="C6EFCE"/>
            <w:noWrap/>
          </w:tcPr>
          <w:p w14:paraId="3B31656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- 16782_Interconnection and interoperability of registries, systems and services for data exchange between national public organisations</w:t>
            </w:r>
          </w:p>
        </w:tc>
        <w:tc>
          <w:tcPr>
            <w:tcW w:w="1105" w:type="dxa"/>
            <w:shd w:val="clear" w:color="auto" w:fill="C6EFCE"/>
            <w:noWrap/>
          </w:tcPr>
          <w:p w14:paraId="710CDAB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83" w:type="dxa"/>
            <w:shd w:val="clear" w:color="auto" w:fill="C6EFCE"/>
            <w:noWrap/>
          </w:tcPr>
          <w:p w14:paraId="15308431" w14:textId="77777777" w:rsidR="001B186F"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Regulatory basis for interconnection and </w:t>
            </w:r>
          </w:p>
          <w:p w14:paraId="014C054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interoperability of registries</w:t>
            </w:r>
          </w:p>
        </w:tc>
        <w:tc>
          <w:tcPr>
            <w:tcW w:w="1701" w:type="dxa"/>
            <w:shd w:val="clear" w:color="auto" w:fill="C6EFCE"/>
            <w:noWrap/>
          </w:tcPr>
          <w:p w14:paraId="5C730E1E"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the regulatory changes including the connected primary and secondary legislation for the interconnection and interoperability of registries and services</w:t>
            </w:r>
          </w:p>
        </w:tc>
        <w:tc>
          <w:tcPr>
            <w:tcW w:w="992" w:type="dxa"/>
            <w:shd w:val="clear" w:color="auto" w:fill="C6EFCE"/>
            <w:noWrap/>
          </w:tcPr>
          <w:p w14:paraId="44F17DE0"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7F76CBAB"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B706266"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717B9F85"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3" w:type="dxa"/>
            <w:shd w:val="clear" w:color="auto" w:fill="C6EFCE"/>
            <w:noWrap/>
          </w:tcPr>
          <w:p w14:paraId="2EA3A18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89" w:type="dxa"/>
            <w:shd w:val="clear" w:color="auto" w:fill="C6EFCE"/>
            <w:noWrap/>
          </w:tcPr>
          <w:p w14:paraId="5679C8AF" w14:textId="77777777" w:rsidR="001B186F" w:rsidRPr="00DE4E4F" w:rsidRDefault="0074517F" w:rsidP="00E97A98">
            <w:pPr>
              <w:spacing w:before="120" w:after="12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adoption of regulatory changes to establish a regulatory basis for the interconnection and interoperability of registries and services for data exchange between national public organizations</w:t>
            </w:r>
          </w:p>
        </w:tc>
      </w:tr>
      <w:tr w:rsidR="00682269" w:rsidRPr="00DE4E4F" w14:paraId="310495E6" w14:textId="77777777" w:rsidTr="00E97A98">
        <w:trPr>
          <w:trHeight w:val="313"/>
          <w:jc w:val="center"/>
        </w:trPr>
        <w:tc>
          <w:tcPr>
            <w:tcW w:w="708" w:type="dxa"/>
            <w:shd w:val="clear" w:color="auto" w:fill="C6EFCE"/>
            <w:noWrap/>
            <w:hideMark/>
          </w:tcPr>
          <w:p w14:paraId="4CBCB3CA"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99</w:t>
            </w:r>
          </w:p>
        </w:tc>
        <w:tc>
          <w:tcPr>
            <w:tcW w:w="2866" w:type="dxa"/>
            <w:shd w:val="clear" w:color="auto" w:fill="C6EFCE"/>
            <w:noWrap/>
            <w:hideMark/>
          </w:tcPr>
          <w:p w14:paraId="7E4A2E1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- 16929_Towards Public Administration’s “customer”-oriented services through simplification and improvement of processes, systems enhancements and compliance with European strategies and policies</w:t>
            </w:r>
          </w:p>
        </w:tc>
        <w:tc>
          <w:tcPr>
            <w:tcW w:w="1105" w:type="dxa"/>
            <w:shd w:val="clear" w:color="auto" w:fill="C6EFCE"/>
            <w:noWrap/>
            <w:hideMark/>
          </w:tcPr>
          <w:p w14:paraId="7ED6FCC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83" w:type="dxa"/>
            <w:shd w:val="clear" w:color="auto" w:fill="C6EFCE"/>
            <w:noWrap/>
            <w:hideMark/>
          </w:tcPr>
          <w:p w14:paraId="18AD133A" w14:textId="77777777" w:rsidR="001B186F"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Reducing administrative burden in the public administration </w:t>
            </w:r>
          </w:p>
        </w:tc>
        <w:tc>
          <w:tcPr>
            <w:tcW w:w="1701" w:type="dxa"/>
            <w:shd w:val="clear" w:color="auto" w:fill="C6EFCE"/>
            <w:noWrap/>
            <w:hideMark/>
          </w:tcPr>
          <w:p w14:paraId="42C747F3" w14:textId="04496EAD" w:rsidR="001B186F"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actions for monitoring and measuring administrative burden and for supporting the regulatory impact assessment process and provision in the Single Local Administration Code indicating the entry into force</w:t>
            </w:r>
            <w:r w:rsidR="00DE4C0C" w:rsidRPr="00DE4E4F">
              <w:rPr>
                <w:rFonts w:ascii="Times New Roman" w:hAnsi="Times New Roman" w:cs="Times New Roman"/>
                <w:noProof/>
                <w:color w:val="006100"/>
                <w:sz w:val="18"/>
                <w:szCs w:val="18"/>
              </w:rPr>
              <w:t xml:space="preserve"> </w:t>
            </w:r>
          </w:p>
        </w:tc>
        <w:tc>
          <w:tcPr>
            <w:tcW w:w="992" w:type="dxa"/>
            <w:shd w:val="clear" w:color="auto" w:fill="C6EFCE"/>
            <w:noWrap/>
            <w:hideMark/>
          </w:tcPr>
          <w:p w14:paraId="722011BC"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53555F0B"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hideMark/>
          </w:tcPr>
          <w:p w14:paraId="0D2C0BAE"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tcPr>
          <w:p w14:paraId="6DC8CE27"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3" w:type="dxa"/>
            <w:shd w:val="clear" w:color="auto" w:fill="C6EFCE"/>
            <w:noWrap/>
            <w:hideMark/>
          </w:tcPr>
          <w:p w14:paraId="4B9993F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89" w:type="dxa"/>
            <w:shd w:val="clear" w:color="auto" w:fill="C6EFCE"/>
            <w:noWrap/>
            <w:hideMark/>
          </w:tcPr>
          <w:p w14:paraId="5DCF71C8" w14:textId="77777777" w:rsidR="001B186F" w:rsidRPr="00DE4E4F" w:rsidRDefault="0074517F" w:rsidP="00E97A98">
            <w:pPr>
              <w:pStyle w:val="ListParagraph"/>
              <w:numPr>
                <w:ilvl w:val="0"/>
                <w:numId w:val="39"/>
              </w:numPr>
              <w:spacing w:after="0" w:line="240" w:lineRule="auto"/>
              <w:ind w:left="203" w:hanging="203"/>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Single Local Administration Code chapters concerning the regulation of organizational issues and the regulation of financial operation and management framework.</w:t>
            </w:r>
          </w:p>
          <w:p w14:paraId="7A4CDED1" w14:textId="77777777" w:rsidR="001B186F" w:rsidRPr="00DE4E4F" w:rsidRDefault="0074517F" w:rsidP="00E97A98">
            <w:pPr>
              <w:pStyle w:val="ListParagraph"/>
              <w:numPr>
                <w:ilvl w:val="0"/>
                <w:numId w:val="40"/>
              </w:numPr>
              <w:spacing w:after="0" w:line="240" w:lineRule="auto"/>
              <w:ind w:left="203" w:hanging="203"/>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Standardisation of the methodology and procedures for measuring administrative burdens.</w:t>
            </w:r>
          </w:p>
          <w:p w14:paraId="720CFDF8" w14:textId="77777777" w:rsidR="001B186F" w:rsidRPr="00DE4E4F" w:rsidRDefault="0074517F" w:rsidP="00E97A98">
            <w:pPr>
              <w:pStyle w:val="ListParagraph"/>
              <w:numPr>
                <w:ilvl w:val="0"/>
                <w:numId w:val="40"/>
              </w:numPr>
              <w:ind w:left="203" w:hanging="203"/>
              <w:rPr>
                <w:rFonts w:ascii="Times New Roman" w:hAnsi="Times New Roman" w:cs="Times New Roman"/>
                <w:noProof/>
                <w:sz w:val="18"/>
                <w:szCs w:val="18"/>
              </w:rPr>
            </w:pPr>
            <w:r w:rsidRPr="00DE4E4F">
              <w:rPr>
                <w:rFonts w:ascii="Times New Roman" w:hAnsi="Times New Roman" w:cs="Times New Roman"/>
                <w:noProof/>
                <w:color w:val="006100"/>
                <w:sz w:val="18"/>
                <w:szCs w:val="18"/>
              </w:rPr>
              <w:t>Establishment of a Bureaucracy Measurement Index (BMI).</w:t>
            </w:r>
          </w:p>
          <w:p w14:paraId="777811A5" w14:textId="77777777" w:rsidR="001B186F" w:rsidRPr="00DE4E4F" w:rsidRDefault="0074517F" w:rsidP="00E97A98">
            <w:pPr>
              <w:pStyle w:val="ListParagraph"/>
              <w:numPr>
                <w:ilvl w:val="0"/>
                <w:numId w:val="40"/>
              </w:numPr>
              <w:spacing w:after="0" w:line="240" w:lineRule="auto"/>
              <w:ind w:left="203" w:hanging="203"/>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 of a mechanism to support Regulatory Impact Analysis.</w:t>
            </w:r>
          </w:p>
          <w:p w14:paraId="5449DF33" w14:textId="77777777" w:rsidR="001B186F" w:rsidRPr="00DE4E4F" w:rsidRDefault="0074517F" w:rsidP="00E97A98">
            <w:pPr>
              <w:pStyle w:val="ListParagraph"/>
              <w:numPr>
                <w:ilvl w:val="0"/>
                <w:numId w:val="40"/>
              </w:numPr>
              <w:spacing w:after="0" w:line="240" w:lineRule="auto"/>
              <w:ind w:left="203" w:hanging="20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Administrative Burdens Measurements using the Standard Cost Model.</w:t>
            </w:r>
          </w:p>
        </w:tc>
      </w:tr>
    </w:tbl>
    <w:p w14:paraId="17F76163" w14:textId="77777777" w:rsidR="001B186F" w:rsidRPr="00DE4E4F" w:rsidRDefault="001B186F">
      <w:pPr>
        <w:spacing w:after="0" w:line="240" w:lineRule="auto"/>
        <w:rPr>
          <w:rFonts w:ascii="Cambria" w:hAnsi="Cambria"/>
          <w:noProof/>
          <w:color w:val="365F91"/>
          <w:sz w:val="24"/>
        </w:rPr>
        <w:sectPr w:rsidR="001B186F" w:rsidRPr="00DE4E4F">
          <w:headerReference w:type="even" r:id="rId138"/>
          <w:headerReference w:type="default" r:id="rId139"/>
          <w:footerReference w:type="even" r:id="rId140"/>
          <w:footerReference w:type="default" r:id="rId141"/>
          <w:headerReference w:type="first" r:id="rId142"/>
          <w:footerReference w:type="first" r:id="rId143"/>
          <w:pgSz w:w="16839" w:h="11907" w:orient="landscape"/>
          <w:pgMar w:top="1134" w:right="1134" w:bottom="1134" w:left="1134" w:header="567" w:footer="567" w:gutter="0"/>
          <w:cols w:space="720"/>
          <w:docGrid w:linePitch="360"/>
        </w:sectPr>
      </w:pPr>
    </w:p>
    <w:p w14:paraId="085FDBB9" w14:textId="77777777" w:rsidR="001B186F" w:rsidRPr="00DE4E4F" w:rsidRDefault="0074517F">
      <w:pPr>
        <w:spacing w:after="0" w:line="240" w:lineRule="auto"/>
        <w:rPr>
          <w:rFonts w:ascii="Cambria" w:hAnsi="Cambria"/>
          <w:noProof/>
          <w:color w:val="365F91"/>
          <w:sz w:val="24"/>
        </w:rPr>
      </w:pPr>
      <w:r w:rsidRPr="00DE4E4F">
        <w:rPr>
          <w:rFonts w:ascii="Cambria" w:hAnsi="Cambria"/>
          <w:noProof/>
          <w:color w:val="365F91"/>
          <w:sz w:val="24"/>
        </w:rPr>
        <w:t>Group 9: Initiatives related to enhanced "customer"-oriented and secure digital services making use of interoperable IT systems and open data policies</w:t>
      </w:r>
    </w:p>
    <w:p w14:paraId="607D09FE"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The measures included within this group are:</w:t>
      </w:r>
    </w:p>
    <w:p w14:paraId="37F5418C"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Customer Relationship Management for the General Government (ID: 16810)</w:t>
      </w:r>
    </w:p>
    <w:p w14:paraId="56E05D64" w14:textId="77777777" w:rsidR="001B186F" w:rsidRPr="00DE4E4F" w:rsidRDefault="0074517F">
      <w:pPr>
        <w:spacing w:before="120" w:after="120" w:line="240" w:lineRule="auto"/>
        <w:ind w:left="709"/>
        <w:rPr>
          <w:rFonts w:ascii="Times New Roman" w:hAnsi="Times New Roman" w:cs="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Modernisation of Public Administration’s One-Stop Shops (ID: 16780)</w:t>
      </w:r>
    </w:p>
    <w:p w14:paraId="786BB4BE"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New system for Public Procurements (ID: 16736)</w:t>
      </w:r>
    </w:p>
    <w:p w14:paraId="5701E10C"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Digital transformation of the Ministry of Foreign Affairs (ID: 16742)</w:t>
      </w:r>
    </w:p>
    <w:p w14:paraId="7E23654B" w14:textId="77777777"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Digital skills upgrade programs for conscripts (ID: 16826)</w:t>
      </w:r>
    </w:p>
    <w:p w14:paraId="2EF1E994" w14:textId="77777777" w:rsidR="001B186F" w:rsidRPr="00DE4E4F" w:rsidRDefault="0074517F">
      <w:pPr>
        <w:spacing w:before="120" w:after="120" w:line="240" w:lineRule="auto"/>
        <w:ind w:left="709"/>
        <w:rPr>
          <w:rFonts w:ascii="Times New Roman" w:hAnsi="Times New Roman" w:cs="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Digital Transformation of the Greek National Tourism Organisation (ID: 16791)</w:t>
      </w:r>
    </w:p>
    <w:p w14:paraId="119AAC02" w14:textId="77777777" w:rsidR="001B186F" w:rsidRPr="00DE4E4F" w:rsidRDefault="0074517F">
      <w:pPr>
        <w:spacing w:before="120" w:after="120" w:line="240" w:lineRule="auto"/>
        <w:ind w:left="709"/>
        <w:rPr>
          <w:rFonts w:ascii="Times New Roman" w:hAnsi="Times New Roman" w:cs="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Cybersecurity strategy and a National Cybersecurity Operations Centre (ID: 16823)</w:t>
      </w:r>
    </w:p>
    <w:p w14:paraId="75C58903" w14:textId="77777777" w:rsidR="001B186F" w:rsidRPr="00DE4E4F" w:rsidRDefault="0074517F">
      <w:pPr>
        <w:spacing w:before="120" w:after="120" w:line="240" w:lineRule="auto"/>
        <w:ind w:left="709"/>
        <w:rPr>
          <w:rFonts w:ascii="Times New Roman" w:hAnsi="Times New Roman" w:cs="Times New Roman"/>
          <w:noProof/>
          <w:sz w:val="24"/>
          <w:szCs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szCs w:val="24"/>
        </w:rPr>
        <w:t>Web services and Next-Generation Interoperability Centre (KED) (ID: 16779)</w:t>
      </w:r>
    </w:p>
    <w:p w14:paraId="36263273" w14:textId="200F210E" w:rsidR="001B186F" w:rsidRPr="00DE4E4F" w:rsidRDefault="0074517F">
      <w:pPr>
        <w:spacing w:before="120" w:after="120" w:line="240" w:lineRule="auto"/>
        <w:ind w:left="709"/>
        <w:rPr>
          <w:rFonts w:ascii="Times New Roman" w:hAnsi="Times New Roman" w:cs="Times New Roman"/>
          <w:noProof/>
          <w:sz w:val="24"/>
        </w:rPr>
      </w:pPr>
      <w:r w:rsidRPr="00DE4E4F">
        <w:rPr>
          <w:rFonts w:ascii="Times New Roman" w:hAnsi="Times New Roman"/>
          <w:noProof/>
          <w:sz w:val="24"/>
        </w:rPr>
        <w:t>●</w:t>
      </w:r>
      <w:r w:rsidRPr="00DE4E4F">
        <w:rPr>
          <w:noProof/>
        </w:rPr>
        <w:tab/>
      </w:r>
      <w:r w:rsidRPr="00DE4E4F">
        <w:rPr>
          <w:rFonts w:ascii="Times New Roman" w:hAnsi="Times New Roman"/>
          <w:noProof/>
          <w:sz w:val="24"/>
        </w:rPr>
        <w:t>E</w:t>
      </w:r>
      <w:r w:rsidR="000F4ECD">
        <w:rPr>
          <w:rFonts w:ascii="Times New Roman" w:hAnsi="Times New Roman"/>
          <w:noProof/>
          <w:sz w:val="24"/>
        </w:rPr>
        <w:t>-</w:t>
      </w:r>
      <w:r w:rsidRPr="00DE4E4F">
        <w:rPr>
          <w:rFonts w:ascii="Times New Roman" w:hAnsi="Times New Roman"/>
          <w:noProof/>
          <w:sz w:val="24"/>
        </w:rPr>
        <w:t>Registries (ID: 16824)</w:t>
      </w:r>
    </w:p>
    <w:p w14:paraId="726A3114" w14:textId="77777777" w:rsidR="001B186F" w:rsidRPr="00DE4E4F" w:rsidRDefault="0074517F">
      <w:pPr>
        <w:spacing w:before="120" w:after="120" w:line="240" w:lineRule="auto"/>
        <w:ind w:left="709"/>
        <w:rPr>
          <w:rFonts w:ascii="Times New Roman" w:hAnsi="Times New Roman"/>
          <w:noProof/>
          <w:sz w:val="24"/>
        </w:rPr>
      </w:pPr>
      <w:r w:rsidRPr="00DE4E4F">
        <w:rPr>
          <w:rFonts w:ascii="Times New Roman" w:hAnsi="Times New Roman"/>
          <w:noProof/>
          <w:sz w:val="24"/>
          <w:szCs w:val="24"/>
        </w:rPr>
        <w:t>●</w:t>
      </w:r>
      <w:r w:rsidRPr="00DE4E4F">
        <w:rPr>
          <w:noProof/>
        </w:rPr>
        <w:tab/>
      </w:r>
      <w:r w:rsidRPr="00DE4E4F">
        <w:rPr>
          <w:rFonts w:ascii="Times New Roman" w:hAnsi="Times New Roman"/>
          <w:noProof/>
          <w:sz w:val="24"/>
        </w:rPr>
        <w:t>Central Document Management System (ID: 16738)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1935"/>
        <w:gridCol w:w="1121"/>
        <w:gridCol w:w="1447"/>
        <w:gridCol w:w="1911"/>
        <w:gridCol w:w="1040"/>
        <w:gridCol w:w="891"/>
        <w:gridCol w:w="703"/>
        <w:gridCol w:w="846"/>
        <w:gridCol w:w="611"/>
        <w:gridCol w:w="3505"/>
      </w:tblGrid>
      <w:tr w:rsidR="00682269" w:rsidRPr="00DE4E4F" w14:paraId="1DD4AF7D" w14:textId="77777777" w:rsidTr="00E97A98">
        <w:trPr>
          <w:trHeight w:val="939"/>
          <w:tblHeader/>
          <w:jc w:val="center"/>
        </w:trPr>
        <w:tc>
          <w:tcPr>
            <w:tcW w:w="778" w:type="dxa"/>
            <w:vMerge w:val="restart"/>
            <w:shd w:val="clear" w:color="auto" w:fill="BDD7EE"/>
            <w:vAlign w:val="center"/>
            <w:hideMark/>
          </w:tcPr>
          <w:p w14:paraId="6EE9BB2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1936" w:type="dxa"/>
            <w:vMerge w:val="restart"/>
            <w:shd w:val="clear" w:color="auto" w:fill="BDD7EE"/>
            <w:vAlign w:val="center"/>
            <w:hideMark/>
          </w:tcPr>
          <w:p w14:paraId="17BDE72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22" w:type="dxa"/>
            <w:vMerge w:val="restart"/>
            <w:shd w:val="clear" w:color="auto" w:fill="BDD7EE"/>
            <w:vAlign w:val="center"/>
            <w:hideMark/>
          </w:tcPr>
          <w:p w14:paraId="6B59226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448" w:type="dxa"/>
            <w:vMerge w:val="restart"/>
            <w:shd w:val="clear" w:color="auto" w:fill="BDD7EE"/>
            <w:vAlign w:val="center"/>
            <w:hideMark/>
          </w:tcPr>
          <w:p w14:paraId="558A7AF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912" w:type="dxa"/>
            <w:vMerge w:val="restart"/>
            <w:shd w:val="clear" w:color="auto" w:fill="BDD7EE"/>
            <w:vAlign w:val="center"/>
            <w:hideMark/>
          </w:tcPr>
          <w:p w14:paraId="3C9C987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Qualitative indicators </w:t>
            </w:r>
            <w:r w:rsidRPr="00DE4E4F">
              <w:rPr>
                <w:rFonts w:ascii="Times New Roman" w:hAnsi="Times New Roman" w:cs="Times New Roman"/>
                <w:b/>
                <w:noProof/>
                <w:sz w:val="18"/>
                <w:szCs w:val="18"/>
              </w:rPr>
              <w:br/>
            </w:r>
            <w:r w:rsidRPr="00DE4E4F">
              <w:rPr>
                <w:rFonts w:ascii="Times New Roman" w:hAnsi="Times New Roman"/>
                <w:b/>
                <w:noProof/>
                <w:sz w:val="18"/>
              </w:rPr>
              <w:t xml:space="preserve"> (for milestones)</w:t>
            </w:r>
          </w:p>
        </w:tc>
        <w:tc>
          <w:tcPr>
            <w:tcW w:w="2635" w:type="dxa"/>
            <w:gridSpan w:val="3"/>
            <w:shd w:val="clear" w:color="auto" w:fill="BDD7EE"/>
            <w:vAlign w:val="center"/>
            <w:hideMark/>
          </w:tcPr>
          <w:p w14:paraId="5E9210A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449" w:type="dxa"/>
            <w:gridSpan w:val="2"/>
            <w:shd w:val="clear" w:color="auto" w:fill="BDD7EE"/>
            <w:vAlign w:val="center"/>
            <w:hideMark/>
          </w:tcPr>
          <w:p w14:paraId="2495C77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507" w:type="dxa"/>
            <w:vMerge w:val="restart"/>
            <w:shd w:val="clear" w:color="auto" w:fill="BDD7EE"/>
            <w:vAlign w:val="center"/>
            <w:hideMark/>
          </w:tcPr>
          <w:p w14:paraId="2110D55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28920086" w14:textId="77777777" w:rsidTr="00E97A98">
        <w:trPr>
          <w:trHeight w:val="462"/>
          <w:tblHeader/>
          <w:jc w:val="center"/>
        </w:trPr>
        <w:tc>
          <w:tcPr>
            <w:tcW w:w="778" w:type="dxa"/>
            <w:vMerge/>
            <w:vAlign w:val="center"/>
            <w:hideMark/>
          </w:tcPr>
          <w:p w14:paraId="035D1C31"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936" w:type="dxa"/>
            <w:vMerge/>
            <w:vAlign w:val="center"/>
            <w:hideMark/>
          </w:tcPr>
          <w:p w14:paraId="260F25BF"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122" w:type="dxa"/>
            <w:vMerge/>
            <w:vAlign w:val="center"/>
            <w:hideMark/>
          </w:tcPr>
          <w:p w14:paraId="2E27CEBA"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448" w:type="dxa"/>
            <w:vMerge/>
            <w:vAlign w:val="center"/>
            <w:hideMark/>
          </w:tcPr>
          <w:p w14:paraId="48329434"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912" w:type="dxa"/>
            <w:vMerge/>
            <w:vAlign w:val="center"/>
            <w:hideMark/>
          </w:tcPr>
          <w:p w14:paraId="576C788A"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041" w:type="dxa"/>
            <w:shd w:val="clear" w:color="auto" w:fill="BDD7EE"/>
            <w:vAlign w:val="center"/>
            <w:hideMark/>
          </w:tcPr>
          <w:p w14:paraId="7759245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91" w:type="dxa"/>
            <w:shd w:val="clear" w:color="auto" w:fill="BDD7EE"/>
            <w:vAlign w:val="center"/>
            <w:hideMark/>
          </w:tcPr>
          <w:p w14:paraId="31D31DA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03" w:type="dxa"/>
            <w:shd w:val="clear" w:color="auto" w:fill="BDD7EE"/>
            <w:vAlign w:val="center"/>
            <w:hideMark/>
          </w:tcPr>
          <w:p w14:paraId="0B247A0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38" w:type="dxa"/>
            <w:shd w:val="clear" w:color="auto" w:fill="BDD7EE"/>
            <w:vAlign w:val="center"/>
            <w:hideMark/>
          </w:tcPr>
          <w:p w14:paraId="116A8F3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11" w:type="dxa"/>
            <w:shd w:val="clear" w:color="auto" w:fill="BDD7EE"/>
            <w:vAlign w:val="center"/>
            <w:hideMark/>
          </w:tcPr>
          <w:p w14:paraId="4005636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507" w:type="dxa"/>
            <w:vMerge/>
            <w:vAlign w:val="center"/>
            <w:hideMark/>
          </w:tcPr>
          <w:p w14:paraId="29C29319"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r>
      <w:tr w:rsidR="00682269" w:rsidRPr="00DE4E4F" w14:paraId="4B223485" w14:textId="77777777" w:rsidTr="00E97A98">
        <w:trPr>
          <w:trHeight w:val="313"/>
          <w:jc w:val="center"/>
        </w:trPr>
        <w:tc>
          <w:tcPr>
            <w:tcW w:w="778" w:type="dxa"/>
            <w:shd w:val="clear" w:color="auto" w:fill="C6EFCE"/>
            <w:noWrap/>
          </w:tcPr>
          <w:p w14:paraId="042AD1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100</w:t>
            </w:r>
          </w:p>
        </w:tc>
        <w:tc>
          <w:tcPr>
            <w:tcW w:w="1936" w:type="dxa"/>
            <w:shd w:val="clear" w:color="auto" w:fill="C6EFCE"/>
            <w:noWrap/>
          </w:tcPr>
          <w:p w14:paraId="79AF084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- 16779_Interoperability and web services development</w:t>
            </w:r>
          </w:p>
        </w:tc>
        <w:tc>
          <w:tcPr>
            <w:tcW w:w="1122" w:type="dxa"/>
            <w:shd w:val="clear" w:color="auto" w:fill="C6EFCE"/>
            <w:noWrap/>
          </w:tcPr>
          <w:p w14:paraId="4ADE1C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4604ED5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interoperability and web services development project</w:t>
            </w:r>
          </w:p>
        </w:tc>
        <w:tc>
          <w:tcPr>
            <w:tcW w:w="1912" w:type="dxa"/>
            <w:shd w:val="clear" w:color="auto" w:fill="C6EFCE"/>
            <w:noWrap/>
          </w:tcPr>
          <w:p w14:paraId="461149B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2046C78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661672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71BF063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485ECE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782D0ED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739EDE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Award of the contract for interoperability and web services development project. </w:t>
            </w:r>
          </w:p>
          <w:p w14:paraId="30D3DF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Ministry/General Secretariat of Information Systems for Public Sector/ Information Society SA shall examine all the submitted proposals and confirm whether the applications properly address the RFP demands. Upon the selection of the appropriate contractor, the Ministry shall proceed with a contract award which shall define the obligations, roles and responsibilities of both engagement parties.</w:t>
            </w:r>
          </w:p>
        </w:tc>
      </w:tr>
      <w:tr w:rsidR="00682269" w:rsidRPr="00DE4E4F" w14:paraId="5626FBBE" w14:textId="77777777" w:rsidTr="00E97A98">
        <w:trPr>
          <w:trHeight w:val="313"/>
          <w:jc w:val="center"/>
        </w:trPr>
        <w:tc>
          <w:tcPr>
            <w:tcW w:w="778" w:type="dxa"/>
            <w:shd w:val="clear" w:color="auto" w:fill="C6EFCE"/>
            <w:noWrap/>
          </w:tcPr>
          <w:p w14:paraId="7A45B0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101</w:t>
            </w:r>
          </w:p>
        </w:tc>
        <w:tc>
          <w:tcPr>
            <w:tcW w:w="1936" w:type="dxa"/>
            <w:shd w:val="clear" w:color="auto" w:fill="C6EFCE"/>
            <w:noWrap/>
          </w:tcPr>
          <w:p w14:paraId="5E9F64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- 16810_CRM for the General Government</w:t>
            </w:r>
          </w:p>
        </w:tc>
        <w:tc>
          <w:tcPr>
            <w:tcW w:w="1122" w:type="dxa"/>
            <w:shd w:val="clear" w:color="auto" w:fill="C6EFCE"/>
            <w:noWrap/>
          </w:tcPr>
          <w:p w14:paraId="23CE4F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3CCB75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Contract award for CRM for the General Government </w:t>
            </w:r>
          </w:p>
        </w:tc>
        <w:tc>
          <w:tcPr>
            <w:tcW w:w="1912" w:type="dxa"/>
            <w:shd w:val="clear" w:color="auto" w:fill="C6EFCE"/>
            <w:noWrap/>
          </w:tcPr>
          <w:p w14:paraId="64555D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39F07D5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A05794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1F0975C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48F716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4A3A231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3360AC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Award of the contract for CRM for the General Government. The Ministry/General Secretariat of Information Systems for Public Sector/ Information Society SA shall examine all the submitted proposals and confirm whether the applications properly address the RFP demands. </w:t>
            </w:r>
          </w:p>
          <w:p w14:paraId="1EC3BC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Upon the selection of the appropriate external partner, the Ministry shall proceed with a contract award which shall define the obligations, roles and responsibilities of both engagement parties.</w:t>
            </w:r>
          </w:p>
        </w:tc>
      </w:tr>
      <w:tr w:rsidR="00682269" w:rsidRPr="00DE4E4F" w14:paraId="2C71BB0A" w14:textId="77777777" w:rsidTr="00E97A98">
        <w:trPr>
          <w:trHeight w:val="313"/>
          <w:jc w:val="center"/>
        </w:trPr>
        <w:tc>
          <w:tcPr>
            <w:tcW w:w="778" w:type="dxa"/>
            <w:shd w:val="clear" w:color="auto" w:fill="C6EFCE"/>
            <w:noWrap/>
          </w:tcPr>
          <w:p w14:paraId="309490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102</w:t>
            </w:r>
          </w:p>
        </w:tc>
        <w:tc>
          <w:tcPr>
            <w:tcW w:w="1936" w:type="dxa"/>
            <w:shd w:val="clear" w:color="auto" w:fill="C6EFCE"/>
            <w:noWrap/>
          </w:tcPr>
          <w:p w14:paraId="4E82D33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- 16780_Modernisation of Public Administration’s One-Stop Shops</w:t>
            </w:r>
          </w:p>
        </w:tc>
        <w:tc>
          <w:tcPr>
            <w:tcW w:w="1122" w:type="dxa"/>
            <w:shd w:val="clear" w:color="auto" w:fill="C6EFCE"/>
            <w:noWrap/>
          </w:tcPr>
          <w:p w14:paraId="0BEDFC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4401C54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Further Modernisation of Public Administration’s One-Stop Shops</w:t>
            </w:r>
          </w:p>
        </w:tc>
        <w:tc>
          <w:tcPr>
            <w:tcW w:w="1912" w:type="dxa"/>
            <w:shd w:val="clear" w:color="auto" w:fill="C6EFCE"/>
            <w:noWrap/>
          </w:tcPr>
          <w:p w14:paraId="12F9A9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0EEA7CF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4C9A59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56E1733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220E8A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22D7E8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4FF385B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Award of the contract for the modernisation of Public Administration’s One-Stop Shops. </w:t>
            </w:r>
          </w:p>
          <w:p w14:paraId="4C5D25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Ministry/General Secretariat of Information Systems for Public Sector/ Information Society SA shall ensure that all the submitted proposals are examined and confirm whether the applications properly address the RFP demands. Upon the selection of the appropriate external partner, the Ministry shall proceed with a contract award which shall define the obligations, roles and responsibilities of both engagement parties.</w:t>
            </w:r>
          </w:p>
        </w:tc>
      </w:tr>
      <w:tr w:rsidR="00682269" w:rsidRPr="00DE4E4F" w14:paraId="58F050FA" w14:textId="77777777" w:rsidTr="00E97A98">
        <w:trPr>
          <w:trHeight w:val="313"/>
          <w:jc w:val="center"/>
        </w:trPr>
        <w:tc>
          <w:tcPr>
            <w:tcW w:w="778" w:type="dxa"/>
            <w:shd w:val="clear" w:color="auto" w:fill="C6EFCE"/>
            <w:noWrap/>
          </w:tcPr>
          <w:p w14:paraId="22212C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103</w:t>
            </w:r>
          </w:p>
        </w:tc>
        <w:tc>
          <w:tcPr>
            <w:tcW w:w="1936" w:type="dxa"/>
            <w:shd w:val="clear" w:color="auto" w:fill="C6EFCE"/>
            <w:noWrap/>
          </w:tcPr>
          <w:p w14:paraId="6DB30B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- 16736_New system for Public Procurements</w:t>
            </w:r>
          </w:p>
        </w:tc>
        <w:tc>
          <w:tcPr>
            <w:tcW w:w="1122" w:type="dxa"/>
            <w:shd w:val="clear" w:color="auto" w:fill="C6EFCE"/>
            <w:noWrap/>
          </w:tcPr>
          <w:p w14:paraId="08E015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17B002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New system for Public Procurements</w:t>
            </w:r>
          </w:p>
        </w:tc>
        <w:tc>
          <w:tcPr>
            <w:tcW w:w="1912" w:type="dxa"/>
            <w:shd w:val="clear" w:color="auto" w:fill="C6EFCE"/>
            <w:noWrap/>
          </w:tcPr>
          <w:p w14:paraId="5651645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0B8393E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1CE027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6742AC7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03DEFB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1C51961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00F8841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the contract for the project new system for Public Procurement. The Ministry/General Secretariat of Information Systems for Public Sector/ Information Society SA shall examine all the submitted proposals and confirm whether the applications properly address the RfP demands. Upon the selection of the appropriate contractor, the responsible body shall proceed with a contract award which shall define the obligations, roles and responsibilities of both engagement parties.</w:t>
            </w:r>
          </w:p>
        </w:tc>
      </w:tr>
      <w:tr w:rsidR="00682269" w:rsidRPr="00DE4E4F" w14:paraId="78E8E8CF" w14:textId="77777777" w:rsidTr="00E97A98">
        <w:trPr>
          <w:trHeight w:val="313"/>
          <w:jc w:val="center"/>
        </w:trPr>
        <w:tc>
          <w:tcPr>
            <w:tcW w:w="778" w:type="dxa"/>
            <w:shd w:val="clear" w:color="auto" w:fill="C6EFCE"/>
            <w:noWrap/>
          </w:tcPr>
          <w:p w14:paraId="165F72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104</w:t>
            </w:r>
          </w:p>
        </w:tc>
        <w:tc>
          <w:tcPr>
            <w:tcW w:w="1936" w:type="dxa"/>
            <w:shd w:val="clear" w:color="auto" w:fill="C6EFCE"/>
            <w:noWrap/>
          </w:tcPr>
          <w:p w14:paraId="66C691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- 16823_Cybersecurity strategy and policies for the Public Sector &amp; advanced security services for national critical infrastructures</w:t>
            </w:r>
          </w:p>
        </w:tc>
        <w:tc>
          <w:tcPr>
            <w:tcW w:w="1122" w:type="dxa"/>
            <w:shd w:val="clear" w:color="auto" w:fill="C6EFCE"/>
            <w:noWrap/>
          </w:tcPr>
          <w:p w14:paraId="6AB986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6A5E91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Cybersecurity strategy</w:t>
            </w:r>
          </w:p>
        </w:tc>
        <w:tc>
          <w:tcPr>
            <w:tcW w:w="1912" w:type="dxa"/>
            <w:shd w:val="clear" w:color="auto" w:fill="C6EFCE"/>
            <w:noWrap/>
          </w:tcPr>
          <w:p w14:paraId="48FE95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69B4C72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74A2AF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535F3E3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07E2A0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1C404DC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69F50C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the contract for the project cybersecurity strategy and policies for the Public Sector &amp; advanced security services for national critical infrastructures. Upon the selection of the appropriate external consultant, the Ministry shall proceed with a contract award which shall define the obligations, roles and responsibilities of both engagement parties.</w:t>
            </w:r>
          </w:p>
        </w:tc>
      </w:tr>
      <w:tr w:rsidR="00682269" w:rsidRPr="00DE4E4F" w14:paraId="680E52C5" w14:textId="77777777" w:rsidTr="00E97A98">
        <w:trPr>
          <w:trHeight w:val="313"/>
          <w:jc w:val="center"/>
        </w:trPr>
        <w:tc>
          <w:tcPr>
            <w:tcW w:w="778" w:type="dxa"/>
            <w:shd w:val="clear" w:color="auto" w:fill="C6EFCE"/>
            <w:noWrap/>
          </w:tcPr>
          <w:p w14:paraId="1A384BE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105</w:t>
            </w:r>
          </w:p>
        </w:tc>
        <w:tc>
          <w:tcPr>
            <w:tcW w:w="1936" w:type="dxa"/>
            <w:shd w:val="clear" w:color="auto" w:fill="C6EFCE"/>
            <w:noWrap/>
          </w:tcPr>
          <w:p w14:paraId="7CC4BC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- 16826_Digital skills upgrade programs for conscripts</w:t>
            </w:r>
          </w:p>
        </w:tc>
        <w:tc>
          <w:tcPr>
            <w:tcW w:w="1122" w:type="dxa"/>
            <w:shd w:val="clear" w:color="auto" w:fill="C6EFCE"/>
            <w:noWrap/>
          </w:tcPr>
          <w:p w14:paraId="2289F7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21F45C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Digital skills upgrade programs for conscripts</w:t>
            </w:r>
          </w:p>
        </w:tc>
        <w:tc>
          <w:tcPr>
            <w:tcW w:w="1912" w:type="dxa"/>
            <w:shd w:val="clear" w:color="auto" w:fill="C6EFCE"/>
            <w:noWrap/>
          </w:tcPr>
          <w:p w14:paraId="36912D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7A85B26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7619278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3E0E3C4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432B99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7A9B94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3D9A6B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the contract for the Digital skills upgrade programs for conscripts. The Ministry shall examine all the submitted proposals and confirm whether the applications properly address the RFP demands. Upon the selection of the appropriate external partner, the Ministry shall proceed with a contract award which shall define the obligations, roles and responsibilities of both engagement parties.</w:t>
            </w:r>
          </w:p>
        </w:tc>
      </w:tr>
      <w:tr w:rsidR="00682269" w:rsidRPr="00DE4E4F" w14:paraId="42242F57" w14:textId="77777777" w:rsidTr="00E97A98">
        <w:trPr>
          <w:trHeight w:val="313"/>
          <w:jc w:val="center"/>
        </w:trPr>
        <w:tc>
          <w:tcPr>
            <w:tcW w:w="778" w:type="dxa"/>
            <w:shd w:val="clear" w:color="auto" w:fill="C6EFCE"/>
            <w:noWrap/>
          </w:tcPr>
          <w:p w14:paraId="088A3C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106</w:t>
            </w:r>
          </w:p>
        </w:tc>
        <w:tc>
          <w:tcPr>
            <w:tcW w:w="1936" w:type="dxa"/>
            <w:shd w:val="clear" w:color="auto" w:fill="C6EFCE"/>
            <w:noWrap/>
          </w:tcPr>
          <w:p w14:paraId="3A518AB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- 16742_Digital transformation of the Ministry of Foreign Affairs</w:t>
            </w:r>
          </w:p>
        </w:tc>
        <w:tc>
          <w:tcPr>
            <w:tcW w:w="1122" w:type="dxa"/>
            <w:shd w:val="clear" w:color="auto" w:fill="C6EFCE"/>
            <w:noWrap/>
          </w:tcPr>
          <w:p w14:paraId="6542CC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4EBF0F8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Digital transformation of the Ministry of Foreign Affairs</w:t>
            </w:r>
          </w:p>
        </w:tc>
        <w:tc>
          <w:tcPr>
            <w:tcW w:w="1912" w:type="dxa"/>
            <w:shd w:val="clear" w:color="auto" w:fill="C6EFCE"/>
            <w:noWrap/>
          </w:tcPr>
          <w:p w14:paraId="12C487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189EE0D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22257BB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1307F7D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33BCD81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6EB9C4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67B5BD1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the contract for Digital transformation of the Ministry of Foreign Affairs. The Ministry shall examine all the submitted proposals and confirm whether the applications properly address the RFP demands. Upon the selection of the appropriate external partner, the Ministry shall proceed with a contract award which shall define the obligations, roles and responsibilities of both engagement parties.</w:t>
            </w:r>
          </w:p>
        </w:tc>
      </w:tr>
      <w:tr w:rsidR="00682269" w:rsidRPr="00DE4E4F" w14:paraId="08FFFC19" w14:textId="77777777" w:rsidTr="00E97A98">
        <w:trPr>
          <w:trHeight w:val="313"/>
          <w:jc w:val="center"/>
        </w:trPr>
        <w:tc>
          <w:tcPr>
            <w:tcW w:w="778" w:type="dxa"/>
            <w:shd w:val="clear" w:color="auto" w:fill="C6EFCE"/>
            <w:noWrap/>
          </w:tcPr>
          <w:p w14:paraId="0138EC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107</w:t>
            </w:r>
          </w:p>
        </w:tc>
        <w:tc>
          <w:tcPr>
            <w:tcW w:w="1936" w:type="dxa"/>
            <w:shd w:val="clear" w:color="auto" w:fill="C6EFCE"/>
            <w:noWrap/>
          </w:tcPr>
          <w:p w14:paraId="7FD4F648" w14:textId="7F73D71F"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- 16824_E</w:t>
            </w:r>
            <w:r w:rsidR="000F4ECD">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Registries</w:t>
            </w:r>
          </w:p>
        </w:tc>
        <w:tc>
          <w:tcPr>
            <w:tcW w:w="1122" w:type="dxa"/>
            <w:shd w:val="clear" w:color="auto" w:fill="C6EFCE"/>
            <w:noWrap/>
          </w:tcPr>
          <w:p w14:paraId="27F932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1E237C6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E-Registries</w:t>
            </w:r>
          </w:p>
        </w:tc>
        <w:tc>
          <w:tcPr>
            <w:tcW w:w="1912" w:type="dxa"/>
            <w:shd w:val="clear" w:color="auto" w:fill="C6EFCE"/>
            <w:noWrap/>
          </w:tcPr>
          <w:p w14:paraId="526827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041" w:type="dxa"/>
            <w:shd w:val="clear" w:color="auto" w:fill="C6EFCE"/>
            <w:noWrap/>
          </w:tcPr>
          <w:p w14:paraId="00CAC52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7DFA240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00464AD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23B0DA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52B042D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07" w:type="dxa"/>
            <w:shd w:val="clear" w:color="auto" w:fill="C6EFCE"/>
            <w:noWrap/>
          </w:tcPr>
          <w:p w14:paraId="4F0189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the contract for the E-Registries project. The Ministry/General Secretariat of Information Systems for Public Sector/ Information Society SA shall examine all the submitted proposals and confirm whether the applications properly address the RFP demands. Upon the selection of the appropriate external partner, the Ministry shall proceed with a contract award which shall define the obligations, roles and responsibilities of both engagement parties.</w:t>
            </w:r>
          </w:p>
        </w:tc>
      </w:tr>
      <w:tr w:rsidR="00682269" w:rsidRPr="00DE4E4F" w14:paraId="3B2ABF57" w14:textId="77777777" w:rsidTr="00E97A98">
        <w:trPr>
          <w:trHeight w:val="313"/>
          <w:jc w:val="center"/>
        </w:trPr>
        <w:tc>
          <w:tcPr>
            <w:tcW w:w="778" w:type="dxa"/>
            <w:shd w:val="clear" w:color="auto" w:fill="C6EFCE"/>
            <w:noWrap/>
          </w:tcPr>
          <w:p w14:paraId="5F7704D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108</w:t>
            </w:r>
          </w:p>
        </w:tc>
        <w:tc>
          <w:tcPr>
            <w:tcW w:w="1936" w:type="dxa"/>
            <w:shd w:val="clear" w:color="auto" w:fill="C6EFCE"/>
            <w:noWrap/>
          </w:tcPr>
          <w:p w14:paraId="7401FAC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- 16779_ Web services and Next-Generation Interoperability Centre (KED)</w:t>
            </w:r>
          </w:p>
        </w:tc>
        <w:tc>
          <w:tcPr>
            <w:tcW w:w="1122" w:type="dxa"/>
            <w:shd w:val="clear" w:color="auto" w:fill="C6EFCE"/>
            <w:noWrap/>
          </w:tcPr>
          <w:p w14:paraId="0AFDBCF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43473D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web services and Next Generation Interoperability Centre (KED)</w:t>
            </w:r>
          </w:p>
        </w:tc>
        <w:tc>
          <w:tcPr>
            <w:tcW w:w="1912" w:type="dxa"/>
            <w:shd w:val="clear" w:color="auto" w:fill="C6EFCE"/>
            <w:noWrap/>
          </w:tcPr>
          <w:p w14:paraId="1F0F35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web services and Next Generation Interoperability Centre (KED) </w:t>
            </w:r>
          </w:p>
        </w:tc>
        <w:tc>
          <w:tcPr>
            <w:tcW w:w="1041" w:type="dxa"/>
            <w:shd w:val="clear" w:color="auto" w:fill="C6EFCE"/>
            <w:noWrap/>
          </w:tcPr>
          <w:p w14:paraId="257D016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47AC716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3D86C50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76422E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63F660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7DE4520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Next Generation Interoperability Centre (KED) and of web services. </w:t>
            </w:r>
          </w:p>
        </w:tc>
      </w:tr>
      <w:tr w:rsidR="00682269" w:rsidRPr="00DE4E4F" w14:paraId="21266F5D" w14:textId="77777777" w:rsidTr="00E97A98">
        <w:trPr>
          <w:trHeight w:val="313"/>
          <w:jc w:val="center"/>
        </w:trPr>
        <w:tc>
          <w:tcPr>
            <w:tcW w:w="778" w:type="dxa"/>
            <w:shd w:val="clear" w:color="auto" w:fill="C6EFCE"/>
            <w:noWrap/>
          </w:tcPr>
          <w:p w14:paraId="71FB31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109</w:t>
            </w:r>
          </w:p>
        </w:tc>
        <w:tc>
          <w:tcPr>
            <w:tcW w:w="1936" w:type="dxa"/>
            <w:shd w:val="clear" w:color="auto" w:fill="C6EFCE"/>
            <w:noWrap/>
          </w:tcPr>
          <w:p w14:paraId="4CA5794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- 16810_CRM for the General Government</w:t>
            </w:r>
          </w:p>
        </w:tc>
        <w:tc>
          <w:tcPr>
            <w:tcW w:w="1122" w:type="dxa"/>
            <w:shd w:val="clear" w:color="auto" w:fill="C6EFCE"/>
            <w:noWrap/>
          </w:tcPr>
          <w:p w14:paraId="032B352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2BA2B2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Customer Relationship Management system for the General Government and Gov.gr – messenger </w:t>
            </w:r>
          </w:p>
        </w:tc>
        <w:tc>
          <w:tcPr>
            <w:tcW w:w="1912" w:type="dxa"/>
            <w:shd w:val="clear" w:color="auto" w:fill="C6EFCE"/>
            <w:noWrap/>
          </w:tcPr>
          <w:p w14:paraId="1BB1F4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CRM system and of Gov. gr – messenger</w:t>
            </w:r>
          </w:p>
        </w:tc>
        <w:tc>
          <w:tcPr>
            <w:tcW w:w="1041" w:type="dxa"/>
            <w:shd w:val="clear" w:color="auto" w:fill="C6EFCE"/>
            <w:noWrap/>
          </w:tcPr>
          <w:p w14:paraId="14F36E2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9D5852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6F62828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313699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11" w:type="dxa"/>
            <w:shd w:val="clear" w:color="auto" w:fill="C6EFCE"/>
            <w:noWrap/>
          </w:tcPr>
          <w:p w14:paraId="16A3655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157413C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milestone requires the delivery of: a) a Customer Relationship Management system for the general government, enabling the management of the public administration’s interactions with citizens and businesses, and b) an integrated system for electronic communication between the systems and services of the Public Sector and Greek citizens (Gov. gr – messenger).</w:t>
            </w:r>
          </w:p>
        </w:tc>
      </w:tr>
      <w:tr w:rsidR="00682269" w:rsidRPr="00DE4E4F" w14:paraId="521C610A" w14:textId="77777777" w:rsidTr="00E97A98">
        <w:trPr>
          <w:trHeight w:val="313"/>
          <w:jc w:val="center"/>
        </w:trPr>
        <w:tc>
          <w:tcPr>
            <w:tcW w:w="778" w:type="dxa"/>
            <w:shd w:val="clear" w:color="auto" w:fill="C6EFCE"/>
            <w:noWrap/>
          </w:tcPr>
          <w:p w14:paraId="5A8B089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110a</w:t>
            </w:r>
          </w:p>
        </w:tc>
        <w:tc>
          <w:tcPr>
            <w:tcW w:w="1936" w:type="dxa"/>
            <w:shd w:val="clear" w:color="auto" w:fill="C6EFCE"/>
            <w:noWrap/>
          </w:tcPr>
          <w:p w14:paraId="22D67A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- 16780_Modernisation of Public Administration’s One-Stop Shops</w:t>
            </w:r>
          </w:p>
        </w:tc>
        <w:tc>
          <w:tcPr>
            <w:tcW w:w="1122" w:type="dxa"/>
            <w:shd w:val="clear" w:color="auto" w:fill="C6EFCE"/>
            <w:noWrap/>
          </w:tcPr>
          <w:p w14:paraId="191FB5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708A2495" w14:textId="5A31BAA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project modernisation of one-stop-shops</w:t>
            </w:r>
            <w:r w:rsidR="00DE4C0C" w:rsidRPr="00DE4E4F">
              <w:rPr>
                <w:rFonts w:ascii="Times New Roman" w:hAnsi="Times New Roman" w:cs="Times New Roman"/>
                <w:noProof/>
                <w:color w:val="006100"/>
                <w:sz w:val="18"/>
                <w:szCs w:val="18"/>
              </w:rPr>
              <w:t xml:space="preserve"> </w:t>
            </w:r>
          </w:p>
        </w:tc>
        <w:tc>
          <w:tcPr>
            <w:tcW w:w="1912" w:type="dxa"/>
            <w:shd w:val="clear" w:color="auto" w:fill="C6EFCE"/>
            <w:noWrap/>
          </w:tcPr>
          <w:p w14:paraId="7EAA6D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equipment for the modernisation of Public Administration’s One-Stop Shops</w:t>
            </w:r>
          </w:p>
        </w:tc>
        <w:tc>
          <w:tcPr>
            <w:tcW w:w="1041" w:type="dxa"/>
            <w:shd w:val="clear" w:color="auto" w:fill="C6EFCE"/>
            <w:noWrap/>
          </w:tcPr>
          <w:p w14:paraId="6B432D1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0B266A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5BD86C0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18B462C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5B3EC5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507" w:type="dxa"/>
            <w:shd w:val="clear" w:color="auto" w:fill="C6EFCE"/>
            <w:noWrap/>
          </w:tcPr>
          <w:p w14:paraId="123D3B66" w14:textId="62B98B55"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i) 6 325 PCs/printers/tablets, ii) 145 systems for queue management and</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notification, iii) 730 feedback terminals. </w:t>
            </w:r>
          </w:p>
        </w:tc>
      </w:tr>
      <w:tr w:rsidR="00682269" w:rsidRPr="00DE4E4F" w14:paraId="6E315F35" w14:textId="77777777" w:rsidTr="00E97A98">
        <w:trPr>
          <w:trHeight w:val="300"/>
          <w:jc w:val="center"/>
        </w:trPr>
        <w:tc>
          <w:tcPr>
            <w:tcW w:w="778" w:type="dxa"/>
            <w:shd w:val="clear" w:color="auto" w:fill="C6EFCE"/>
            <w:noWrap/>
          </w:tcPr>
          <w:p w14:paraId="25C3A430"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110b</w:t>
            </w:r>
          </w:p>
        </w:tc>
        <w:tc>
          <w:tcPr>
            <w:tcW w:w="1936" w:type="dxa"/>
            <w:shd w:val="clear" w:color="auto" w:fill="C6EFCE"/>
            <w:noWrap/>
          </w:tcPr>
          <w:p w14:paraId="5D7E79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- 16780_Modernisation of Public Administration’s One-Stop Shops</w:t>
            </w:r>
          </w:p>
        </w:tc>
        <w:tc>
          <w:tcPr>
            <w:tcW w:w="1122" w:type="dxa"/>
            <w:shd w:val="clear" w:color="auto" w:fill="C6EFCE"/>
            <w:noWrap/>
          </w:tcPr>
          <w:p w14:paraId="5819B8DE"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6DD60911"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of public administration’s one-stop-shops</w:t>
            </w:r>
          </w:p>
        </w:tc>
        <w:tc>
          <w:tcPr>
            <w:tcW w:w="1912" w:type="dxa"/>
            <w:shd w:val="clear" w:color="auto" w:fill="C6EFCE"/>
            <w:noWrap/>
          </w:tcPr>
          <w:p w14:paraId="4726CB02"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of public administration’s one-stop-shops</w:t>
            </w:r>
          </w:p>
        </w:tc>
        <w:tc>
          <w:tcPr>
            <w:tcW w:w="1041" w:type="dxa"/>
            <w:shd w:val="clear" w:color="auto" w:fill="C6EFCE"/>
            <w:noWrap/>
          </w:tcPr>
          <w:p w14:paraId="3646F30E"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5AE72611"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70AC4D0A"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1D1463EF"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324A7F7F"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6F0A0366"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of 360 public administration’s one-stop-shops.</w:t>
            </w:r>
          </w:p>
        </w:tc>
      </w:tr>
      <w:tr w:rsidR="00682269" w:rsidRPr="00DE4E4F" w14:paraId="2D040CB6" w14:textId="77777777" w:rsidTr="00E97A98">
        <w:trPr>
          <w:trHeight w:val="313"/>
          <w:jc w:val="center"/>
        </w:trPr>
        <w:tc>
          <w:tcPr>
            <w:tcW w:w="778" w:type="dxa"/>
            <w:shd w:val="clear" w:color="auto" w:fill="C6EFCE"/>
            <w:noWrap/>
          </w:tcPr>
          <w:p w14:paraId="771E57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112</w:t>
            </w:r>
          </w:p>
        </w:tc>
        <w:tc>
          <w:tcPr>
            <w:tcW w:w="1936" w:type="dxa"/>
            <w:shd w:val="clear" w:color="auto" w:fill="C6EFCE"/>
            <w:noWrap/>
          </w:tcPr>
          <w:p w14:paraId="6210F0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- 16823_Cybersecurity strategy and National Security Operations Centre</w:t>
            </w:r>
          </w:p>
        </w:tc>
        <w:tc>
          <w:tcPr>
            <w:tcW w:w="1122" w:type="dxa"/>
            <w:shd w:val="clear" w:color="auto" w:fill="C6EFCE"/>
            <w:noWrap/>
          </w:tcPr>
          <w:p w14:paraId="3EDA93E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6268456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Cybersecurity strategy and National Security Operations Centre </w:t>
            </w:r>
          </w:p>
        </w:tc>
        <w:tc>
          <w:tcPr>
            <w:tcW w:w="1912" w:type="dxa"/>
            <w:shd w:val="clear" w:color="auto" w:fill="C6EFCE"/>
            <w:noWrap/>
          </w:tcPr>
          <w:p w14:paraId="553A72E1" w14:textId="6100345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w:t>
            </w:r>
            <w:r w:rsidR="00DE4E4F" w:rsidRPr="00DE4E4F">
              <w:rPr>
                <w:rFonts w:ascii="Times New Roman" w:hAnsi="Times New Roman" w:cs="Times New Roman"/>
                <w:noProof/>
                <w:color w:val="006100"/>
                <w:sz w:val="18"/>
                <w:szCs w:val="18"/>
              </w:rPr>
              <w:t>Cybersecurity</w:t>
            </w:r>
            <w:r w:rsidRPr="00DE4E4F">
              <w:rPr>
                <w:rFonts w:ascii="Times New Roman" w:hAnsi="Times New Roman" w:cs="Times New Roman"/>
                <w:noProof/>
                <w:color w:val="006100"/>
                <w:sz w:val="18"/>
                <w:szCs w:val="18"/>
              </w:rPr>
              <w:t xml:space="preserve"> Strategy and National Security Operations Centre</w:t>
            </w:r>
          </w:p>
        </w:tc>
        <w:tc>
          <w:tcPr>
            <w:tcW w:w="1041" w:type="dxa"/>
            <w:shd w:val="clear" w:color="auto" w:fill="C6EFCE"/>
            <w:noWrap/>
          </w:tcPr>
          <w:p w14:paraId="3E55F70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02F1D65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12B81CC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3C33A9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24EC040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507" w:type="dxa"/>
            <w:shd w:val="clear" w:color="auto" w:fill="C6EFCE"/>
            <w:noWrap/>
          </w:tcPr>
          <w:p w14:paraId="0D63140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i) Cybersecurity Strategy ii) the National Security Operations Centre (SOC)</w:t>
            </w:r>
          </w:p>
        </w:tc>
      </w:tr>
      <w:tr w:rsidR="00682269" w:rsidRPr="00DE4E4F" w14:paraId="70BF36BD" w14:textId="77777777" w:rsidTr="00E97A98">
        <w:trPr>
          <w:trHeight w:val="313"/>
          <w:jc w:val="center"/>
        </w:trPr>
        <w:tc>
          <w:tcPr>
            <w:tcW w:w="778" w:type="dxa"/>
            <w:shd w:val="clear" w:color="auto" w:fill="C6EFCE"/>
            <w:noWrap/>
          </w:tcPr>
          <w:p w14:paraId="0F6876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113</w:t>
            </w:r>
          </w:p>
        </w:tc>
        <w:tc>
          <w:tcPr>
            <w:tcW w:w="1936" w:type="dxa"/>
            <w:shd w:val="clear" w:color="auto" w:fill="C6EFCE"/>
            <w:noWrap/>
          </w:tcPr>
          <w:p w14:paraId="359661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- 16738_Central Document Management System</w:t>
            </w:r>
          </w:p>
        </w:tc>
        <w:tc>
          <w:tcPr>
            <w:tcW w:w="1122" w:type="dxa"/>
            <w:shd w:val="clear" w:color="auto" w:fill="C6EFCE"/>
            <w:noWrap/>
          </w:tcPr>
          <w:p w14:paraId="65188F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7A3B30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of Central Document Management System Project </w:t>
            </w:r>
          </w:p>
        </w:tc>
        <w:tc>
          <w:tcPr>
            <w:tcW w:w="1912" w:type="dxa"/>
            <w:shd w:val="clear" w:color="auto" w:fill="C6EFCE"/>
            <w:noWrap/>
          </w:tcPr>
          <w:p w14:paraId="4BC3AAC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Final report by the Ministry of Digital Governance documenting the completion of the Central Document Management System</w:t>
            </w:r>
          </w:p>
        </w:tc>
        <w:tc>
          <w:tcPr>
            <w:tcW w:w="1041" w:type="dxa"/>
            <w:shd w:val="clear" w:color="auto" w:fill="C6EFCE"/>
            <w:noWrap/>
          </w:tcPr>
          <w:p w14:paraId="2C7B8EC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1B2227A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085777E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1E9F8A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11" w:type="dxa"/>
            <w:shd w:val="clear" w:color="auto" w:fill="C6EFCE"/>
            <w:noWrap/>
          </w:tcPr>
          <w:p w14:paraId="6997B3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507" w:type="dxa"/>
            <w:shd w:val="clear" w:color="auto" w:fill="C6EFCE"/>
            <w:noWrap/>
          </w:tcPr>
          <w:p w14:paraId="7BC7D5B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Central Document Management System is operational, including the supply of </w:t>
            </w:r>
          </w:p>
          <w:p w14:paraId="3C5DAC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20 000 approved remote digital signatures, supported by applications and a help desk.</w:t>
            </w:r>
          </w:p>
        </w:tc>
      </w:tr>
      <w:tr w:rsidR="00682269" w:rsidRPr="00DE4E4F" w14:paraId="718C8C14" w14:textId="77777777" w:rsidTr="00E97A98">
        <w:trPr>
          <w:trHeight w:val="313"/>
          <w:jc w:val="center"/>
        </w:trPr>
        <w:tc>
          <w:tcPr>
            <w:tcW w:w="778" w:type="dxa"/>
            <w:shd w:val="clear" w:color="auto" w:fill="C6EFCE"/>
            <w:noWrap/>
          </w:tcPr>
          <w:p w14:paraId="72A3F7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114</w:t>
            </w:r>
          </w:p>
        </w:tc>
        <w:tc>
          <w:tcPr>
            <w:tcW w:w="1936" w:type="dxa"/>
            <w:shd w:val="clear" w:color="auto" w:fill="C6EFCE"/>
            <w:noWrap/>
          </w:tcPr>
          <w:p w14:paraId="175BF4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- 16742_Digital transformation of the Ministry of Foreign Affairs</w:t>
            </w:r>
          </w:p>
        </w:tc>
        <w:tc>
          <w:tcPr>
            <w:tcW w:w="1122" w:type="dxa"/>
            <w:shd w:val="clear" w:color="auto" w:fill="C6EFCE"/>
            <w:noWrap/>
          </w:tcPr>
          <w:p w14:paraId="3DBDA3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2F3F59D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the Ministry of Foreign Affairs</w:t>
            </w:r>
          </w:p>
        </w:tc>
        <w:tc>
          <w:tcPr>
            <w:tcW w:w="1912" w:type="dxa"/>
            <w:shd w:val="clear" w:color="auto" w:fill="C6EFCE"/>
            <w:noWrap/>
          </w:tcPr>
          <w:p w14:paraId="2C6627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sub projects of the ‘Digitalisation of the Ministry of Foreign Affairs’ project</w:t>
            </w:r>
          </w:p>
        </w:tc>
        <w:tc>
          <w:tcPr>
            <w:tcW w:w="1041" w:type="dxa"/>
            <w:shd w:val="clear" w:color="auto" w:fill="C6EFCE"/>
            <w:noWrap/>
          </w:tcPr>
          <w:p w14:paraId="6613D07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2131C2F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0D10839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4D955B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11" w:type="dxa"/>
            <w:shd w:val="clear" w:color="auto" w:fill="C6EFCE"/>
            <w:noWrap/>
          </w:tcPr>
          <w:p w14:paraId="75E6EBD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36F1B3D4" w14:textId="24D53E51"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(1) Strategic and Operational Planning support system, (2) Digitization of </w:t>
            </w:r>
            <w:r w:rsidR="4BB68871" w:rsidRPr="00DE4E4F">
              <w:rPr>
                <w:rFonts w:ascii="Times New Roman" w:eastAsia="Times New Roman" w:hAnsi="Times New Roman" w:cs="Times New Roman"/>
                <w:noProof/>
                <w:color w:val="006100"/>
                <w:sz w:val="20"/>
                <w:szCs w:val="20"/>
              </w:rPr>
              <w:t>31</w:t>
            </w:r>
            <w:r w:rsidR="009E2E69" w:rsidRPr="00DE4E4F">
              <w:rPr>
                <w:rFonts w:ascii="Times New Roman" w:eastAsia="Times New Roman" w:hAnsi="Times New Roman" w:cs="Times New Roman"/>
                <w:noProof/>
                <w:color w:val="006100"/>
                <w:sz w:val="20"/>
                <w:szCs w:val="20"/>
              </w:rPr>
              <w:t> </w:t>
            </w:r>
            <w:r w:rsidR="4BB68871" w:rsidRPr="00DE4E4F">
              <w:rPr>
                <w:rFonts w:ascii="Times New Roman" w:eastAsia="Times New Roman" w:hAnsi="Times New Roman" w:cs="Times New Roman"/>
                <w:noProof/>
                <w:color w:val="006100"/>
                <w:sz w:val="20"/>
                <w:szCs w:val="20"/>
              </w:rPr>
              <w:t>269</w:t>
            </w:r>
            <w:r w:rsidR="009E2E69" w:rsidRPr="00DE4E4F">
              <w:rPr>
                <w:rFonts w:ascii="Times New Roman" w:eastAsia="Times New Roman" w:hAnsi="Times New Roman" w:cs="Times New Roman"/>
                <w:noProof/>
                <w:color w:val="006100"/>
                <w:sz w:val="20"/>
                <w:szCs w:val="20"/>
              </w:rPr>
              <w:t> </w:t>
            </w:r>
            <w:r w:rsidR="4BB68871" w:rsidRPr="00DE4E4F">
              <w:rPr>
                <w:rFonts w:ascii="Times New Roman" w:eastAsia="Times New Roman" w:hAnsi="Times New Roman" w:cs="Times New Roman"/>
                <w:noProof/>
                <w:color w:val="006100"/>
                <w:sz w:val="20"/>
                <w:szCs w:val="20"/>
              </w:rPr>
              <w:t>486 pages of</w:t>
            </w:r>
            <w:r w:rsidRPr="00DE4E4F">
              <w:rPr>
                <w:rFonts w:ascii="Times New Roman" w:hAnsi="Times New Roman" w:cs="Times New Roman"/>
                <w:noProof/>
                <w:color w:val="006100"/>
                <w:sz w:val="18"/>
                <w:szCs w:val="18"/>
              </w:rPr>
              <w:t xml:space="preserve"> the Diplomatic and Historical Archives, (3) Global Digital Information Centre Platform, and (4)</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cryptographic &amp; telecom</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infrastructure.</w:t>
            </w:r>
          </w:p>
        </w:tc>
      </w:tr>
      <w:tr w:rsidR="00682269" w:rsidRPr="00DE4E4F" w14:paraId="389C1642" w14:textId="77777777" w:rsidTr="00E97A98">
        <w:trPr>
          <w:trHeight w:val="313"/>
          <w:jc w:val="center"/>
        </w:trPr>
        <w:tc>
          <w:tcPr>
            <w:tcW w:w="778" w:type="dxa"/>
            <w:shd w:val="clear" w:color="auto" w:fill="C6EFCE"/>
            <w:noWrap/>
          </w:tcPr>
          <w:p w14:paraId="37E6C0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115</w:t>
            </w:r>
          </w:p>
        </w:tc>
        <w:tc>
          <w:tcPr>
            <w:tcW w:w="1936" w:type="dxa"/>
            <w:shd w:val="clear" w:color="auto" w:fill="C6EFCE"/>
            <w:noWrap/>
          </w:tcPr>
          <w:p w14:paraId="2A7C2A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- 16791_Digital Transformation of the Greek National Tourism Organisation</w:t>
            </w:r>
          </w:p>
        </w:tc>
        <w:tc>
          <w:tcPr>
            <w:tcW w:w="1122" w:type="dxa"/>
            <w:shd w:val="clear" w:color="auto" w:fill="C6EFCE"/>
            <w:noWrap/>
          </w:tcPr>
          <w:p w14:paraId="787A8A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102E40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Digitalisation of the Greek National Tourism Organisation </w:t>
            </w:r>
          </w:p>
        </w:tc>
        <w:tc>
          <w:tcPr>
            <w:tcW w:w="1912" w:type="dxa"/>
            <w:shd w:val="clear" w:color="auto" w:fill="C6EFCE"/>
            <w:noWrap/>
          </w:tcPr>
          <w:p w14:paraId="59670D6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‘Digital Transformation of the Greek National Tourism Organization’ project</w:t>
            </w:r>
          </w:p>
        </w:tc>
        <w:tc>
          <w:tcPr>
            <w:tcW w:w="1041" w:type="dxa"/>
            <w:shd w:val="clear" w:color="auto" w:fill="C6EFCE"/>
            <w:noWrap/>
          </w:tcPr>
          <w:p w14:paraId="617A84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342AEF8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6E33E13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5753C64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11" w:type="dxa"/>
            <w:shd w:val="clear" w:color="auto" w:fill="C6EFCE"/>
            <w:noWrap/>
          </w:tcPr>
          <w:p w14:paraId="43EAA7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1C1A50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creation (1) of a digital tourist map, (2) a digital repository of Greece’s cultural assets and (3) a new system for tourism information.</w:t>
            </w:r>
          </w:p>
        </w:tc>
      </w:tr>
      <w:tr w:rsidR="00682269" w:rsidRPr="00DE4E4F" w14:paraId="2EEFC947" w14:textId="77777777" w:rsidTr="00E97A98">
        <w:trPr>
          <w:trHeight w:val="313"/>
          <w:jc w:val="center"/>
        </w:trPr>
        <w:tc>
          <w:tcPr>
            <w:tcW w:w="778" w:type="dxa"/>
            <w:shd w:val="clear" w:color="auto" w:fill="C6EFCE"/>
            <w:noWrap/>
          </w:tcPr>
          <w:p w14:paraId="570EA6C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119</w:t>
            </w:r>
          </w:p>
        </w:tc>
        <w:tc>
          <w:tcPr>
            <w:tcW w:w="1936" w:type="dxa"/>
            <w:shd w:val="clear" w:color="auto" w:fill="C6EFCE"/>
            <w:noWrap/>
          </w:tcPr>
          <w:p w14:paraId="682056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- 16736_New system for Public Procurements</w:t>
            </w:r>
          </w:p>
        </w:tc>
        <w:tc>
          <w:tcPr>
            <w:tcW w:w="1122" w:type="dxa"/>
            <w:shd w:val="clear" w:color="auto" w:fill="C6EFCE"/>
            <w:noWrap/>
          </w:tcPr>
          <w:p w14:paraId="3BB415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06B125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new system for public procurement </w:t>
            </w:r>
          </w:p>
        </w:tc>
        <w:tc>
          <w:tcPr>
            <w:tcW w:w="1912" w:type="dxa"/>
            <w:shd w:val="clear" w:color="auto" w:fill="C6EFCE"/>
            <w:noWrap/>
          </w:tcPr>
          <w:p w14:paraId="550054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‘new system for public procurement’</w:t>
            </w:r>
          </w:p>
        </w:tc>
        <w:tc>
          <w:tcPr>
            <w:tcW w:w="1041" w:type="dxa"/>
            <w:shd w:val="clear" w:color="auto" w:fill="C6EFCE"/>
            <w:noWrap/>
          </w:tcPr>
          <w:p w14:paraId="08BBE0C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2AAB444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0766452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7977FD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0B4BB0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71B103E8" w14:textId="4E8990EB" w:rsidR="001B186F" w:rsidRPr="00DE4E4F" w:rsidRDefault="00F12F19">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Delivery of the new system for Public Procurements to put in place a new e-procurement portal (ESIDIS), with upgraded subsystems, interoperability with other systems, new security features, and support tools for economic operators and contracting authorities.</w:t>
            </w:r>
          </w:p>
        </w:tc>
      </w:tr>
      <w:tr w:rsidR="00682269" w:rsidRPr="00DE4E4F" w14:paraId="6D512DCF" w14:textId="77777777" w:rsidTr="00E97A98">
        <w:trPr>
          <w:trHeight w:val="313"/>
          <w:jc w:val="center"/>
        </w:trPr>
        <w:tc>
          <w:tcPr>
            <w:tcW w:w="778" w:type="dxa"/>
            <w:shd w:val="clear" w:color="auto" w:fill="C6EFCE"/>
            <w:noWrap/>
          </w:tcPr>
          <w:p w14:paraId="400975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120</w:t>
            </w:r>
          </w:p>
        </w:tc>
        <w:tc>
          <w:tcPr>
            <w:tcW w:w="1936" w:type="dxa"/>
            <w:shd w:val="clear" w:color="auto" w:fill="C6EFCE"/>
            <w:noWrap/>
          </w:tcPr>
          <w:p w14:paraId="45DFE9CD" w14:textId="1A10B394"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- 16824_E</w:t>
            </w:r>
            <w:r w:rsidR="000F4ECD">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Registries</w:t>
            </w:r>
          </w:p>
        </w:tc>
        <w:tc>
          <w:tcPr>
            <w:tcW w:w="1122" w:type="dxa"/>
            <w:shd w:val="clear" w:color="auto" w:fill="C6EFCE"/>
            <w:noWrap/>
          </w:tcPr>
          <w:p w14:paraId="3A1943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48" w:type="dxa"/>
            <w:shd w:val="clear" w:color="auto" w:fill="C6EFCE"/>
            <w:noWrap/>
          </w:tcPr>
          <w:p w14:paraId="7648F443" w14:textId="62E2BA79"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w:t>
            </w:r>
            <w:r w:rsidR="007623D6" w:rsidRPr="00DE4E4F">
              <w:rPr>
                <w:rFonts w:ascii="Times New Roman" w:hAnsi="Times New Roman" w:cs="Times New Roman"/>
                <w:noProof/>
                <w:color w:val="006100"/>
                <w:sz w:val="18"/>
                <w:szCs w:val="18"/>
              </w:rPr>
              <w:t>e-r</w:t>
            </w:r>
            <w:r w:rsidRPr="00DE4E4F">
              <w:rPr>
                <w:rFonts w:ascii="Times New Roman" w:hAnsi="Times New Roman" w:cs="Times New Roman"/>
                <w:noProof/>
                <w:color w:val="006100"/>
                <w:sz w:val="18"/>
                <w:szCs w:val="18"/>
              </w:rPr>
              <w:t xml:space="preserve">egistries </w:t>
            </w:r>
            <w:r w:rsidR="00BB0944" w:rsidRPr="00DE4E4F">
              <w:rPr>
                <w:rFonts w:ascii="Times New Roman" w:hAnsi="Times New Roman" w:cs="Times New Roman"/>
                <w:noProof/>
                <w:color w:val="006100"/>
                <w:sz w:val="18"/>
                <w:szCs w:val="18"/>
              </w:rPr>
              <w:t xml:space="preserve">and </w:t>
            </w:r>
            <w:r w:rsidR="00422BE8" w:rsidRPr="00DE4E4F">
              <w:rPr>
                <w:rFonts w:ascii="Times New Roman" w:hAnsi="Times New Roman" w:cs="Times New Roman"/>
                <w:noProof/>
                <w:color w:val="006100"/>
                <w:sz w:val="18"/>
                <w:szCs w:val="18"/>
              </w:rPr>
              <w:t xml:space="preserve">/ or </w:t>
            </w:r>
            <w:r w:rsidR="00BB0944" w:rsidRPr="00DE4E4F">
              <w:rPr>
                <w:rFonts w:ascii="Times New Roman" w:hAnsi="Times New Roman" w:cs="Times New Roman"/>
                <w:noProof/>
                <w:color w:val="006100"/>
                <w:sz w:val="18"/>
                <w:szCs w:val="18"/>
              </w:rPr>
              <w:t>platforms</w:t>
            </w:r>
          </w:p>
        </w:tc>
        <w:tc>
          <w:tcPr>
            <w:tcW w:w="1912" w:type="dxa"/>
            <w:shd w:val="clear" w:color="auto" w:fill="C6EFCE"/>
            <w:noWrap/>
          </w:tcPr>
          <w:p w14:paraId="67CFB489" w14:textId="4FAB0830"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w:t>
            </w:r>
            <w:r w:rsidR="007623D6"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e-registries</w:t>
            </w:r>
            <w:r w:rsidR="00BB0944" w:rsidRPr="00DE4E4F">
              <w:rPr>
                <w:rFonts w:ascii="Times New Roman" w:hAnsi="Times New Roman" w:cs="Times New Roman"/>
                <w:noProof/>
                <w:color w:val="006100"/>
                <w:sz w:val="18"/>
                <w:szCs w:val="18"/>
              </w:rPr>
              <w:t xml:space="preserve"> and</w:t>
            </w:r>
            <w:r w:rsidR="00422BE8" w:rsidRPr="00DE4E4F">
              <w:rPr>
                <w:rFonts w:ascii="Times New Roman" w:hAnsi="Times New Roman" w:cs="Times New Roman"/>
                <w:noProof/>
                <w:color w:val="006100"/>
                <w:sz w:val="18"/>
                <w:szCs w:val="18"/>
              </w:rPr>
              <w:t xml:space="preserve"> /or</w:t>
            </w:r>
            <w:r w:rsidR="00BB0944" w:rsidRPr="00DE4E4F">
              <w:rPr>
                <w:rFonts w:ascii="Times New Roman" w:hAnsi="Times New Roman" w:cs="Times New Roman"/>
                <w:noProof/>
                <w:color w:val="006100"/>
                <w:sz w:val="18"/>
                <w:szCs w:val="18"/>
              </w:rPr>
              <w:t xml:space="preserve"> platforms</w:t>
            </w:r>
          </w:p>
        </w:tc>
        <w:tc>
          <w:tcPr>
            <w:tcW w:w="1041" w:type="dxa"/>
            <w:shd w:val="clear" w:color="auto" w:fill="C6EFCE"/>
            <w:noWrap/>
          </w:tcPr>
          <w:p w14:paraId="264DD1E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1" w:type="dxa"/>
            <w:shd w:val="clear" w:color="auto" w:fill="C6EFCE"/>
            <w:noWrap/>
          </w:tcPr>
          <w:p w14:paraId="127A2E2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3" w:type="dxa"/>
            <w:shd w:val="clear" w:color="auto" w:fill="C6EFCE"/>
            <w:noWrap/>
          </w:tcPr>
          <w:p w14:paraId="7448B66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8" w:type="dxa"/>
            <w:shd w:val="clear" w:color="auto" w:fill="C6EFCE"/>
            <w:noWrap/>
          </w:tcPr>
          <w:p w14:paraId="248B58E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11" w:type="dxa"/>
            <w:shd w:val="clear" w:color="auto" w:fill="C6EFCE"/>
            <w:noWrap/>
          </w:tcPr>
          <w:p w14:paraId="10DE5F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07" w:type="dxa"/>
            <w:shd w:val="clear" w:color="auto" w:fill="C6EFCE"/>
            <w:noWrap/>
          </w:tcPr>
          <w:p w14:paraId="3E055315" w14:textId="38FC7BFD"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w:t>
            </w:r>
            <w:r w:rsidR="18EFCFB5" w:rsidRPr="00DE4E4F">
              <w:rPr>
                <w:rFonts w:ascii="Times New Roman" w:hAnsi="Times New Roman" w:cs="Times New Roman"/>
                <w:noProof/>
                <w:color w:val="006100"/>
                <w:sz w:val="18"/>
                <w:szCs w:val="18"/>
              </w:rPr>
              <w:t>e</w:t>
            </w:r>
            <w:r w:rsidRPr="00DE4E4F">
              <w:rPr>
                <w:rFonts w:ascii="Times New Roman" w:hAnsi="Times New Roman" w:cs="Times New Roman"/>
                <w:noProof/>
                <w:color w:val="006100"/>
                <w:sz w:val="18"/>
                <w:szCs w:val="18"/>
              </w:rPr>
              <w:t>-registr</w:t>
            </w:r>
            <w:r w:rsidR="05BBEE86" w:rsidRPr="00DE4E4F">
              <w:rPr>
                <w:rFonts w:ascii="Times New Roman" w:hAnsi="Times New Roman" w:cs="Times New Roman"/>
                <w:noProof/>
                <w:color w:val="006100"/>
                <w:sz w:val="18"/>
                <w:szCs w:val="18"/>
              </w:rPr>
              <w:t>ies</w:t>
            </w:r>
            <w:r w:rsidRPr="00DE4E4F">
              <w:rPr>
                <w:rFonts w:ascii="Times New Roman" w:hAnsi="Times New Roman" w:cs="Times New Roman"/>
                <w:noProof/>
                <w:color w:val="006100"/>
                <w:sz w:val="18"/>
                <w:szCs w:val="18"/>
              </w:rPr>
              <w:t xml:space="preserve"> </w:t>
            </w:r>
            <w:r w:rsidR="45E87048" w:rsidRPr="00DE4E4F">
              <w:rPr>
                <w:rFonts w:ascii="Times New Roman" w:hAnsi="Times New Roman" w:cs="Times New Roman"/>
                <w:noProof/>
                <w:color w:val="006100"/>
                <w:sz w:val="18"/>
                <w:szCs w:val="18"/>
              </w:rPr>
              <w:t>and</w:t>
            </w:r>
            <w:r w:rsidR="00422BE8" w:rsidRPr="00DE4E4F">
              <w:rPr>
                <w:rFonts w:ascii="Times New Roman" w:hAnsi="Times New Roman" w:cs="Times New Roman"/>
                <w:noProof/>
                <w:color w:val="006100"/>
                <w:sz w:val="18"/>
                <w:szCs w:val="18"/>
              </w:rPr>
              <w:t xml:space="preserve"> /or</w:t>
            </w:r>
            <w:r w:rsidR="45E87048"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platforms</w:t>
            </w:r>
            <w:r w:rsidR="0C5D6E6E" w:rsidRPr="00DE4E4F">
              <w:rPr>
                <w:rFonts w:ascii="Times New Roman" w:hAnsi="Times New Roman" w:cs="Times New Roman"/>
                <w:noProof/>
                <w:color w:val="006100"/>
                <w:sz w:val="18"/>
                <w:szCs w:val="18"/>
              </w:rPr>
              <w:t xml:space="preserve"> in the following fields: citizens registry, animal welfare, electromobility infrastructure, and health and social security</w:t>
            </w:r>
            <w:r w:rsidRPr="00DE4E4F">
              <w:rPr>
                <w:rFonts w:ascii="Times New Roman" w:hAnsi="Times New Roman" w:cs="Times New Roman"/>
                <w:noProof/>
                <w:color w:val="006100"/>
                <w:sz w:val="18"/>
                <w:szCs w:val="18"/>
              </w:rPr>
              <w:t>.</w:t>
            </w:r>
          </w:p>
        </w:tc>
      </w:tr>
    </w:tbl>
    <w:p w14:paraId="5E574E97" w14:textId="77777777" w:rsidR="001B186F" w:rsidRPr="00DE4E4F" w:rsidRDefault="001B186F">
      <w:pPr>
        <w:spacing w:before="120" w:after="120" w:line="240" w:lineRule="auto"/>
        <w:ind w:left="709"/>
        <w:rPr>
          <w:rFonts w:ascii="Times New Roman" w:hAnsi="Times New Roman" w:cs="Times New Roman"/>
          <w:noProof/>
          <w:sz w:val="24"/>
        </w:rPr>
      </w:pPr>
    </w:p>
    <w:p w14:paraId="566EE260"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76EF6FD0"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10: Initiatives related to new technologies incorporation towards Public Administration’s digital transition and modernisation</w:t>
      </w:r>
    </w:p>
    <w:p w14:paraId="5AA170D4" w14:textId="77777777" w:rsidR="001B186F" w:rsidRPr="00DE4E4F" w:rsidRDefault="0074517F">
      <w:pPr>
        <w:numPr>
          <w:ilvl w:val="0"/>
          <w:numId w:val="41"/>
        </w:numPr>
        <w:spacing w:before="120" w:after="0" w:line="240" w:lineRule="auto"/>
        <w:jc w:val="both"/>
        <w:rPr>
          <w:rFonts w:ascii="Times New Roman" w:hAnsi="Times New Roman" w:cs="Times New Roman"/>
          <w:noProof/>
        </w:rPr>
      </w:pPr>
      <w:r w:rsidRPr="00DE4E4F">
        <w:rPr>
          <w:rFonts w:ascii="Times New Roman" w:hAnsi="Times New Roman"/>
          <w:noProof/>
          <w:sz w:val="24"/>
        </w:rPr>
        <w:t>Incorporation of new technologies and trends towards Public Administration’s advanced services, increase of efficiency and effectiveness, and decrease of systems operating, upgrade and maintenance costs (ID: 16928)</w:t>
      </w:r>
    </w:p>
    <w:p w14:paraId="7E724F00" w14:textId="77777777" w:rsidR="001B186F" w:rsidRPr="00DE4E4F" w:rsidRDefault="0074517F">
      <w:pPr>
        <w:numPr>
          <w:ilvl w:val="0"/>
          <w:numId w:val="4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Smart cities (ID: 16854)</w:t>
      </w:r>
    </w:p>
    <w:p w14:paraId="024DB8FA" w14:textId="77777777" w:rsidR="001B186F" w:rsidRPr="00DE4E4F" w:rsidRDefault="0074517F">
      <w:pPr>
        <w:numPr>
          <w:ilvl w:val="0"/>
          <w:numId w:val="4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Supply of Central Cloud Computing Infrastructure and Service (ID: 16853)</w:t>
      </w:r>
    </w:p>
    <w:p w14:paraId="7ABDF99A" w14:textId="77777777" w:rsidR="001B186F" w:rsidRPr="00DE4E4F" w:rsidRDefault="0074517F">
      <w:pPr>
        <w:numPr>
          <w:ilvl w:val="0"/>
          <w:numId w:val="4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Upgrade of Cloud-computing infrastructure and services of the National Infrastructures for Research and Technology (GRNET) (ID: 16955)</w:t>
      </w:r>
    </w:p>
    <w:p w14:paraId="651D7E49" w14:textId="596C7D57" w:rsidR="001B186F" w:rsidRPr="00DE4E4F" w:rsidRDefault="0074517F">
      <w:pPr>
        <w:numPr>
          <w:ilvl w:val="0"/>
          <w:numId w:val="4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Expansion of Syzef</w:t>
      </w:r>
      <w:r w:rsidR="00475BD6" w:rsidRPr="00DE4E4F">
        <w:rPr>
          <w:rFonts w:ascii="Times New Roman" w:hAnsi="Times New Roman"/>
          <w:noProof/>
          <w:sz w:val="24"/>
        </w:rPr>
        <w:t>x</w:t>
      </w:r>
      <w:r w:rsidRPr="00DE4E4F">
        <w:rPr>
          <w:rFonts w:ascii="Times New Roman" w:hAnsi="Times New Roman"/>
          <w:noProof/>
          <w:sz w:val="24"/>
        </w:rPr>
        <w:t>is II (ID: 16956)</w:t>
      </w:r>
    </w:p>
    <w:p w14:paraId="2733A7BC" w14:textId="15DAA0C6" w:rsidR="001B186F" w:rsidRPr="00DE4E4F" w:rsidRDefault="0074517F" w:rsidP="68AE3128">
      <w:pPr>
        <w:numPr>
          <w:ilvl w:val="0"/>
          <w:numId w:val="41"/>
        </w:numPr>
        <w:spacing w:before="120" w:after="0" w:line="240" w:lineRule="auto"/>
        <w:jc w:val="both"/>
        <w:rPr>
          <w:rFonts w:ascii="Times New Roman" w:hAnsi="Times New Roman"/>
          <w:noProof/>
          <w:sz w:val="24"/>
          <w:szCs w:val="24"/>
        </w:rPr>
      </w:pPr>
      <w:r w:rsidRPr="00DE4E4F">
        <w:rPr>
          <w:rFonts w:ascii="Times New Roman" w:hAnsi="Times New Roman"/>
          <w:noProof/>
          <w:sz w:val="24"/>
          <w:szCs w:val="24"/>
        </w:rPr>
        <w:t>Central BI - Data Analytics (ID: 16842)</w:t>
      </w:r>
    </w:p>
    <w:p w14:paraId="5E906CCD" w14:textId="41A20D81" w:rsidR="3461DAA1" w:rsidRPr="00DE4E4F" w:rsidRDefault="3461DAA1" w:rsidP="68AE3128">
      <w:pPr>
        <w:numPr>
          <w:ilvl w:val="0"/>
          <w:numId w:val="41"/>
        </w:numPr>
        <w:spacing w:before="120" w:after="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Voluntary contribution to the EuroHPC Joint Undertaking (ID: 16859)</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2072"/>
        <w:gridCol w:w="1134"/>
        <w:gridCol w:w="1417"/>
        <w:gridCol w:w="1701"/>
        <w:gridCol w:w="1322"/>
        <w:gridCol w:w="1134"/>
        <w:gridCol w:w="993"/>
        <w:gridCol w:w="850"/>
        <w:gridCol w:w="992"/>
        <w:gridCol w:w="3398"/>
      </w:tblGrid>
      <w:tr w:rsidR="00682269" w:rsidRPr="00DE4E4F" w14:paraId="0D70AE79" w14:textId="77777777" w:rsidTr="2258D701">
        <w:trPr>
          <w:trHeight w:val="939"/>
          <w:tblHeader/>
          <w:jc w:val="center"/>
        </w:trPr>
        <w:tc>
          <w:tcPr>
            <w:tcW w:w="575" w:type="dxa"/>
            <w:vMerge w:val="restart"/>
            <w:shd w:val="clear" w:color="auto" w:fill="BDD7EE"/>
            <w:vAlign w:val="center"/>
            <w:hideMark/>
          </w:tcPr>
          <w:p w14:paraId="03B6924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072" w:type="dxa"/>
            <w:vMerge w:val="restart"/>
            <w:shd w:val="clear" w:color="auto" w:fill="BDD7EE"/>
            <w:vAlign w:val="center"/>
            <w:hideMark/>
          </w:tcPr>
          <w:p w14:paraId="0E1612AC"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 xml:space="preserve">Related Measure </w:t>
            </w:r>
          </w:p>
          <w:p w14:paraId="7FD70D6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(Reform or Investment)</w:t>
            </w:r>
          </w:p>
        </w:tc>
        <w:tc>
          <w:tcPr>
            <w:tcW w:w="1134" w:type="dxa"/>
            <w:vMerge w:val="restart"/>
            <w:shd w:val="clear" w:color="auto" w:fill="BDD7EE"/>
            <w:vAlign w:val="center"/>
            <w:hideMark/>
          </w:tcPr>
          <w:p w14:paraId="7829F5B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Milestone / Target</w:t>
            </w:r>
          </w:p>
        </w:tc>
        <w:tc>
          <w:tcPr>
            <w:tcW w:w="1417" w:type="dxa"/>
            <w:vMerge w:val="restart"/>
            <w:shd w:val="clear" w:color="auto" w:fill="BDD7EE"/>
            <w:vAlign w:val="center"/>
            <w:hideMark/>
          </w:tcPr>
          <w:p w14:paraId="7CC5653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701" w:type="dxa"/>
            <w:vMerge w:val="restart"/>
            <w:shd w:val="clear" w:color="auto" w:fill="BDD7EE"/>
            <w:vAlign w:val="center"/>
            <w:hideMark/>
          </w:tcPr>
          <w:p w14:paraId="3BC9F90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Qualitative indicators (for milestones)</w:t>
            </w:r>
          </w:p>
        </w:tc>
        <w:tc>
          <w:tcPr>
            <w:tcW w:w="3449" w:type="dxa"/>
            <w:gridSpan w:val="3"/>
            <w:shd w:val="clear" w:color="auto" w:fill="BDD7EE"/>
            <w:vAlign w:val="center"/>
            <w:hideMark/>
          </w:tcPr>
          <w:p w14:paraId="4E6364F9" w14:textId="1A4DF2A8"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Quantitative indicators</w:t>
            </w:r>
            <w:r w:rsidR="00DE4C0C" w:rsidRPr="00DE4E4F">
              <w:rPr>
                <w:rFonts w:ascii="Times New Roman" w:hAnsi="Times New Roman" w:cs="Times New Roman"/>
                <w:b/>
                <w:noProof/>
                <w:sz w:val="18"/>
                <w:szCs w:val="18"/>
              </w:rPr>
              <w:t xml:space="preserve"> </w:t>
            </w:r>
            <w:r w:rsidRPr="00DE4E4F">
              <w:rPr>
                <w:rFonts w:ascii="Times New Roman" w:hAnsi="Times New Roman" w:cs="Times New Roman"/>
                <w:b/>
                <w:noProof/>
                <w:sz w:val="18"/>
                <w:szCs w:val="18"/>
              </w:rPr>
              <w:t>(for targets)</w:t>
            </w:r>
          </w:p>
        </w:tc>
        <w:tc>
          <w:tcPr>
            <w:tcW w:w="1842" w:type="dxa"/>
            <w:gridSpan w:val="2"/>
            <w:shd w:val="clear" w:color="auto" w:fill="BDD7EE"/>
            <w:vAlign w:val="center"/>
            <w:hideMark/>
          </w:tcPr>
          <w:p w14:paraId="56257FB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Indicative timeline for completion </w:t>
            </w:r>
          </w:p>
        </w:tc>
        <w:tc>
          <w:tcPr>
            <w:tcW w:w="3398" w:type="dxa"/>
            <w:vMerge w:val="restart"/>
            <w:shd w:val="clear" w:color="auto" w:fill="BDD7EE"/>
            <w:vAlign w:val="center"/>
            <w:hideMark/>
          </w:tcPr>
          <w:p w14:paraId="77A198D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00FB30A9" w14:textId="77777777" w:rsidTr="2258D701">
        <w:trPr>
          <w:trHeight w:val="356"/>
          <w:tblHeader/>
          <w:jc w:val="center"/>
        </w:trPr>
        <w:tc>
          <w:tcPr>
            <w:tcW w:w="575" w:type="dxa"/>
            <w:vMerge/>
            <w:vAlign w:val="center"/>
            <w:hideMark/>
          </w:tcPr>
          <w:p w14:paraId="36E206F0"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2072" w:type="dxa"/>
            <w:vMerge/>
            <w:vAlign w:val="center"/>
            <w:hideMark/>
          </w:tcPr>
          <w:p w14:paraId="1830FAC2"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134" w:type="dxa"/>
            <w:vMerge/>
            <w:vAlign w:val="center"/>
            <w:hideMark/>
          </w:tcPr>
          <w:p w14:paraId="2A10A897"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417" w:type="dxa"/>
            <w:vMerge/>
            <w:vAlign w:val="center"/>
            <w:hideMark/>
          </w:tcPr>
          <w:p w14:paraId="5C20609A"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701" w:type="dxa"/>
            <w:vMerge/>
            <w:vAlign w:val="center"/>
            <w:hideMark/>
          </w:tcPr>
          <w:p w14:paraId="6126D32D"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322" w:type="dxa"/>
            <w:shd w:val="clear" w:color="auto" w:fill="BDD7EE"/>
            <w:vAlign w:val="center"/>
            <w:hideMark/>
          </w:tcPr>
          <w:p w14:paraId="2980606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1134" w:type="dxa"/>
            <w:shd w:val="clear" w:color="auto" w:fill="BDD7EE"/>
            <w:vAlign w:val="center"/>
            <w:hideMark/>
          </w:tcPr>
          <w:p w14:paraId="3CFE4CD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993" w:type="dxa"/>
            <w:shd w:val="clear" w:color="auto" w:fill="BDD7EE"/>
            <w:vAlign w:val="center"/>
            <w:hideMark/>
          </w:tcPr>
          <w:p w14:paraId="02D5D72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850" w:type="dxa"/>
            <w:shd w:val="clear" w:color="auto" w:fill="BDD7EE"/>
            <w:vAlign w:val="center"/>
            <w:hideMark/>
          </w:tcPr>
          <w:p w14:paraId="60AAC15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992" w:type="dxa"/>
            <w:shd w:val="clear" w:color="auto" w:fill="BDD7EE"/>
            <w:vAlign w:val="center"/>
          </w:tcPr>
          <w:p w14:paraId="11C8E55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3398" w:type="dxa"/>
            <w:vMerge/>
            <w:vAlign w:val="center"/>
            <w:hideMark/>
          </w:tcPr>
          <w:p w14:paraId="631392FF" w14:textId="77777777" w:rsidR="001B186F" w:rsidRPr="00DE4E4F" w:rsidRDefault="001B186F">
            <w:pPr>
              <w:spacing w:after="0" w:line="240" w:lineRule="auto"/>
              <w:ind w:right="690"/>
              <w:rPr>
                <w:rFonts w:ascii="Times New Roman" w:eastAsia="Times New Roman" w:hAnsi="Times New Roman" w:cs="Times New Roman"/>
                <w:b/>
                <w:noProof/>
                <w:sz w:val="18"/>
                <w:szCs w:val="18"/>
                <w:lang w:eastAsia="en-GB"/>
              </w:rPr>
            </w:pPr>
          </w:p>
        </w:tc>
      </w:tr>
      <w:tr w:rsidR="00682269" w:rsidRPr="00DE4E4F" w14:paraId="0C11699B" w14:textId="77777777" w:rsidTr="2258D701">
        <w:trPr>
          <w:trHeight w:val="313"/>
          <w:jc w:val="center"/>
        </w:trPr>
        <w:tc>
          <w:tcPr>
            <w:tcW w:w="575" w:type="dxa"/>
            <w:shd w:val="clear" w:color="auto" w:fill="C6EFCE"/>
            <w:noWrap/>
          </w:tcPr>
          <w:p w14:paraId="3F8665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121</w:t>
            </w:r>
          </w:p>
        </w:tc>
        <w:tc>
          <w:tcPr>
            <w:tcW w:w="2072" w:type="dxa"/>
            <w:shd w:val="clear" w:color="auto" w:fill="C6EFCE"/>
            <w:noWrap/>
          </w:tcPr>
          <w:p w14:paraId="21F8D8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- 16842_Central BI - Data Analytics</w:t>
            </w:r>
          </w:p>
        </w:tc>
        <w:tc>
          <w:tcPr>
            <w:tcW w:w="1134" w:type="dxa"/>
            <w:shd w:val="clear" w:color="auto" w:fill="C6EFCE"/>
            <w:noWrap/>
          </w:tcPr>
          <w:p w14:paraId="628ED77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1CECD3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Contract award Central Business Intelligence (BI) </w:t>
            </w:r>
          </w:p>
        </w:tc>
        <w:tc>
          <w:tcPr>
            <w:tcW w:w="1701" w:type="dxa"/>
            <w:shd w:val="clear" w:color="auto" w:fill="C6EFCE"/>
            <w:noWrap/>
          </w:tcPr>
          <w:p w14:paraId="4483B5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322" w:type="dxa"/>
            <w:shd w:val="clear" w:color="auto" w:fill="C6EFCE"/>
            <w:noWrap/>
          </w:tcPr>
          <w:p w14:paraId="0BD7DA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72F5A8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553F0BF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EBBF6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3BF037E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398" w:type="dxa"/>
            <w:shd w:val="clear" w:color="auto" w:fill="C6EFCE"/>
            <w:noWrap/>
          </w:tcPr>
          <w:p w14:paraId="099E72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Ministry of Digital Governance awards contract for Central BI - Data. Analytics, which shall cover :</w:t>
            </w:r>
          </w:p>
          <w:p w14:paraId="1E8C9569"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Developing and validating a data governance framework, Data Dictionary &amp; identification of Key Performance Indicators</w:t>
            </w:r>
          </w:p>
          <w:p w14:paraId="124C8C94"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Identification of Key Performance Indicators</w:t>
            </w:r>
          </w:p>
          <w:p w14:paraId="1DB9BC6B"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Data Dictionary</w:t>
            </w:r>
          </w:p>
          <w:p w14:paraId="797E269D"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Data Governance Framework</w:t>
            </w:r>
          </w:p>
          <w:p w14:paraId="779C5BC1"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Design the Architectural Approach &amp; Integration Points</w:t>
            </w:r>
          </w:p>
          <w:p w14:paraId="4478EBBB"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Configuration of the Data Warehouse</w:t>
            </w:r>
          </w:p>
          <w:p w14:paraId="6DF83F12"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g)</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Integration with Back-office Information Systems</w:t>
            </w:r>
          </w:p>
          <w:p w14:paraId="67988315"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Building the BI Reports &amp; Analytics</w:t>
            </w:r>
          </w:p>
          <w:p w14:paraId="60E9AC0C"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Support of the Operations of BI Ecosystem for 3 years</w:t>
            </w:r>
          </w:p>
          <w:p w14:paraId="7F7A2604" w14:textId="77777777" w:rsidR="001B186F" w:rsidRPr="00DE4E4F" w:rsidRDefault="0074517F">
            <w:pPr>
              <w:spacing w:after="0" w:line="240" w:lineRule="auto"/>
              <w:ind w:left="383" w:hanging="28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w:t>
            </w:r>
            <w:r w:rsidRPr="00DE4E4F">
              <w:rPr>
                <w:rFonts w:ascii="Times New Roman" w:hAnsi="Times New Roman" w:cs="Times New Roman"/>
                <w:noProof/>
                <w:sz w:val="18"/>
                <w:szCs w:val="18"/>
              </w:rPr>
              <w:tab/>
            </w:r>
            <w:r w:rsidRPr="00DE4E4F">
              <w:rPr>
                <w:rFonts w:ascii="Times New Roman" w:hAnsi="Times New Roman" w:cs="Times New Roman"/>
                <w:noProof/>
                <w:color w:val="006100"/>
                <w:sz w:val="18"/>
                <w:szCs w:val="18"/>
              </w:rPr>
              <w:t>Licenses Fees for 200 users with super admin privileges and 200 TB of Storage.</w:t>
            </w:r>
          </w:p>
        </w:tc>
      </w:tr>
      <w:tr w:rsidR="00682269" w:rsidRPr="00DE4E4F" w14:paraId="1A7937ED" w14:textId="77777777" w:rsidTr="2258D701">
        <w:trPr>
          <w:trHeight w:val="313"/>
          <w:jc w:val="center"/>
        </w:trPr>
        <w:tc>
          <w:tcPr>
            <w:tcW w:w="575" w:type="dxa"/>
            <w:shd w:val="clear" w:color="auto" w:fill="C6EFCE"/>
            <w:noWrap/>
          </w:tcPr>
          <w:p w14:paraId="130D266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122</w:t>
            </w:r>
          </w:p>
        </w:tc>
        <w:tc>
          <w:tcPr>
            <w:tcW w:w="2072" w:type="dxa"/>
            <w:shd w:val="clear" w:color="auto" w:fill="C6EFCE"/>
            <w:noWrap/>
          </w:tcPr>
          <w:p w14:paraId="7A8798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16853 Supply of Central Cloud Computing Infrastructure and Service</w:t>
            </w:r>
          </w:p>
        </w:tc>
        <w:tc>
          <w:tcPr>
            <w:tcW w:w="1134" w:type="dxa"/>
            <w:shd w:val="clear" w:color="auto" w:fill="C6EFCE"/>
            <w:noWrap/>
          </w:tcPr>
          <w:p w14:paraId="3EFE11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33E0B6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Central Cloud computing infrastructure and service</w:t>
            </w:r>
          </w:p>
        </w:tc>
        <w:tc>
          <w:tcPr>
            <w:tcW w:w="1701" w:type="dxa"/>
            <w:shd w:val="clear" w:color="auto" w:fill="C6EFCE"/>
            <w:noWrap/>
          </w:tcPr>
          <w:p w14:paraId="4ECECE5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Ministry of Digital Governance documenting the completion of the set-up of all project components and parametrize infrastructure for the central cloud computing infrastructure and services project.</w:t>
            </w:r>
          </w:p>
        </w:tc>
        <w:tc>
          <w:tcPr>
            <w:tcW w:w="1322" w:type="dxa"/>
            <w:shd w:val="clear" w:color="auto" w:fill="C6EFCE"/>
            <w:noWrap/>
          </w:tcPr>
          <w:p w14:paraId="6ECED87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1053268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60FA901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07779E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1312DD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398" w:type="dxa"/>
            <w:shd w:val="clear" w:color="auto" w:fill="C6EFCE"/>
            <w:noWrap/>
          </w:tcPr>
          <w:p w14:paraId="55C98EC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Beginning of operations of the set-up of all project components and parametrize infrastructure for the central cloud computing infrastructure and services project. Introduce and operationalize the central cloud computing infrastructure and services project. The new installed infrastructure shall include virtual machines and corresponding virtual networks (infrastructure as a service), platform as a service, two edge computing arrays, two special interfaces of high speed optical fibre and training and support services for the overall project.</w:t>
            </w:r>
          </w:p>
          <w:p w14:paraId="307884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Data Centres of the Cloud Services Provider shall be required to comply with the “European Code of Conduct on Data Centre Energy Efficiency”.</w:t>
            </w:r>
          </w:p>
        </w:tc>
      </w:tr>
      <w:tr w:rsidR="00682269" w:rsidRPr="00DE4E4F" w14:paraId="73B0A5F8" w14:textId="77777777" w:rsidTr="2258D701">
        <w:trPr>
          <w:trHeight w:val="313"/>
          <w:jc w:val="center"/>
        </w:trPr>
        <w:tc>
          <w:tcPr>
            <w:tcW w:w="575" w:type="dxa"/>
            <w:shd w:val="clear" w:color="auto" w:fill="C6EFCE"/>
            <w:noWrap/>
          </w:tcPr>
          <w:p w14:paraId="376335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123</w:t>
            </w:r>
          </w:p>
        </w:tc>
        <w:tc>
          <w:tcPr>
            <w:tcW w:w="2072" w:type="dxa"/>
            <w:shd w:val="clear" w:color="auto" w:fill="C6EFCE"/>
            <w:noWrap/>
          </w:tcPr>
          <w:p w14:paraId="74053E2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- 16854_Smart cities</w:t>
            </w:r>
          </w:p>
        </w:tc>
        <w:tc>
          <w:tcPr>
            <w:tcW w:w="1134" w:type="dxa"/>
            <w:shd w:val="clear" w:color="auto" w:fill="C6EFCE"/>
            <w:noWrap/>
          </w:tcPr>
          <w:p w14:paraId="082E81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417" w:type="dxa"/>
            <w:shd w:val="clear" w:color="auto" w:fill="C6EFCE"/>
            <w:noWrap/>
          </w:tcPr>
          <w:p w14:paraId="7B1CF83F" w14:textId="6023337B"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“smart cit</w:t>
            </w:r>
            <w:r w:rsidR="00446640" w:rsidRPr="00DE4E4F">
              <w:rPr>
                <w:rFonts w:ascii="Times New Roman" w:hAnsi="Times New Roman" w:cs="Times New Roman"/>
                <w:noProof/>
                <w:color w:val="006100"/>
                <w:sz w:val="18"/>
                <w:szCs w:val="18"/>
              </w:rPr>
              <w:t>y</w:t>
            </w:r>
            <w:r w:rsidRPr="00DE4E4F">
              <w:rPr>
                <w:rFonts w:ascii="Times New Roman" w:hAnsi="Times New Roman" w:cs="Times New Roman"/>
                <w:noProof/>
                <w:color w:val="006100"/>
                <w:sz w:val="18"/>
                <w:szCs w:val="18"/>
              </w:rPr>
              <w:t>” projects</w:t>
            </w:r>
          </w:p>
        </w:tc>
        <w:tc>
          <w:tcPr>
            <w:tcW w:w="1701" w:type="dxa"/>
            <w:shd w:val="clear" w:color="auto" w:fill="C6EFCE"/>
            <w:noWrap/>
          </w:tcPr>
          <w:p w14:paraId="216C959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22" w:type="dxa"/>
            <w:shd w:val="clear" w:color="auto" w:fill="C6EFCE"/>
            <w:noWrap/>
          </w:tcPr>
          <w:p w14:paraId="5DB41394" w14:textId="0210E20A"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municipalities proving the delivery of “smart cit</w:t>
            </w:r>
            <w:r w:rsidR="00590D69" w:rsidRPr="00DE4E4F">
              <w:rPr>
                <w:rFonts w:ascii="Times New Roman" w:hAnsi="Times New Roman" w:cs="Times New Roman"/>
                <w:noProof/>
                <w:color w:val="006100"/>
                <w:sz w:val="18"/>
                <w:szCs w:val="18"/>
              </w:rPr>
              <w:t>y</w:t>
            </w:r>
            <w:r w:rsidRPr="00DE4E4F">
              <w:rPr>
                <w:rFonts w:ascii="Times New Roman" w:hAnsi="Times New Roman" w:cs="Times New Roman"/>
                <w:noProof/>
                <w:color w:val="006100"/>
                <w:sz w:val="18"/>
                <w:szCs w:val="18"/>
              </w:rPr>
              <w:t xml:space="preserve">” projects </w:t>
            </w:r>
          </w:p>
        </w:tc>
        <w:tc>
          <w:tcPr>
            <w:tcW w:w="1134" w:type="dxa"/>
            <w:shd w:val="clear" w:color="auto" w:fill="C6EFCE"/>
            <w:noWrap/>
          </w:tcPr>
          <w:p w14:paraId="605FFE6A"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993" w:type="dxa"/>
            <w:shd w:val="clear" w:color="auto" w:fill="C6EFCE"/>
            <w:noWrap/>
          </w:tcPr>
          <w:p w14:paraId="5DB006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w:t>
            </w:r>
          </w:p>
          <w:p w14:paraId="44FD9A8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501D176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0717FB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3E08D3C3" w14:textId="7552A3F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‘smart cit</w:t>
            </w:r>
            <w:r w:rsidR="00590D69" w:rsidRPr="00DE4E4F">
              <w:rPr>
                <w:rFonts w:ascii="Times New Roman" w:hAnsi="Times New Roman" w:cs="Times New Roman"/>
                <w:noProof/>
                <w:color w:val="006100"/>
                <w:sz w:val="18"/>
                <w:szCs w:val="18"/>
              </w:rPr>
              <w:t>y</w:t>
            </w:r>
            <w:r w:rsidRPr="00DE4E4F">
              <w:rPr>
                <w:rFonts w:ascii="Times New Roman" w:hAnsi="Times New Roman" w:cs="Times New Roman"/>
                <w:noProof/>
                <w:color w:val="006100"/>
                <w:sz w:val="18"/>
                <w:szCs w:val="18"/>
              </w:rPr>
              <w:t>’ projects by 11</w:t>
            </w:r>
            <w:r w:rsidR="00A01455"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Greek municipalities</w:t>
            </w:r>
          </w:p>
        </w:tc>
      </w:tr>
      <w:tr w:rsidR="00682269" w:rsidRPr="00DE4E4F" w14:paraId="244A57CC" w14:textId="77777777" w:rsidTr="2258D701">
        <w:trPr>
          <w:trHeight w:val="313"/>
          <w:jc w:val="center"/>
        </w:trPr>
        <w:tc>
          <w:tcPr>
            <w:tcW w:w="575" w:type="dxa"/>
            <w:shd w:val="clear" w:color="auto" w:fill="C6EFCE"/>
            <w:noWrap/>
          </w:tcPr>
          <w:p w14:paraId="5ADC1BE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124</w:t>
            </w:r>
          </w:p>
        </w:tc>
        <w:tc>
          <w:tcPr>
            <w:tcW w:w="2072" w:type="dxa"/>
            <w:shd w:val="clear" w:color="auto" w:fill="C6EFCE"/>
            <w:noWrap/>
          </w:tcPr>
          <w:p w14:paraId="49270352" w14:textId="77777777" w:rsidR="001B186F" w:rsidRPr="00DE4E4F" w:rsidRDefault="0074517F">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6 - 2.2. Modernise - 16928_Incorporation of new technologies and trends towards Public Administration’s advanced services, increase of efficiency and effectiveness, and decrease of systems operating, upgrade and maintenance costs</w:t>
            </w:r>
          </w:p>
        </w:tc>
        <w:tc>
          <w:tcPr>
            <w:tcW w:w="1134" w:type="dxa"/>
            <w:shd w:val="clear" w:color="auto" w:fill="C6EFCE"/>
            <w:noWrap/>
          </w:tcPr>
          <w:p w14:paraId="78B746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p w14:paraId="2A1A0F9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shd w:val="clear" w:color="auto" w:fill="C6EFCE"/>
            <w:noWrap/>
          </w:tcPr>
          <w:p w14:paraId="44D536F9" w14:textId="3EF68478"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Framework for the</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incorporation of new technologies in the public administration</w:t>
            </w:r>
            <w:r w:rsidR="006A4F15" w:rsidRPr="00DE4E4F">
              <w:rPr>
                <w:rFonts w:ascii="Times New Roman" w:hAnsi="Times New Roman" w:cs="Times New Roman"/>
                <w:noProof/>
                <w:color w:val="006100"/>
                <w:sz w:val="18"/>
                <w:szCs w:val="18"/>
              </w:rPr>
              <w:t>,</w:t>
            </w:r>
            <w:r w:rsidR="003D3473" w:rsidRPr="00DE4E4F">
              <w:rPr>
                <w:rFonts w:ascii="Times New Roman" w:hAnsi="Times New Roman" w:cs="Times New Roman"/>
                <w:noProof/>
                <w:color w:val="006100"/>
                <w:sz w:val="18"/>
                <w:szCs w:val="18"/>
              </w:rPr>
              <w:t xml:space="preserve"> and </w:t>
            </w:r>
            <w:r w:rsidR="00951FF6" w:rsidRPr="00DE4E4F">
              <w:rPr>
                <w:rFonts w:ascii="Times New Roman" w:hAnsi="Times New Roman" w:cs="Times New Roman"/>
                <w:noProof/>
                <w:color w:val="006100"/>
                <w:sz w:val="18"/>
                <w:szCs w:val="18"/>
              </w:rPr>
              <w:t xml:space="preserve">a </w:t>
            </w:r>
            <w:r w:rsidR="003D3473" w:rsidRPr="00DE4E4F">
              <w:rPr>
                <w:rFonts w:ascii="Times New Roman" w:hAnsi="Times New Roman" w:cs="Times New Roman"/>
                <w:noProof/>
                <w:color w:val="006100"/>
                <w:sz w:val="18"/>
                <w:szCs w:val="18"/>
              </w:rPr>
              <w:t>policy for open and reusable data</w:t>
            </w:r>
          </w:p>
        </w:tc>
        <w:tc>
          <w:tcPr>
            <w:tcW w:w="1701" w:type="dxa"/>
            <w:shd w:val="clear" w:color="auto" w:fill="C6EFCE"/>
            <w:noWrap/>
          </w:tcPr>
          <w:p w14:paraId="42AAD8DB" w14:textId="52AF291B" w:rsidR="001B186F" w:rsidRPr="00DE4E4F" w:rsidRDefault="00DE4E4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w:t>
            </w:r>
            <w:r w:rsidR="0074517F" w:rsidRPr="00DE4E4F">
              <w:rPr>
                <w:rFonts w:ascii="Times New Roman" w:hAnsi="Times New Roman" w:cs="Times New Roman"/>
                <w:noProof/>
                <w:color w:val="006100"/>
                <w:sz w:val="18"/>
                <w:szCs w:val="18"/>
              </w:rPr>
              <w:t xml:space="preserve"> of a framework for the incorporation of new technologies in the public administration</w:t>
            </w:r>
            <w:r w:rsidR="005020EF" w:rsidRPr="00DE4E4F">
              <w:rPr>
                <w:rFonts w:ascii="Times New Roman" w:hAnsi="Times New Roman" w:cs="Times New Roman"/>
                <w:noProof/>
                <w:color w:val="006100"/>
                <w:sz w:val="18"/>
                <w:szCs w:val="18"/>
              </w:rPr>
              <w:t xml:space="preserve">, and </w:t>
            </w:r>
            <w:r w:rsidR="005F6B40" w:rsidRPr="00DE4E4F">
              <w:rPr>
                <w:rFonts w:ascii="Times New Roman" w:hAnsi="Times New Roman" w:cs="Times New Roman"/>
                <w:noProof/>
                <w:color w:val="006100"/>
                <w:sz w:val="18"/>
                <w:szCs w:val="18"/>
              </w:rPr>
              <w:t xml:space="preserve">adoption of </w:t>
            </w:r>
            <w:r w:rsidR="005020EF" w:rsidRPr="00DE4E4F">
              <w:rPr>
                <w:rFonts w:ascii="Times New Roman" w:hAnsi="Times New Roman" w:cs="Times New Roman"/>
                <w:noProof/>
                <w:color w:val="006100"/>
                <w:sz w:val="18"/>
                <w:szCs w:val="18"/>
              </w:rPr>
              <w:t>a policy for open and reusable data</w:t>
            </w:r>
          </w:p>
        </w:tc>
        <w:tc>
          <w:tcPr>
            <w:tcW w:w="1322" w:type="dxa"/>
            <w:shd w:val="clear" w:color="auto" w:fill="C6EFCE"/>
            <w:noWrap/>
          </w:tcPr>
          <w:p w14:paraId="2F4E20B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6349566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0F83C1E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4CB255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707EF5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51A439CD" w14:textId="37E435A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Establish a framework </w:t>
            </w:r>
            <w:r w:rsidR="006A4F15" w:rsidRPr="00DE4E4F">
              <w:rPr>
                <w:rFonts w:ascii="Times New Roman" w:hAnsi="Times New Roman" w:cs="Times New Roman"/>
                <w:noProof/>
                <w:color w:val="006100"/>
                <w:sz w:val="18"/>
                <w:szCs w:val="18"/>
              </w:rPr>
              <w:t xml:space="preserve">for the </w:t>
            </w:r>
            <w:r w:rsidR="00CC38C5" w:rsidRPr="00DE4E4F">
              <w:rPr>
                <w:rFonts w:ascii="Times New Roman" w:hAnsi="Times New Roman" w:cs="Times New Roman"/>
                <w:noProof/>
                <w:color w:val="006100"/>
                <w:sz w:val="18"/>
                <w:szCs w:val="18"/>
              </w:rPr>
              <w:t>introduction of</w:t>
            </w:r>
            <w:r w:rsidRPr="00DE4E4F">
              <w:rPr>
                <w:rFonts w:ascii="Times New Roman" w:hAnsi="Times New Roman" w:cs="Times New Roman"/>
                <w:noProof/>
                <w:color w:val="006100"/>
                <w:sz w:val="18"/>
                <w:szCs w:val="18"/>
              </w:rPr>
              <w:t xml:space="preserve"> new technologies and tools (Cloud computing, Business Intelligence, Distributed Ledger Technology - DLT) in the public administration</w:t>
            </w:r>
            <w:r w:rsidR="00525045" w:rsidRPr="00DE4E4F">
              <w:rPr>
                <w:rFonts w:ascii="Times New Roman" w:hAnsi="Times New Roman" w:cs="Times New Roman"/>
                <w:noProof/>
                <w:color w:val="006100"/>
                <w:sz w:val="18"/>
                <w:szCs w:val="18"/>
              </w:rPr>
              <w:t xml:space="preserve">, and </w:t>
            </w:r>
            <w:r w:rsidR="00CC38C5" w:rsidRPr="00DE4E4F">
              <w:rPr>
                <w:rFonts w:ascii="Times New Roman" w:hAnsi="Times New Roman" w:cs="Times New Roman"/>
                <w:noProof/>
                <w:color w:val="006100"/>
                <w:sz w:val="18"/>
                <w:szCs w:val="18"/>
              </w:rPr>
              <w:t>adoption of</w:t>
            </w:r>
            <w:r w:rsidR="00525045" w:rsidRPr="00DE4E4F">
              <w:rPr>
                <w:rFonts w:ascii="Times New Roman" w:hAnsi="Times New Roman" w:cs="Times New Roman"/>
                <w:noProof/>
                <w:color w:val="006100"/>
                <w:sz w:val="18"/>
                <w:szCs w:val="18"/>
              </w:rPr>
              <w:t xml:space="preserve"> a policy for open and reusable data</w:t>
            </w:r>
            <w:r w:rsidRPr="00DE4E4F">
              <w:rPr>
                <w:rFonts w:ascii="Times New Roman" w:hAnsi="Times New Roman" w:cs="Times New Roman"/>
                <w:noProof/>
                <w:color w:val="006100"/>
                <w:sz w:val="18"/>
                <w:szCs w:val="18"/>
              </w:rPr>
              <w:t xml:space="preserve">. </w:t>
            </w:r>
          </w:p>
        </w:tc>
      </w:tr>
      <w:tr w:rsidR="00682269" w:rsidRPr="00DE4E4F" w14:paraId="19D628F3" w14:textId="77777777" w:rsidTr="2258D701">
        <w:trPr>
          <w:trHeight w:val="313"/>
          <w:jc w:val="center"/>
        </w:trPr>
        <w:tc>
          <w:tcPr>
            <w:tcW w:w="575" w:type="dxa"/>
            <w:shd w:val="clear" w:color="auto" w:fill="C6EFCE"/>
            <w:noWrap/>
          </w:tcPr>
          <w:p w14:paraId="5316FD4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125</w:t>
            </w:r>
          </w:p>
        </w:tc>
        <w:tc>
          <w:tcPr>
            <w:tcW w:w="2072" w:type="dxa"/>
            <w:shd w:val="clear" w:color="auto" w:fill="C6EFCE"/>
            <w:noWrap/>
          </w:tcPr>
          <w:p w14:paraId="33FF9A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- 16955_Upgrade of Cloud-computing infrastructure and services of the National Infrastructures for Research and Technology (GRNET)</w:t>
            </w:r>
          </w:p>
        </w:tc>
        <w:tc>
          <w:tcPr>
            <w:tcW w:w="1134" w:type="dxa"/>
            <w:shd w:val="clear" w:color="auto" w:fill="C6EFCE"/>
            <w:noWrap/>
          </w:tcPr>
          <w:p w14:paraId="6FDC0CC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67E2CC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GRNET </w:t>
            </w:r>
          </w:p>
        </w:tc>
        <w:tc>
          <w:tcPr>
            <w:tcW w:w="1701" w:type="dxa"/>
            <w:shd w:val="clear" w:color="auto" w:fill="C6EFCE"/>
            <w:noWrap/>
          </w:tcPr>
          <w:p w14:paraId="02C039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w:t>
            </w:r>
            <w:r w:rsidRPr="00DE4E4F" w:rsidDel="00061F43">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upgrade of GRNET’s cloud computing infrastructure and services, execution of Daedalus Phase A and a lease agreement</w:t>
            </w:r>
            <w:r w:rsidRPr="00DE4E4F" w:rsidDel="001E345C">
              <w:rPr>
                <w:rFonts w:ascii="Times New Roman" w:hAnsi="Times New Roman" w:cs="Times New Roman"/>
                <w:noProof/>
                <w:color w:val="006100"/>
                <w:sz w:val="18"/>
                <w:szCs w:val="18"/>
              </w:rPr>
              <w:t xml:space="preserve"> </w:t>
            </w:r>
            <w:r w:rsidRPr="00DE4E4F">
              <w:rPr>
                <w:rFonts w:ascii="Times New Roman" w:eastAsia="Times New Roman" w:hAnsi="Times New Roman" w:cs="Times New Roman"/>
                <w:noProof/>
                <w:color w:val="006100"/>
                <w:sz w:val="18"/>
                <w:szCs w:val="18"/>
              </w:rPr>
              <w:t>for fibre optic infrastructure</w:t>
            </w:r>
          </w:p>
        </w:tc>
        <w:tc>
          <w:tcPr>
            <w:tcW w:w="1322" w:type="dxa"/>
            <w:shd w:val="clear" w:color="auto" w:fill="C6EFCE"/>
            <w:noWrap/>
          </w:tcPr>
          <w:p w14:paraId="236D00E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27C8BBF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5ADF007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3821AE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7F4337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50AEE2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of Cloud-computing infrastructure and services of the National Infrastructures for Research and Technology (GRNET).</w:t>
            </w:r>
          </w:p>
          <w:p w14:paraId="602566B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15E3A30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“Phase A – Daedalus Supercomputer Implementation”, as set out in relevant contract. </w:t>
            </w:r>
          </w:p>
          <w:p w14:paraId="58F1FDC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 of a data centre to support the new supercomputer, software installation, configuration, and pilot operation.</w:t>
            </w:r>
          </w:p>
          <w:p w14:paraId="56A100D9"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p w14:paraId="79AA6A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Signing of a lease agreement for fibre optic infrastructure.</w:t>
            </w:r>
          </w:p>
        </w:tc>
      </w:tr>
      <w:tr w:rsidR="00682269" w:rsidRPr="00DE4E4F" w14:paraId="75485DBD" w14:textId="77777777" w:rsidTr="2258D701">
        <w:trPr>
          <w:trHeight w:val="313"/>
          <w:jc w:val="center"/>
        </w:trPr>
        <w:tc>
          <w:tcPr>
            <w:tcW w:w="575" w:type="dxa"/>
            <w:shd w:val="clear" w:color="auto" w:fill="C6EFCE"/>
            <w:noWrap/>
          </w:tcPr>
          <w:p w14:paraId="47EDB42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125a</w:t>
            </w:r>
          </w:p>
        </w:tc>
        <w:tc>
          <w:tcPr>
            <w:tcW w:w="2072" w:type="dxa"/>
            <w:shd w:val="clear" w:color="auto" w:fill="C6EFCE"/>
            <w:noWrap/>
          </w:tcPr>
          <w:p w14:paraId="052495F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- 16955_Upgrade of Cloud-computing infrastructure and services of the National Infrastructures for Research and Technology (GRNET)</w:t>
            </w:r>
          </w:p>
        </w:tc>
        <w:tc>
          <w:tcPr>
            <w:tcW w:w="1134" w:type="dxa"/>
            <w:shd w:val="clear" w:color="auto" w:fill="C6EFCE"/>
            <w:noWrap/>
          </w:tcPr>
          <w:p w14:paraId="6799996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0A9F674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GRNET upscale</w:t>
            </w:r>
          </w:p>
        </w:tc>
        <w:tc>
          <w:tcPr>
            <w:tcW w:w="1701" w:type="dxa"/>
            <w:shd w:val="clear" w:color="auto" w:fill="C6EFCE"/>
            <w:noWrap/>
          </w:tcPr>
          <w:p w14:paraId="204ACF1D" w14:textId="268B3199"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w:t>
            </w:r>
            <w:r w:rsidR="00D37153" w:rsidRPr="00DE4E4F">
              <w:rPr>
                <w:rFonts w:ascii="Times New Roman" w:hAnsi="Times New Roman" w:cs="Times New Roman"/>
                <w:noProof/>
                <w:color w:val="006100"/>
                <w:sz w:val="18"/>
                <w:szCs w:val="18"/>
              </w:rPr>
              <w:t>or delivery and installation</w:t>
            </w:r>
            <w:r w:rsidRPr="00DE4E4F">
              <w:rPr>
                <w:rFonts w:ascii="Times New Roman" w:hAnsi="Times New Roman" w:cs="Times New Roman"/>
                <w:noProof/>
                <w:color w:val="006100"/>
                <w:sz w:val="18"/>
                <w:szCs w:val="18"/>
              </w:rPr>
              <w:t xml:space="preserve"> of GRNET’s network equipment </w:t>
            </w:r>
          </w:p>
        </w:tc>
        <w:tc>
          <w:tcPr>
            <w:tcW w:w="1322" w:type="dxa"/>
            <w:shd w:val="clear" w:color="auto" w:fill="C6EFCE"/>
            <w:noWrap/>
          </w:tcPr>
          <w:p w14:paraId="70F852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018A25C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2BD7068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732313D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23BDAC9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7B6BE54B" w14:textId="43309263" w:rsidR="001B186F" w:rsidRPr="00DE4E4F" w:rsidRDefault="00251DA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and installation of GRNET’s network equipment for 120 locations and delivery of GRNET’s network equipment at another 110 locations.</w:t>
            </w:r>
          </w:p>
        </w:tc>
      </w:tr>
      <w:tr w:rsidR="00682269" w:rsidRPr="00DE4E4F" w14:paraId="624ECD6C" w14:textId="77777777" w:rsidTr="2258D701">
        <w:trPr>
          <w:trHeight w:val="313"/>
          <w:jc w:val="center"/>
        </w:trPr>
        <w:tc>
          <w:tcPr>
            <w:tcW w:w="575" w:type="dxa"/>
            <w:shd w:val="clear" w:color="auto" w:fill="C6EFCE"/>
            <w:noWrap/>
          </w:tcPr>
          <w:p w14:paraId="744100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127</w:t>
            </w:r>
          </w:p>
        </w:tc>
        <w:tc>
          <w:tcPr>
            <w:tcW w:w="2072" w:type="dxa"/>
            <w:shd w:val="clear" w:color="auto" w:fill="C6EFCE"/>
            <w:noWrap/>
          </w:tcPr>
          <w:p w14:paraId="7CB4EE9F" w14:textId="3211591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- 16956_Expansion of Syzef</w:t>
            </w:r>
            <w:r w:rsidR="00475BD6" w:rsidRPr="00DE4E4F">
              <w:rPr>
                <w:rFonts w:ascii="Times New Roman" w:hAnsi="Times New Roman" w:cs="Times New Roman"/>
                <w:noProof/>
                <w:color w:val="006100"/>
                <w:sz w:val="18"/>
                <w:szCs w:val="18"/>
              </w:rPr>
              <w:t>x</w:t>
            </w:r>
            <w:r w:rsidRPr="00DE4E4F">
              <w:rPr>
                <w:rFonts w:ascii="Times New Roman" w:hAnsi="Times New Roman" w:cs="Times New Roman"/>
                <w:noProof/>
                <w:color w:val="006100"/>
                <w:sz w:val="18"/>
                <w:szCs w:val="18"/>
              </w:rPr>
              <w:t>is II</w:t>
            </w:r>
          </w:p>
        </w:tc>
        <w:tc>
          <w:tcPr>
            <w:tcW w:w="1134" w:type="dxa"/>
            <w:shd w:val="clear" w:color="auto" w:fill="C6EFCE"/>
            <w:noWrap/>
          </w:tcPr>
          <w:p w14:paraId="44333E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7CF46E22" w14:textId="5E944D3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Syzef</w:t>
            </w:r>
            <w:r w:rsidR="00475BD6" w:rsidRPr="00DE4E4F">
              <w:rPr>
                <w:rFonts w:ascii="Times New Roman" w:hAnsi="Times New Roman" w:cs="Times New Roman"/>
                <w:noProof/>
                <w:color w:val="006100"/>
                <w:sz w:val="18"/>
                <w:szCs w:val="18"/>
              </w:rPr>
              <w:t>x</w:t>
            </w:r>
            <w:r w:rsidRPr="00DE4E4F">
              <w:rPr>
                <w:rFonts w:ascii="Times New Roman" w:hAnsi="Times New Roman" w:cs="Times New Roman"/>
                <w:noProof/>
                <w:color w:val="006100"/>
                <w:sz w:val="18"/>
                <w:szCs w:val="18"/>
              </w:rPr>
              <w:t>is II</w:t>
            </w:r>
          </w:p>
        </w:tc>
        <w:tc>
          <w:tcPr>
            <w:tcW w:w="1701" w:type="dxa"/>
            <w:shd w:val="clear" w:color="auto" w:fill="C6EFCE"/>
            <w:noWrap/>
          </w:tcPr>
          <w:p w14:paraId="4831FB4C" w14:textId="7A63A3E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Syzef</w:t>
            </w:r>
            <w:r w:rsidR="00475BD6" w:rsidRPr="00DE4E4F">
              <w:rPr>
                <w:rFonts w:ascii="Times New Roman" w:hAnsi="Times New Roman" w:cs="Times New Roman"/>
                <w:noProof/>
                <w:color w:val="006100"/>
                <w:sz w:val="18"/>
                <w:szCs w:val="18"/>
              </w:rPr>
              <w:t>x</w:t>
            </w:r>
            <w:r w:rsidRPr="00DE4E4F">
              <w:rPr>
                <w:rFonts w:ascii="Times New Roman" w:hAnsi="Times New Roman" w:cs="Times New Roman"/>
                <w:noProof/>
                <w:color w:val="006100"/>
                <w:sz w:val="18"/>
                <w:szCs w:val="18"/>
              </w:rPr>
              <w:t>is II upgrade</w:t>
            </w:r>
          </w:p>
        </w:tc>
        <w:tc>
          <w:tcPr>
            <w:tcW w:w="1322" w:type="dxa"/>
            <w:shd w:val="clear" w:color="auto" w:fill="C6EFCE"/>
            <w:noWrap/>
          </w:tcPr>
          <w:p w14:paraId="408270A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6728423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0E80C40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7CEDBD3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47803A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78C3F681" w14:textId="77777777" w:rsidR="001B186F" w:rsidRPr="00DE4E4F" w:rsidRDefault="0074517F" w:rsidP="009E2E69">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w:t>
            </w:r>
          </w:p>
          <w:p w14:paraId="71CCF4A0" w14:textId="77777777" w:rsidR="005829BF" w:rsidRPr="00DE4E4F" w:rsidRDefault="005829BF" w:rsidP="005829B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A digital system for site-survey data collection for the SYZEFXIS II rollout</w:t>
            </w:r>
          </w:p>
          <w:p w14:paraId="5ED18EDB" w14:textId="77777777" w:rsidR="005829BF" w:rsidRPr="00DE4E4F" w:rsidRDefault="005829BF" w:rsidP="005829B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Quality control and monitoring services for the installation of National Telecommunications Network cabling systems</w:t>
            </w:r>
          </w:p>
          <w:p w14:paraId="28624FEF" w14:textId="45FEF4E2" w:rsidR="005829BF" w:rsidRPr="00DE4E4F" w:rsidRDefault="005829BF" w:rsidP="005829B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r w:rsidR="00DE4E4F" w:rsidRPr="00DE4E4F">
              <w:rPr>
                <w:rFonts w:ascii="Times New Roman" w:hAnsi="Times New Roman" w:cs="Times New Roman"/>
                <w:noProof/>
                <w:color w:val="006100"/>
                <w:sz w:val="18"/>
                <w:szCs w:val="18"/>
              </w:rPr>
              <w:t>Uninterruptible</w:t>
            </w:r>
            <w:r w:rsidRPr="00DE4E4F">
              <w:rPr>
                <w:rFonts w:ascii="Times New Roman" w:hAnsi="Times New Roman" w:cs="Times New Roman"/>
                <w:noProof/>
                <w:color w:val="006100"/>
                <w:sz w:val="18"/>
                <w:szCs w:val="18"/>
              </w:rPr>
              <w:t xml:space="preserve"> power supply equipment across SYZEFXIS II entities</w:t>
            </w:r>
          </w:p>
          <w:p w14:paraId="5EA15EA3" w14:textId="77777777" w:rsidR="005829BF" w:rsidRPr="00DE4E4F" w:rsidRDefault="005829BF" w:rsidP="005829B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An information Security Management System for the public sector network</w:t>
            </w:r>
          </w:p>
          <w:p w14:paraId="58F8F7FF" w14:textId="7E69EB16" w:rsidR="005829BF" w:rsidRPr="00DE4E4F" w:rsidRDefault="005829BF" w:rsidP="00A01455">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Installation of network infrastructure in the Panhellenic School Network.</w:t>
            </w:r>
          </w:p>
        </w:tc>
      </w:tr>
      <w:tr w:rsidR="00682269" w:rsidRPr="00DE4E4F" w14:paraId="7D9387BA" w14:textId="77777777" w:rsidTr="2258D701">
        <w:trPr>
          <w:trHeight w:val="313"/>
          <w:jc w:val="center"/>
        </w:trPr>
        <w:tc>
          <w:tcPr>
            <w:tcW w:w="575" w:type="dxa"/>
            <w:shd w:val="clear" w:color="auto" w:fill="C6EFCE"/>
            <w:noWrap/>
          </w:tcPr>
          <w:p w14:paraId="78DFB9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129</w:t>
            </w:r>
          </w:p>
        </w:tc>
        <w:tc>
          <w:tcPr>
            <w:tcW w:w="2072" w:type="dxa"/>
            <w:shd w:val="clear" w:color="auto" w:fill="C6EFCE"/>
            <w:noWrap/>
          </w:tcPr>
          <w:p w14:paraId="39EE43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- 16842_Central BI - Data Analytics</w:t>
            </w:r>
          </w:p>
        </w:tc>
        <w:tc>
          <w:tcPr>
            <w:tcW w:w="1134" w:type="dxa"/>
            <w:shd w:val="clear" w:color="auto" w:fill="C6EFCE"/>
            <w:noWrap/>
          </w:tcPr>
          <w:p w14:paraId="04A0484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140106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Central BI</w:t>
            </w:r>
          </w:p>
        </w:tc>
        <w:tc>
          <w:tcPr>
            <w:tcW w:w="1701" w:type="dxa"/>
            <w:shd w:val="clear" w:color="auto" w:fill="C6EFCE"/>
            <w:noWrap/>
          </w:tcPr>
          <w:p w14:paraId="06543C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Central BI project. </w:t>
            </w:r>
          </w:p>
        </w:tc>
        <w:tc>
          <w:tcPr>
            <w:tcW w:w="1322" w:type="dxa"/>
            <w:shd w:val="clear" w:color="auto" w:fill="C6EFCE"/>
            <w:noWrap/>
          </w:tcPr>
          <w:p w14:paraId="68AF91D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327B081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34F19D5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342ED8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0427CC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398" w:type="dxa"/>
            <w:shd w:val="clear" w:color="auto" w:fill="C6EFCE"/>
            <w:noWrap/>
          </w:tcPr>
          <w:p w14:paraId="05D2A869" w14:textId="7D8F39D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Central BI - Data Analytics project, evidenced by the launch of the National Dashboard business intelligence </w:t>
            </w:r>
            <w:r w:rsidR="00DE4E4F" w:rsidRPr="00DE4E4F">
              <w:rPr>
                <w:rFonts w:ascii="Times New Roman" w:hAnsi="Times New Roman" w:cs="Times New Roman"/>
                <w:noProof/>
                <w:color w:val="006100"/>
                <w:sz w:val="18"/>
                <w:szCs w:val="18"/>
              </w:rPr>
              <w:t>solution</w:t>
            </w:r>
            <w:r w:rsidRPr="00DE4E4F">
              <w:rPr>
                <w:rFonts w:ascii="Times New Roman" w:hAnsi="Times New Roman" w:cs="Times New Roman"/>
                <w:noProof/>
                <w:color w:val="006100"/>
                <w:sz w:val="18"/>
                <w:szCs w:val="18"/>
              </w:rPr>
              <w:t xml:space="preserve">, </w:t>
            </w:r>
          </w:p>
        </w:tc>
      </w:tr>
      <w:tr w:rsidR="093B9897" w:rsidRPr="00DE4E4F" w14:paraId="30D2DCD1" w14:textId="77777777" w:rsidTr="2258D701">
        <w:trPr>
          <w:trHeight w:val="313"/>
          <w:jc w:val="center"/>
        </w:trPr>
        <w:tc>
          <w:tcPr>
            <w:tcW w:w="575" w:type="dxa"/>
            <w:shd w:val="clear" w:color="auto" w:fill="C6EFCE"/>
            <w:noWrap/>
          </w:tcPr>
          <w:p w14:paraId="5FD64C14" w14:textId="4DCD28A1" w:rsidR="37EF4BF3" w:rsidRPr="00DE4E4F" w:rsidRDefault="37EF4BF3" w:rsidP="0041490B">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400</w:t>
            </w:r>
          </w:p>
        </w:tc>
        <w:tc>
          <w:tcPr>
            <w:tcW w:w="2072" w:type="dxa"/>
            <w:shd w:val="clear" w:color="auto" w:fill="C6EFCE"/>
            <w:noWrap/>
          </w:tcPr>
          <w:p w14:paraId="6D477F6E" w14:textId="32C036E8" w:rsidR="2411E911" w:rsidRPr="00DE4E4F" w:rsidRDefault="2411E911" w:rsidP="0041490B">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6 - 2.2. Modernise - 16859_</w:t>
            </w:r>
            <w:r w:rsidR="37EF4BF3" w:rsidRPr="00DE4E4F">
              <w:rPr>
                <w:rFonts w:ascii="Times New Roman" w:hAnsi="Times New Roman" w:cs="Times New Roman"/>
                <w:noProof/>
                <w:color w:val="006100"/>
                <w:sz w:val="18"/>
                <w:szCs w:val="18"/>
              </w:rPr>
              <w:t>Voluntary contribution to the EuroHPC Joint Undertaking</w:t>
            </w:r>
          </w:p>
        </w:tc>
        <w:tc>
          <w:tcPr>
            <w:tcW w:w="1134" w:type="dxa"/>
            <w:shd w:val="clear" w:color="auto" w:fill="C6EFCE"/>
            <w:noWrap/>
          </w:tcPr>
          <w:p w14:paraId="11844DD5" w14:textId="00C70557" w:rsidR="443CE982" w:rsidRPr="00DE4E4F" w:rsidRDefault="443CE982" w:rsidP="0041490B">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17" w:type="dxa"/>
            <w:shd w:val="clear" w:color="auto" w:fill="C6EFCE"/>
            <w:noWrap/>
          </w:tcPr>
          <w:p w14:paraId="4EED5D16" w14:textId="7395249C" w:rsidR="0C8F2F9E" w:rsidRPr="00DE4E4F" w:rsidRDefault="0C8F2F9E" w:rsidP="009A6FC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Signature of the Contribution Agreement between Greece and the EuroHPC JU and disbursement of the voluntary contribution to the EuroHPC JU</w:t>
            </w:r>
          </w:p>
        </w:tc>
        <w:tc>
          <w:tcPr>
            <w:tcW w:w="1701" w:type="dxa"/>
            <w:shd w:val="clear" w:color="auto" w:fill="C6EFCE"/>
            <w:noWrap/>
          </w:tcPr>
          <w:p w14:paraId="4D7354E7" w14:textId="0BD6767B" w:rsidR="093B9897" w:rsidRPr="00DE4E4F" w:rsidRDefault="0C8F2F9E" w:rsidP="009A6FC8">
            <w:pPr>
              <w:spacing w:after="0" w:line="240" w:lineRule="auto"/>
              <w:rPr>
                <w:rFonts w:ascii="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Signature of the Contribution Agreement</w:t>
            </w:r>
          </w:p>
        </w:tc>
        <w:tc>
          <w:tcPr>
            <w:tcW w:w="1322" w:type="dxa"/>
            <w:shd w:val="clear" w:color="auto" w:fill="C6EFCE"/>
            <w:noWrap/>
          </w:tcPr>
          <w:p w14:paraId="4ABDD142" w14:textId="0338E827" w:rsidR="093B9897" w:rsidRPr="00DE4E4F" w:rsidRDefault="093B9897" w:rsidP="0041490B">
            <w:pPr>
              <w:spacing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8222747" w14:textId="281B9922" w:rsidR="093B9897" w:rsidRPr="00DE4E4F" w:rsidRDefault="093B9897" w:rsidP="0041490B">
            <w:pPr>
              <w:spacing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47A9FA40" w14:textId="7BC7F217" w:rsidR="093B9897" w:rsidRPr="00DE4E4F" w:rsidRDefault="093B9897" w:rsidP="0041490B">
            <w:pPr>
              <w:spacing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1D5CCD59" w14:textId="47492AFE" w:rsidR="0CA48E48" w:rsidRPr="00DE4E4F" w:rsidRDefault="0CA48E48" w:rsidP="0041490B">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366D889D" w14:textId="3A15D4E7" w:rsidR="0CA48E48" w:rsidRPr="00DE4E4F" w:rsidRDefault="0CA48E48" w:rsidP="0041490B">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398" w:type="dxa"/>
            <w:shd w:val="clear" w:color="auto" w:fill="C6EFCE"/>
            <w:noWrap/>
          </w:tcPr>
          <w:p w14:paraId="0AAEB1F6" w14:textId="3D8C0FD2" w:rsidR="00D77CEC" w:rsidRPr="00DE4E4F" w:rsidRDefault="0C8F2F9E">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Signature of the Contribution Agreement between Greece and the </w:t>
            </w:r>
            <w:r w:rsidR="009446BD" w:rsidRPr="00DE4E4F">
              <w:rPr>
                <w:rFonts w:ascii="Times New Roman" w:eastAsia="Times New Roman" w:hAnsi="Times New Roman" w:cs="Times New Roman"/>
                <w:noProof/>
                <w:color w:val="006100"/>
                <w:sz w:val="18"/>
                <w:szCs w:val="18"/>
              </w:rPr>
              <w:t>European High-Performance Computing Joint Undertaking (</w:t>
            </w:r>
            <w:r w:rsidRPr="00DE4E4F">
              <w:rPr>
                <w:rFonts w:ascii="Times New Roman" w:eastAsia="Times New Roman" w:hAnsi="Times New Roman" w:cs="Times New Roman"/>
                <w:noProof/>
                <w:color w:val="006100"/>
                <w:sz w:val="18"/>
                <w:szCs w:val="18"/>
              </w:rPr>
              <w:t>EuroHPC JU</w:t>
            </w:r>
            <w:r w:rsidR="009446BD" w:rsidRPr="00DE4E4F">
              <w:rPr>
                <w:rFonts w:ascii="Times New Roman" w:eastAsia="Times New Roman" w:hAnsi="Times New Roman" w:cs="Times New Roman"/>
                <w:noProof/>
                <w:color w:val="006100"/>
                <w:sz w:val="18"/>
                <w:szCs w:val="18"/>
              </w:rPr>
              <w:t>)</w:t>
            </w:r>
            <w:r w:rsidRPr="00DE4E4F">
              <w:rPr>
                <w:rFonts w:ascii="Times New Roman" w:eastAsia="Times New Roman" w:hAnsi="Times New Roman" w:cs="Times New Roman"/>
                <w:noProof/>
                <w:color w:val="006100"/>
                <w:sz w:val="18"/>
                <w:szCs w:val="18"/>
              </w:rPr>
              <w:t>.</w:t>
            </w:r>
          </w:p>
          <w:p w14:paraId="7C8278F7" w14:textId="77777777" w:rsidR="00D77CEC" w:rsidRPr="00DE4E4F" w:rsidRDefault="00D77CEC">
            <w:pPr>
              <w:spacing w:after="0" w:line="240" w:lineRule="auto"/>
              <w:rPr>
                <w:rFonts w:ascii="Times New Roman" w:eastAsia="Times New Roman" w:hAnsi="Times New Roman" w:cs="Times New Roman"/>
                <w:noProof/>
                <w:color w:val="006100"/>
                <w:sz w:val="18"/>
                <w:szCs w:val="18"/>
              </w:rPr>
            </w:pPr>
          </w:p>
          <w:p w14:paraId="7CC8A8C6" w14:textId="0FEFC5C3" w:rsidR="0C8F2F9E" w:rsidRPr="00DE4E4F" w:rsidRDefault="0C8F2F9E" w:rsidP="70FC9CD4">
            <w:pPr>
              <w:spacing w:after="8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That Contribution Agreement shall include: </w:t>
            </w:r>
          </w:p>
          <w:p w14:paraId="0CC5E627" w14:textId="0C581603" w:rsidR="0C8F2F9E" w:rsidRPr="00DE4E4F" w:rsidRDefault="359EF12A" w:rsidP="0059716A">
            <w:pPr>
              <w:spacing w:after="8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 An indication of the activities to be funded with the voluntary contribution, namely financial support to an AI Gigafactory </w:t>
            </w:r>
            <w:r w:rsidR="009D7472" w:rsidRPr="00DE4E4F">
              <w:rPr>
                <w:rFonts w:ascii="Times New Roman" w:eastAsia="Times New Roman" w:hAnsi="Times New Roman" w:cs="Times New Roman"/>
                <w:noProof/>
                <w:color w:val="006100"/>
                <w:sz w:val="18"/>
                <w:szCs w:val="18"/>
              </w:rPr>
              <w:t>and/or</w:t>
            </w:r>
            <w:r w:rsidR="009D7472" w:rsidRPr="00DE4E4F">
              <w:rPr>
                <w:noProof/>
              </w:rPr>
              <w:t xml:space="preserve"> </w:t>
            </w:r>
            <w:r w:rsidR="009D7472" w:rsidRPr="00DE4E4F">
              <w:rPr>
                <w:rFonts w:ascii="Times New Roman" w:eastAsia="Times New Roman" w:hAnsi="Times New Roman" w:cs="Times New Roman"/>
                <w:noProof/>
                <w:color w:val="006100"/>
                <w:sz w:val="18"/>
                <w:szCs w:val="18"/>
              </w:rPr>
              <w:t xml:space="preserve">other EuroHPC initiatives such as the AI Factories, supercomputers or quantum computers, or to other AI, quantum technology or HPC investments related to the objectives of the EuroHPC </w:t>
            </w:r>
            <w:r w:rsidR="07713ED8" w:rsidRPr="00DE4E4F">
              <w:rPr>
                <w:rFonts w:ascii="Times New Roman" w:eastAsia="Times New Roman" w:hAnsi="Times New Roman" w:cs="Times New Roman"/>
                <w:noProof/>
                <w:color w:val="006100"/>
                <w:sz w:val="18"/>
                <w:szCs w:val="18"/>
              </w:rPr>
              <w:t>JU</w:t>
            </w:r>
            <w:r w:rsidR="5BC1FFFE" w:rsidRPr="00DE4E4F">
              <w:rPr>
                <w:rFonts w:ascii="Times New Roman" w:eastAsia="Times New Roman" w:hAnsi="Times New Roman" w:cs="Times New Roman"/>
                <w:noProof/>
                <w:color w:val="006100"/>
                <w:sz w:val="18"/>
                <w:szCs w:val="18"/>
              </w:rPr>
              <w:t>;</w:t>
            </w:r>
          </w:p>
          <w:p w14:paraId="047EA60E" w14:textId="2E8B999C" w:rsidR="0C8F2F9E" w:rsidRPr="00DE4E4F" w:rsidRDefault="0C8F2F9E" w:rsidP="0059716A">
            <w:pPr>
              <w:spacing w:after="8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The requirement that the voluntary contribution shall be used in a manner compliant with the do no significant harm (DNSH) principle as set out in the Technical Guidance 2021/C58/01</w:t>
            </w:r>
            <w:r w:rsidR="00D77CEC" w:rsidRPr="00DE4E4F">
              <w:rPr>
                <w:rFonts w:ascii="Times New Roman" w:eastAsia="Times New Roman" w:hAnsi="Times New Roman" w:cs="Times New Roman"/>
                <w:noProof/>
                <w:color w:val="006100"/>
                <w:sz w:val="18"/>
                <w:szCs w:val="18"/>
              </w:rPr>
              <w:t>;</w:t>
            </w:r>
            <w:r w:rsidRPr="00DE4E4F">
              <w:rPr>
                <w:rFonts w:ascii="Times New Roman" w:eastAsia="Times New Roman" w:hAnsi="Times New Roman" w:cs="Times New Roman"/>
                <w:noProof/>
                <w:color w:val="006100"/>
                <w:sz w:val="18"/>
                <w:szCs w:val="18"/>
              </w:rPr>
              <w:t xml:space="preserve"> </w:t>
            </w:r>
          </w:p>
          <w:p w14:paraId="1D5C4CE1" w14:textId="07F78808" w:rsidR="0C8F2F9E" w:rsidRPr="00DE4E4F" w:rsidRDefault="0C8F2F9E" w:rsidP="0059716A">
            <w:pPr>
              <w:spacing w:after="8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The exact amount of the voluntary contribution from RRF funds</w:t>
            </w:r>
            <w:r w:rsidR="00D77CEC" w:rsidRPr="00DE4E4F">
              <w:rPr>
                <w:rFonts w:ascii="Times New Roman" w:eastAsia="Times New Roman" w:hAnsi="Times New Roman" w:cs="Times New Roman"/>
                <w:noProof/>
                <w:color w:val="006100"/>
                <w:sz w:val="18"/>
                <w:szCs w:val="18"/>
              </w:rPr>
              <w:t>;</w:t>
            </w:r>
            <w:r w:rsidRPr="00DE4E4F">
              <w:rPr>
                <w:rFonts w:ascii="Times New Roman" w:eastAsia="Times New Roman" w:hAnsi="Times New Roman" w:cs="Times New Roman"/>
                <w:noProof/>
                <w:color w:val="006100"/>
                <w:sz w:val="18"/>
                <w:szCs w:val="18"/>
              </w:rPr>
              <w:t xml:space="preserve"> </w:t>
            </w:r>
          </w:p>
          <w:p w14:paraId="2626147C" w14:textId="157BB667" w:rsidR="00D77CEC" w:rsidRPr="00DE4E4F" w:rsidRDefault="0C8F2F9E" w:rsidP="0059716A">
            <w:pPr>
              <w:spacing w:after="8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A requirement that unused amounts covered by the agreement shall be used by the EuroHPC JU to support the same policy objectives for the benefit of the concerned Member State and shall not be transferred back to the Member State.</w:t>
            </w:r>
          </w:p>
          <w:p w14:paraId="68FEB822" w14:textId="70662069" w:rsidR="0C8F2F9E" w:rsidRPr="00DE4E4F" w:rsidRDefault="0C8F2F9E" w:rsidP="009A6FC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Greece shall transfer EUR 350</w:t>
            </w:r>
            <w:r w:rsidR="007C7D07" w:rsidRPr="00DE4E4F">
              <w:rPr>
                <w:rFonts w:ascii="Times New Roman" w:eastAsia="Times New Roman" w:hAnsi="Times New Roman" w:cs="Times New Roman"/>
                <w:noProof/>
                <w:color w:val="006100"/>
                <w:sz w:val="18"/>
                <w:szCs w:val="18"/>
              </w:rPr>
              <w:t xml:space="preserve"> 000 000 </w:t>
            </w:r>
            <w:r w:rsidRPr="00DE4E4F">
              <w:rPr>
                <w:rFonts w:ascii="Times New Roman" w:eastAsia="Times New Roman" w:hAnsi="Times New Roman" w:cs="Times New Roman"/>
                <w:noProof/>
                <w:color w:val="006100"/>
                <w:sz w:val="18"/>
                <w:szCs w:val="18"/>
              </w:rPr>
              <w:t xml:space="preserve">to the </w:t>
            </w:r>
            <w:r w:rsidR="009446BD" w:rsidRPr="00DE4E4F">
              <w:rPr>
                <w:rFonts w:ascii="Times New Roman" w:eastAsia="Times New Roman" w:hAnsi="Times New Roman" w:cs="Times New Roman"/>
                <w:noProof/>
                <w:color w:val="006100"/>
                <w:sz w:val="18"/>
                <w:szCs w:val="18"/>
              </w:rPr>
              <w:t>EuroHPC JU</w:t>
            </w:r>
            <w:r w:rsidR="00E85C4A" w:rsidRPr="00DE4E4F">
              <w:rPr>
                <w:rFonts w:ascii="Times New Roman" w:eastAsia="Times New Roman" w:hAnsi="Times New Roman" w:cs="Times New Roman"/>
                <w:noProof/>
                <w:color w:val="006100"/>
                <w:sz w:val="18"/>
                <w:szCs w:val="18"/>
              </w:rPr>
              <w:t>.</w:t>
            </w:r>
          </w:p>
        </w:tc>
      </w:tr>
    </w:tbl>
    <w:p w14:paraId="1FCAE4A1" w14:textId="77777777" w:rsidR="001B186F" w:rsidRPr="00DE4E4F" w:rsidRDefault="001B186F">
      <w:pPr>
        <w:spacing w:before="120" w:after="120" w:line="240" w:lineRule="auto"/>
        <w:rPr>
          <w:rFonts w:ascii="Times New Roman" w:hAnsi="Times New Roman" w:cs="Times New Roman"/>
          <w:noProof/>
          <w:sz w:val="24"/>
        </w:rPr>
        <w:sectPr w:rsidR="001B186F" w:rsidRPr="00DE4E4F">
          <w:headerReference w:type="even" r:id="rId150"/>
          <w:headerReference w:type="default" r:id="rId151"/>
          <w:footerReference w:type="even" r:id="rId152"/>
          <w:footerReference w:type="default" r:id="rId153"/>
          <w:headerReference w:type="first" r:id="rId154"/>
          <w:footerReference w:type="first" r:id="rId155"/>
          <w:pgSz w:w="16839" w:h="11907" w:orient="landscape"/>
          <w:pgMar w:top="1134" w:right="1134" w:bottom="1134" w:left="1134" w:header="567" w:footer="567" w:gutter="0"/>
          <w:cols w:space="720"/>
          <w:docGrid w:linePitch="360"/>
        </w:sectPr>
      </w:pPr>
    </w:p>
    <w:p w14:paraId="45B1CA48"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G. COMPONENT 2.3: DIGITALISATION OF BUSINESS</w:t>
      </w:r>
    </w:p>
    <w:p w14:paraId="50AA052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This component </w:t>
      </w:r>
      <w:r w:rsidRPr="00DE4E4F">
        <w:rPr>
          <w:rFonts w:ascii="Times New Roman" w:hAnsi="Times New Roman"/>
          <w:noProof/>
          <w:color w:val="000000" w:themeColor="text1"/>
          <w:sz w:val="24"/>
          <w:szCs w:val="24"/>
        </w:rPr>
        <w:t xml:space="preserve">of the Greek recovery and resilience </w:t>
      </w:r>
      <w:r w:rsidRPr="00DE4E4F">
        <w:rPr>
          <w:rFonts w:ascii="Times New Roman" w:hAnsi="Times New Roman"/>
          <w:noProof/>
          <w:sz w:val="24"/>
        </w:rPr>
        <w:t xml:space="preserve">concerns the provision of capital to Greek small and medium-sized enterprises to finance the investment in digital technologies and purchase of associated services. It aims to address the currently low levels of digital maturity among them, including due to low digital skills, whilst fostering productivity and the development of innovative businesses. At the same time, it is expected to help such businesses to adapt to new challenges and take advantage of emerging business trends. In particular, the component provides for the establishment of a single digital marketplace, to which both the suppliers of these products and services shall have access. Promoting the use of electronic payments and sales, upgrading of cash registers and POS ecosystem, and the </w:t>
      </w:r>
      <w:r w:rsidRPr="00DE4E4F">
        <w:rPr>
          <w:rFonts w:ascii="Times New Roman" w:hAnsi="Times New Roman"/>
          <w:noProof/>
          <w:sz w:val="24"/>
          <w:szCs w:val="24"/>
        </w:rPr>
        <w:t>development</w:t>
      </w:r>
      <w:r w:rsidRPr="00DE4E4F">
        <w:rPr>
          <w:rFonts w:ascii="Times New Roman" w:hAnsi="Times New Roman"/>
          <w:noProof/>
          <w:sz w:val="24"/>
        </w:rPr>
        <w:t xml:space="preserve"> of </w:t>
      </w:r>
      <w:r w:rsidRPr="00DE4E4F">
        <w:rPr>
          <w:rFonts w:ascii="Times New Roman" w:hAnsi="Times New Roman"/>
          <w:noProof/>
          <w:sz w:val="24"/>
          <w:szCs w:val="24"/>
        </w:rPr>
        <w:t>industrial data products are key targets of this component.</w:t>
      </w:r>
      <w:r w:rsidRPr="00DE4E4F">
        <w:rPr>
          <w:rFonts w:ascii="Times New Roman" w:hAnsi="Times New Roman"/>
          <w:noProof/>
          <w:sz w:val="24"/>
        </w:rPr>
        <w:t xml:space="preserve"> Further, the component also aims to help to create a digital business ecosystem conducive to the digital transformation of small- and medium-sized enterprises. A central supporting mechanism for small- and medium-sized enterprises, facilitating the provision of training and awareness programs so that they may make the most of the tools and services offered through the digital marketplace, is also envisaged. </w:t>
      </w:r>
    </w:p>
    <w:p w14:paraId="25953AB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measures are expected to respond to the digital transition and the challenges resulting from it, as they are expected to contribute to the uptake of digital technologies and digital upskilling of small- and medium-sized enterprises in Greece. Further, the measures are also expected to facilitate smart and sustainable growth by further stimulating private investment, thus helping to address the Country Specific Recommendation on public and private investment (CSR 3 2020).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8FAF84A"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G.1. Description of the reforms and investments for non-repayable financial support</w:t>
      </w:r>
    </w:p>
    <w:p w14:paraId="7F141F59"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Establishment of a digital business ecosystem for the facilitation of the SMEs digital transformation (measure ID 16973)</w:t>
      </w:r>
    </w:p>
    <w:p w14:paraId="42038BD3" w14:textId="006E7BE5"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reform is to create a digital business ecosystem for the digital transformation of SMEs. The reform consists of the introduction of a framework for: (a) setting up a digital </w:t>
      </w:r>
      <w:r w:rsidR="00734D9F" w:rsidRPr="00DE4E4F">
        <w:rPr>
          <w:rFonts w:ascii="Times New Roman" w:hAnsi="Times New Roman"/>
          <w:noProof/>
          <w:sz w:val="24"/>
          <w:szCs w:val="24"/>
        </w:rPr>
        <w:t>marketplace</w:t>
      </w:r>
      <w:r w:rsidRPr="00DE4E4F">
        <w:rPr>
          <w:rFonts w:ascii="Times New Roman" w:hAnsi="Times New Roman"/>
          <w:noProof/>
          <w:sz w:val="24"/>
          <w:szCs w:val="24"/>
        </w:rPr>
        <w:t xml:space="preserve"> for the supply and purchase of digital services and tools, and (b) establishing the AI factory “Pharos”. </w:t>
      </w:r>
    </w:p>
    <w:p w14:paraId="1D17E61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SMEs (measure ID 16706)</w:t>
      </w:r>
    </w:p>
    <w:p w14:paraId="38E38C7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 xml:space="preserve">The objective of the investment is the digital transformation of Greek SMEs. The investment consists of the delivery and purchase of digital products by Greek SMEs. </w:t>
      </w:r>
    </w:p>
    <w:p w14:paraId="0C8FEE2C"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156"/>
          <w:headerReference w:type="default" r:id="rId157"/>
          <w:footerReference w:type="even" r:id="rId158"/>
          <w:footerReference w:type="default" r:id="rId159"/>
          <w:headerReference w:type="first" r:id="rId160"/>
          <w:footerReference w:type="first" r:id="rId161"/>
          <w:pgSz w:w="11906" w:h="16838"/>
          <w:pgMar w:top="1134" w:right="1134" w:bottom="1134" w:left="1134" w:header="567" w:footer="567" w:gutter="0"/>
          <w:cols w:space="708"/>
          <w:docGrid w:linePitch="360"/>
        </w:sectPr>
      </w:pPr>
    </w:p>
    <w:p w14:paraId="08B0D206" w14:textId="77777777" w:rsidR="001B186F" w:rsidRPr="00DE4E4F" w:rsidRDefault="0074517F">
      <w:pPr>
        <w:spacing w:before="120" w:after="120" w:line="240" w:lineRule="auto"/>
        <w:jc w:val="both"/>
        <w:rPr>
          <w:rFonts w:ascii="Times New Roman" w:hAnsi="Times New Roman"/>
          <w:b/>
          <w:noProof/>
          <w:sz w:val="24"/>
          <w:u w:val="single"/>
        </w:rPr>
      </w:pPr>
      <w:r w:rsidRPr="00DE4E4F">
        <w:rPr>
          <w:rFonts w:ascii="Times New Roman" w:hAnsi="Times New Roman"/>
          <w:b/>
          <w:noProof/>
          <w:sz w:val="24"/>
          <w:u w:val="single"/>
        </w:rPr>
        <w:t>G.2. Milestones, targets, indicators, and timetable for monitoring and implementation for non-repayable financial support</w:t>
      </w:r>
    </w:p>
    <w:p w14:paraId="0275E0F6" w14:textId="77777777" w:rsidR="001B186F" w:rsidRPr="00DE4E4F" w:rsidRDefault="0074517F">
      <w:pPr>
        <w:keepNext/>
        <w:keepLines/>
        <w:spacing w:before="40" w:after="0" w:line="240" w:lineRule="auto"/>
        <w:jc w:val="both"/>
        <w:outlineLvl w:val="4"/>
        <w:rPr>
          <w:rFonts w:ascii="Cambria" w:hAnsi="Cambria"/>
          <w:noProof/>
          <w:color w:val="365F91"/>
          <w:sz w:val="24"/>
        </w:rPr>
      </w:pPr>
      <w:r w:rsidRPr="00DE4E4F">
        <w:rPr>
          <w:rFonts w:ascii="Cambria" w:hAnsi="Cambria"/>
          <w:noProof/>
          <w:color w:val="365F91"/>
          <w:sz w:val="24"/>
        </w:rPr>
        <w:t>Top investment 4: Digital Transformation of SMEs</w:t>
      </w:r>
    </w:p>
    <w:tbl>
      <w:tblPr>
        <w:tblW w:w="14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160"/>
        <w:gridCol w:w="1146"/>
        <w:gridCol w:w="1395"/>
        <w:gridCol w:w="1380"/>
        <w:gridCol w:w="960"/>
        <w:gridCol w:w="957"/>
        <w:gridCol w:w="690"/>
        <w:gridCol w:w="1025"/>
        <w:gridCol w:w="749"/>
        <w:gridCol w:w="3617"/>
      </w:tblGrid>
      <w:tr w:rsidR="00682269" w:rsidRPr="00DE4E4F" w14:paraId="26722EEB" w14:textId="77777777">
        <w:trPr>
          <w:trHeight w:val="300"/>
          <w:tblHeader/>
          <w:jc w:val="center"/>
        </w:trPr>
        <w:tc>
          <w:tcPr>
            <w:tcW w:w="708" w:type="dxa"/>
            <w:vMerge w:val="restart"/>
            <w:shd w:val="clear" w:color="auto" w:fill="BDD7EE"/>
            <w:vAlign w:val="center"/>
            <w:hideMark/>
          </w:tcPr>
          <w:p w14:paraId="7F43FA5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noProof/>
                <w:color w:val="006100"/>
                <w:sz w:val="18"/>
                <w:szCs w:val="18"/>
              </w:rPr>
              <w:t> </w:t>
            </w: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160" w:type="dxa"/>
            <w:vMerge w:val="restart"/>
            <w:shd w:val="clear" w:color="auto" w:fill="BDD7EE"/>
            <w:vAlign w:val="center"/>
            <w:hideMark/>
          </w:tcPr>
          <w:p w14:paraId="6DE86FB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46" w:type="dxa"/>
            <w:vMerge w:val="restart"/>
            <w:shd w:val="clear" w:color="auto" w:fill="BDD7EE"/>
            <w:vAlign w:val="center"/>
            <w:hideMark/>
          </w:tcPr>
          <w:p w14:paraId="0912BD9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95" w:type="dxa"/>
            <w:vMerge w:val="restart"/>
            <w:shd w:val="clear" w:color="auto" w:fill="BDD7EE"/>
            <w:vAlign w:val="center"/>
            <w:hideMark/>
          </w:tcPr>
          <w:p w14:paraId="2EFFF1F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380" w:type="dxa"/>
            <w:vMerge w:val="restart"/>
            <w:shd w:val="clear" w:color="auto" w:fill="BDD7EE"/>
            <w:vAlign w:val="center"/>
            <w:hideMark/>
          </w:tcPr>
          <w:p w14:paraId="2BF18B3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607" w:type="dxa"/>
            <w:gridSpan w:val="3"/>
            <w:shd w:val="clear" w:color="auto" w:fill="BDD7EE"/>
            <w:vAlign w:val="center"/>
            <w:hideMark/>
          </w:tcPr>
          <w:p w14:paraId="6C76563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774" w:type="dxa"/>
            <w:gridSpan w:val="2"/>
            <w:shd w:val="clear" w:color="auto" w:fill="BDD7EE"/>
            <w:vAlign w:val="center"/>
            <w:hideMark/>
          </w:tcPr>
          <w:p w14:paraId="12D6F77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617" w:type="dxa"/>
            <w:vMerge w:val="restart"/>
            <w:shd w:val="clear" w:color="auto" w:fill="BDD7EE"/>
            <w:vAlign w:val="center"/>
            <w:hideMark/>
          </w:tcPr>
          <w:p w14:paraId="5BDF740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0D17FF74" w14:textId="77777777">
        <w:trPr>
          <w:trHeight w:val="300"/>
          <w:tblHeader/>
          <w:jc w:val="center"/>
        </w:trPr>
        <w:tc>
          <w:tcPr>
            <w:tcW w:w="708" w:type="dxa"/>
            <w:vMerge/>
            <w:vAlign w:val="center"/>
            <w:hideMark/>
          </w:tcPr>
          <w:p w14:paraId="057EBE1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160" w:type="dxa"/>
            <w:vMerge/>
            <w:vAlign w:val="center"/>
            <w:hideMark/>
          </w:tcPr>
          <w:p w14:paraId="6A4E841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46" w:type="dxa"/>
            <w:vMerge/>
            <w:vAlign w:val="center"/>
            <w:hideMark/>
          </w:tcPr>
          <w:p w14:paraId="612D5D9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95" w:type="dxa"/>
            <w:vMerge/>
            <w:vAlign w:val="center"/>
            <w:hideMark/>
          </w:tcPr>
          <w:p w14:paraId="246D16E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80" w:type="dxa"/>
            <w:vMerge/>
            <w:vAlign w:val="center"/>
            <w:hideMark/>
          </w:tcPr>
          <w:p w14:paraId="081508C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60" w:type="dxa"/>
            <w:shd w:val="clear" w:color="auto" w:fill="BDD7EE"/>
            <w:vAlign w:val="center"/>
            <w:hideMark/>
          </w:tcPr>
          <w:p w14:paraId="29FE276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57" w:type="dxa"/>
            <w:shd w:val="clear" w:color="auto" w:fill="BDD7EE"/>
            <w:vAlign w:val="center"/>
            <w:hideMark/>
          </w:tcPr>
          <w:p w14:paraId="163AC9A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690" w:type="dxa"/>
            <w:shd w:val="clear" w:color="auto" w:fill="BDD7EE"/>
            <w:vAlign w:val="center"/>
            <w:hideMark/>
          </w:tcPr>
          <w:p w14:paraId="6857C63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1025" w:type="dxa"/>
            <w:shd w:val="clear" w:color="auto" w:fill="BDD7EE"/>
            <w:vAlign w:val="center"/>
            <w:hideMark/>
          </w:tcPr>
          <w:p w14:paraId="0A5C1A0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49" w:type="dxa"/>
            <w:shd w:val="clear" w:color="auto" w:fill="BDD7EE"/>
            <w:vAlign w:val="center"/>
            <w:hideMark/>
          </w:tcPr>
          <w:p w14:paraId="0A60380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617" w:type="dxa"/>
            <w:vMerge/>
            <w:vAlign w:val="center"/>
            <w:hideMark/>
          </w:tcPr>
          <w:p w14:paraId="2852D73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553C7EBA" w14:textId="77777777">
        <w:trPr>
          <w:trHeight w:val="300"/>
          <w:jc w:val="center"/>
        </w:trPr>
        <w:tc>
          <w:tcPr>
            <w:tcW w:w="708" w:type="dxa"/>
            <w:shd w:val="clear" w:color="auto" w:fill="C6EFCE"/>
            <w:noWrap/>
          </w:tcPr>
          <w:p w14:paraId="6CAFB2C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130</w:t>
            </w:r>
          </w:p>
        </w:tc>
        <w:tc>
          <w:tcPr>
            <w:tcW w:w="2160" w:type="dxa"/>
            <w:shd w:val="clear" w:color="auto" w:fill="C6EFCE"/>
            <w:noWrap/>
          </w:tcPr>
          <w:p w14:paraId="2B6A21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7 - 2.3. Digitalisation of businesses - 16706_Digital Transformation of SMEs</w:t>
            </w:r>
          </w:p>
        </w:tc>
        <w:tc>
          <w:tcPr>
            <w:tcW w:w="1146" w:type="dxa"/>
            <w:shd w:val="clear" w:color="auto" w:fill="C6EFCE"/>
            <w:noWrap/>
          </w:tcPr>
          <w:p w14:paraId="2186E37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5" w:type="dxa"/>
            <w:shd w:val="clear" w:color="auto" w:fill="C6EFCE"/>
            <w:noWrap/>
          </w:tcPr>
          <w:p w14:paraId="4ED0D6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SMEs - calls for proposals</w:t>
            </w:r>
          </w:p>
        </w:tc>
        <w:tc>
          <w:tcPr>
            <w:tcW w:w="1380" w:type="dxa"/>
            <w:shd w:val="clear" w:color="auto" w:fill="C6EFCE"/>
            <w:noWrap/>
          </w:tcPr>
          <w:p w14:paraId="3CCFFA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Published call for proposals</w:t>
            </w:r>
          </w:p>
        </w:tc>
        <w:tc>
          <w:tcPr>
            <w:tcW w:w="960" w:type="dxa"/>
            <w:shd w:val="clear" w:color="auto" w:fill="C6EFCE"/>
            <w:noWrap/>
          </w:tcPr>
          <w:p w14:paraId="11D9849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57" w:type="dxa"/>
            <w:shd w:val="clear" w:color="auto" w:fill="C6EFCE"/>
            <w:noWrap/>
          </w:tcPr>
          <w:p w14:paraId="60BFE3A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0" w:type="dxa"/>
            <w:shd w:val="clear" w:color="auto" w:fill="C6EFCE"/>
            <w:noWrap/>
          </w:tcPr>
          <w:p w14:paraId="3C8C645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25" w:type="dxa"/>
            <w:shd w:val="clear" w:color="auto" w:fill="C6EFCE"/>
            <w:noWrap/>
          </w:tcPr>
          <w:p w14:paraId="70F32B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49" w:type="dxa"/>
            <w:shd w:val="clear" w:color="auto" w:fill="C6EFCE"/>
            <w:noWrap/>
          </w:tcPr>
          <w:p w14:paraId="3BDAFCB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617" w:type="dxa"/>
            <w:shd w:val="clear" w:color="auto" w:fill="C6EFCE"/>
            <w:noWrap/>
          </w:tcPr>
          <w:p w14:paraId="5B1EDF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Launch of all competitive calls for proposals for funding for the voucher scheme for the Digital Transformation of Businesses (subprojects 1), Industrial Data Platforms and Data Spaces (subprojects 2) and Cash Registers and POS ecosystem upgrade (subprojects 4),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4A64157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7C9758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Investments shall be targeted towards technologies and services to foster the digitalisation of small- and medium-sized enterprises, namely e-payment, e-sales and e-invoicing applications, tools for digital advertising, systems for teleworking, business analytics, digital upskilling, backup and disaster recovery services, artificial intelligence, Internet of Things, supply of integrated solutions for contactless service, cybersecurity systems, cloud infrastructures and services, industrial data platform templates and software, cash Registers and POS ecosystem upgrade. </w:t>
            </w:r>
          </w:p>
        </w:tc>
      </w:tr>
      <w:tr w:rsidR="00682269" w:rsidRPr="00DE4E4F" w14:paraId="72EBF7A7" w14:textId="77777777">
        <w:trPr>
          <w:trHeight w:val="300"/>
          <w:jc w:val="center"/>
        </w:trPr>
        <w:tc>
          <w:tcPr>
            <w:tcW w:w="708" w:type="dxa"/>
            <w:shd w:val="clear" w:color="auto" w:fill="C6EFCE"/>
            <w:noWrap/>
          </w:tcPr>
          <w:p w14:paraId="0CD6899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131</w:t>
            </w:r>
          </w:p>
        </w:tc>
        <w:tc>
          <w:tcPr>
            <w:tcW w:w="2160" w:type="dxa"/>
            <w:shd w:val="clear" w:color="auto" w:fill="C6EFCE"/>
            <w:noWrap/>
          </w:tcPr>
          <w:p w14:paraId="1D699F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7 - 2.3. Digitalisation of businesses - 16706_Digital Transformation of SMEs</w:t>
            </w:r>
          </w:p>
        </w:tc>
        <w:tc>
          <w:tcPr>
            <w:tcW w:w="1146" w:type="dxa"/>
            <w:shd w:val="clear" w:color="auto" w:fill="C6EFCE"/>
            <w:noWrap/>
          </w:tcPr>
          <w:p w14:paraId="780E5C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5" w:type="dxa"/>
            <w:shd w:val="clear" w:color="auto" w:fill="C6EFCE"/>
            <w:noWrap/>
          </w:tcPr>
          <w:p w14:paraId="59FD5C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SMEs – Digitalisation support via voucher schemes</w:t>
            </w:r>
          </w:p>
        </w:tc>
        <w:tc>
          <w:tcPr>
            <w:tcW w:w="1380" w:type="dxa"/>
            <w:shd w:val="clear" w:color="auto" w:fill="C6EFCE"/>
            <w:noWrap/>
          </w:tcPr>
          <w:p w14:paraId="67C7FC9A" w14:textId="46C9349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w:t>
            </w:r>
            <w:r w:rsidR="005618A9" w:rsidRPr="00DE4E4F">
              <w:rPr>
                <w:rFonts w:ascii="Times New Roman" w:hAnsi="Times New Roman" w:cs="Times New Roman"/>
                <w:noProof/>
                <w:color w:val="006100"/>
                <w:sz w:val="18"/>
                <w:szCs w:val="18"/>
              </w:rPr>
              <w:t>7</w:t>
            </w:r>
            <w:r w:rsidR="00D07D5C" w:rsidRPr="00DE4E4F">
              <w:rPr>
                <w:rFonts w:ascii="Times New Roman" w:hAnsi="Times New Roman" w:cs="Times New Roman"/>
                <w:noProof/>
                <w:color w:val="006100"/>
                <w:sz w:val="18"/>
                <w:szCs w:val="18"/>
              </w:rPr>
              <w:t>2</w:t>
            </w:r>
            <w:r w:rsidRPr="00DE4E4F">
              <w:rPr>
                <w:rFonts w:ascii="Times New Roman" w:hAnsi="Times New Roman" w:cs="Times New Roman"/>
                <w:noProof/>
                <w:color w:val="006100"/>
                <w:sz w:val="18"/>
                <w:szCs w:val="18"/>
              </w:rPr>
              <w:t> </w:t>
            </w:r>
            <w:r w:rsidR="00D07D5C" w:rsidRPr="00DE4E4F">
              <w:rPr>
                <w:rFonts w:ascii="Times New Roman" w:hAnsi="Times New Roman" w:cs="Times New Roman"/>
                <w:noProof/>
                <w:color w:val="006100"/>
                <w:sz w:val="18"/>
                <w:szCs w:val="18"/>
              </w:rPr>
              <w:t>4</w:t>
            </w:r>
            <w:r w:rsidRPr="00DE4E4F">
              <w:rPr>
                <w:rFonts w:ascii="Times New Roman" w:hAnsi="Times New Roman" w:cs="Times New Roman"/>
                <w:noProof/>
                <w:color w:val="006100"/>
                <w:sz w:val="18"/>
                <w:szCs w:val="18"/>
              </w:rPr>
              <w:t>00 SMEs received digitalisation support financed by voucher scheme</w:t>
            </w:r>
          </w:p>
          <w:p w14:paraId="7E32907C" w14:textId="77777777" w:rsidR="001B186F" w:rsidRPr="00DE4E4F" w:rsidRDefault="001B186F">
            <w:pPr>
              <w:spacing w:after="0" w:line="240" w:lineRule="auto"/>
              <w:rPr>
                <w:rFonts w:ascii="Times New Roman" w:hAnsi="Times New Roman" w:cs="Times New Roman"/>
                <w:noProof/>
                <w:color w:val="006100"/>
                <w:sz w:val="18"/>
                <w:szCs w:val="18"/>
              </w:rPr>
            </w:pPr>
          </w:p>
          <w:p w14:paraId="7EADE5A2" w14:textId="68D12601" w:rsidR="001B186F" w:rsidRPr="00DE4E4F" w:rsidRDefault="0074517F" w:rsidP="009E2E69">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- 1</w:t>
            </w:r>
            <w:r w:rsidR="07796199" w:rsidRPr="00DE4E4F">
              <w:rPr>
                <w:rFonts w:ascii="Times New Roman" w:hAnsi="Times New Roman" w:cs="Times New Roman"/>
                <w:noProof/>
                <w:color w:val="006100"/>
                <w:sz w:val="18"/>
                <w:szCs w:val="18"/>
              </w:rPr>
              <w:t>0</w:t>
            </w:r>
            <w:r w:rsidR="00214D93" w:rsidRPr="00DE4E4F">
              <w:rPr>
                <w:rFonts w:ascii="Times New Roman" w:hAnsi="Times New Roman" w:cs="Times New Roman"/>
                <w:noProof/>
                <w:color w:val="006100"/>
                <w:sz w:val="18"/>
                <w:szCs w:val="18"/>
              </w:rPr>
              <w:t>2</w:t>
            </w:r>
            <w:r w:rsidRPr="00DE4E4F">
              <w:rPr>
                <w:rFonts w:ascii="Times New Roman" w:hAnsi="Times New Roman" w:cs="Times New Roman"/>
                <w:noProof/>
                <w:color w:val="006100"/>
                <w:sz w:val="18"/>
                <w:szCs w:val="18"/>
              </w:rPr>
              <w:t> </w:t>
            </w:r>
            <w:r w:rsidR="00214D93"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 xml:space="preserve">00 cash registers </w:t>
            </w:r>
            <w:r w:rsidR="000B6C36" w:rsidRPr="00DE4E4F">
              <w:rPr>
                <w:rFonts w:ascii="Times New Roman" w:hAnsi="Times New Roman" w:cs="Times New Roman"/>
                <w:noProof/>
                <w:color w:val="006100"/>
                <w:sz w:val="18"/>
                <w:szCs w:val="18"/>
              </w:rPr>
              <w:t>(</w:t>
            </w:r>
            <w:r w:rsidR="497C3FDB" w:rsidRPr="00DE4E4F">
              <w:rPr>
                <w:rFonts w:ascii="Times New Roman" w:hAnsi="Times New Roman" w:cs="Times New Roman"/>
                <w:noProof/>
                <w:color w:val="006100"/>
                <w:sz w:val="18"/>
                <w:szCs w:val="18"/>
              </w:rPr>
              <w:t>or electronic invoicing</w:t>
            </w:r>
            <w:r w:rsidR="00474787" w:rsidRPr="00DE4E4F">
              <w:rPr>
                <w:rFonts w:ascii="Times New Roman" w:hAnsi="Times New Roman" w:cs="Times New Roman"/>
                <w:noProof/>
                <w:color w:val="006100"/>
                <w:sz w:val="18"/>
                <w:szCs w:val="18"/>
              </w:rPr>
              <w:t xml:space="preserve"> / mobile invoicing</w:t>
            </w:r>
            <w:r w:rsidR="000B6C36"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and </w:t>
            </w:r>
            <w:r w:rsidRPr="00DE4E4F">
              <w:rPr>
                <w:noProof/>
              </w:rPr>
              <w:br/>
            </w:r>
            <w:r w:rsidR="00214D93" w:rsidRPr="00DE4E4F">
              <w:rPr>
                <w:rFonts w:ascii="Times New Roman" w:hAnsi="Times New Roman" w:cs="Times New Roman"/>
                <w:noProof/>
                <w:color w:val="006100"/>
                <w:sz w:val="18"/>
                <w:szCs w:val="18"/>
              </w:rPr>
              <w:t>12 5</w:t>
            </w:r>
            <w:r w:rsidRPr="00DE4E4F">
              <w:rPr>
                <w:rFonts w:ascii="Times New Roman" w:hAnsi="Times New Roman" w:cs="Times New Roman"/>
                <w:noProof/>
                <w:color w:val="006100"/>
                <w:sz w:val="18"/>
                <w:szCs w:val="18"/>
              </w:rPr>
              <w:t>00 POS new, upgraded or replaced</w:t>
            </w:r>
            <w:r w:rsidR="00214D93"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financed by a voucher scheme</w:t>
            </w:r>
          </w:p>
        </w:tc>
        <w:tc>
          <w:tcPr>
            <w:tcW w:w="960" w:type="dxa"/>
            <w:shd w:val="clear" w:color="auto" w:fill="C6EFCE"/>
            <w:noWrap/>
          </w:tcPr>
          <w:p w14:paraId="704F71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57" w:type="dxa"/>
            <w:shd w:val="clear" w:color="auto" w:fill="C6EFCE"/>
            <w:noWrap/>
          </w:tcPr>
          <w:p w14:paraId="32D1CD7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0" w:type="dxa"/>
            <w:shd w:val="clear" w:color="auto" w:fill="C6EFCE"/>
            <w:noWrap/>
          </w:tcPr>
          <w:p w14:paraId="35C31AC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25" w:type="dxa"/>
            <w:shd w:val="clear" w:color="auto" w:fill="C6EFCE"/>
            <w:noWrap/>
          </w:tcPr>
          <w:p w14:paraId="18E71D0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49" w:type="dxa"/>
            <w:shd w:val="clear" w:color="auto" w:fill="C6EFCE"/>
            <w:noWrap/>
          </w:tcPr>
          <w:p w14:paraId="7550B1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617" w:type="dxa"/>
            <w:shd w:val="clear" w:color="auto" w:fill="C6EFCE"/>
            <w:noWrap/>
          </w:tcPr>
          <w:p w14:paraId="33C81B36" w14:textId="61A926B5"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w:t>
            </w:r>
            <w:r w:rsidR="005618A9" w:rsidRPr="00DE4E4F">
              <w:rPr>
                <w:rFonts w:ascii="Times New Roman" w:hAnsi="Times New Roman" w:cs="Times New Roman"/>
                <w:noProof/>
                <w:color w:val="006100"/>
                <w:sz w:val="18"/>
                <w:szCs w:val="18"/>
              </w:rPr>
              <w:t>7</w:t>
            </w:r>
            <w:r w:rsidR="00D07D5C" w:rsidRPr="00DE4E4F">
              <w:rPr>
                <w:rFonts w:ascii="Times New Roman" w:hAnsi="Times New Roman" w:cs="Times New Roman"/>
                <w:noProof/>
                <w:color w:val="006100"/>
                <w:sz w:val="18"/>
                <w:szCs w:val="18"/>
              </w:rPr>
              <w:t>2</w:t>
            </w:r>
            <w:r w:rsidR="005618A9" w:rsidRPr="00DE4E4F">
              <w:rPr>
                <w:rFonts w:ascii="Times New Roman" w:hAnsi="Times New Roman" w:cs="Times New Roman"/>
                <w:noProof/>
                <w:color w:val="006100"/>
                <w:sz w:val="18"/>
                <w:szCs w:val="18"/>
              </w:rPr>
              <w:t> </w:t>
            </w:r>
            <w:r w:rsidR="00D07D5C" w:rsidRPr="00DE4E4F">
              <w:rPr>
                <w:rFonts w:ascii="Times New Roman" w:hAnsi="Times New Roman" w:cs="Times New Roman"/>
                <w:noProof/>
                <w:color w:val="006100"/>
                <w:sz w:val="18"/>
                <w:szCs w:val="18"/>
              </w:rPr>
              <w:t>4</w:t>
            </w:r>
            <w:r w:rsidRPr="00DE4E4F">
              <w:rPr>
                <w:rFonts w:ascii="Times New Roman" w:hAnsi="Times New Roman" w:cs="Times New Roman"/>
                <w:noProof/>
                <w:color w:val="006100"/>
                <w:sz w:val="18"/>
                <w:szCs w:val="18"/>
              </w:rPr>
              <w:t>00 SMEs received digitalisation support financed by voucher scheme</w:t>
            </w:r>
          </w:p>
          <w:p w14:paraId="1EC8AF60" w14:textId="77777777" w:rsidR="001B186F" w:rsidRPr="00DE4E4F" w:rsidRDefault="001B186F">
            <w:pPr>
              <w:spacing w:after="0" w:line="240" w:lineRule="auto"/>
              <w:rPr>
                <w:rFonts w:ascii="Times New Roman" w:hAnsi="Times New Roman" w:cs="Times New Roman"/>
                <w:noProof/>
                <w:color w:val="006100"/>
                <w:sz w:val="18"/>
                <w:szCs w:val="18"/>
              </w:rPr>
            </w:pPr>
          </w:p>
          <w:p w14:paraId="13FCB7AA" w14:textId="215201FE"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- 1</w:t>
            </w:r>
            <w:r w:rsidR="1A22F71F" w:rsidRPr="00DE4E4F">
              <w:rPr>
                <w:rFonts w:ascii="Times New Roman" w:hAnsi="Times New Roman" w:cs="Times New Roman"/>
                <w:noProof/>
                <w:color w:val="006100"/>
                <w:sz w:val="18"/>
                <w:szCs w:val="18"/>
              </w:rPr>
              <w:t>0</w:t>
            </w:r>
            <w:r w:rsidR="00F84766" w:rsidRPr="00DE4E4F">
              <w:rPr>
                <w:rFonts w:ascii="Times New Roman" w:hAnsi="Times New Roman" w:cs="Times New Roman"/>
                <w:noProof/>
                <w:color w:val="006100"/>
                <w:sz w:val="18"/>
                <w:szCs w:val="18"/>
              </w:rPr>
              <w:t>2</w:t>
            </w:r>
            <w:r w:rsidRPr="00DE4E4F">
              <w:rPr>
                <w:rFonts w:ascii="Times New Roman" w:hAnsi="Times New Roman" w:cs="Times New Roman"/>
                <w:noProof/>
                <w:color w:val="006100"/>
                <w:sz w:val="18"/>
                <w:szCs w:val="18"/>
              </w:rPr>
              <w:t> </w:t>
            </w:r>
            <w:r w:rsidR="00F84766"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00 cash registers</w:t>
            </w:r>
            <w:r w:rsidR="00474787" w:rsidRPr="00DE4E4F">
              <w:rPr>
                <w:rFonts w:ascii="Times New Roman" w:hAnsi="Times New Roman" w:cs="Times New Roman"/>
                <w:noProof/>
                <w:color w:val="006100"/>
                <w:sz w:val="18"/>
                <w:szCs w:val="18"/>
              </w:rPr>
              <w:t xml:space="preserve"> </w:t>
            </w:r>
            <w:r w:rsidR="7A0B047F" w:rsidRPr="00DE4E4F">
              <w:rPr>
                <w:rFonts w:ascii="Times New Roman" w:hAnsi="Times New Roman" w:cs="Times New Roman"/>
                <w:noProof/>
                <w:color w:val="006100"/>
                <w:sz w:val="18"/>
                <w:szCs w:val="18"/>
              </w:rPr>
              <w:t xml:space="preserve">or electronic </w:t>
            </w:r>
            <w:r w:rsidR="6686C153" w:rsidRPr="00DE4E4F">
              <w:rPr>
                <w:rFonts w:ascii="Times New Roman" w:hAnsi="Times New Roman" w:cs="Times New Roman"/>
                <w:noProof/>
                <w:color w:val="006100"/>
                <w:sz w:val="18"/>
                <w:szCs w:val="18"/>
              </w:rPr>
              <w:t>invoicing</w:t>
            </w:r>
            <w:r w:rsidR="00474787" w:rsidRPr="00DE4E4F">
              <w:rPr>
                <w:rFonts w:ascii="Times New Roman" w:hAnsi="Times New Roman" w:cs="Times New Roman"/>
                <w:noProof/>
                <w:color w:val="006100"/>
                <w:sz w:val="18"/>
                <w:szCs w:val="18"/>
              </w:rPr>
              <w:t xml:space="preserve"> or mobile invoicing</w:t>
            </w:r>
            <w:r w:rsidR="00E6196B" w:rsidRPr="00DE4E4F">
              <w:rPr>
                <w:rFonts w:ascii="Times New Roman" w:hAnsi="Times New Roman" w:cs="Times New Roman"/>
                <w:noProof/>
                <w:color w:val="006100"/>
                <w:sz w:val="18"/>
                <w:szCs w:val="18"/>
              </w:rPr>
              <w:t xml:space="preserve"> (for example, X-VAN)</w:t>
            </w:r>
            <w:r w:rsidR="7A0B047F" w:rsidRPr="00DE4E4F">
              <w:rPr>
                <w:rFonts w:ascii="Times New Roman" w:hAnsi="Times New Roman" w:cs="Times New Roman"/>
                <w:noProof/>
                <w:color w:val="006100"/>
                <w:sz w:val="18"/>
                <w:szCs w:val="18"/>
              </w:rPr>
              <w:t xml:space="preserve"> </w:t>
            </w:r>
            <w:r w:rsidR="009C5960" w:rsidRPr="00DE4E4F">
              <w:rPr>
                <w:rFonts w:ascii="Times New Roman" w:hAnsi="Times New Roman" w:cs="Times New Roman"/>
                <w:noProof/>
                <w:color w:val="006100"/>
                <w:sz w:val="18"/>
                <w:szCs w:val="18"/>
              </w:rPr>
              <w:t xml:space="preserve">new, upgraded or replaced, </w:t>
            </w:r>
            <w:r w:rsidR="00474787" w:rsidRPr="00DE4E4F">
              <w:rPr>
                <w:rFonts w:ascii="Times New Roman" w:hAnsi="Times New Roman" w:cs="Times New Roman"/>
                <w:noProof/>
                <w:color w:val="006100"/>
                <w:sz w:val="18"/>
                <w:szCs w:val="18"/>
              </w:rPr>
              <w:t>and</w:t>
            </w:r>
            <w:r w:rsidRPr="00DE4E4F">
              <w:rPr>
                <w:rFonts w:ascii="Times New Roman" w:hAnsi="Times New Roman" w:cs="Times New Roman"/>
                <w:noProof/>
                <w:color w:val="006100"/>
                <w:sz w:val="18"/>
                <w:szCs w:val="18"/>
              </w:rPr>
              <w:t xml:space="preserve"> </w:t>
            </w:r>
            <w:r w:rsidR="00214D93" w:rsidRPr="00DE4E4F">
              <w:rPr>
                <w:rFonts w:ascii="Times New Roman" w:hAnsi="Times New Roman" w:cs="Times New Roman"/>
                <w:noProof/>
                <w:color w:val="006100"/>
                <w:sz w:val="18"/>
                <w:szCs w:val="18"/>
              </w:rPr>
              <w:t>12 5</w:t>
            </w:r>
            <w:r w:rsidRPr="00DE4E4F">
              <w:rPr>
                <w:rFonts w:ascii="Times New Roman" w:hAnsi="Times New Roman" w:cs="Times New Roman"/>
                <w:noProof/>
                <w:color w:val="006100"/>
                <w:sz w:val="18"/>
                <w:szCs w:val="18"/>
              </w:rPr>
              <w:t xml:space="preserve">00 POS </w:t>
            </w:r>
            <w:r w:rsidR="00E6196B" w:rsidRPr="00DE4E4F">
              <w:rPr>
                <w:rFonts w:ascii="Times New Roman" w:hAnsi="Times New Roman" w:cs="Times New Roman"/>
                <w:noProof/>
                <w:color w:val="006100"/>
                <w:sz w:val="18"/>
                <w:szCs w:val="18"/>
              </w:rPr>
              <w:t xml:space="preserve">systems </w:t>
            </w:r>
            <w:r w:rsidRPr="00DE4E4F">
              <w:rPr>
                <w:rFonts w:ascii="Times New Roman" w:hAnsi="Times New Roman" w:cs="Times New Roman"/>
                <w:noProof/>
                <w:color w:val="006100"/>
                <w:sz w:val="18"/>
                <w:szCs w:val="18"/>
              </w:rPr>
              <w:t xml:space="preserve">new, </w:t>
            </w:r>
            <w:r w:rsidR="278D4875" w:rsidRPr="00DE4E4F">
              <w:rPr>
                <w:rFonts w:ascii="Times New Roman" w:hAnsi="Times New Roman" w:cs="Times New Roman"/>
                <w:noProof/>
                <w:color w:val="006100"/>
                <w:sz w:val="18"/>
                <w:szCs w:val="18"/>
              </w:rPr>
              <w:t>upgraded</w:t>
            </w:r>
            <w:r w:rsidRPr="00DE4E4F">
              <w:rPr>
                <w:rFonts w:ascii="Times New Roman" w:hAnsi="Times New Roman" w:cs="Times New Roman"/>
                <w:noProof/>
                <w:color w:val="006100"/>
                <w:sz w:val="18"/>
                <w:szCs w:val="18"/>
              </w:rPr>
              <w:t xml:space="preserve"> or replaced</w:t>
            </w:r>
            <w:r w:rsidR="114C182C"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financed by a voucher sc</w:t>
            </w:r>
            <w:r w:rsidR="0C2152C5" w:rsidRPr="00DE4E4F">
              <w:rPr>
                <w:rFonts w:ascii="Times New Roman" w:hAnsi="Times New Roman" w:cs="Times New Roman"/>
                <w:noProof/>
                <w:color w:val="006100"/>
                <w:sz w:val="18"/>
                <w:szCs w:val="18"/>
              </w:rPr>
              <w:t>h</w:t>
            </w:r>
            <w:r w:rsidRPr="00DE4E4F">
              <w:rPr>
                <w:rFonts w:ascii="Times New Roman" w:hAnsi="Times New Roman" w:cs="Times New Roman"/>
                <w:noProof/>
                <w:color w:val="006100"/>
                <w:sz w:val="18"/>
                <w:szCs w:val="18"/>
              </w:rPr>
              <w:t>eme</w:t>
            </w:r>
          </w:p>
          <w:p w14:paraId="611EBAAA"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r>
      <w:tr w:rsidR="00682269" w:rsidRPr="00DE4E4F" w14:paraId="4A6BEEB4" w14:textId="77777777">
        <w:trPr>
          <w:trHeight w:val="300"/>
          <w:jc w:val="center"/>
        </w:trPr>
        <w:tc>
          <w:tcPr>
            <w:tcW w:w="708" w:type="dxa"/>
            <w:shd w:val="clear" w:color="auto" w:fill="C6EFCE"/>
            <w:noWrap/>
          </w:tcPr>
          <w:p w14:paraId="6188B116" w14:textId="58FA46E0"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131a</w:t>
            </w:r>
          </w:p>
        </w:tc>
        <w:tc>
          <w:tcPr>
            <w:tcW w:w="2160" w:type="dxa"/>
            <w:shd w:val="clear" w:color="auto" w:fill="C6EFCE"/>
            <w:noWrap/>
          </w:tcPr>
          <w:p w14:paraId="53FE76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7 - 2.3. Digitalisation of businesses - 16706_Digital Transformation of SMEs</w:t>
            </w:r>
          </w:p>
        </w:tc>
        <w:tc>
          <w:tcPr>
            <w:tcW w:w="1146" w:type="dxa"/>
            <w:shd w:val="clear" w:color="auto" w:fill="C6EFCE"/>
            <w:noWrap/>
          </w:tcPr>
          <w:p w14:paraId="641DA0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5" w:type="dxa"/>
            <w:shd w:val="clear" w:color="auto" w:fill="C6EFCE"/>
            <w:noWrap/>
          </w:tcPr>
          <w:p w14:paraId="10EB2C4F" w14:textId="0ECFED9C" w:rsidR="001B186F" w:rsidRPr="00DE4E4F" w:rsidRDefault="0074517F" w:rsidP="00E97A98">
            <w:pPr>
              <w:spacing w:after="0"/>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SMEs -</w:t>
            </w:r>
            <w:r w:rsidR="00DE4C0C" w:rsidRPr="00DE4E4F">
              <w:rPr>
                <w:rFonts w:ascii="Times New Roman" w:hAnsi="Times New Roman" w:cs="Times New Roman"/>
                <w:noProof/>
                <w:color w:val="006100"/>
                <w:sz w:val="18"/>
                <w:szCs w:val="18"/>
              </w:rPr>
              <w:t xml:space="preserve"> </w:t>
            </w:r>
            <w:r w:rsidR="0DB0738D" w:rsidRPr="00DE4E4F">
              <w:rPr>
                <w:rFonts w:ascii="Times New Roman" w:hAnsi="Times New Roman" w:cs="Times New Roman"/>
                <w:noProof/>
                <w:color w:val="006100"/>
                <w:sz w:val="18"/>
                <w:szCs w:val="18"/>
              </w:rPr>
              <w:t xml:space="preserve">Delivery </w:t>
            </w:r>
            <w:r w:rsidRPr="00DE4E4F">
              <w:rPr>
                <w:rFonts w:ascii="Times New Roman" w:eastAsiaTheme="minorEastAsia" w:hAnsi="Times New Roman" w:cs="Times New Roman"/>
                <w:noProof/>
                <w:color w:val="006100"/>
                <w:sz w:val="18"/>
                <w:szCs w:val="18"/>
              </w:rPr>
              <w:t>of</w:t>
            </w:r>
            <w:r w:rsidR="609EBB7A" w:rsidRPr="00DE4E4F">
              <w:rPr>
                <w:rFonts w:ascii="Times New Roman" w:eastAsiaTheme="minorEastAsia" w:hAnsi="Times New Roman" w:cs="Times New Roman"/>
                <w:noProof/>
                <w:color w:val="006100"/>
                <w:sz w:val="18"/>
                <w:szCs w:val="18"/>
              </w:rPr>
              <w:t xml:space="preserve"> </w:t>
            </w:r>
            <w:r w:rsidR="7CD9A1E1" w:rsidRPr="00DE4E4F">
              <w:rPr>
                <w:rFonts w:ascii="Times New Roman" w:hAnsi="Times New Roman" w:cs="Times New Roman"/>
                <w:noProof/>
                <w:color w:val="006100"/>
                <w:sz w:val="18"/>
                <w:szCs w:val="18"/>
              </w:rPr>
              <w:t xml:space="preserve">milestone 2 of </w:t>
            </w:r>
            <w:r w:rsidRPr="00DE4E4F">
              <w:rPr>
                <w:rFonts w:ascii="Times New Roman" w:eastAsiaTheme="minorEastAsia" w:hAnsi="Times New Roman" w:cs="Times New Roman"/>
                <w:noProof/>
                <w:color w:val="006100"/>
                <w:sz w:val="18"/>
                <w:szCs w:val="18"/>
              </w:rPr>
              <w:t>investment projects for digital products</w:t>
            </w:r>
            <w:r w:rsidR="58C3933D" w:rsidRPr="00DE4E4F">
              <w:rPr>
                <w:rFonts w:ascii="Times New Roman" w:eastAsiaTheme="minorEastAsia" w:hAnsi="Times New Roman" w:cs="Times New Roman"/>
                <w:noProof/>
                <w:color w:val="006100"/>
                <w:sz w:val="18"/>
                <w:szCs w:val="18"/>
              </w:rPr>
              <w:t xml:space="preserve"> </w:t>
            </w:r>
            <w:r w:rsidR="2BE4ECF0" w:rsidRPr="00DE4E4F">
              <w:rPr>
                <w:rFonts w:ascii="Times New Roman" w:eastAsiaTheme="minorEastAsia" w:hAnsi="Times New Roman" w:cs="Times New Roman"/>
                <w:noProof/>
                <w:color w:val="006100"/>
                <w:sz w:val="18"/>
                <w:szCs w:val="18"/>
              </w:rPr>
              <w:t>/ services</w:t>
            </w:r>
          </w:p>
        </w:tc>
        <w:tc>
          <w:tcPr>
            <w:tcW w:w="1380" w:type="dxa"/>
            <w:shd w:val="clear" w:color="auto" w:fill="C6EFCE"/>
            <w:noWrap/>
          </w:tcPr>
          <w:p w14:paraId="290F80C8" w14:textId="06D67AB2" w:rsidR="001B186F" w:rsidRPr="00DE4E4F" w:rsidRDefault="443B4748">
            <w:pPr>
              <w:spacing w:after="0" w:line="240" w:lineRule="auto"/>
              <w:rPr>
                <w:noProof/>
              </w:rPr>
            </w:pPr>
            <w:r w:rsidRPr="00DE4E4F">
              <w:rPr>
                <w:rFonts w:ascii="Times New Roman" w:hAnsi="Times New Roman" w:cs="Times New Roman"/>
                <w:noProof/>
                <w:color w:val="006100"/>
                <w:sz w:val="18"/>
                <w:szCs w:val="18"/>
              </w:rPr>
              <w:t xml:space="preserve">Milestone 2 of </w:t>
            </w:r>
            <w:r w:rsidR="116EE013" w:rsidRPr="00DE4E4F">
              <w:rPr>
                <w:rFonts w:ascii="Times New Roman" w:hAnsi="Times New Roman" w:cs="Times New Roman"/>
                <w:noProof/>
                <w:color w:val="006100"/>
                <w:sz w:val="18"/>
                <w:szCs w:val="18"/>
              </w:rPr>
              <w:t>1</w:t>
            </w:r>
            <w:r w:rsidR="3E750362" w:rsidRPr="00DE4E4F">
              <w:rPr>
                <w:rFonts w:ascii="Times New Roman" w:hAnsi="Times New Roman" w:cs="Times New Roman"/>
                <w:noProof/>
                <w:color w:val="006100"/>
                <w:sz w:val="18"/>
                <w:szCs w:val="18"/>
              </w:rPr>
              <w:t>0</w:t>
            </w:r>
            <w:r w:rsidR="116EE013" w:rsidRPr="00DE4E4F">
              <w:rPr>
                <w:rFonts w:ascii="Times New Roman" w:hAnsi="Times New Roman" w:cs="Times New Roman"/>
                <w:noProof/>
                <w:color w:val="006100"/>
                <w:sz w:val="18"/>
                <w:szCs w:val="18"/>
              </w:rPr>
              <w:t>0</w:t>
            </w:r>
            <w:r w:rsidR="0074517F" w:rsidRPr="00DE4E4F">
              <w:rPr>
                <w:rFonts w:ascii="Times New Roman" w:hAnsi="Times New Roman" w:cs="Times New Roman"/>
                <w:noProof/>
                <w:color w:val="006100"/>
                <w:sz w:val="18"/>
                <w:szCs w:val="18"/>
              </w:rPr>
              <w:t xml:space="preserve"> investment projects </w:t>
            </w:r>
            <w:r w:rsidR="764C0B85" w:rsidRPr="00DE4E4F">
              <w:rPr>
                <w:rFonts w:ascii="Times New Roman" w:hAnsi="Times New Roman" w:cs="Times New Roman"/>
                <w:noProof/>
                <w:color w:val="006100"/>
                <w:sz w:val="18"/>
                <w:szCs w:val="18"/>
              </w:rPr>
              <w:t>delivered</w:t>
            </w:r>
          </w:p>
        </w:tc>
        <w:tc>
          <w:tcPr>
            <w:tcW w:w="960" w:type="dxa"/>
            <w:shd w:val="clear" w:color="auto" w:fill="C6EFCE"/>
            <w:noWrap/>
          </w:tcPr>
          <w:p w14:paraId="52CC4755" w14:textId="7954C62A"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957" w:type="dxa"/>
            <w:shd w:val="clear" w:color="auto" w:fill="C6EFCE"/>
            <w:noWrap/>
          </w:tcPr>
          <w:p w14:paraId="01D95715"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690" w:type="dxa"/>
            <w:shd w:val="clear" w:color="auto" w:fill="C6EFCE"/>
            <w:noWrap/>
          </w:tcPr>
          <w:p w14:paraId="09EE73E2"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1025" w:type="dxa"/>
            <w:shd w:val="clear" w:color="auto" w:fill="C6EFCE"/>
            <w:noWrap/>
          </w:tcPr>
          <w:p w14:paraId="1BE061E0"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49" w:type="dxa"/>
            <w:shd w:val="clear" w:color="auto" w:fill="C6EFCE"/>
            <w:noWrap/>
          </w:tcPr>
          <w:p w14:paraId="0A177E66"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617" w:type="dxa"/>
            <w:shd w:val="clear" w:color="auto" w:fill="C6EFCE"/>
            <w:noWrap/>
          </w:tcPr>
          <w:p w14:paraId="4258C3D8" w14:textId="67D7C4EC" w:rsidR="001B186F" w:rsidRPr="00DE4E4F" w:rsidRDefault="72F828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w:t>
            </w:r>
            <w:r w:rsidR="0074517F" w:rsidRPr="00DE4E4F">
              <w:rPr>
                <w:rFonts w:ascii="Times New Roman" w:hAnsi="Times New Roman" w:cs="Times New Roman"/>
                <w:noProof/>
                <w:color w:val="006100"/>
                <w:sz w:val="18"/>
                <w:szCs w:val="18"/>
              </w:rPr>
              <w:t xml:space="preserve">of </w:t>
            </w:r>
            <w:r w:rsidR="002539B0" w:rsidRPr="00DE4E4F">
              <w:rPr>
                <w:rFonts w:ascii="Times New Roman" w:hAnsi="Times New Roman" w:cs="Times New Roman"/>
                <w:noProof/>
                <w:color w:val="006100"/>
                <w:sz w:val="18"/>
                <w:szCs w:val="18"/>
              </w:rPr>
              <w:t>the functional prototype (</w:t>
            </w:r>
            <w:r w:rsidR="252DF80F" w:rsidRPr="00DE4E4F">
              <w:rPr>
                <w:rFonts w:ascii="Times New Roman" w:hAnsi="Times New Roman" w:cs="Times New Roman"/>
                <w:noProof/>
                <w:color w:val="006100"/>
                <w:sz w:val="18"/>
                <w:szCs w:val="18"/>
              </w:rPr>
              <w:t>Milestone 2</w:t>
            </w:r>
            <w:r w:rsidR="002539B0" w:rsidRPr="00DE4E4F">
              <w:rPr>
                <w:rFonts w:ascii="Times New Roman" w:hAnsi="Times New Roman" w:cs="Times New Roman"/>
                <w:noProof/>
                <w:color w:val="006100"/>
                <w:sz w:val="18"/>
                <w:szCs w:val="18"/>
              </w:rPr>
              <w:t>)</w:t>
            </w:r>
            <w:r w:rsidR="252DF80F" w:rsidRPr="00DE4E4F">
              <w:rPr>
                <w:rFonts w:ascii="Times New Roman" w:hAnsi="Times New Roman" w:cs="Times New Roman"/>
                <w:noProof/>
                <w:color w:val="006100"/>
                <w:sz w:val="18"/>
                <w:szCs w:val="18"/>
              </w:rPr>
              <w:t xml:space="preserve"> of </w:t>
            </w:r>
            <w:r w:rsidR="0074517F" w:rsidRPr="00DE4E4F">
              <w:rPr>
                <w:rFonts w:ascii="Times New Roman" w:hAnsi="Times New Roman" w:cs="Times New Roman"/>
                <w:noProof/>
                <w:color w:val="006100"/>
                <w:sz w:val="18"/>
                <w:szCs w:val="18"/>
              </w:rPr>
              <w:t>1</w:t>
            </w:r>
            <w:r w:rsidR="3ECFECB8" w:rsidRPr="00DE4E4F">
              <w:rPr>
                <w:rFonts w:ascii="Times New Roman" w:hAnsi="Times New Roman" w:cs="Times New Roman"/>
                <w:noProof/>
                <w:color w:val="006100"/>
                <w:sz w:val="18"/>
                <w:szCs w:val="18"/>
              </w:rPr>
              <w:t>0</w:t>
            </w:r>
            <w:r w:rsidR="0074517F" w:rsidRPr="00DE4E4F">
              <w:rPr>
                <w:rFonts w:ascii="Times New Roman" w:hAnsi="Times New Roman" w:cs="Times New Roman"/>
                <w:noProof/>
                <w:color w:val="006100"/>
                <w:sz w:val="18"/>
                <w:szCs w:val="18"/>
              </w:rPr>
              <w:t>0 investment projects targeted towards digital products</w:t>
            </w:r>
            <w:r w:rsidR="63A11AC2" w:rsidRPr="00DE4E4F">
              <w:rPr>
                <w:rFonts w:ascii="Times New Roman" w:hAnsi="Times New Roman" w:cs="Times New Roman"/>
                <w:noProof/>
                <w:color w:val="006100"/>
                <w:sz w:val="18"/>
                <w:szCs w:val="18"/>
              </w:rPr>
              <w:t xml:space="preserve"> </w:t>
            </w:r>
            <w:r w:rsidR="6720B50D" w:rsidRPr="00DE4E4F">
              <w:rPr>
                <w:rFonts w:ascii="Times New Roman" w:hAnsi="Times New Roman" w:cs="Times New Roman"/>
                <w:noProof/>
                <w:color w:val="006100"/>
                <w:sz w:val="18"/>
                <w:szCs w:val="18"/>
              </w:rPr>
              <w:t>/</w:t>
            </w:r>
            <w:r w:rsidR="63A11AC2" w:rsidRPr="00DE4E4F">
              <w:rPr>
                <w:rFonts w:ascii="Times New Roman" w:hAnsi="Times New Roman" w:cs="Times New Roman"/>
                <w:noProof/>
                <w:color w:val="006100"/>
                <w:sz w:val="18"/>
                <w:szCs w:val="18"/>
              </w:rPr>
              <w:t>services</w:t>
            </w:r>
          </w:p>
          <w:p w14:paraId="625DFAD0" w14:textId="77777777" w:rsidR="001B186F" w:rsidRPr="00DE4E4F" w:rsidRDefault="001B186F">
            <w:pPr>
              <w:spacing w:after="0" w:line="240" w:lineRule="auto"/>
              <w:rPr>
                <w:rFonts w:ascii="Times New Roman" w:hAnsi="Times New Roman" w:cs="Times New Roman"/>
                <w:noProof/>
                <w:color w:val="006100"/>
                <w:sz w:val="18"/>
                <w:szCs w:val="18"/>
              </w:rPr>
            </w:pPr>
          </w:p>
        </w:tc>
      </w:tr>
      <w:tr w:rsidR="00682269" w:rsidRPr="00DE4E4F" w14:paraId="1DDA5C25" w14:textId="77777777">
        <w:trPr>
          <w:trHeight w:val="300"/>
          <w:jc w:val="center"/>
        </w:trPr>
        <w:tc>
          <w:tcPr>
            <w:tcW w:w="708" w:type="dxa"/>
            <w:shd w:val="clear" w:color="auto" w:fill="C6EFCE"/>
            <w:noWrap/>
            <w:hideMark/>
          </w:tcPr>
          <w:p w14:paraId="29B153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132</w:t>
            </w:r>
          </w:p>
        </w:tc>
        <w:tc>
          <w:tcPr>
            <w:tcW w:w="2160" w:type="dxa"/>
            <w:shd w:val="clear" w:color="auto" w:fill="C6EFCE"/>
            <w:noWrap/>
            <w:hideMark/>
          </w:tcPr>
          <w:p w14:paraId="12EB5B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7 - 2.3. Digitalisation of businesses - 16973_Establishment of a digital business ecosystem for the facilitation of the SMEs digital transformation</w:t>
            </w:r>
          </w:p>
        </w:tc>
        <w:tc>
          <w:tcPr>
            <w:tcW w:w="1146" w:type="dxa"/>
            <w:shd w:val="clear" w:color="auto" w:fill="C6EFCE"/>
            <w:noWrap/>
            <w:hideMark/>
          </w:tcPr>
          <w:p w14:paraId="6A2B57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5" w:type="dxa"/>
            <w:shd w:val="clear" w:color="auto" w:fill="C6EFCE"/>
            <w:noWrap/>
            <w:hideMark/>
          </w:tcPr>
          <w:p w14:paraId="1BCF3E8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SMEs -Legislative reform to incentivise uptake of technologies</w:t>
            </w:r>
          </w:p>
        </w:tc>
        <w:tc>
          <w:tcPr>
            <w:tcW w:w="1380" w:type="dxa"/>
            <w:shd w:val="clear" w:color="auto" w:fill="C6EFCE"/>
            <w:noWrap/>
            <w:hideMark/>
          </w:tcPr>
          <w:p w14:paraId="789F4B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for the establishment of the eMarketPlace and the “Pharos” AI Factory. </w:t>
            </w:r>
          </w:p>
        </w:tc>
        <w:tc>
          <w:tcPr>
            <w:tcW w:w="960" w:type="dxa"/>
            <w:shd w:val="clear" w:color="auto" w:fill="C6EFCE"/>
            <w:noWrap/>
          </w:tcPr>
          <w:p w14:paraId="1217315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57" w:type="dxa"/>
            <w:shd w:val="clear" w:color="auto" w:fill="C6EFCE"/>
            <w:noWrap/>
          </w:tcPr>
          <w:p w14:paraId="1ECCB4F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0" w:type="dxa"/>
            <w:shd w:val="clear" w:color="auto" w:fill="C6EFCE"/>
            <w:noWrap/>
          </w:tcPr>
          <w:p w14:paraId="2E464F5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25" w:type="dxa"/>
            <w:shd w:val="clear" w:color="auto" w:fill="C6EFCE"/>
            <w:noWrap/>
            <w:hideMark/>
          </w:tcPr>
          <w:p w14:paraId="5A5E11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49" w:type="dxa"/>
            <w:shd w:val="clear" w:color="auto" w:fill="C6EFCE"/>
            <w:noWrap/>
            <w:hideMark/>
          </w:tcPr>
          <w:p w14:paraId="65DE89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617" w:type="dxa"/>
            <w:shd w:val="clear" w:color="auto" w:fill="C6EFCE"/>
            <w:noWrap/>
            <w:hideMark/>
          </w:tcPr>
          <w:p w14:paraId="5943ECA5" w14:textId="725F05BB" w:rsidR="001B186F" w:rsidRPr="00DE4E4F" w:rsidRDefault="0074517F" w:rsidP="009E2E69">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regulatory framework for (a) the establishment of the e-Marketplace to finance the supply and implementation of digital tools and processes and (b) the establishment of the legal entity to manage AI Pharos, for the management of data provided by public sector entities, and for providing services, for example access to data, computational resources and training to startups and SMEs.</w:t>
            </w:r>
            <w:r w:rsidR="00DE4C0C" w:rsidRPr="00DE4E4F">
              <w:rPr>
                <w:rFonts w:ascii="Times New Roman" w:hAnsi="Times New Roman" w:cs="Times New Roman"/>
                <w:noProof/>
                <w:color w:val="006100"/>
                <w:sz w:val="18"/>
                <w:szCs w:val="18"/>
              </w:rPr>
              <w:t xml:space="preserve"> </w:t>
            </w:r>
          </w:p>
        </w:tc>
      </w:tr>
    </w:tbl>
    <w:p w14:paraId="5D0DC7FD" w14:textId="77777777" w:rsidR="001B186F" w:rsidRPr="00DE4E4F" w:rsidRDefault="001B186F">
      <w:pPr>
        <w:spacing w:before="120" w:after="120" w:line="240" w:lineRule="auto"/>
        <w:jc w:val="both"/>
        <w:outlineLvl w:val="3"/>
        <w:rPr>
          <w:rFonts w:ascii="Times New Roman" w:hAnsi="Times New Roman" w:cs="Times New Roman"/>
          <w:b/>
          <w:bCs/>
          <w:noProof/>
          <w:sz w:val="24"/>
        </w:rPr>
        <w:sectPr w:rsidR="001B186F" w:rsidRPr="00DE4E4F">
          <w:headerReference w:type="even" r:id="rId162"/>
          <w:headerReference w:type="default" r:id="rId163"/>
          <w:footerReference w:type="even" r:id="rId164"/>
          <w:footerReference w:type="default" r:id="rId165"/>
          <w:headerReference w:type="first" r:id="rId166"/>
          <w:footerReference w:type="first" r:id="rId167"/>
          <w:pgSz w:w="16839" w:h="11907" w:orient="landscape"/>
          <w:pgMar w:top="1134" w:right="1134" w:bottom="1134" w:left="1134" w:header="567" w:footer="567" w:gutter="0"/>
          <w:cols w:space="720"/>
          <w:docGrid w:linePitch="360"/>
        </w:sectPr>
      </w:pPr>
    </w:p>
    <w:p w14:paraId="74BE18DD" w14:textId="77777777" w:rsidR="001B186F" w:rsidRPr="00DE4E4F" w:rsidRDefault="0074517F">
      <w:pPr>
        <w:spacing w:before="120" w:after="120" w:line="240" w:lineRule="auto"/>
        <w:ind w:firstLine="6"/>
        <w:jc w:val="both"/>
        <w:outlineLvl w:val="3"/>
        <w:rPr>
          <w:rFonts w:ascii="Times New Roman" w:hAnsi="Times New Roman"/>
          <w:b/>
          <w:noProof/>
          <w:sz w:val="24"/>
        </w:rPr>
      </w:pPr>
      <w:r w:rsidRPr="00DE4E4F">
        <w:rPr>
          <w:rFonts w:ascii="Times New Roman" w:hAnsi="Times New Roman"/>
          <w:b/>
          <w:noProof/>
          <w:sz w:val="24"/>
        </w:rPr>
        <w:t xml:space="preserve">H. COMPONENT 3.1: PROMOTE JOB CREATION AND PARTICIPATION IN THE LABOUR MARKET </w:t>
      </w:r>
    </w:p>
    <w:p w14:paraId="3BCCBBF7" w14:textId="77777777" w:rsidR="001B186F" w:rsidRPr="00DE4E4F" w:rsidRDefault="0074517F">
      <w:pPr>
        <w:spacing w:before="120" w:after="120" w:line="240" w:lineRule="auto"/>
        <w:jc w:val="both"/>
        <w:rPr>
          <w:rFonts w:ascii="Times New Roman" w:hAnsi="Times New Roman" w:cs="Times New Roman"/>
          <w:noProof/>
          <w:color w:val="000000"/>
          <w:sz w:val="24"/>
          <w:szCs w:val="24"/>
          <w:shd w:val="clear" w:color="auto" w:fill="FFFFFF"/>
        </w:rPr>
      </w:pPr>
      <w:r w:rsidRPr="00DE4E4F">
        <w:rPr>
          <w:rFonts w:ascii="Times New Roman" w:hAnsi="Times New Roman"/>
          <w:noProof/>
          <w:color w:val="000000"/>
          <w:sz w:val="24"/>
          <w:shd w:val="clear" w:color="auto" w:fill="FFFFFF"/>
        </w:rPr>
        <w:t xml:space="preserve">This component </w:t>
      </w:r>
      <w:r w:rsidRPr="00DE4E4F">
        <w:rPr>
          <w:rFonts w:ascii="Times New Roman" w:hAnsi="Times New Roman"/>
          <w:noProof/>
          <w:color w:val="000000"/>
          <w:sz w:val="24"/>
        </w:rPr>
        <w:t>of the Greek recovery and resilience plan</w:t>
      </w:r>
      <w:r w:rsidRPr="00DE4E4F">
        <w:rPr>
          <w:rFonts w:ascii="Times New Roman" w:hAnsi="Times New Roman"/>
          <w:noProof/>
          <w:sz w:val="24"/>
        </w:rPr>
        <w:t xml:space="preserve"> </w:t>
      </w:r>
      <w:r w:rsidRPr="00DE4E4F">
        <w:rPr>
          <w:rFonts w:ascii="Times New Roman" w:hAnsi="Times New Roman"/>
          <w:noProof/>
          <w:color w:val="000000"/>
          <w:sz w:val="24"/>
          <w:shd w:val="clear" w:color="auto" w:fill="FFFFFF"/>
        </w:rPr>
        <w:t>involves measures to redesign and strengthen active labour market policies, improve the efficiency of public employment services and provide an effective safety net against unemployment while strengthening incentives for labour market re-entry.</w:t>
      </w:r>
      <w:r w:rsidRPr="00DE4E4F">
        <w:rPr>
          <w:rFonts w:ascii="Times New Roman" w:hAnsi="Times New Roman"/>
          <w:b/>
          <w:noProof/>
          <w:color w:val="000000"/>
          <w:sz w:val="24"/>
          <w:shd w:val="clear" w:color="auto" w:fill="FFFFFF"/>
        </w:rPr>
        <w:t xml:space="preserve"> </w:t>
      </w:r>
      <w:r w:rsidRPr="00DE4E4F">
        <w:rPr>
          <w:rFonts w:ascii="Times New Roman" w:hAnsi="Times New Roman"/>
          <w:noProof/>
          <w:color w:val="000000"/>
          <w:sz w:val="24"/>
          <w:shd w:val="clear" w:color="auto" w:fill="FFFFFF"/>
        </w:rPr>
        <w:t xml:space="preserve">The bulk of the component measures is concentrated on Active Labour Market Policies </w:t>
      </w:r>
      <w:r w:rsidRPr="00DE4E4F">
        <w:rPr>
          <w:rFonts w:ascii="Times New Roman" w:hAnsi="Times New Roman"/>
          <w:noProof/>
          <w:sz w:val="24"/>
        </w:rPr>
        <w:t>including activation programmes that subsidize employment in the private sector and promote upskilling and reskilling of the labour force, as well as investments to boost the capacity of the public employment service (OAED until 18 April 2022, DYPA thereafter) through enhanced digitalisation and counselling services.</w:t>
      </w:r>
      <w:r w:rsidRPr="00DE4E4F">
        <w:rPr>
          <w:rFonts w:ascii="Times New Roman" w:hAnsi="Times New Roman"/>
          <w:noProof/>
          <w:color w:val="000000"/>
          <w:sz w:val="24"/>
          <w:shd w:val="clear" w:color="auto" w:fill="FFFFFF"/>
        </w:rPr>
        <w:t xml:space="preserve"> Under the reform of Passive Labour Market Policies, the Plan </w:t>
      </w:r>
      <w:r w:rsidRPr="00DE4E4F">
        <w:rPr>
          <w:rFonts w:ascii="Times New Roman" w:hAnsi="Times New Roman"/>
          <w:noProof/>
          <w:sz w:val="24"/>
        </w:rPr>
        <w:t>aims to improve the coverage and distribution of unemployment benefits, strengthen the social safety net, promote labour market participation, including among vulnerable groups, and improve the efficiency and effectiveness of the social protection system.</w:t>
      </w:r>
      <w:r w:rsidRPr="00DE4E4F">
        <w:rPr>
          <w:rFonts w:ascii="Times New Roman" w:hAnsi="Times New Roman"/>
          <w:noProof/>
          <w:color w:val="000000"/>
          <w:sz w:val="24"/>
          <w:shd w:val="clear" w:color="auto" w:fill="FFFFFF"/>
        </w:rPr>
        <w:t xml:space="preserve"> The component is in line with the country-specific recommendations to ensure effective labour market activation support, invest in skills and employability, and to improve digitalisation of the public administration (country-</w:t>
      </w:r>
      <w:r w:rsidRPr="00DE4E4F">
        <w:rPr>
          <w:rFonts w:ascii="16747" w:hAnsi="16747"/>
          <w:noProof/>
          <w:color w:val="000000"/>
          <w:sz w:val="24"/>
          <w:shd w:val="clear" w:color="auto" w:fill="FFFFFF"/>
        </w:rPr>
        <w:t>specific</w:t>
      </w:r>
      <w:r w:rsidRPr="00DE4E4F">
        <w:rPr>
          <w:rFonts w:ascii="Times New Roman" w:hAnsi="Times New Roman"/>
          <w:noProof/>
          <w:color w:val="000000"/>
          <w:sz w:val="24"/>
          <w:shd w:val="clear" w:color="auto" w:fill="FFFFFF"/>
        </w:rPr>
        <w:t xml:space="preserve"> recommendation 2 and 3 2020 and country specific recommendation 2 2019). Moreover, by focusing on promoting skills and employment in the digital and green sector among others, the component supports the digital and green transition. </w:t>
      </w:r>
      <w:r w:rsidRPr="00DE4E4F">
        <w:rPr>
          <w:rFonts w:ascii="Times New Roman" w:hAnsi="Times New Roman"/>
          <w:noProof/>
          <w:sz w:val="24"/>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 </w:t>
      </w:r>
    </w:p>
    <w:p w14:paraId="3853B8F0"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H.1. Description of the reforms and investments for non-repayable financial support</w:t>
      </w:r>
    </w:p>
    <w:p w14:paraId="7EEAB09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 xml:space="preserve">Reform: </w:t>
      </w:r>
      <w:r w:rsidRPr="00DE4E4F">
        <w:rPr>
          <w:rFonts w:ascii="Times New Roman" w:hAnsi="Times New Roman"/>
          <w:noProof/>
          <w:sz w:val="24"/>
          <w:szCs w:val="24"/>
        </w:rPr>
        <w:t>Modernisation and Simplification of Labour Law (measure ID: 16744)</w:t>
      </w:r>
    </w:p>
    <w:p w14:paraId="0C85962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 entails the entry into force of a comprehensive Labour Law that shall streamline key aspects of the labour market with a view to improving its functioning. Notably, the reform shall aim at modernising a) the law for individual labour, b) the law for collective labour and the trade union law, c) the ERGANI IT system of the Ministry of Labour that is used for monitoring the labour market and for detecting undeclared and under-declared work, and d) the framework on work-life balance. The reform’s overarching objectives are increasing job creation and competitiveness, fighting undeclared and under-declared work, improving work-life balance and bridging the gender employment gap. The implementation of the reform shall be completed by 30 September 2021</w:t>
      </w:r>
      <w:r w:rsidRPr="00DE4E4F">
        <w:rPr>
          <w:rFonts w:ascii="Times New Roman" w:hAnsi="Times New Roman"/>
          <w:i/>
          <w:noProof/>
          <w:sz w:val="24"/>
        </w:rPr>
        <w:t>.</w:t>
      </w:r>
    </w:p>
    <w:p w14:paraId="7BDE356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Labour Systems (measure ID: 16750)</w:t>
      </w:r>
    </w:p>
    <w:p w14:paraId="16B38517" w14:textId="77777777" w:rsidR="001B186F" w:rsidRPr="00DE4E4F" w:rsidRDefault="0074517F">
      <w:pPr>
        <w:spacing w:after="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modernise the public administration and increase its capacity to offer better and faster services to employees and employers. The investment consists of upgrading and expanding the digital infrastructures of public authorities in charge of labour market monitoring and social security issues. </w:t>
      </w:r>
    </w:p>
    <w:p w14:paraId="000580B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Active Labour Market Policies Reform (measure ID: 16747)</w:t>
      </w:r>
    </w:p>
    <w:p w14:paraId="6E2809FA" w14:textId="334441D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w:t>
      </w:r>
      <w:r w:rsidR="00770269" w:rsidRPr="00DE4E4F">
        <w:rPr>
          <w:rFonts w:ascii="Times New Roman" w:hAnsi="Times New Roman"/>
          <w:noProof/>
          <w:sz w:val="24"/>
          <w:szCs w:val="24"/>
        </w:rPr>
        <w:t xml:space="preserve">measure </w:t>
      </w:r>
      <w:r w:rsidRPr="00DE4E4F">
        <w:rPr>
          <w:rFonts w:ascii="Times New Roman" w:hAnsi="Times New Roman"/>
          <w:noProof/>
          <w:sz w:val="24"/>
          <w:szCs w:val="24"/>
        </w:rPr>
        <w:t xml:space="preserve">is to redesign and strengthen active labour market programmes. The </w:t>
      </w:r>
      <w:r w:rsidR="00DF09FB" w:rsidRPr="00DE4E4F">
        <w:rPr>
          <w:rFonts w:ascii="Times New Roman" w:hAnsi="Times New Roman"/>
          <w:noProof/>
          <w:sz w:val="24"/>
          <w:szCs w:val="24"/>
        </w:rPr>
        <w:t>measure</w:t>
      </w:r>
      <w:r w:rsidRPr="00DE4E4F">
        <w:rPr>
          <w:rFonts w:ascii="Times New Roman" w:hAnsi="Times New Roman"/>
          <w:noProof/>
          <w:sz w:val="24"/>
          <w:szCs w:val="24"/>
        </w:rPr>
        <w:t xml:space="preserve"> consists of training and employment programmes and a </w:t>
      </w:r>
      <w:r w:rsidRPr="00DE4E4F">
        <w:rPr>
          <w:rFonts w:ascii="Times New Roman" w:hAnsi="Times New Roman"/>
          <w:noProof/>
          <w:color w:val="000000" w:themeColor="text1"/>
          <w:sz w:val="24"/>
          <w:szCs w:val="24"/>
        </w:rPr>
        <w:t xml:space="preserve">temporary enhancement of the counselling staff of the public employment service. </w:t>
      </w:r>
    </w:p>
    <w:p w14:paraId="1113B4A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Reform of Passive Labour Market Policies to Support Transitions to Employment (measure ID: 16746)</w:t>
      </w:r>
    </w:p>
    <w:p w14:paraId="3C075E63" w14:textId="4FC9BEA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reform is to improve the effectiveness and efficiency of passive labour market policies. The reform consists of </w:t>
      </w:r>
      <w:r w:rsidRPr="00DE4E4F">
        <w:rPr>
          <w:rFonts w:ascii="Times New Roman" w:hAnsi="Times New Roman"/>
          <w:noProof/>
          <w:color w:val="000000" w:themeColor="text1"/>
          <w:sz w:val="24"/>
          <w:szCs w:val="24"/>
        </w:rPr>
        <w:t>consolidating and streamlining unemployment benefits and allowances, removing disincentives for upskilling/reskilling among the unemployed</w:t>
      </w:r>
      <w:r w:rsidRPr="00DE4E4F">
        <w:rPr>
          <w:rFonts w:ascii="Times New Roman" w:hAnsi="Times New Roman"/>
          <w:noProof/>
          <w:color w:val="000000"/>
          <w:sz w:val="24"/>
          <w:szCs w:val="24"/>
          <w:shd w:val="clear" w:color="auto" w:fill="FFFFFF"/>
        </w:rPr>
        <w:t>, and one</w:t>
      </w:r>
      <w:r w:rsidRPr="00DE4E4F">
        <w:rPr>
          <w:rFonts w:ascii="Times New Roman" w:hAnsi="Times New Roman"/>
          <w:noProof/>
          <w:color w:val="000000" w:themeColor="text1"/>
          <w:sz w:val="24"/>
          <w:szCs w:val="24"/>
        </w:rPr>
        <w:t xml:space="preserve"> pilot project </w:t>
      </w:r>
      <w:r w:rsidR="00877598" w:rsidRPr="00DE4E4F">
        <w:rPr>
          <w:rFonts w:ascii="Times New Roman" w:hAnsi="Times New Roman"/>
          <w:noProof/>
          <w:color w:val="000000" w:themeColor="text1"/>
          <w:sz w:val="24"/>
          <w:szCs w:val="24"/>
        </w:rPr>
        <w:t xml:space="preserve">for </w:t>
      </w:r>
      <w:r w:rsidRPr="00DE4E4F">
        <w:rPr>
          <w:rFonts w:ascii="Times New Roman" w:hAnsi="Times New Roman"/>
          <w:noProof/>
          <w:color w:val="000000"/>
          <w:sz w:val="24"/>
          <w:szCs w:val="24"/>
          <w:shd w:val="clear" w:color="auto" w:fill="FFFFFF"/>
        </w:rPr>
        <w:t>a</w:t>
      </w:r>
      <w:r w:rsidR="00877598" w:rsidRPr="00DE4E4F">
        <w:rPr>
          <w:rFonts w:ascii="Times New Roman" w:hAnsi="Times New Roman"/>
          <w:noProof/>
          <w:color w:val="000000"/>
          <w:sz w:val="24"/>
          <w:szCs w:val="24"/>
          <w:shd w:val="clear" w:color="auto" w:fill="FFFFFF"/>
        </w:rPr>
        <w:t xml:space="preserve"> new</w:t>
      </w:r>
      <w:r w:rsidRPr="00DE4E4F">
        <w:rPr>
          <w:rFonts w:ascii="Times New Roman" w:hAnsi="Times New Roman"/>
          <w:noProof/>
          <w:color w:val="000000"/>
          <w:sz w:val="24"/>
          <w:szCs w:val="24"/>
          <w:shd w:val="clear" w:color="auto" w:fill="FFFFFF"/>
        </w:rPr>
        <w:t xml:space="preserve"> </w:t>
      </w:r>
      <w:r w:rsidRPr="00DE4E4F">
        <w:rPr>
          <w:rFonts w:ascii="Times New Roman" w:hAnsi="Times New Roman"/>
          <w:noProof/>
          <w:color w:val="000000" w:themeColor="text1"/>
          <w:sz w:val="24"/>
          <w:szCs w:val="24"/>
        </w:rPr>
        <w:t>unemployment insurance system in Greece.</w:t>
      </w:r>
    </w:p>
    <w:p w14:paraId="01BCDA61" w14:textId="32C4575E" w:rsidR="001B186F" w:rsidRPr="00DE4E4F" w:rsidRDefault="0074517F">
      <w:pPr>
        <w:spacing w:before="120" w:after="120" w:line="240" w:lineRule="auto"/>
        <w:jc w:val="both"/>
        <w:rPr>
          <w:rFonts w:ascii="Times New Roman" w:hAnsi="Times New Roman" w:cs="Times New Roman"/>
          <w:noProof/>
          <w:sz w:val="24"/>
          <w:szCs w:val="24"/>
        </w:rPr>
      </w:pPr>
      <w:r w:rsidRPr="00DE4E4F" w:rsidDel="00605288">
        <w:rPr>
          <w:rFonts w:ascii="Times New Roman" w:hAnsi="Times New Roman"/>
          <w:b/>
          <w:noProof/>
          <w:sz w:val="24"/>
        </w:rPr>
        <w:t>Investment</w:t>
      </w:r>
      <w:r w:rsidRPr="00DE4E4F">
        <w:rPr>
          <w:rFonts w:ascii="Times New Roman" w:hAnsi="Times New Roman"/>
          <w:b/>
          <w:noProof/>
          <w:sz w:val="24"/>
        </w:rPr>
        <w:t>:</w:t>
      </w:r>
      <w:r w:rsidRPr="00DE4E4F">
        <w:rPr>
          <w:rFonts w:ascii="Times New Roman" w:hAnsi="Times New Roman"/>
          <w:noProof/>
          <w:sz w:val="24"/>
        </w:rPr>
        <w:t xml:space="preserve"> Restructuring and rebranding of DYPA’s local branches for the promotion of employment (KPA2) (measure ID: 16941)</w:t>
      </w:r>
    </w:p>
    <w:p w14:paraId="4512699E" w14:textId="66572B75"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w:t>
      </w:r>
      <w:r w:rsidR="00FA7CFB" w:rsidRPr="00DE4E4F">
        <w:rPr>
          <w:rFonts w:ascii="Times New Roman" w:hAnsi="Times New Roman"/>
          <w:noProof/>
          <w:sz w:val="24"/>
          <w:szCs w:val="24"/>
        </w:rPr>
        <w:t xml:space="preserve">measure </w:t>
      </w:r>
      <w:r w:rsidRPr="00DE4E4F">
        <w:rPr>
          <w:rFonts w:ascii="Times New Roman" w:hAnsi="Times New Roman"/>
          <w:noProof/>
          <w:sz w:val="24"/>
          <w:szCs w:val="24"/>
        </w:rPr>
        <w:t xml:space="preserve">is to improve the effectiveness and efficiency of the services that are offered by Greece’s public employment service (DYPA). The </w:t>
      </w:r>
      <w:r w:rsidR="00092799" w:rsidRPr="00DE4E4F">
        <w:rPr>
          <w:rFonts w:ascii="Times New Roman" w:hAnsi="Times New Roman"/>
          <w:noProof/>
          <w:sz w:val="24"/>
          <w:szCs w:val="24"/>
        </w:rPr>
        <w:t xml:space="preserve">measure </w:t>
      </w:r>
      <w:r w:rsidRPr="00DE4E4F">
        <w:rPr>
          <w:rFonts w:ascii="Times New Roman" w:hAnsi="Times New Roman"/>
          <w:noProof/>
          <w:sz w:val="24"/>
          <w:szCs w:val="24"/>
        </w:rPr>
        <w:t xml:space="preserve">consists of </w:t>
      </w:r>
      <w:r w:rsidR="00EB155F" w:rsidRPr="00DE4E4F">
        <w:rPr>
          <w:rFonts w:ascii="Times New Roman" w:hAnsi="Times New Roman"/>
          <w:noProof/>
          <w:sz w:val="24"/>
          <w:szCs w:val="24"/>
        </w:rPr>
        <w:t>an organisational reform of DYPA</w:t>
      </w:r>
      <w:r w:rsidRPr="00DE4E4F">
        <w:rPr>
          <w:rFonts w:ascii="Times New Roman" w:hAnsi="Times New Roman"/>
          <w:noProof/>
          <w:sz w:val="24"/>
          <w:szCs w:val="24"/>
        </w:rPr>
        <w:t xml:space="preserve">. </w:t>
      </w:r>
    </w:p>
    <w:p w14:paraId="6E6ABCF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Digital transformation of the public employment service (DYPA) (measure ID: 16942)</w:t>
      </w:r>
    </w:p>
    <w:p w14:paraId="0FDF8C00"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investment is to improve the efficiency and effectiveness of the public employment service (DYPA). The investment consists of the expansion and modernisation of the IT infrastructure and digital tools of the public employment service. </w:t>
      </w:r>
    </w:p>
    <w:p w14:paraId="0E0A87B0" w14:textId="77777777" w:rsidR="001B186F" w:rsidRPr="00DE4E4F" w:rsidRDefault="001B186F">
      <w:pPr>
        <w:pStyle w:val="paragraph"/>
        <w:spacing w:before="0" w:beforeAutospacing="0" w:after="0" w:afterAutospacing="0"/>
        <w:rPr>
          <w:rFonts w:ascii="Calibri" w:hAnsi="Calibri"/>
          <w:noProof/>
          <w:color w:val="006100"/>
          <w:sz w:val="18"/>
          <w:szCs w:val="18"/>
        </w:rPr>
        <w:sectPr w:rsidR="001B186F" w:rsidRPr="00DE4E4F">
          <w:headerReference w:type="even" r:id="rId168"/>
          <w:headerReference w:type="default" r:id="rId169"/>
          <w:footerReference w:type="even" r:id="rId170"/>
          <w:footerReference w:type="default" r:id="rId171"/>
          <w:headerReference w:type="first" r:id="rId172"/>
          <w:footerReference w:type="first" r:id="rId173"/>
          <w:pgSz w:w="11906" w:h="16838"/>
          <w:pgMar w:top="1134" w:right="1134" w:bottom="1134" w:left="1134" w:header="567" w:footer="567" w:gutter="0"/>
          <w:cols w:space="708"/>
          <w:docGrid w:linePitch="360"/>
        </w:sectPr>
      </w:pPr>
    </w:p>
    <w:p w14:paraId="45041A71"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H.2. Milestones, targets, indicators, and timetable for monitoring and implementation for non-repayable financial support</w:t>
      </w:r>
    </w:p>
    <w:p w14:paraId="49774109"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Key reform 6: Modernisation and simplification of the Labour Law and Digital Transformation of Labour Systems</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160"/>
        <w:gridCol w:w="1151"/>
        <w:gridCol w:w="1323"/>
        <w:gridCol w:w="1469"/>
        <w:gridCol w:w="981"/>
        <w:gridCol w:w="992"/>
        <w:gridCol w:w="709"/>
        <w:gridCol w:w="996"/>
        <w:gridCol w:w="709"/>
        <w:gridCol w:w="4248"/>
      </w:tblGrid>
      <w:tr w:rsidR="00682269" w:rsidRPr="00DE4E4F" w14:paraId="46989503" w14:textId="77777777" w:rsidTr="00E97A98">
        <w:trPr>
          <w:trHeight w:val="614"/>
          <w:tblHeader/>
        </w:trPr>
        <w:tc>
          <w:tcPr>
            <w:tcW w:w="708" w:type="dxa"/>
            <w:vMerge w:val="restart"/>
            <w:shd w:val="clear" w:color="auto" w:fill="BDD7EE"/>
            <w:vAlign w:val="center"/>
            <w:hideMark/>
          </w:tcPr>
          <w:p w14:paraId="7F06C3E4"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160" w:type="dxa"/>
            <w:vMerge w:val="restart"/>
            <w:shd w:val="clear" w:color="auto" w:fill="BDD7EE"/>
            <w:vAlign w:val="center"/>
            <w:hideMark/>
          </w:tcPr>
          <w:p w14:paraId="419608ED"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51" w:type="dxa"/>
            <w:vMerge w:val="restart"/>
            <w:shd w:val="clear" w:color="auto" w:fill="BDD7EE"/>
            <w:vAlign w:val="center"/>
            <w:hideMark/>
          </w:tcPr>
          <w:p w14:paraId="33E132C2"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23" w:type="dxa"/>
            <w:vMerge w:val="restart"/>
            <w:shd w:val="clear" w:color="auto" w:fill="BDD7EE"/>
            <w:vAlign w:val="center"/>
            <w:hideMark/>
          </w:tcPr>
          <w:p w14:paraId="6164FAF7"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69" w:type="dxa"/>
            <w:vMerge w:val="restart"/>
            <w:shd w:val="clear" w:color="auto" w:fill="BDD7EE"/>
            <w:vAlign w:val="center"/>
            <w:hideMark/>
          </w:tcPr>
          <w:p w14:paraId="79FCC24C"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682" w:type="dxa"/>
            <w:gridSpan w:val="3"/>
            <w:shd w:val="clear" w:color="auto" w:fill="BDD7EE"/>
            <w:vAlign w:val="center"/>
            <w:hideMark/>
          </w:tcPr>
          <w:p w14:paraId="70B6E560"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705" w:type="dxa"/>
            <w:gridSpan w:val="2"/>
            <w:shd w:val="clear" w:color="auto" w:fill="BDD7EE"/>
            <w:vAlign w:val="center"/>
            <w:hideMark/>
          </w:tcPr>
          <w:p w14:paraId="338A992C"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248" w:type="dxa"/>
            <w:vMerge w:val="restart"/>
            <w:shd w:val="clear" w:color="auto" w:fill="BDD7EE"/>
            <w:vAlign w:val="center"/>
            <w:hideMark/>
          </w:tcPr>
          <w:p w14:paraId="67230C37"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0F53B231" w14:textId="77777777" w:rsidTr="00E97A98">
        <w:trPr>
          <w:trHeight w:val="542"/>
          <w:tblHeader/>
        </w:trPr>
        <w:tc>
          <w:tcPr>
            <w:tcW w:w="708" w:type="dxa"/>
            <w:vMerge/>
            <w:vAlign w:val="center"/>
            <w:hideMark/>
          </w:tcPr>
          <w:p w14:paraId="669977AB" w14:textId="77777777" w:rsidR="001B186F" w:rsidRPr="00DE4E4F" w:rsidRDefault="001B186F" w:rsidP="00E97A98">
            <w:pPr>
              <w:spacing w:after="0" w:line="240" w:lineRule="auto"/>
              <w:jc w:val="center"/>
              <w:rPr>
                <w:rFonts w:ascii="Times New Roman" w:eastAsia="Times New Roman" w:hAnsi="Times New Roman" w:cs="Times New Roman"/>
                <w:b/>
                <w:bCs/>
                <w:noProof/>
                <w:sz w:val="18"/>
                <w:szCs w:val="18"/>
                <w:lang w:eastAsia="en-GB"/>
              </w:rPr>
            </w:pPr>
          </w:p>
        </w:tc>
        <w:tc>
          <w:tcPr>
            <w:tcW w:w="2160" w:type="dxa"/>
            <w:vMerge/>
            <w:vAlign w:val="center"/>
            <w:hideMark/>
          </w:tcPr>
          <w:p w14:paraId="2890C452" w14:textId="77777777" w:rsidR="001B186F" w:rsidRPr="00DE4E4F" w:rsidRDefault="001B186F" w:rsidP="00E97A98">
            <w:pPr>
              <w:spacing w:after="0" w:line="240" w:lineRule="auto"/>
              <w:jc w:val="center"/>
              <w:rPr>
                <w:rFonts w:ascii="Times New Roman" w:eastAsia="Times New Roman" w:hAnsi="Times New Roman" w:cs="Times New Roman"/>
                <w:b/>
                <w:bCs/>
                <w:noProof/>
                <w:sz w:val="18"/>
                <w:szCs w:val="18"/>
                <w:lang w:eastAsia="en-GB"/>
              </w:rPr>
            </w:pPr>
          </w:p>
        </w:tc>
        <w:tc>
          <w:tcPr>
            <w:tcW w:w="1151" w:type="dxa"/>
            <w:vMerge/>
            <w:vAlign w:val="center"/>
            <w:hideMark/>
          </w:tcPr>
          <w:p w14:paraId="54C85887" w14:textId="77777777" w:rsidR="001B186F" w:rsidRPr="00DE4E4F" w:rsidRDefault="001B186F" w:rsidP="00E97A98">
            <w:pPr>
              <w:spacing w:after="0" w:line="240" w:lineRule="auto"/>
              <w:jc w:val="center"/>
              <w:rPr>
                <w:rFonts w:ascii="Times New Roman" w:eastAsia="Times New Roman" w:hAnsi="Times New Roman" w:cs="Times New Roman"/>
                <w:b/>
                <w:bCs/>
                <w:noProof/>
                <w:sz w:val="18"/>
                <w:szCs w:val="18"/>
                <w:lang w:eastAsia="en-GB"/>
              </w:rPr>
            </w:pPr>
          </w:p>
        </w:tc>
        <w:tc>
          <w:tcPr>
            <w:tcW w:w="1323" w:type="dxa"/>
            <w:vMerge/>
            <w:vAlign w:val="center"/>
            <w:hideMark/>
          </w:tcPr>
          <w:p w14:paraId="24F90B9C" w14:textId="77777777" w:rsidR="001B186F" w:rsidRPr="00DE4E4F" w:rsidRDefault="001B186F" w:rsidP="00E97A98">
            <w:pPr>
              <w:spacing w:after="0" w:line="240" w:lineRule="auto"/>
              <w:jc w:val="center"/>
              <w:rPr>
                <w:rFonts w:ascii="Times New Roman" w:eastAsia="Times New Roman" w:hAnsi="Times New Roman" w:cs="Times New Roman"/>
                <w:b/>
                <w:bCs/>
                <w:noProof/>
                <w:sz w:val="18"/>
                <w:szCs w:val="18"/>
                <w:lang w:eastAsia="en-GB"/>
              </w:rPr>
            </w:pPr>
          </w:p>
        </w:tc>
        <w:tc>
          <w:tcPr>
            <w:tcW w:w="1469" w:type="dxa"/>
            <w:vMerge/>
            <w:vAlign w:val="center"/>
            <w:hideMark/>
          </w:tcPr>
          <w:p w14:paraId="013F2DFA" w14:textId="77777777" w:rsidR="001B186F" w:rsidRPr="00DE4E4F" w:rsidRDefault="001B186F" w:rsidP="00E97A98">
            <w:pPr>
              <w:spacing w:after="0" w:line="240" w:lineRule="auto"/>
              <w:jc w:val="center"/>
              <w:rPr>
                <w:rFonts w:ascii="Times New Roman" w:eastAsia="Times New Roman" w:hAnsi="Times New Roman" w:cs="Times New Roman"/>
                <w:b/>
                <w:bCs/>
                <w:noProof/>
                <w:sz w:val="18"/>
                <w:szCs w:val="18"/>
                <w:lang w:eastAsia="en-GB"/>
              </w:rPr>
            </w:pPr>
          </w:p>
        </w:tc>
        <w:tc>
          <w:tcPr>
            <w:tcW w:w="981" w:type="dxa"/>
            <w:shd w:val="clear" w:color="auto" w:fill="BDD7EE"/>
            <w:vAlign w:val="center"/>
            <w:hideMark/>
          </w:tcPr>
          <w:p w14:paraId="6FD37C2D"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1F4FB892"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09" w:type="dxa"/>
            <w:shd w:val="clear" w:color="auto" w:fill="BDD7EE"/>
            <w:vAlign w:val="center"/>
            <w:hideMark/>
          </w:tcPr>
          <w:p w14:paraId="50687F8C"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96" w:type="dxa"/>
            <w:shd w:val="clear" w:color="auto" w:fill="BDD7EE"/>
            <w:vAlign w:val="center"/>
            <w:hideMark/>
          </w:tcPr>
          <w:p w14:paraId="53F1F4C6"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044844BF" w14:textId="77777777" w:rsidR="001B186F" w:rsidRPr="00DE4E4F" w:rsidRDefault="0074517F" w:rsidP="00E97A98">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248" w:type="dxa"/>
            <w:vMerge/>
            <w:vAlign w:val="center"/>
            <w:hideMark/>
          </w:tcPr>
          <w:p w14:paraId="63820DAE" w14:textId="77777777" w:rsidR="001B186F" w:rsidRPr="00DE4E4F" w:rsidRDefault="001B186F" w:rsidP="00E97A98">
            <w:pPr>
              <w:spacing w:after="0" w:line="240" w:lineRule="auto"/>
              <w:rPr>
                <w:rFonts w:ascii="Times New Roman" w:eastAsia="Times New Roman" w:hAnsi="Times New Roman" w:cs="Times New Roman"/>
                <w:b/>
                <w:bCs/>
                <w:noProof/>
                <w:sz w:val="18"/>
                <w:szCs w:val="18"/>
                <w:lang w:eastAsia="en-GB"/>
              </w:rPr>
            </w:pPr>
          </w:p>
        </w:tc>
      </w:tr>
      <w:tr w:rsidR="00682269" w:rsidRPr="00DE4E4F" w14:paraId="7832FE19" w14:textId="77777777" w:rsidTr="00E97A98">
        <w:trPr>
          <w:trHeight w:val="309"/>
        </w:trPr>
        <w:tc>
          <w:tcPr>
            <w:tcW w:w="708" w:type="dxa"/>
            <w:shd w:val="clear" w:color="auto" w:fill="C6EFCE"/>
            <w:noWrap/>
          </w:tcPr>
          <w:p w14:paraId="18E7BD72"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133</w:t>
            </w:r>
          </w:p>
        </w:tc>
        <w:tc>
          <w:tcPr>
            <w:tcW w:w="2160" w:type="dxa"/>
            <w:shd w:val="clear" w:color="auto" w:fill="C6EFCE"/>
            <w:noWrap/>
          </w:tcPr>
          <w:p w14:paraId="0D5B885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- 16744_Modernisation and Simplification of Labour Law</w:t>
            </w:r>
          </w:p>
        </w:tc>
        <w:tc>
          <w:tcPr>
            <w:tcW w:w="1151" w:type="dxa"/>
            <w:shd w:val="clear" w:color="auto" w:fill="C6EFCE"/>
            <w:noWrap/>
          </w:tcPr>
          <w:p w14:paraId="0B8B62B5"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3" w:type="dxa"/>
            <w:shd w:val="clear" w:color="auto" w:fill="C6EFCE"/>
            <w:noWrap/>
          </w:tcPr>
          <w:p w14:paraId="7D56641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Labour law</w:t>
            </w:r>
          </w:p>
        </w:tc>
        <w:tc>
          <w:tcPr>
            <w:tcW w:w="1469" w:type="dxa"/>
            <w:shd w:val="clear" w:color="auto" w:fill="C6EFCE"/>
            <w:noWrap/>
          </w:tcPr>
          <w:p w14:paraId="764A91E1"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Provision in the law indicating the entry into force - </w:t>
            </w:r>
          </w:p>
        </w:tc>
        <w:tc>
          <w:tcPr>
            <w:tcW w:w="981" w:type="dxa"/>
            <w:shd w:val="clear" w:color="auto" w:fill="C6EFCE"/>
            <w:noWrap/>
          </w:tcPr>
          <w:p w14:paraId="25CB688A"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7763D18"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5E1275B8"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6" w:type="dxa"/>
            <w:shd w:val="clear" w:color="auto" w:fill="C6EFCE"/>
            <w:noWrap/>
          </w:tcPr>
          <w:p w14:paraId="053AEFE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4113605E"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248" w:type="dxa"/>
            <w:shd w:val="clear" w:color="auto" w:fill="C6EFCE"/>
            <w:noWrap/>
          </w:tcPr>
          <w:p w14:paraId="1F64C70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Labour Law which shall modernise a) the law for individual labour, b) the law for collective labour and the trade union law, c) the ERGANI IT system of the Ministry of Labour that is used for monitoring the labour market and for detecting undeclared and under-declared work, and d) the framework on work-life balance.</w:t>
            </w:r>
          </w:p>
        </w:tc>
      </w:tr>
      <w:tr w:rsidR="00682269" w:rsidRPr="00DE4E4F" w14:paraId="0D8A4C55" w14:textId="77777777" w:rsidTr="00E97A98">
        <w:trPr>
          <w:trHeight w:val="309"/>
        </w:trPr>
        <w:tc>
          <w:tcPr>
            <w:tcW w:w="708" w:type="dxa"/>
            <w:shd w:val="clear" w:color="auto" w:fill="C6EFCE"/>
            <w:noWrap/>
          </w:tcPr>
          <w:p w14:paraId="574B00A3"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134</w:t>
            </w:r>
          </w:p>
        </w:tc>
        <w:tc>
          <w:tcPr>
            <w:tcW w:w="2160" w:type="dxa"/>
            <w:shd w:val="clear" w:color="auto" w:fill="C6EFCE"/>
            <w:noWrap/>
          </w:tcPr>
          <w:p w14:paraId="73645B48"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- 16750_Digital Transformation of Labour Systems</w:t>
            </w:r>
          </w:p>
        </w:tc>
        <w:tc>
          <w:tcPr>
            <w:tcW w:w="1151" w:type="dxa"/>
            <w:shd w:val="clear" w:color="auto" w:fill="C6EFCE"/>
            <w:noWrap/>
          </w:tcPr>
          <w:p w14:paraId="6C0ED2D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3" w:type="dxa"/>
            <w:shd w:val="clear" w:color="auto" w:fill="C6EFCE"/>
            <w:noWrap/>
          </w:tcPr>
          <w:p w14:paraId="0FBB5B59"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Labour IT systems contract award</w:t>
            </w:r>
          </w:p>
        </w:tc>
        <w:tc>
          <w:tcPr>
            <w:tcW w:w="1469" w:type="dxa"/>
            <w:shd w:val="clear" w:color="auto" w:fill="C6EFCE"/>
            <w:noWrap/>
          </w:tcPr>
          <w:p w14:paraId="21AC25B3"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981" w:type="dxa"/>
            <w:shd w:val="clear" w:color="auto" w:fill="C6EFCE"/>
            <w:noWrap/>
          </w:tcPr>
          <w:p w14:paraId="642EF8A0"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7904FF98"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4FCE5285"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6" w:type="dxa"/>
            <w:shd w:val="clear" w:color="auto" w:fill="C6EFCE"/>
            <w:noWrap/>
          </w:tcPr>
          <w:p w14:paraId="39408C29"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7C4DE48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248" w:type="dxa"/>
            <w:shd w:val="clear" w:color="auto" w:fill="C6EFCE"/>
            <w:noWrap/>
          </w:tcPr>
          <w:p w14:paraId="5345BF07"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contract award for the following projects:</w:t>
            </w:r>
          </w:p>
          <w:p w14:paraId="35BE463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Single IT system for labour market monitoring (ARIADNE)</w:t>
            </w:r>
          </w:p>
          <w:p w14:paraId="5F994BB4"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Occupational Health and Safety (HERIDANOS)</w:t>
            </w:r>
          </w:p>
          <w:p w14:paraId="16FA256A"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Statutory minimum wage setting process</w:t>
            </w:r>
          </w:p>
          <w:p w14:paraId="157A120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Digitisation of the Single Pension Fund’s (e-EFKA) insurance history </w:t>
            </w:r>
          </w:p>
          <w:p w14:paraId="0711503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New integrated information system for e-EFKA (EFKA IITS)</w:t>
            </w:r>
          </w:p>
          <w:p w14:paraId="3E3EE2A9"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Upgrade of the digital pension award system (ATLAS)</w:t>
            </w:r>
          </w:p>
        </w:tc>
      </w:tr>
      <w:tr w:rsidR="00682269" w:rsidRPr="00DE4E4F" w14:paraId="6F55FB07" w14:textId="77777777" w:rsidTr="00E97A98">
        <w:trPr>
          <w:trHeight w:val="309"/>
        </w:trPr>
        <w:tc>
          <w:tcPr>
            <w:tcW w:w="708" w:type="dxa"/>
            <w:shd w:val="clear" w:color="auto" w:fill="C6EFCE"/>
            <w:noWrap/>
          </w:tcPr>
          <w:p w14:paraId="0D9F11AE"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135</w:t>
            </w:r>
          </w:p>
        </w:tc>
        <w:tc>
          <w:tcPr>
            <w:tcW w:w="2160" w:type="dxa"/>
            <w:shd w:val="clear" w:color="auto" w:fill="C6EFCE"/>
            <w:noWrap/>
          </w:tcPr>
          <w:p w14:paraId="2A75E78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- 16942_Digital Transformation of the Public Employment Service (DYPA)</w:t>
            </w:r>
          </w:p>
        </w:tc>
        <w:tc>
          <w:tcPr>
            <w:tcW w:w="1151" w:type="dxa"/>
            <w:shd w:val="clear" w:color="auto" w:fill="C6EFCE"/>
            <w:noWrap/>
          </w:tcPr>
          <w:p w14:paraId="0840CD9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3" w:type="dxa"/>
            <w:shd w:val="clear" w:color="auto" w:fill="C6EFCE"/>
            <w:noWrap/>
          </w:tcPr>
          <w:p w14:paraId="391ACFC6"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DYPA Digitisation, storage and filing of archives</w:t>
            </w:r>
          </w:p>
        </w:tc>
        <w:tc>
          <w:tcPr>
            <w:tcW w:w="1469" w:type="dxa"/>
            <w:shd w:val="clear" w:color="auto" w:fill="C6EFCE"/>
            <w:noWrap/>
          </w:tcPr>
          <w:p w14:paraId="54A1BD30"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Certificate of acceptance of deliverables of project</w:t>
            </w:r>
          </w:p>
        </w:tc>
        <w:tc>
          <w:tcPr>
            <w:tcW w:w="981" w:type="dxa"/>
            <w:shd w:val="clear" w:color="auto" w:fill="C6EFCE"/>
            <w:noWrap/>
          </w:tcPr>
          <w:p w14:paraId="5BE3C79B"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4C6D7819"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rPr>
            </w:pPr>
          </w:p>
        </w:tc>
        <w:tc>
          <w:tcPr>
            <w:tcW w:w="709" w:type="dxa"/>
            <w:shd w:val="clear" w:color="auto" w:fill="C6EFCE"/>
            <w:noWrap/>
          </w:tcPr>
          <w:p w14:paraId="1EA53B6A"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rPr>
            </w:pPr>
          </w:p>
        </w:tc>
        <w:tc>
          <w:tcPr>
            <w:tcW w:w="996" w:type="dxa"/>
            <w:shd w:val="clear" w:color="auto" w:fill="C6EFCE"/>
            <w:noWrap/>
          </w:tcPr>
          <w:p w14:paraId="43E50D4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453C1AD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248" w:type="dxa"/>
            <w:shd w:val="clear" w:color="auto" w:fill="C6EFCE"/>
            <w:noWrap/>
          </w:tcPr>
          <w:p w14:paraId="2DDF6C99"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the digitisation, storage and filing of archives of DYPA.</w:t>
            </w:r>
          </w:p>
        </w:tc>
      </w:tr>
      <w:tr w:rsidR="00682269" w:rsidRPr="00DE4E4F" w14:paraId="375DE577" w14:textId="77777777" w:rsidTr="00E97A98">
        <w:trPr>
          <w:trHeight w:val="309"/>
        </w:trPr>
        <w:tc>
          <w:tcPr>
            <w:tcW w:w="708" w:type="dxa"/>
            <w:shd w:val="clear" w:color="auto" w:fill="C6EFCE"/>
            <w:noWrap/>
          </w:tcPr>
          <w:p w14:paraId="508C2664"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135a</w:t>
            </w:r>
          </w:p>
        </w:tc>
        <w:tc>
          <w:tcPr>
            <w:tcW w:w="2160" w:type="dxa"/>
            <w:shd w:val="clear" w:color="auto" w:fill="C6EFCE"/>
            <w:noWrap/>
          </w:tcPr>
          <w:p w14:paraId="2BA9A511"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- 16942_Digital Transformation of the Public Employment Service</w:t>
            </w:r>
          </w:p>
        </w:tc>
        <w:tc>
          <w:tcPr>
            <w:tcW w:w="1151" w:type="dxa"/>
            <w:shd w:val="clear" w:color="auto" w:fill="C6EFCE"/>
            <w:noWrap/>
          </w:tcPr>
          <w:p w14:paraId="262E55BE" w14:textId="77777777" w:rsidR="001B186F"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3" w:type="dxa"/>
            <w:shd w:val="clear" w:color="auto" w:fill="C6EFCE"/>
            <w:noWrap/>
          </w:tcPr>
          <w:p w14:paraId="5A9C2852" w14:textId="77777777" w:rsidR="001B186F" w:rsidRPr="00DE4E4F" w:rsidDel="002202B2"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DYPA</w:t>
            </w:r>
          </w:p>
        </w:tc>
        <w:tc>
          <w:tcPr>
            <w:tcW w:w="1469" w:type="dxa"/>
            <w:shd w:val="clear" w:color="auto" w:fill="C6EFCE"/>
            <w:noWrap/>
          </w:tcPr>
          <w:p w14:paraId="33C3CAE0" w14:textId="392B0EAE"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projects a, b</w:t>
            </w:r>
            <w:r w:rsidR="00A731D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c </w:t>
            </w:r>
            <w:r w:rsidR="00A731DC" w:rsidRPr="00DE4E4F">
              <w:rPr>
                <w:rFonts w:ascii="Times New Roman" w:hAnsi="Times New Roman" w:cs="Times New Roman"/>
                <w:noProof/>
                <w:color w:val="006100"/>
                <w:sz w:val="18"/>
                <w:szCs w:val="18"/>
              </w:rPr>
              <w:t>and d</w:t>
            </w:r>
          </w:p>
        </w:tc>
        <w:tc>
          <w:tcPr>
            <w:tcW w:w="981" w:type="dxa"/>
            <w:shd w:val="clear" w:color="auto" w:fill="C6EFCE"/>
            <w:noWrap/>
          </w:tcPr>
          <w:p w14:paraId="794ABB3A"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42FDA7B1"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18170273"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6" w:type="dxa"/>
            <w:shd w:val="clear" w:color="auto" w:fill="C6EFCE"/>
            <w:noWrap/>
          </w:tcPr>
          <w:p w14:paraId="45C5C4C0" w14:textId="77777777" w:rsidR="001B186F"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4F19E4D2"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248" w:type="dxa"/>
            <w:shd w:val="clear" w:color="auto" w:fill="C6EFCE"/>
            <w:noWrap/>
          </w:tcPr>
          <w:p w14:paraId="2F6C3BC9" w14:textId="77777777" w:rsidR="001B186F" w:rsidRPr="00DE4E4F" w:rsidRDefault="0074517F" w:rsidP="00E97A98">
            <w:pPr>
              <w:pStyle w:val="paragraph"/>
              <w:spacing w:before="0" w:beforeAutospacing="0" w:after="0" w:afterAutospacing="0"/>
              <w:textAlignment w:val="baseline"/>
              <w:rPr>
                <w:noProof/>
                <w:color w:val="006100"/>
                <w:sz w:val="18"/>
                <w:szCs w:val="18"/>
              </w:rPr>
            </w:pPr>
            <w:r w:rsidRPr="00DE4E4F">
              <w:rPr>
                <w:noProof/>
                <w:color w:val="006100"/>
                <w:sz w:val="18"/>
                <w:szCs w:val="18"/>
              </w:rPr>
              <w:t xml:space="preserve">Delivery of the following projects: </w:t>
            </w:r>
          </w:p>
          <w:p w14:paraId="663E4C48" w14:textId="13A8C66A" w:rsidR="001B186F" w:rsidRPr="00DE4E4F" w:rsidRDefault="0074517F" w:rsidP="00E97A98">
            <w:pPr>
              <w:pStyle w:val="paragraph"/>
              <w:spacing w:before="0" w:beforeAutospacing="0" w:after="0" w:afterAutospacing="0"/>
              <w:textAlignment w:val="baseline"/>
              <w:rPr>
                <w:noProof/>
                <w:color w:val="006100"/>
                <w:sz w:val="18"/>
                <w:szCs w:val="18"/>
              </w:rPr>
            </w:pPr>
            <w:r w:rsidRPr="00DE4E4F">
              <w:rPr>
                <w:noProof/>
                <w:color w:val="006100"/>
                <w:sz w:val="18"/>
                <w:szCs w:val="18"/>
              </w:rPr>
              <w:t xml:space="preserve">a) </w:t>
            </w:r>
            <w:r w:rsidR="00263BD5" w:rsidRPr="00DE4E4F">
              <w:rPr>
                <w:noProof/>
                <w:color w:val="006100"/>
                <w:sz w:val="18"/>
                <w:szCs w:val="18"/>
              </w:rPr>
              <w:t xml:space="preserve">New or </w:t>
            </w:r>
            <w:r w:rsidR="0083605B" w:rsidRPr="00DE4E4F">
              <w:rPr>
                <w:noProof/>
                <w:color w:val="006100"/>
                <w:sz w:val="18"/>
                <w:szCs w:val="18"/>
              </w:rPr>
              <w:t xml:space="preserve">upgraded </w:t>
            </w:r>
            <w:r w:rsidRPr="00DE4E4F">
              <w:rPr>
                <w:noProof/>
                <w:color w:val="006100"/>
                <w:sz w:val="18"/>
                <w:szCs w:val="18"/>
              </w:rPr>
              <w:t>IT systems (</w:t>
            </w:r>
            <w:r w:rsidR="006E6C6D" w:rsidRPr="00DE4E4F">
              <w:rPr>
                <w:noProof/>
                <w:color w:val="006100"/>
                <w:sz w:val="18"/>
                <w:szCs w:val="18"/>
              </w:rPr>
              <w:t>IIS for education and training</w:t>
            </w:r>
            <w:r w:rsidRPr="00DE4E4F">
              <w:rPr>
                <w:noProof/>
                <w:color w:val="006100"/>
                <w:sz w:val="18"/>
                <w:szCs w:val="18"/>
              </w:rPr>
              <w:t>, FMIS, HRM, Cyber Security, Chatbot, Virtual Desktop Infrastructure (VDI))</w:t>
            </w:r>
          </w:p>
          <w:p w14:paraId="10B90358" w14:textId="26CCD329" w:rsidR="002922A9" w:rsidRPr="00DE4E4F" w:rsidRDefault="0074517F" w:rsidP="00E97A98">
            <w:pPr>
              <w:pStyle w:val="paragraph"/>
              <w:spacing w:before="0" w:beforeAutospacing="0" w:after="0" w:afterAutospacing="0"/>
              <w:textAlignment w:val="baseline"/>
              <w:rPr>
                <w:noProof/>
                <w:color w:val="006100"/>
                <w:sz w:val="18"/>
                <w:szCs w:val="18"/>
              </w:rPr>
            </w:pPr>
            <w:r w:rsidRPr="00DE4E4F">
              <w:rPr>
                <w:noProof/>
                <w:color w:val="006100"/>
                <w:sz w:val="18"/>
                <w:szCs w:val="18"/>
              </w:rPr>
              <w:t xml:space="preserve">b) </w:t>
            </w:r>
            <w:r w:rsidR="00B26787" w:rsidRPr="00DE4E4F">
              <w:rPr>
                <w:noProof/>
                <w:color w:val="006100"/>
                <w:sz w:val="18"/>
                <w:szCs w:val="18"/>
              </w:rPr>
              <w:t>Up</w:t>
            </w:r>
            <w:r w:rsidR="00F06997" w:rsidRPr="00DE4E4F">
              <w:rPr>
                <w:noProof/>
                <w:color w:val="006100"/>
                <w:sz w:val="18"/>
                <w:szCs w:val="18"/>
              </w:rPr>
              <w:t>grad</w:t>
            </w:r>
            <w:r w:rsidR="00B26787" w:rsidRPr="00DE4E4F">
              <w:rPr>
                <w:noProof/>
                <w:color w:val="006100"/>
                <w:sz w:val="18"/>
                <w:szCs w:val="18"/>
              </w:rPr>
              <w:t xml:space="preserve">e </w:t>
            </w:r>
            <w:r w:rsidR="00F06997" w:rsidRPr="00DE4E4F">
              <w:rPr>
                <w:noProof/>
                <w:color w:val="006100"/>
                <w:sz w:val="18"/>
                <w:szCs w:val="18"/>
              </w:rPr>
              <w:t>of the integrated information system of DYPA</w:t>
            </w:r>
          </w:p>
          <w:p w14:paraId="7F01642F" w14:textId="11F6D500" w:rsidR="001B186F" w:rsidRPr="00DE4E4F" w:rsidRDefault="00A731DC" w:rsidP="00E97A98">
            <w:pPr>
              <w:pStyle w:val="paragraph"/>
              <w:spacing w:before="0" w:beforeAutospacing="0" w:after="0" w:afterAutospacing="0"/>
              <w:textAlignment w:val="baseline"/>
              <w:rPr>
                <w:noProof/>
                <w:color w:val="006100"/>
                <w:sz w:val="18"/>
                <w:szCs w:val="18"/>
              </w:rPr>
            </w:pPr>
            <w:r w:rsidRPr="00DE4E4F">
              <w:rPr>
                <w:noProof/>
                <w:color w:val="006100"/>
                <w:sz w:val="18"/>
                <w:szCs w:val="18"/>
              </w:rPr>
              <w:t>c)</w:t>
            </w:r>
            <w:r w:rsidR="00DE4C0C" w:rsidRPr="00DE4E4F">
              <w:rPr>
                <w:noProof/>
                <w:color w:val="006100"/>
                <w:sz w:val="18"/>
                <w:szCs w:val="18"/>
              </w:rPr>
              <w:t xml:space="preserve"> </w:t>
            </w:r>
            <w:r w:rsidRPr="00DE4E4F">
              <w:rPr>
                <w:noProof/>
                <w:color w:val="006100"/>
                <w:sz w:val="18"/>
                <w:szCs w:val="18"/>
              </w:rPr>
              <w:t>N</w:t>
            </w:r>
            <w:r w:rsidR="0074517F" w:rsidRPr="00DE4E4F">
              <w:rPr>
                <w:noProof/>
                <w:color w:val="006100"/>
                <w:sz w:val="18"/>
                <w:szCs w:val="18"/>
              </w:rPr>
              <w:t>ew evidence-based and data-driven decision-making system</w:t>
            </w:r>
          </w:p>
          <w:p w14:paraId="4329D85B" w14:textId="11D54413" w:rsidR="001B186F" w:rsidRPr="00DE4E4F" w:rsidRDefault="00A731DC" w:rsidP="00E97A98">
            <w:pPr>
              <w:pStyle w:val="paragraph"/>
              <w:spacing w:before="0" w:beforeAutospacing="0" w:after="0" w:afterAutospacing="0"/>
              <w:rPr>
                <w:noProof/>
                <w:color w:val="006100"/>
                <w:sz w:val="18"/>
                <w:szCs w:val="18"/>
              </w:rPr>
            </w:pPr>
            <w:r w:rsidRPr="00DE4E4F">
              <w:rPr>
                <w:noProof/>
                <w:color w:val="006100"/>
                <w:sz w:val="18"/>
                <w:szCs w:val="18"/>
              </w:rPr>
              <w:t>d</w:t>
            </w:r>
            <w:r w:rsidR="0074517F" w:rsidRPr="00DE4E4F">
              <w:rPr>
                <w:noProof/>
                <w:color w:val="006100"/>
                <w:sz w:val="18"/>
                <w:szCs w:val="18"/>
              </w:rPr>
              <w:t>)</w:t>
            </w:r>
            <w:r w:rsidR="00DE4C0C" w:rsidRPr="00DE4E4F">
              <w:rPr>
                <w:noProof/>
                <w:color w:val="006100"/>
                <w:sz w:val="18"/>
                <w:szCs w:val="18"/>
              </w:rPr>
              <w:t xml:space="preserve"> </w:t>
            </w:r>
            <w:r w:rsidR="00795BD5" w:rsidRPr="00DE4E4F">
              <w:rPr>
                <w:noProof/>
                <w:color w:val="006100"/>
                <w:sz w:val="18"/>
                <w:szCs w:val="18"/>
              </w:rPr>
              <w:t>A skills-based labour supply and demand matching tool</w:t>
            </w:r>
            <w:r w:rsidR="0074517F" w:rsidRPr="00DE4E4F">
              <w:rPr>
                <w:noProof/>
                <w:color w:val="006100"/>
                <w:sz w:val="18"/>
                <w:szCs w:val="18"/>
              </w:rPr>
              <w:t>.</w:t>
            </w:r>
          </w:p>
        </w:tc>
      </w:tr>
      <w:tr w:rsidR="00F7603C" w:rsidRPr="00DE4E4F" w14:paraId="6D3C34D2" w14:textId="77777777" w:rsidTr="00E97A98">
        <w:trPr>
          <w:trHeight w:val="420"/>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838C7DF"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134a</w:t>
            </w:r>
          </w:p>
        </w:tc>
        <w:tc>
          <w:tcPr>
            <w:tcW w:w="2160" w:type="dxa"/>
            <w:tcBorders>
              <w:top w:val="single" w:sz="4" w:space="0" w:color="auto"/>
              <w:left w:val="single" w:sz="4" w:space="0" w:color="auto"/>
              <w:bottom w:val="single" w:sz="4" w:space="0" w:color="auto"/>
              <w:right w:val="single" w:sz="4" w:space="0" w:color="auto"/>
            </w:tcBorders>
            <w:shd w:val="clear" w:color="auto" w:fill="C6EFCE"/>
            <w:noWrap/>
          </w:tcPr>
          <w:p w14:paraId="25586DFC"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- 16750_Digital Transformation of Labour Systems</w:t>
            </w:r>
          </w:p>
        </w:tc>
        <w:tc>
          <w:tcPr>
            <w:tcW w:w="1151" w:type="dxa"/>
            <w:tcBorders>
              <w:top w:val="single" w:sz="4" w:space="0" w:color="auto"/>
              <w:left w:val="single" w:sz="4" w:space="0" w:color="auto"/>
              <w:bottom w:val="single" w:sz="4" w:space="0" w:color="auto"/>
              <w:right w:val="single" w:sz="4" w:space="0" w:color="auto"/>
            </w:tcBorders>
            <w:shd w:val="clear" w:color="auto" w:fill="C6EFCE"/>
            <w:noWrap/>
          </w:tcPr>
          <w:p w14:paraId="4C802A52"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Milestone</w:t>
            </w:r>
          </w:p>
        </w:tc>
        <w:tc>
          <w:tcPr>
            <w:tcW w:w="1323" w:type="dxa"/>
            <w:tcBorders>
              <w:top w:val="single" w:sz="4" w:space="0" w:color="auto"/>
              <w:left w:val="single" w:sz="4" w:space="0" w:color="auto"/>
              <w:bottom w:val="single" w:sz="4" w:space="0" w:color="auto"/>
              <w:right w:val="single" w:sz="4" w:space="0" w:color="auto"/>
            </w:tcBorders>
            <w:shd w:val="clear" w:color="auto" w:fill="C6EFCE"/>
            <w:noWrap/>
          </w:tcPr>
          <w:p w14:paraId="6BE47A75"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Labour IT systems delivery</w:t>
            </w:r>
          </w:p>
        </w:tc>
        <w:tc>
          <w:tcPr>
            <w:tcW w:w="1469" w:type="dxa"/>
            <w:tcBorders>
              <w:top w:val="single" w:sz="4" w:space="0" w:color="auto"/>
              <w:left w:val="single" w:sz="4" w:space="0" w:color="auto"/>
              <w:bottom w:val="single" w:sz="4" w:space="0" w:color="auto"/>
              <w:right w:val="single" w:sz="4" w:space="0" w:color="auto"/>
            </w:tcBorders>
            <w:shd w:val="clear" w:color="auto" w:fill="C6EFCE"/>
            <w:noWrap/>
          </w:tcPr>
          <w:p w14:paraId="373ABF35" w14:textId="0DF1980D"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projects 1-</w:t>
            </w:r>
            <w:r w:rsidR="00C03F64" w:rsidRPr="00DE4E4F">
              <w:rPr>
                <w:rFonts w:ascii="Times New Roman" w:hAnsi="Times New Roman" w:cs="Times New Roman"/>
                <w:noProof/>
                <w:color w:val="006100"/>
                <w:sz w:val="18"/>
                <w:szCs w:val="18"/>
              </w:rPr>
              <w:t>5</w:t>
            </w:r>
          </w:p>
        </w:tc>
        <w:tc>
          <w:tcPr>
            <w:tcW w:w="981" w:type="dxa"/>
            <w:tcBorders>
              <w:top w:val="single" w:sz="4" w:space="0" w:color="auto"/>
              <w:left w:val="single" w:sz="4" w:space="0" w:color="auto"/>
              <w:bottom w:val="single" w:sz="4" w:space="0" w:color="auto"/>
              <w:right w:val="single" w:sz="4" w:space="0" w:color="auto"/>
            </w:tcBorders>
            <w:shd w:val="clear" w:color="auto" w:fill="C6EFCE"/>
            <w:noWrap/>
          </w:tcPr>
          <w:p w14:paraId="63C632E3"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59B181D"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9F8EEB8" w14:textId="77777777" w:rsidR="001B186F" w:rsidRPr="00DE4E4F" w:rsidRDefault="001B186F" w:rsidP="00E97A98">
            <w:pPr>
              <w:spacing w:after="0" w:line="240" w:lineRule="auto"/>
              <w:rPr>
                <w:rFonts w:ascii="Times New Roman" w:eastAsia="Times New Roman" w:hAnsi="Times New Roman" w:cs="Times New Roman"/>
                <w:noProof/>
                <w:color w:val="006100"/>
                <w:sz w:val="18"/>
                <w:szCs w:val="18"/>
                <w:lang w:eastAsia="en-GB"/>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DEAEF0D"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8E16FE9" w14:textId="77777777" w:rsidR="001B186F" w:rsidRPr="00DE4E4F" w:rsidRDefault="0074517F" w:rsidP="00E97A9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2025</w:t>
            </w:r>
          </w:p>
        </w:tc>
        <w:tc>
          <w:tcPr>
            <w:tcW w:w="4248" w:type="dxa"/>
            <w:tcBorders>
              <w:top w:val="single" w:sz="4" w:space="0" w:color="auto"/>
              <w:left w:val="single" w:sz="4" w:space="0" w:color="auto"/>
              <w:bottom w:val="single" w:sz="4" w:space="0" w:color="auto"/>
              <w:right w:val="single" w:sz="4" w:space="0" w:color="auto"/>
            </w:tcBorders>
            <w:shd w:val="clear" w:color="auto" w:fill="C6EFCE"/>
            <w:noWrap/>
          </w:tcPr>
          <w:p w14:paraId="1A80347D" w14:textId="64A70EA0" w:rsidR="009E70CC" w:rsidRPr="00DE4E4F" w:rsidRDefault="0074517F"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following projects</w:t>
            </w:r>
            <w:r w:rsidR="00BF7A7A" w:rsidRPr="00DE4E4F">
              <w:rPr>
                <w:rFonts w:ascii="Times New Roman" w:hAnsi="Times New Roman" w:cs="Times New Roman"/>
                <w:noProof/>
                <w:color w:val="006100"/>
                <w:sz w:val="18"/>
                <w:szCs w:val="18"/>
              </w:rPr>
              <w:t xml:space="preserve"> as confirmed by the acceptance </w:t>
            </w:r>
            <w:r w:rsidR="00364865" w:rsidRPr="00DE4E4F">
              <w:rPr>
                <w:rFonts w:ascii="Times New Roman" w:hAnsi="Times New Roman" w:cs="Times New Roman"/>
                <w:noProof/>
                <w:color w:val="006100"/>
                <w:sz w:val="18"/>
                <w:szCs w:val="18"/>
              </w:rPr>
              <w:t>protoc</w:t>
            </w:r>
            <w:r w:rsidR="0061350F" w:rsidRPr="00DE4E4F">
              <w:rPr>
                <w:rFonts w:ascii="Times New Roman" w:hAnsi="Times New Roman" w:cs="Times New Roman"/>
                <w:noProof/>
                <w:color w:val="006100"/>
                <w:sz w:val="18"/>
                <w:szCs w:val="18"/>
              </w:rPr>
              <w:t>o</w:t>
            </w:r>
            <w:r w:rsidR="00364865" w:rsidRPr="00DE4E4F">
              <w:rPr>
                <w:rFonts w:ascii="Times New Roman" w:hAnsi="Times New Roman" w:cs="Times New Roman"/>
                <w:noProof/>
                <w:color w:val="006100"/>
                <w:sz w:val="18"/>
                <w:szCs w:val="18"/>
              </w:rPr>
              <w:t xml:space="preserve">l of the related </w:t>
            </w:r>
            <w:r w:rsidR="0015739D" w:rsidRPr="00DE4E4F">
              <w:rPr>
                <w:rFonts w:ascii="Times New Roman" w:hAnsi="Times New Roman" w:cs="Times New Roman"/>
                <w:noProof/>
                <w:color w:val="006100"/>
                <w:sz w:val="18"/>
                <w:szCs w:val="18"/>
              </w:rPr>
              <w:t>project m</w:t>
            </w:r>
            <w:r w:rsidR="00364865" w:rsidRPr="00DE4E4F">
              <w:rPr>
                <w:rFonts w:ascii="Times New Roman" w:hAnsi="Times New Roman" w:cs="Times New Roman"/>
                <w:noProof/>
                <w:color w:val="006100"/>
                <w:sz w:val="18"/>
                <w:szCs w:val="18"/>
              </w:rPr>
              <w:t xml:space="preserve">onitoring </w:t>
            </w:r>
            <w:r w:rsidR="0015739D" w:rsidRPr="00DE4E4F">
              <w:rPr>
                <w:rFonts w:ascii="Times New Roman" w:hAnsi="Times New Roman" w:cs="Times New Roman"/>
                <w:noProof/>
                <w:color w:val="006100"/>
                <w:sz w:val="18"/>
                <w:szCs w:val="18"/>
              </w:rPr>
              <w:t>c</w:t>
            </w:r>
            <w:r w:rsidR="00364865" w:rsidRPr="00DE4E4F">
              <w:rPr>
                <w:rFonts w:ascii="Times New Roman" w:hAnsi="Times New Roman" w:cs="Times New Roman"/>
                <w:noProof/>
                <w:color w:val="006100"/>
                <w:sz w:val="18"/>
                <w:szCs w:val="18"/>
              </w:rPr>
              <w:t>ommittee</w:t>
            </w:r>
            <w:r w:rsidRPr="00DE4E4F">
              <w:rPr>
                <w:rFonts w:ascii="Times New Roman" w:hAnsi="Times New Roman" w:cs="Times New Roman"/>
                <w:noProof/>
                <w:color w:val="006100"/>
                <w:sz w:val="18"/>
                <w:szCs w:val="18"/>
              </w:rPr>
              <w:t>:</w:t>
            </w:r>
          </w:p>
          <w:p w14:paraId="272491FC" w14:textId="77777777" w:rsidR="009E70CC" w:rsidRPr="00DE4E4F" w:rsidRDefault="009E70CC" w:rsidP="00E97A98">
            <w:pPr>
              <w:spacing w:after="0" w:line="240" w:lineRule="auto"/>
              <w:rPr>
                <w:rFonts w:ascii="Times New Roman" w:hAnsi="Times New Roman" w:cs="Times New Roman"/>
                <w:noProof/>
                <w:color w:val="006100"/>
                <w:sz w:val="18"/>
                <w:szCs w:val="18"/>
              </w:rPr>
            </w:pPr>
          </w:p>
          <w:p w14:paraId="486626AD" w14:textId="4130D44B" w:rsidR="009E70CC" w:rsidRPr="00DE4E4F" w:rsidRDefault="009E70CC" w:rsidP="00E97A9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w:t>
            </w:r>
            <w:r w:rsidR="00D51E0A" w:rsidRPr="00DE4E4F">
              <w:rPr>
                <w:rFonts w:ascii="Times New Roman" w:hAnsi="Times New Roman" w:cs="Times New Roman"/>
                <w:noProof/>
                <w:color w:val="006100"/>
                <w:sz w:val="18"/>
                <w:szCs w:val="18"/>
              </w:rPr>
              <w:t xml:space="preserve">Integrated </w:t>
            </w:r>
            <w:r w:rsidR="00360A20" w:rsidRPr="00DE4E4F">
              <w:rPr>
                <w:rFonts w:ascii="Times New Roman" w:hAnsi="Times New Roman" w:cs="Times New Roman"/>
                <w:noProof/>
                <w:color w:val="006100"/>
                <w:sz w:val="18"/>
                <w:szCs w:val="18"/>
              </w:rPr>
              <w:t>Information System f</w:t>
            </w:r>
            <w:r w:rsidR="0074517F" w:rsidRPr="00DE4E4F">
              <w:rPr>
                <w:rFonts w:ascii="Times New Roman" w:hAnsi="Times New Roman" w:cs="Times New Roman"/>
                <w:noProof/>
                <w:color w:val="006100"/>
                <w:sz w:val="18"/>
                <w:szCs w:val="18"/>
              </w:rPr>
              <w:t xml:space="preserve">or labour market </w:t>
            </w:r>
            <w:r w:rsidR="0074517F" w:rsidRPr="00DE4E4F">
              <w:rPr>
                <w:rFonts w:ascii="Times New Roman" w:eastAsia="Times New Roman" w:hAnsi="Times New Roman" w:cs="Times New Roman"/>
                <w:noProof/>
                <w:color w:val="006100"/>
                <w:sz w:val="18"/>
                <w:szCs w:val="18"/>
              </w:rPr>
              <w:t xml:space="preserve">monitoring </w:t>
            </w:r>
            <w:r w:rsidR="008B4504" w:rsidRPr="00DE4E4F">
              <w:rPr>
                <w:rFonts w:ascii="Times New Roman" w:eastAsia="Times New Roman" w:hAnsi="Times New Roman" w:cs="Times New Roman"/>
                <w:noProof/>
                <w:color w:val="006100"/>
                <w:sz w:val="18"/>
                <w:szCs w:val="18"/>
              </w:rPr>
              <w:t>–</w:t>
            </w:r>
            <w:r w:rsidR="00661613" w:rsidRPr="00DE4E4F">
              <w:rPr>
                <w:rFonts w:ascii="Times New Roman" w:eastAsia="Times New Roman" w:hAnsi="Times New Roman" w:cs="Times New Roman"/>
                <w:noProof/>
                <w:color w:val="006100"/>
                <w:sz w:val="18"/>
                <w:szCs w:val="18"/>
              </w:rPr>
              <w:t xml:space="preserve"> </w:t>
            </w:r>
            <w:r w:rsidR="008B4504" w:rsidRPr="00DE4E4F">
              <w:rPr>
                <w:rFonts w:ascii="Times New Roman" w:eastAsia="Times New Roman" w:hAnsi="Times New Roman" w:cs="Times New Roman"/>
                <w:noProof/>
                <w:color w:val="006100"/>
                <w:sz w:val="18"/>
                <w:szCs w:val="18"/>
              </w:rPr>
              <w:t>Work card</w:t>
            </w:r>
          </w:p>
          <w:p w14:paraId="4CFDA767" w14:textId="04A170DF" w:rsidR="00315265" w:rsidRPr="00DE4E4F" w:rsidRDefault="009E70CC" w:rsidP="00E97A9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2. </w:t>
            </w:r>
            <w:r w:rsidR="00A86A42" w:rsidRPr="00DE4E4F">
              <w:rPr>
                <w:rFonts w:ascii="Times New Roman" w:eastAsia="Times New Roman" w:hAnsi="Times New Roman" w:cs="Times New Roman"/>
                <w:noProof/>
                <w:color w:val="006100"/>
                <w:sz w:val="18"/>
                <w:szCs w:val="18"/>
              </w:rPr>
              <w:t xml:space="preserve">Unified </w:t>
            </w:r>
            <w:r w:rsidR="006E4F4B" w:rsidRPr="00DE4E4F">
              <w:rPr>
                <w:rFonts w:ascii="Times New Roman" w:eastAsia="Times New Roman" w:hAnsi="Times New Roman" w:cs="Times New Roman"/>
                <w:noProof/>
                <w:color w:val="006100"/>
                <w:sz w:val="18"/>
                <w:szCs w:val="18"/>
              </w:rPr>
              <w:t>flow of e</w:t>
            </w:r>
            <w:r w:rsidR="00A86A42" w:rsidRPr="00DE4E4F">
              <w:rPr>
                <w:rFonts w:ascii="Times New Roman" w:eastAsia="Times New Roman" w:hAnsi="Times New Roman" w:cs="Times New Roman"/>
                <w:noProof/>
                <w:color w:val="006100"/>
                <w:sz w:val="18"/>
                <w:szCs w:val="18"/>
              </w:rPr>
              <w:t xml:space="preserve">mployment and </w:t>
            </w:r>
            <w:r w:rsidR="006E4F4B" w:rsidRPr="00DE4E4F">
              <w:rPr>
                <w:rFonts w:ascii="Times New Roman" w:eastAsia="Times New Roman" w:hAnsi="Times New Roman" w:cs="Times New Roman"/>
                <w:noProof/>
                <w:color w:val="006100"/>
                <w:sz w:val="18"/>
                <w:szCs w:val="18"/>
              </w:rPr>
              <w:t>i</w:t>
            </w:r>
            <w:r w:rsidR="00A86A42" w:rsidRPr="00DE4E4F">
              <w:rPr>
                <w:rFonts w:ascii="Times New Roman" w:eastAsia="Times New Roman" w:hAnsi="Times New Roman" w:cs="Times New Roman"/>
                <w:noProof/>
                <w:color w:val="006100"/>
                <w:sz w:val="18"/>
                <w:szCs w:val="18"/>
              </w:rPr>
              <w:t xml:space="preserve">nsurance </w:t>
            </w:r>
            <w:r w:rsidR="006E4F4B" w:rsidRPr="00DE4E4F">
              <w:rPr>
                <w:rFonts w:ascii="Times New Roman" w:eastAsia="Times New Roman" w:hAnsi="Times New Roman" w:cs="Times New Roman"/>
                <w:noProof/>
                <w:color w:val="006100"/>
                <w:sz w:val="18"/>
                <w:szCs w:val="18"/>
              </w:rPr>
              <w:t>d</w:t>
            </w:r>
            <w:r w:rsidR="00A86A42" w:rsidRPr="00DE4E4F">
              <w:rPr>
                <w:rFonts w:ascii="Times New Roman" w:eastAsia="Times New Roman" w:hAnsi="Times New Roman" w:cs="Times New Roman"/>
                <w:noProof/>
                <w:color w:val="006100"/>
                <w:sz w:val="18"/>
                <w:szCs w:val="18"/>
              </w:rPr>
              <w:t>ata</w:t>
            </w:r>
            <w:r w:rsidR="006E4F4B" w:rsidRPr="00DE4E4F">
              <w:rPr>
                <w:rFonts w:ascii="Times New Roman" w:eastAsia="Times New Roman" w:hAnsi="Times New Roman" w:cs="Times New Roman"/>
                <w:noProof/>
                <w:color w:val="006100"/>
                <w:sz w:val="18"/>
                <w:szCs w:val="18"/>
              </w:rPr>
              <w:t xml:space="preserve"> </w:t>
            </w:r>
            <w:r w:rsidR="00A86A42" w:rsidRPr="00DE4E4F">
              <w:rPr>
                <w:rFonts w:ascii="Times New Roman" w:eastAsia="Times New Roman" w:hAnsi="Times New Roman" w:cs="Times New Roman"/>
                <w:noProof/>
                <w:color w:val="006100"/>
                <w:sz w:val="18"/>
                <w:szCs w:val="18"/>
              </w:rPr>
              <w:t>–</w:t>
            </w:r>
            <w:r w:rsidR="004E46F9" w:rsidRPr="00DE4E4F">
              <w:rPr>
                <w:rFonts w:ascii="Times New Roman" w:eastAsia="Times New Roman" w:hAnsi="Times New Roman" w:cs="Times New Roman"/>
                <w:noProof/>
                <w:color w:val="006100"/>
                <w:sz w:val="18"/>
                <w:szCs w:val="18"/>
              </w:rPr>
              <w:t xml:space="preserve"> Overhaul </w:t>
            </w:r>
            <w:r w:rsidR="00E00226" w:rsidRPr="00DE4E4F">
              <w:rPr>
                <w:rFonts w:ascii="Times New Roman" w:eastAsia="Times New Roman" w:hAnsi="Times New Roman" w:cs="Times New Roman"/>
                <w:noProof/>
                <w:color w:val="006100"/>
                <w:sz w:val="18"/>
                <w:szCs w:val="18"/>
              </w:rPr>
              <w:t xml:space="preserve">of </w:t>
            </w:r>
            <w:r w:rsidR="00D338D5" w:rsidRPr="00DE4E4F">
              <w:rPr>
                <w:rFonts w:ascii="Times New Roman" w:eastAsia="Times New Roman" w:hAnsi="Times New Roman" w:cs="Times New Roman"/>
                <w:noProof/>
                <w:color w:val="006100"/>
                <w:sz w:val="18"/>
                <w:szCs w:val="18"/>
              </w:rPr>
              <w:t>the I</w:t>
            </w:r>
            <w:r w:rsidR="00E00226" w:rsidRPr="00DE4E4F">
              <w:rPr>
                <w:rFonts w:ascii="Times New Roman" w:eastAsia="Times New Roman" w:hAnsi="Times New Roman" w:cs="Times New Roman"/>
                <w:noProof/>
                <w:color w:val="006100"/>
                <w:sz w:val="18"/>
                <w:szCs w:val="18"/>
              </w:rPr>
              <w:t xml:space="preserve">ntegrated </w:t>
            </w:r>
            <w:r w:rsidR="00D338D5" w:rsidRPr="00DE4E4F">
              <w:rPr>
                <w:rFonts w:ascii="Times New Roman" w:eastAsia="Times New Roman" w:hAnsi="Times New Roman" w:cs="Times New Roman"/>
                <w:noProof/>
                <w:color w:val="006100"/>
                <w:sz w:val="18"/>
                <w:szCs w:val="18"/>
              </w:rPr>
              <w:t>I</w:t>
            </w:r>
            <w:r w:rsidR="00E00226" w:rsidRPr="00DE4E4F">
              <w:rPr>
                <w:rFonts w:ascii="Times New Roman" w:eastAsia="Times New Roman" w:hAnsi="Times New Roman" w:cs="Times New Roman"/>
                <w:noProof/>
                <w:color w:val="006100"/>
                <w:sz w:val="18"/>
                <w:szCs w:val="18"/>
              </w:rPr>
              <w:t>nformation</w:t>
            </w:r>
            <w:r w:rsidR="00D338D5" w:rsidRPr="00DE4E4F">
              <w:rPr>
                <w:rFonts w:ascii="Times New Roman" w:eastAsia="Times New Roman" w:hAnsi="Times New Roman" w:cs="Times New Roman"/>
                <w:noProof/>
                <w:color w:val="006100"/>
                <w:sz w:val="18"/>
                <w:szCs w:val="18"/>
              </w:rPr>
              <w:t xml:space="preserve"> S</w:t>
            </w:r>
            <w:r w:rsidR="00E00226" w:rsidRPr="00DE4E4F">
              <w:rPr>
                <w:rFonts w:ascii="Times New Roman" w:eastAsia="Times New Roman" w:hAnsi="Times New Roman" w:cs="Times New Roman"/>
                <w:noProof/>
                <w:color w:val="006100"/>
                <w:sz w:val="18"/>
                <w:szCs w:val="18"/>
              </w:rPr>
              <w:t>ystem for labour inspection</w:t>
            </w:r>
            <w:r w:rsidR="007F16D6" w:rsidRPr="00DE4E4F">
              <w:rPr>
                <w:rFonts w:ascii="Times New Roman" w:eastAsia="Times New Roman" w:hAnsi="Times New Roman" w:cs="Times New Roman"/>
                <w:noProof/>
                <w:color w:val="006100"/>
                <w:sz w:val="18"/>
                <w:szCs w:val="18"/>
              </w:rPr>
              <w:t xml:space="preserve"> (ARIADNE)</w:t>
            </w:r>
          </w:p>
          <w:p w14:paraId="1774F8BF" w14:textId="06B35182" w:rsidR="009E70CC" w:rsidRPr="00DE4E4F" w:rsidRDefault="009E70CC"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w:t>
            </w:r>
            <w:r w:rsidR="0074517F" w:rsidRPr="00DE4E4F">
              <w:rPr>
                <w:rFonts w:ascii="Times New Roman" w:hAnsi="Times New Roman" w:cs="Times New Roman"/>
                <w:noProof/>
                <w:color w:val="006100"/>
                <w:sz w:val="18"/>
                <w:szCs w:val="18"/>
              </w:rPr>
              <w:t xml:space="preserve">Digitisation of the </w:t>
            </w:r>
            <w:r w:rsidR="00C52B42" w:rsidRPr="00DE4E4F">
              <w:rPr>
                <w:rFonts w:ascii="Times New Roman" w:hAnsi="Times New Roman" w:cs="Times New Roman"/>
                <w:noProof/>
                <w:color w:val="006100"/>
                <w:sz w:val="18"/>
                <w:szCs w:val="18"/>
              </w:rPr>
              <w:t xml:space="preserve">insurance history of the </w:t>
            </w:r>
            <w:r w:rsidR="0074517F" w:rsidRPr="00DE4E4F">
              <w:rPr>
                <w:rFonts w:ascii="Times New Roman" w:hAnsi="Times New Roman" w:cs="Times New Roman"/>
                <w:noProof/>
                <w:color w:val="006100"/>
                <w:sz w:val="18"/>
                <w:szCs w:val="18"/>
              </w:rPr>
              <w:t xml:space="preserve">Single Pension Fund (e-EFKA) </w:t>
            </w:r>
            <w:r w:rsidR="00851F0F" w:rsidRPr="00DE4E4F">
              <w:rPr>
                <w:rFonts w:ascii="Times New Roman" w:hAnsi="Times New Roman" w:cs="Times New Roman"/>
                <w:noProof/>
                <w:color w:val="006100"/>
                <w:sz w:val="18"/>
                <w:szCs w:val="18"/>
              </w:rPr>
              <w:t xml:space="preserve">and </w:t>
            </w:r>
            <w:r w:rsidR="00C52B42" w:rsidRPr="00DE4E4F">
              <w:rPr>
                <w:rFonts w:ascii="Times New Roman" w:hAnsi="Times New Roman" w:cs="Times New Roman"/>
                <w:noProof/>
                <w:color w:val="006100"/>
                <w:sz w:val="18"/>
                <w:szCs w:val="18"/>
              </w:rPr>
              <w:t>s</w:t>
            </w:r>
            <w:r w:rsidR="00851F0F" w:rsidRPr="00DE4E4F">
              <w:rPr>
                <w:rFonts w:ascii="Times New Roman" w:hAnsi="Times New Roman" w:cs="Times New Roman"/>
                <w:noProof/>
                <w:color w:val="006100"/>
                <w:sz w:val="18"/>
                <w:szCs w:val="18"/>
              </w:rPr>
              <w:t xml:space="preserve">upport of the </w:t>
            </w:r>
            <w:r w:rsidR="00C52B42" w:rsidRPr="00DE4E4F">
              <w:rPr>
                <w:rFonts w:ascii="Times New Roman" w:hAnsi="Times New Roman" w:cs="Times New Roman"/>
                <w:noProof/>
                <w:color w:val="006100"/>
                <w:sz w:val="18"/>
                <w:szCs w:val="18"/>
              </w:rPr>
              <w:t>p</w:t>
            </w:r>
            <w:r w:rsidR="00851F0F" w:rsidRPr="00DE4E4F">
              <w:rPr>
                <w:rFonts w:ascii="Times New Roman" w:hAnsi="Times New Roman" w:cs="Times New Roman"/>
                <w:noProof/>
                <w:color w:val="006100"/>
                <w:sz w:val="18"/>
                <w:szCs w:val="18"/>
              </w:rPr>
              <w:t xml:space="preserve">ension </w:t>
            </w:r>
            <w:r w:rsidR="00C52B42" w:rsidRPr="00DE4E4F">
              <w:rPr>
                <w:rFonts w:ascii="Times New Roman" w:hAnsi="Times New Roman" w:cs="Times New Roman"/>
                <w:noProof/>
                <w:color w:val="006100"/>
                <w:sz w:val="18"/>
                <w:szCs w:val="18"/>
              </w:rPr>
              <w:t>a</w:t>
            </w:r>
            <w:r w:rsidR="00851F0F" w:rsidRPr="00DE4E4F">
              <w:rPr>
                <w:rFonts w:ascii="Times New Roman" w:hAnsi="Times New Roman" w:cs="Times New Roman"/>
                <w:noProof/>
                <w:color w:val="006100"/>
                <w:sz w:val="18"/>
                <w:szCs w:val="18"/>
              </w:rPr>
              <w:t xml:space="preserve">warding </w:t>
            </w:r>
            <w:r w:rsidR="00C52B42" w:rsidRPr="00DE4E4F">
              <w:rPr>
                <w:rFonts w:ascii="Times New Roman" w:hAnsi="Times New Roman" w:cs="Times New Roman"/>
                <w:noProof/>
                <w:color w:val="006100"/>
                <w:sz w:val="18"/>
                <w:szCs w:val="18"/>
              </w:rPr>
              <w:t>s</w:t>
            </w:r>
            <w:r w:rsidR="00851F0F" w:rsidRPr="00DE4E4F">
              <w:rPr>
                <w:rFonts w:ascii="Times New Roman" w:hAnsi="Times New Roman" w:cs="Times New Roman"/>
                <w:noProof/>
                <w:color w:val="006100"/>
                <w:sz w:val="18"/>
                <w:szCs w:val="18"/>
              </w:rPr>
              <w:t>ystem</w:t>
            </w:r>
          </w:p>
          <w:p w14:paraId="43B9EEBC" w14:textId="57B3DBE6" w:rsidR="001B186F" w:rsidRPr="00DE4E4F" w:rsidRDefault="009E70CC" w:rsidP="00E97A9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w:t>
            </w:r>
            <w:r w:rsidR="00211872" w:rsidRPr="00DE4E4F">
              <w:rPr>
                <w:rFonts w:ascii="Times New Roman" w:hAnsi="Times New Roman" w:cs="Times New Roman"/>
                <w:noProof/>
                <w:color w:val="006100"/>
                <w:sz w:val="18"/>
                <w:szCs w:val="18"/>
              </w:rPr>
              <w:t xml:space="preserve">Development of a </w:t>
            </w:r>
            <w:r w:rsidR="0074517F" w:rsidRPr="00DE4E4F">
              <w:rPr>
                <w:rFonts w:ascii="Times New Roman" w:hAnsi="Times New Roman" w:cs="Times New Roman"/>
                <w:noProof/>
                <w:color w:val="006100"/>
                <w:sz w:val="18"/>
                <w:szCs w:val="18"/>
              </w:rPr>
              <w:t xml:space="preserve">New integrated </w:t>
            </w:r>
            <w:r w:rsidR="00211872" w:rsidRPr="00DE4E4F">
              <w:rPr>
                <w:rFonts w:ascii="Times New Roman" w:hAnsi="Times New Roman" w:cs="Times New Roman"/>
                <w:noProof/>
                <w:color w:val="006100"/>
                <w:sz w:val="18"/>
                <w:szCs w:val="18"/>
              </w:rPr>
              <w:t>I</w:t>
            </w:r>
            <w:r w:rsidR="0074517F" w:rsidRPr="00DE4E4F">
              <w:rPr>
                <w:rFonts w:ascii="Times New Roman" w:hAnsi="Times New Roman" w:cs="Times New Roman"/>
                <w:noProof/>
                <w:color w:val="006100"/>
                <w:sz w:val="18"/>
                <w:szCs w:val="18"/>
              </w:rPr>
              <w:t xml:space="preserve">nformation </w:t>
            </w:r>
            <w:r w:rsidR="00211872" w:rsidRPr="00DE4E4F">
              <w:rPr>
                <w:rFonts w:ascii="Times New Roman" w:hAnsi="Times New Roman" w:cs="Times New Roman"/>
                <w:noProof/>
                <w:color w:val="006100"/>
                <w:sz w:val="18"/>
                <w:szCs w:val="18"/>
              </w:rPr>
              <w:t>S</w:t>
            </w:r>
            <w:r w:rsidR="0074517F" w:rsidRPr="00DE4E4F">
              <w:rPr>
                <w:rFonts w:ascii="Times New Roman" w:hAnsi="Times New Roman" w:cs="Times New Roman"/>
                <w:noProof/>
                <w:color w:val="006100"/>
                <w:sz w:val="18"/>
                <w:szCs w:val="18"/>
              </w:rPr>
              <w:t>ystem for e-EFKA</w:t>
            </w:r>
          </w:p>
          <w:p w14:paraId="6A237494" w14:textId="426BD33D" w:rsidR="00D061F4" w:rsidRPr="00DE4E4F" w:rsidRDefault="009E70CC" w:rsidP="00E97A98">
            <w:pPr>
              <w:spacing w:after="0" w:line="240" w:lineRule="auto"/>
              <w:rPr>
                <w:rFonts w:ascii="Times New Roman" w:eastAsia="Times New Roman" w:hAnsi="Times New Roman" w:cs="Times New Roman"/>
                <w:noProof/>
                <w:sz w:val="20"/>
                <w:szCs w:val="20"/>
              </w:rPr>
            </w:pPr>
            <w:r w:rsidRPr="00DE4E4F">
              <w:rPr>
                <w:rFonts w:ascii="Times New Roman" w:hAnsi="Times New Roman" w:cs="Times New Roman"/>
                <w:noProof/>
                <w:color w:val="006100"/>
                <w:sz w:val="18"/>
                <w:szCs w:val="18"/>
              </w:rPr>
              <w:t xml:space="preserve">5. </w:t>
            </w:r>
            <w:r w:rsidR="00B07B7F" w:rsidRPr="00DE4E4F">
              <w:rPr>
                <w:rFonts w:ascii="Times New Roman" w:hAnsi="Times New Roman" w:cs="Times New Roman"/>
                <w:noProof/>
                <w:color w:val="006100"/>
                <w:sz w:val="18"/>
                <w:szCs w:val="18"/>
              </w:rPr>
              <w:t>Occupational Health and Safety System (HERIDANOS</w:t>
            </w:r>
            <w:r w:rsidR="000004EF" w:rsidRPr="00DE4E4F">
              <w:rPr>
                <w:rFonts w:ascii="Times New Roman" w:hAnsi="Times New Roman" w:cs="Times New Roman"/>
                <w:noProof/>
                <w:color w:val="006100"/>
                <w:sz w:val="18"/>
                <w:szCs w:val="18"/>
              </w:rPr>
              <w:t>)</w:t>
            </w:r>
          </w:p>
        </w:tc>
      </w:tr>
    </w:tbl>
    <w:p w14:paraId="39C33B13"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174"/>
          <w:headerReference w:type="default" r:id="rId175"/>
          <w:footerReference w:type="even" r:id="rId176"/>
          <w:footerReference w:type="default" r:id="rId177"/>
          <w:headerReference w:type="first" r:id="rId178"/>
          <w:footerReference w:type="first" r:id="rId179"/>
          <w:pgSz w:w="16839" w:h="11907" w:orient="landscape"/>
          <w:pgMar w:top="1134" w:right="1134" w:bottom="1134" w:left="1134" w:header="567" w:footer="567" w:gutter="0"/>
          <w:cols w:space="720"/>
          <w:docGrid w:linePitch="360"/>
        </w:sectPr>
      </w:pPr>
    </w:p>
    <w:p w14:paraId="11BE1934"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szCs w:val="24"/>
        </w:rPr>
      </w:pPr>
      <w:r w:rsidRPr="00DE4E4F">
        <w:rPr>
          <w:rFonts w:ascii="Cambria" w:hAnsi="Cambria"/>
          <w:noProof/>
          <w:color w:val="365F91" w:themeColor="accent1" w:themeShade="BF"/>
          <w:sz w:val="24"/>
        </w:rPr>
        <w:t>Group 11: Promote job creation and participation in the labour market / Education, vocational education and training, and skills- DYPA- Reforms &amp; Investments</w:t>
      </w:r>
    </w:p>
    <w:p w14:paraId="44D99670" w14:textId="77777777" w:rsidR="001B186F" w:rsidRPr="00DE4E4F" w:rsidRDefault="0074517F">
      <w:pPr>
        <w:numPr>
          <w:ilvl w:val="0"/>
          <w:numId w:val="43"/>
        </w:numPr>
        <w:spacing w:before="120" w:after="0" w:line="240" w:lineRule="auto"/>
        <w:jc w:val="both"/>
        <w:rPr>
          <w:rFonts w:ascii="Times New Roman" w:hAnsi="Times New Roman" w:cs="Times New Roman"/>
          <w:noProof/>
        </w:rPr>
      </w:pPr>
      <w:r w:rsidRPr="00DE4E4F">
        <w:rPr>
          <w:rFonts w:ascii="Times New Roman" w:hAnsi="Times New Roman"/>
          <w:noProof/>
          <w:sz w:val="24"/>
        </w:rPr>
        <w:t>Restructuring and rebranding of DYPA’s local branches for the promotion of employment (KPA2) (ID: 16941)</w:t>
      </w:r>
    </w:p>
    <w:p w14:paraId="6A6D2984" w14:textId="77777777" w:rsidR="001B186F" w:rsidRPr="00DE4E4F" w:rsidRDefault="0074517F">
      <w:pPr>
        <w:numPr>
          <w:ilvl w:val="0"/>
          <w:numId w:val="43"/>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Active Labour Market Policies Reform (ID: 16747)</w:t>
      </w:r>
    </w:p>
    <w:p w14:paraId="78DE9D31" w14:textId="77777777" w:rsidR="001B186F" w:rsidRPr="00DE4E4F" w:rsidRDefault="0074517F">
      <w:pPr>
        <w:numPr>
          <w:ilvl w:val="0"/>
          <w:numId w:val="43"/>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Strengthening the apprenticeship system (ID: 16794)</w:t>
      </w:r>
    </w:p>
    <w:p w14:paraId="0F4164C1" w14:textId="77777777" w:rsidR="001B186F" w:rsidRPr="00DE4E4F" w:rsidRDefault="0074517F">
      <w:pPr>
        <w:numPr>
          <w:ilvl w:val="0"/>
          <w:numId w:val="43"/>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Reform of Passive Labour Market Policies to Support Transitions to Employment (ID: 16746)</w:t>
      </w:r>
    </w:p>
    <w:p w14:paraId="5AC2EEA4" w14:textId="77777777" w:rsidR="001B186F" w:rsidRPr="00DE4E4F" w:rsidRDefault="0074517F">
      <w:pPr>
        <w:numPr>
          <w:ilvl w:val="0"/>
          <w:numId w:val="43"/>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Labor force skilling, reskilling and upskilling through a reformed training model (Vocational Education &amp; Training Reform) (ID: 16792)</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2241"/>
        <w:gridCol w:w="1099"/>
        <w:gridCol w:w="1365"/>
        <w:gridCol w:w="1471"/>
        <w:gridCol w:w="1135"/>
        <w:gridCol w:w="924"/>
        <w:gridCol w:w="896"/>
        <w:gridCol w:w="846"/>
        <w:gridCol w:w="783"/>
        <w:gridCol w:w="4156"/>
      </w:tblGrid>
      <w:tr w:rsidR="00682269" w:rsidRPr="00DE4E4F" w14:paraId="1BA5724F" w14:textId="77777777">
        <w:trPr>
          <w:trHeight w:val="741"/>
          <w:tblHeader/>
          <w:jc w:val="center"/>
        </w:trPr>
        <w:tc>
          <w:tcPr>
            <w:tcW w:w="672" w:type="dxa"/>
            <w:vMerge w:val="restart"/>
            <w:shd w:val="clear" w:color="auto" w:fill="BDD7EE"/>
            <w:vAlign w:val="center"/>
            <w:hideMark/>
          </w:tcPr>
          <w:p w14:paraId="034A021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241" w:type="dxa"/>
            <w:vMerge w:val="restart"/>
            <w:shd w:val="clear" w:color="auto" w:fill="BDD7EE"/>
            <w:vAlign w:val="center"/>
            <w:hideMark/>
          </w:tcPr>
          <w:p w14:paraId="493DFCA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Related Measure (Reform or Investment)</w:t>
            </w:r>
          </w:p>
        </w:tc>
        <w:tc>
          <w:tcPr>
            <w:tcW w:w="1099" w:type="dxa"/>
            <w:vMerge w:val="restart"/>
            <w:shd w:val="clear" w:color="auto" w:fill="BDD7EE"/>
            <w:vAlign w:val="center"/>
            <w:hideMark/>
          </w:tcPr>
          <w:p w14:paraId="6A12482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Milestone / Target</w:t>
            </w:r>
          </w:p>
        </w:tc>
        <w:tc>
          <w:tcPr>
            <w:tcW w:w="1365" w:type="dxa"/>
            <w:vMerge w:val="restart"/>
            <w:shd w:val="clear" w:color="auto" w:fill="BDD7EE"/>
            <w:vAlign w:val="center"/>
            <w:hideMark/>
          </w:tcPr>
          <w:p w14:paraId="5A677EA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471" w:type="dxa"/>
            <w:vMerge w:val="restart"/>
            <w:shd w:val="clear" w:color="auto" w:fill="BDD7EE"/>
            <w:vAlign w:val="center"/>
            <w:hideMark/>
          </w:tcPr>
          <w:p w14:paraId="4F719445" w14:textId="6E663873"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Qualitative indicators</w:t>
            </w:r>
            <w:r w:rsidR="00DE4C0C" w:rsidRPr="00DE4E4F">
              <w:rPr>
                <w:rFonts w:ascii="Times New Roman" w:hAnsi="Times New Roman" w:cs="Times New Roman"/>
                <w:b/>
                <w:noProof/>
                <w:sz w:val="18"/>
                <w:szCs w:val="18"/>
              </w:rPr>
              <w:t xml:space="preserve"> </w:t>
            </w:r>
            <w:r w:rsidRPr="00DE4E4F">
              <w:rPr>
                <w:rFonts w:ascii="Times New Roman" w:hAnsi="Times New Roman" w:cs="Times New Roman"/>
                <w:b/>
                <w:noProof/>
                <w:sz w:val="18"/>
                <w:szCs w:val="18"/>
              </w:rPr>
              <w:br/>
              <w:t xml:space="preserve"> (for milestones)</w:t>
            </w:r>
          </w:p>
        </w:tc>
        <w:tc>
          <w:tcPr>
            <w:tcW w:w="2955" w:type="dxa"/>
            <w:gridSpan w:val="3"/>
            <w:shd w:val="clear" w:color="auto" w:fill="BDD7EE"/>
            <w:vAlign w:val="center"/>
            <w:hideMark/>
          </w:tcPr>
          <w:p w14:paraId="5351F43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Quantitative indicators (for targets)</w:t>
            </w:r>
          </w:p>
        </w:tc>
        <w:tc>
          <w:tcPr>
            <w:tcW w:w="1629" w:type="dxa"/>
            <w:gridSpan w:val="2"/>
            <w:shd w:val="clear" w:color="auto" w:fill="BDD7EE"/>
            <w:vAlign w:val="center"/>
            <w:hideMark/>
          </w:tcPr>
          <w:p w14:paraId="0A135B1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Indicative timeline for completion </w:t>
            </w:r>
          </w:p>
        </w:tc>
        <w:tc>
          <w:tcPr>
            <w:tcW w:w="4156" w:type="dxa"/>
            <w:vMerge w:val="restart"/>
            <w:shd w:val="clear" w:color="auto" w:fill="BDD7EE"/>
            <w:vAlign w:val="center"/>
            <w:hideMark/>
          </w:tcPr>
          <w:p w14:paraId="239B660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00AC7A2B" w14:textId="77777777">
        <w:trPr>
          <w:trHeight w:val="512"/>
          <w:tblHeader/>
          <w:jc w:val="center"/>
        </w:trPr>
        <w:tc>
          <w:tcPr>
            <w:tcW w:w="672" w:type="dxa"/>
            <w:vMerge/>
            <w:vAlign w:val="center"/>
            <w:hideMark/>
          </w:tcPr>
          <w:p w14:paraId="351F05C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41" w:type="dxa"/>
            <w:vMerge/>
            <w:vAlign w:val="center"/>
            <w:hideMark/>
          </w:tcPr>
          <w:p w14:paraId="022DB5A2"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99" w:type="dxa"/>
            <w:vMerge/>
            <w:vAlign w:val="center"/>
            <w:hideMark/>
          </w:tcPr>
          <w:p w14:paraId="2E9DB18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65" w:type="dxa"/>
            <w:vMerge/>
            <w:vAlign w:val="center"/>
            <w:hideMark/>
          </w:tcPr>
          <w:p w14:paraId="72AFC82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71" w:type="dxa"/>
            <w:vMerge/>
            <w:vAlign w:val="center"/>
            <w:hideMark/>
          </w:tcPr>
          <w:p w14:paraId="5C9D8D2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5" w:type="dxa"/>
            <w:shd w:val="clear" w:color="auto" w:fill="BDD7EE"/>
            <w:vAlign w:val="center"/>
            <w:hideMark/>
          </w:tcPr>
          <w:p w14:paraId="233CF20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924" w:type="dxa"/>
            <w:shd w:val="clear" w:color="auto" w:fill="BDD7EE"/>
            <w:vAlign w:val="center"/>
            <w:hideMark/>
          </w:tcPr>
          <w:p w14:paraId="741EB13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896" w:type="dxa"/>
            <w:shd w:val="clear" w:color="auto" w:fill="BDD7EE"/>
            <w:vAlign w:val="center"/>
            <w:hideMark/>
          </w:tcPr>
          <w:p w14:paraId="58826D2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846" w:type="dxa"/>
            <w:shd w:val="clear" w:color="auto" w:fill="BDD7EE"/>
            <w:vAlign w:val="center"/>
            <w:hideMark/>
          </w:tcPr>
          <w:p w14:paraId="1EA2D5C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783" w:type="dxa"/>
            <w:shd w:val="clear" w:color="auto" w:fill="BDD7EE"/>
            <w:vAlign w:val="center"/>
            <w:hideMark/>
          </w:tcPr>
          <w:p w14:paraId="67EFEDE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4156" w:type="dxa"/>
            <w:vMerge/>
            <w:vAlign w:val="center"/>
            <w:hideMark/>
          </w:tcPr>
          <w:p w14:paraId="7A85F8F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4D930E6" w14:textId="77777777">
        <w:trPr>
          <w:trHeight w:val="309"/>
          <w:jc w:val="center"/>
        </w:trPr>
        <w:tc>
          <w:tcPr>
            <w:tcW w:w="672" w:type="dxa"/>
            <w:shd w:val="clear" w:color="auto" w:fill="C6EFCE"/>
            <w:noWrap/>
          </w:tcPr>
          <w:p w14:paraId="73D768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141</w:t>
            </w:r>
          </w:p>
        </w:tc>
        <w:tc>
          <w:tcPr>
            <w:tcW w:w="2241" w:type="dxa"/>
            <w:shd w:val="clear" w:color="auto" w:fill="C6EFCE"/>
            <w:noWrap/>
          </w:tcPr>
          <w:p w14:paraId="29D8E4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- 16941_Restructuring and rebranding of DYPA local PES (KPA2)</w:t>
            </w:r>
          </w:p>
        </w:tc>
        <w:tc>
          <w:tcPr>
            <w:tcW w:w="1099" w:type="dxa"/>
            <w:shd w:val="clear" w:color="auto" w:fill="C6EFCE"/>
            <w:noWrap/>
          </w:tcPr>
          <w:p w14:paraId="00C625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4C879C3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DYPA Organisational reform entry into force of legislation </w:t>
            </w:r>
          </w:p>
        </w:tc>
        <w:tc>
          <w:tcPr>
            <w:tcW w:w="1471" w:type="dxa"/>
            <w:shd w:val="clear" w:color="auto" w:fill="C6EFCE"/>
            <w:noWrap/>
          </w:tcPr>
          <w:p w14:paraId="0981C5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w:t>
            </w:r>
          </w:p>
        </w:tc>
        <w:tc>
          <w:tcPr>
            <w:tcW w:w="1135" w:type="dxa"/>
            <w:shd w:val="clear" w:color="auto" w:fill="C6EFCE"/>
            <w:noWrap/>
          </w:tcPr>
          <w:p w14:paraId="527FAFC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4" w:type="dxa"/>
            <w:shd w:val="clear" w:color="auto" w:fill="C6EFCE"/>
            <w:noWrap/>
          </w:tcPr>
          <w:p w14:paraId="0788371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6" w:type="dxa"/>
            <w:shd w:val="clear" w:color="auto" w:fill="C6EFCE"/>
            <w:noWrap/>
          </w:tcPr>
          <w:p w14:paraId="0FB5811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125F0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83" w:type="dxa"/>
            <w:shd w:val="clear" w:color="auto" w:fill="C6EFCE"/>
            <w:noWrap/>
          </w:tcPr>
          <w:p w14:paraId="6792B6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156" w:type="dxa"/>
            <w:shd w:val="clear" w:color="auto" w:fill="C6EFCE"/>
            <w:noWrap/>
          </w:tcPr>
          <w:p w14:paraId="0265577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organizational reform of the Hellenic Manpower Employment Organisation (DYPA), restructuring, renovating and rebranding its local Public Employment Services with a view to improving quality, capacity and effectiveness of offered services.</w:t>
            </w:r>
          </w:p>
        </w:tc>
      </w:tr>
      <w:tr w:rsidR="00682269" w:rsidRPr="00DE4E4F" w14:paraId="284E4130" w14:textId="77777777">
        <w:trPr>
          <w:trHeight w:val="309"/>
          <w:jc w:val="center"/>
        </w:trPr>
        <w:tc>
          <w:tcPr>
            <w:tcW w:w="672" w:type="dxa"/>
            <w:shd w:val="clear" w:color="auto" w:fill="C6EFCE"/>
            <w:noWrap/>
          </w:tcPr>
          <w:p w14:paraId="618C49E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142</w:t>
            </w:r>
          </w:p>
        </w:tc>
        <w:tc>
          <w:tcPr>
            <w:tcW w:w="2241" w:type="dxa"/>
            <w:shd w:val="clear" w:color="auto" w:fill="C6EFCE"/>
            <w:noWrap/>
          </w:tcPr>
          <w:p w14:paraId="49BF02C8" w14:textId="5AF75C80" w:rsidR="002604FA"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8 - 3.1. Promote job creation and participation in the labour market </w:t>
            </w:r>
            <w:r w:rsidR="002604FA"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w:t>
            </w:r>
            <w:r w:rsidR="00C201D6" w:rsidRPr="00DE4E4F">
              <w:rPr>
                <w:rFonts w:ascii="Times New Roman" w:hAnsi="Times New Roman" w:cs="Times New Roman"/>
                <w:noProof/>
                <w:color w:val="006100"/>
                <w:sz w:val="18"/>
                <w:szCs w:val="18"/>
              </w:rPr>
              <w:t>16746</w:t>
            </w:r>
          </w:p>
          <w:p w14:paraId="5DFBC948" w14:textId="0075FEDD"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_Reform of Passive Labour Market Policies to Support Transitions to Employment</w:t>
            </w:r>
          </w:p>
        </w:tc>
        <w:tc>
          <w:tcPr>
            <w:tcW w:w="1099" w:type="dxa"/>
            <w:shd w:val="clear" w:color="auto" w:fill="C6EFCE"/>
            <w:noWrap/>
          </w:tcPr>
          <w:p w14:paraId="1F65A8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1A111050" w14:textId="77777777" w:rsidR="001B186F" w:rsidRPr="00DE4E4F" w:rsidRDefault="0074517F">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 xml:space="preserve">Mutual obligation framework reform entry into force of legislation </w:t>
            </w:r>
          </w:p>
        </w:tc>
        <w:tc>
          <w:tcPr>
            <w:tcW w:w="1471" w:type="dxa"/>
            <w:shd w:val="clear" w:color="auto" w:fill="C6EFCE"/>
            <w:noWrap/>
          </w:tcPr>
          <w:p w14:paraId="1BAB80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1135" w:type="dxa"/>
            <w:shd w:val="clear" w:color="auto" w:fill="C6EFCE"/>
            <w:noWrap/>
          </w:tcPr>
          <w:p w14:paraId="1D5DC09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4" w:type="dxa"/>
            <w:shd w:val="clear" w:color="auto" w:fill="C6EFCE"/>
            <w:noWrap/>
          </w:tcPr>
          <w:p w14:paraId="30B1DFE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6" w:type="dxa"/>
            <w:shd w:val="clear" w:color="auto" w:fill="C6EFCE"/>
            <w:noWrap/>
          </w:tcPr>
          <w:p w14:paraId="32E6AD1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568AB92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83" w:type="dxa"/>
            <w:shd w:val="clear" w:color="auto" w:fill="C6EFCE"/>
            <w:noWrap/>
          </w:tcPr>
          <w:p w14:paraId="22EDBB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156" w:type="dxa"/>
            <w:shd w:val="clear" w:color="auto" w:fill="C6EFCE"/>
            <w:noWrap/>
          </w:tcPr>
          <w:p w14:paraId="153834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for reforming the mutual obligations framework, which sets out the relationship between the Public Employment Service (PES) and the jobseeker. Among others, the reform will include a new definition of active job search and sanctions for those unemployed not abiding by the new rules.</w:t>
            </w:r>
          </w:p>
        </w:tc>
      </w:tr>
      <w:tr w:rsidR="00682269" w:rsidRPr="00DE4E4F" w14:paraId="6E4E0FE7" w14:textId="77777777">
        <w:trPr>
          <w:trHeight w:val="309"/>
          <w:jc w:val="center"/>
        </w:trPr>
        <w:tc>
          <w:tcPr>
            <w:tcW w:w="672" w:type="dxa"/>
            <w:shd w:val="clear" w:color="auto" w:fill="C6EFCE"/>
            <w:noWrap/>
          </w:tcPr>
          <w:p w14:paraId="5D27A8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142a</w:t>
            </w:r>
          </w:p>
        </w:tc>
        <w:tc>
          <w:tcPr>
            <w:tcW w:w="2241" w:type="dxa"/>
            <w:shd w:val="clear" w:color="auto" w:fill="C6EFCE"/>
            <w:noWrap/>
          </w:tcPr>
          <w:p w14:paraId="55753D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- 16746_Reform of Passive Labour Market Policies to Support Transitions to Employment</w:t>
            </w:r>
          </w:p>
        </w:tc>
        <w:tc>
          <w:tcPr>
            <w:tcW w:w="1099" w:type="dxa"/>
            <w:shd w:val="clear" w:color="auto" w:fill="C6EFCE"/>
            <w:noWrap/>
          </w:tcPr>
          <w:p w14:paraId="0DB9EB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30889D6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Legislation on unemployment benefits and allowances </w:t>
            </w:r>
          </w:p>
        </w:tc>
        <w:tc>
          <w:tcPr>
            <w:tcW w:w="1471" w:type="dxa"/>
            <w:shd w:val="clear" w:color="auto" w:fill="C6EFCE"/>
            <w:noWrap/>
          </w:tcPr>
          <w:p w14:paraId="040AF06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p w14:paraId="32B5688D"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135" w:type="dxa"/>
            <w:shd w:val="clear" w:color="auto" w:fill="C6EFCE"/>
            <w:noWrap/>
          </w:tcPr>
          <w:p w14:paraId="7478A77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4" w:type="dxa"/>
            <w:shd w:val="clear" w:color="auto" w:fill="C6EFCE"/>
            <w:noWrap/>
          </w:tcPr>
          <w:p w14:paraId="53BE3E1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6" w:type="dxa"/>
            <w:shd w:val="clear" w:color="auto" w:fill="C6EFCE"/>
            <w:noWrap/>
          </w:tcPr>
          <w:p w14:paraId="44604CD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3D7000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0CBE3A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156" w:type="dxa"/>
            <w:shd w:val="clear" w:color="auto" w:fill="C6EFCE"/>
            <w:noWrap/>
          </w:tcPr>
          <w:p w14:paraId="78E0BDA6" w14:textId="77777777" w:rsidR="001B186F" w:rsidRPr="00DE4E4F" w:rsidRDefault="0074517F">
            <w:pPr>
              <w:pStyle w:val="paragraph"/>
              <w:spacing w:before="0" w:beforeAutospacing="0" w:after="0" w:afterAutospacing="0"/>
              <w:textAlignment w:val="baseline"/>
              <w:rPr>
                <w:noProof/>
                <w:color w:val="006100"/>
                <w:sz w:val="18"/>
                <w:szCs w:val="18"/>
              </w:rPr>
            </w:pPr>
            <w:r w:rsidRPr="00DE4E4F">
              <w:rPr>
                <w:noProof/>
                <w:color w:val="006100"/>
                <w:sz w:val="18"/>
                <w:szCs w:val="18"/>
              </w:rPr>
              <w:t>Entry into force of legislation to consolidate and streamline unemployment benefits and allowances, and to remove disincentives for upskilling/reskilling among the unemployed by retaining their entitlement to unemployment benefits during participation in trainings.</w:t>
            </w:r>
          </w:p>
          <w:p w14:paraId="60D88AB4" w14:textId="77777777" w:rsidR="001B186F" w:rsidRPr="00DE4E4F" w:rsidRDefault="001B186F">
            <w:pPr>
              <w:pStyle w:val="paragraph"/>
              <w:spacing w:before="0" w:beforeAutospacing="0" w:after="0" w:afterAutospacing="0"/>
              <w:textAlignment w:val="baseline"/>
              <w:rPr>
                <w:noProof/>
                <w:color w:val="006100"/>
                <w:sz w:val="18"/>
                <w:szCs w:val="18"/>
              </w:rPr>
            </w:pPr>
          </w:p>
        </w:tc>
      </w:tr>
      <w:tr w:rsidR="00682269" w:rsidRPr="00DE4E4F" w14:paraId="651975CC" w14:textId="77777777">
        <w:trPr>
          <w:trHeight w:val="309"/>
          <w:jc w:val="center"/>
        </w:trPr>
        <w:tc>
          <w:tcPr>
            <w:tcW w:w="672" w:type="dxa"/>
            <w:shd w:val="clear" w:color="auto" w:fill="C6EFCE"/>
            <w:noWrap/>
          </w:tcPr>
          <w:p w14:paraId="43C4FC11" w14:textId="5BFCAB9E"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142b</w:t>
            </w:r>
          </w:p>
        </w:tc>
        <w:tc>
          <w:tcPr>
            <w:tcW w:w="2241" w:type="dxa"/>
            <w:shd w:val="clear" w:color="auto" w:fill="C6EFCE"/>
            <w:noWrap/>
          </w:tcPr>
          <w:p w14:paraId="7706E86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- 16746_Reform of Passive Labour Market Policies to Support Transitions to Employment</w:t>
            </w:r>
          </w:p>
        </w:tc>
        <w:tc>
          <w:tcPr>
            <w:tcW w:w="1099" w:type="dxa"/>
            <w:shd w:val="clear" w:color="auto" w:fill="C6EFCE"/>
            <w:noWrap/>
          </w:tcPr>
          <w:p w14:paraId="5F0F65A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6CBC9428" w14:textId="76AD1D0B"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Pilot project on unemployment benefit</w:t>
            </w:r>
          </w:p>
        </w:tc>
        <w:tc>
          <w:tcPr>
            <w:tcW w:w="1471" w:type="dxa"/>
            <w:shd w:val="clear" w:color="auto" w:fill="C6EFCE"/>
            <w:noWrap/>
          </w:tcPr>
          <w:p w14:paraId="198CBB78" w14:textId="5F3C3958" w:rsidR="001B186F" w:rsidRPr="00DE4E4F" w:rsidRDefault="000D7DC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w:t>
            </w:r>
            <w:r w:rsidR="000C2CC0" w:rsidRPr="00DE4E4F">
              <w:rPr>
                <w:rFonts w:ascii="Times New Roman" w:hAnsi="Times New Roman" w:cs="Times New Roman"/>
                <w:noProof/>
                <w:color w:val="006100"/>
                <w:sz w:val="18"/>
                <w:szCs w:val="18"/>
              </w:rPr>
              <w:t xml:space="preserve">of beneficiaries </w:t>
            </w:r>
            <w:r w:rsidRPr="00DE4E4F">
              <w:rPr>
                <w:rFonts w:ascii="Times New Roman" w:hAnsi="Times New Roman" w:cs="Times New Roman"/>
                <w:noProof/>
                <w:color w:val="006100"/>
                <w:sz w:val="18"/>
                <w:szCs w:val="18"/>
              </w:rPr>
              <w:t>into</w:t>
            </w:r>
            <w:r w:rsidR="00DE4C0C" w:rsidRPr="00DE4E4F">
              <w:rPr>
                <w:rFonts w:ascii="Times New Roman" w:hAnsi="Times New Roman" w:cs="Times New Roman"/>
                <w:noProof/>
                <w:color w:val="006100"/>
                <w:sz w:val="18"/>
                <w:szCs w:val="18"/>
              </w:rPr>
              <w:t xml:space="preserve"> </w:t>
            </w:r>
            <w:r w:rsidR="000C2CC0" w:rsidRPr="00DE4E4F">
              <w:rPr>
                <w:rFonts w:ascii="Times New Roman" w:hAnsi="Times New Roman" w:cs="Times New Roman"/>
                <w:noProof/>
                <w:color w:val="006100"/>
                <w:sz w:val="18"/>
                <w:szCs w:val="18"/>
              </w:rPr>
              <w:t xml:space="preserve">a </w:t>
            </w:r>
            <w:r w:rsidR="0074517F" w:rsidRPr="00DE4E4F">
              <w:rPr>
                <w:rFonts w:ascii="Times New Roman" w:hAnsi="Times New Roman" w:cs="Times New Roman"/>
                <w:noProof/>
                <w:color w:val="006100"/>
                <w:sz w:val="18"/>
                <w:szCs w:val="18"/>
              </w:rPr>
              <w:t>pilot project</w:t>
            </w:r>
          </w:p>
        </w:tc>
        <w:tc>
          <w:tcPr>
            <w:tcW w:w="1135" w:type="dxa"/>
            <w:shd w:val="clear" w:color="auto" w:fill="C6EFCE"/>
            <w:noWrap/>
          </w:tcPr>
          <w:p w14:paraId="4700A4A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4" w:type="dxa"/>
            <w:shd w:val="clear" w:color="auto" w:fill="C6EFCE"/>
            <w:noWrap/>
          </w:tcPr>
          <w:p w14:paraId="7EB9DED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6" w:type="dxa"/>
            <w:shd w:val="clear" w:color="auto" w:fill="C6EFCE"/>
            <w:noWrap/>
          </w:tcPr>
          <w:p w14:paraId="3BA6596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77BFF3DE" w14:textId="08C107B5"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A96318" w:rsidRPr="00DE4E4F">
              <w:rPr>
                <w:rFonts w:ascii="Times New Roman" w:hAnsi="Times New Roman" w:cs="Times New Roman"/>
                <w:noProof/>
                <w:color w:val="006100"/>
                <w:sz w:val="18"/>
                <w:szCs w:val="18"/>
              </w:rPr>
              <w:t>2</w:t>
            </w:r>
          </w:p>
        </w:tc>
        <w:tc>
          <w:tcPr>
            <w:tcW w:w="783" w:type="dxa"/>
            <w:shd w:val="clear" w:color="auto" w:fill="C6EFCE"/>
            <w:noWrap/>
          </w:tcPr>
          <w:p w14:paraId="19FB81B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156" w:type="dxa"/>
            <w:shd w:val="clear" w:color="auto" w:fill="C6EFCE"/>
            <w:noWrap/>
          </w:tcPr>
          <w:p w14:paraId="60ACED53" w14:textId="687AC237" w:rsidR="001B186F" w:rsidRPr="00DE4E4F" w:rsidRDefault="00913A9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w:t>
            </w:r>
            <w:r w:rsidR="00EA35E0" w:rsidRPr="00DE4E4F">
              <w:rPr>
                <w:rFonts w:ascii="Times New Roman" w:hAnsi="Times New Roman" w:cs="Times New Roman"/>
                <w:noProof/>
                <w:color w:val="006100"/>
                <w:sz w:val="18"/>
                <w:szCs w:val="18"/>
              </w:rPr>
              <w:t xml:space="preserve">of 13 500 beneficiaries </w:t>
            </w:r>
            <w:r w:rsidRPr="00DE4E4F">
              <w:rPr>
                <w:rFonts w:ascii="Times New Roman" w:hAnsi="Times New Roman" w:cs="Times New Roman"/>
                <w:noProof/>
                <w:color w:val="006100"/>
                <w:sz w:val="18"/>
                <w:szCs w:val="18"/>
              </w:rPr>
              <w:t xml:space="preserve">into </w:t>
            </w:r>
            <w:r w:rsidR="0074517F" w:rsidRPr="00DE4E4F">
              <w:rPr>
                <w:rFonts w:ascii="Times New Roman" w:hAnsi="Times New Roman" w:cs="Times New Roman"/>
                <w:noProof/>
                <w:color w:val="006100"/>
                <w:sz w:val="18"/>
                <w:szCs w:val="18"/>
              </w:rPr>
              <w:t xml:space="preserve">a pilot project </w:t>
            </w:r>
            <w:r w:rsidR="0078529D" w:rsidRPr="00DE4E4F">
              <w:rPr>
                <w:rFonts w:ascii="Times New Roman" w:hAnsi="Times New Roman" w:cs="Times New Roman"/>
                <w:noProof/>
                <w:color w:val="006100"/>
                <w:sz w:val="18"/>
                <w:szCs w:val="18"/>
              </w:rPr>
              <w:t>introducing</w:t>
            </w:r>
            <w:r w:rsidR="0074517F" w:rsidRPr="00DE4E4F">
              <w:rPr>
                <w:rFonts w:ascii="Times New Roman" w:hAnsi="Times New Roman" w:cs="Times New Roman"/>
                <w:noProof/>
                <w:color w:val="006100"/>
                <w:sz w:val="18"/>
                <w:szCs w:val="18"/>
              </w:rPr>
              <w:t xml:space="preserve"> an indexation of the combined unemployment benefit to the latest daily wage level. </w:t>
            </w:r>
          </w:p>
        </w:tc>
      </w:tr>
      <w:tr w:rsidR="00682269" w:rsidRPr="00DE4E4F" w14:paraId="10730890" w14:textId="77777777">
        <w:trPr>
          <w:trHeight w:val="309"/>
          <w:jc w:val="center"/>
        </w:trPr>
        <w:tc>
          <w:tcPr>
            <w:tcW w:w="672" w:type="dxa"/>
            <w:shd w:val="clear" w:color="auto" w:fill="C6EFCE"/>
            <w:noWrap/>
          </w:tcPr>
          <w:p w14:paraId="1CC8FB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144</w:t>
            </w:r>
          </w:p>
        </w:tc>
        <w:tc>
          <w:tcPr>
            <w:tcW w:w="2241" w:type="dxa"/>
            <w:shd w:val="clear" w:color="auto" w:fill="C6EFCE"/>
            <w:noWrap/>
          </w:tcPr>
          <w:p w14:paraId="65649ED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16747</w:t>
            </w:r>
          </w:p>
          <w:p w14:paraId="602F3D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_Active Labour Market Policies Reform</w:t>
            </w:r>
          </w:p>
        </w:tc>
        <w:tc>
          <w:tcPr>
            <w:tcW w:w="1099" w:type="dxa"/>
            <w:shd w:val="clear" w:color="auto" w:fill="C6EFCE"/>
            <w:noWrap/>
          </w:tcPr>
          <w:p w14:paraId="0F557BB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5D76BB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ALMP training employment programme delivery </w:t>
            </w:r>
          </w:p>
        </w:tc>
        <w:tc>
          <w:tcPr>
            <w:tcW w:w="1471" w:type="dxa"/>
            <w:shd w:val="clear" w:color="auto" w:fill="C6EFCE"/>
            <w:noWrap/>
          </w:tcPr>
          <w:p w14:paraId="2F0A79D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training programme and entry into employment </w:t>
            </w:r>
          </w:p>
          <w:p w14:paraId="3FF039F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5" w:type="dxa"/>
            <w:shd w:val="clear" w:color="auto" w:fill="C6EFCE"/>
            <w:noWrap/>
          </w:tcPr>
          <w:p w14:paraId="7DEBA56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924" w:type="dxa"/>
            <w:shd w:val="clear" w:color="auto" w:fill="C6EFCE"/>
            <w:noWrap/>
          </w:tcPr>
          <w:p w14:paraId="5435F607"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96" w:type="dxa"/>
            <w:shd w:val="clear" w:color="auto" w:fill="C6EFCE"/>
            <w:noWrap/>
          </w:tcPr>
          <w:p w14:paraId="352C43A2"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46" w:type="dxa"/>
            <w:shd w:val="clear" w:color="auto" w:fill="C6EFCE"/>
            <w:noWrap/>
          </w:tcPr>
          <w:p w14:paraId="7E2B76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647074E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156" w:type="dxa"/>
            <w:shd w:val="clear" w:color="auto" w:fill="C6EFCE"/>
            <w:noWrap/>
          </w:tcPr>
          <w:p w14:paraId="4941FF9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a training programme and entry into employment for at least 7 000 unemployed persons</w:t>
            </w:r>
          </w:p>
          <w:p w14:paraId="03F606E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r>
      <w:tr w:rsidR="00682269" w:rsidRPr="00DE4E4F" w14:paraId="26D64F4F" w14:textId="77777777">
        <w:trPr>
          <w:trHeight w:val="309"/>
          <w:jc w:val="center"/>
        </w:trPr>
        <w:tc>
          <w:tcPr>
            <w:tcW w:w="672" w:type="dxa"/>
            <w:shd w:val="clear" w:color="auto" w:fill="C6EFCE"/>
            <w:noWrap/>
          </w:tcPr>
          <w:p w14:paraId="281C247A" w14:textId="1812BBAB"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144a</w:t>
            </w:r>
          </w:p>
        </w:tc>
        <w:tc>
          <w:tcPr>
            <w:tcW w:w="2241" w:type="dxa"/>
            <w:shd w:val="clear" w:color="auto" w:fill="C6EFCE"/>
            <w:noWrap/>
          </w:tcPr>
          <w:p w14:paraId="5AB01D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8 - 3.1. Promote job creation and participation in the labour market - 16747_Active Labour Market Policies Reform</w:t>
            </w:r>
          </w:p>
        </w:tc>
        <w:tc>
          <w:tcPr>
            <w:tcW w:w="1099" w:type="dxa"/>
            <w:shd w:val="clear" w:color="auto" w:fill="C6EFCE"/>
            <w:noWrap/>
          </w:tcPr>
          <w:p w14:paraId="316BBEFD"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365" w:type="dxa"/>
            <w:shd w:val="clear" w:color="auto" w:fill="C6EFCE"/>
            <w:noWrap/>
          </w:tcPr>
          <w:p w14:paraId="0D8AABEE" w14:textId="7EB8CA78"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ALMP employment programme</w:t>
            </w:r>
            <w:r w:rsidR="000B338E" w:rsidRPr="00DE4E4F">
              <w:rPr>
                <w:rFonts w:ascii="Times New Roman" w:hAnsi="Times New Roman" w:cs="Times New Roman"/>
                <w:noProof/>
                <w:color w:val="006100"/>
                <w:sz w:val="18"/>
                <w:szCs w:val="18"/>
              </w:rPr>
              <w:t>s</w:t>
            </w:r>
            <w:r w:rsidR="00F93176" w:rsidRPr="00DE4E4F">
              <w:rPr>
                <w:rFonts w:ascii="Times New Roman" w:hAnsi="Times New Roman" w:cs="Times New Roman"/>
                <w:noProof/>
                <w:color w:val="006100"/>
                <w:sz w:val="18"/>
                <w:szCs w:val="18"/>
              </w:rPr>
              <w:t xml:space="preserve"> </w:t>
            </w:r>
            <w:r w:rsidR="00700B58" w:rsidRPr="00DE4E4F">
              <w:rPr>
                <w:rFonts w:ascii="Times New Roman" w:hAnsi="Times New Roman" w:cs="Times New Roman"/>
                <w:noProof/>
                <w:color w:val="006100"/>
                <w:sz w:val="18"/>
                <w:szCs w:val="18"/>
              </w:rPr>
              <w:t xml:space="preserve">temporary enhancement of DYPA staff </w:t>
            </w:r>
          </w:p>
        </w:tc>
        <w:tc>
          <w:tcPr>
            <w:tcW w:w="1471" w:type="dxa"/>
            <w:shd w:val="clear" w:color="auto" w:fill="C6EFCE"/>
            <w:noWrap/>
          </w:tcPr>
          <w:p w14:paraId="1BF28FE5" w14:textId="311AEA88"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projects a</w:t>
            </w:r>
            <w:r w:rsidR="000D7DC6" w:rsidRPr="00DE4E4F">
              <w:rPr>
                <w:rFonts w:ascii="Times New Roman" w:hAnsi="Times New Roman" w:cs="Times New Roman"/>
                <w:noProof/>
                <w:color w:val="006100"/>
                <w:sz w:val="18"/>
                <w:szCs w:val="18"/>
              </w:rPr>
              <w:t xml:space="preserve"> and </w:t>
            </w:r>
            <w:r w:rsidRPr="00DE4E4F">
              <w:rPr>
                <w:rFonts w:ascii="Times New Roman" w:hAnsi="Times New Roman" w:cs="Times New Roman"/>
                <w:noProof/>
                <w:color w:val="006100"/>
                <w:sz w:val="18"/>
                <w:szCs w:val="18"/>
              </w:rPr>
              <w:t>b</w:t>
            </w:r>
          </w:p>
          <w:p w14:paraId="43871424"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135" w:type="dxa"/>
            <w:shd w:val="clear" w:color="auto" w:fill="C6EFCE"/>
            <w:noWrap/>
          </w:tcPr>
          <w:p w14:paraId="301C7BA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4" w:type="dxa"/>
            <w:shd w:val="clear" w:color="auto" w:fill="C6EFCE"/>
            <w:noWrap/>
          </w:tcPr>
          <w:p w14:paraId="4FC06F9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6" w:type="dxa"/>
            <w:shd w:val="clear" w:color="auto" w:fill="C6EFCE"/>
            <w:noWrap/>
          </w:tcPr>
          <w:p w14:paraId="2485B6F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38C9FE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83" w:type="dxa"/>
            <w:shd w:val="clear" w:color="auto" w:fill="C6EFCE"/>
            <w:noWrap/>
          </w:tcPr>
          <w:p w14:paraId="383622C3" w14:textId="77777777" w:rsidR="001B186F" w:rsidRPr="00DE4E4F" w:rsidDel="2893544A"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156" w:type="dxa"/>
            <w:shd w:val="clear" w:color="auto" w:fill="C6EFCE"/>
            <w:noWrap/>
          </w:tcPr>
          <w:p w14:paraId="2E34F237" w14:textId="313043E2" w:rsidR="001B186F" w:rsidRPr="00DE4E4F" w:rsidRDefault="009E10F2">
            <w:pPr>
              <w:pStyle w:val="paragraph"/>
              <w:spacing w:before="0" w:beforeAutospacing="0" w:after="0" w:afterAutospacing="0"/>
              <w:textAlignment w:val="baseline"/>
              <w:rPr>
                <w:noProof/>
                <w:color w:val="006100"/>
                <w:sz w:val="18"/>
                <w:szCs w:val="18"/>
              </w:rPr>
            </w:pPr>
            <w:r w:rsidRPr="00DE4E4F">
              <w:rPr>
                <w:noProof/>
                <w:color w:val="006100"/>
                <w:sz w:val="18"/>
                <w:szCs w:val="18"/>
              </w:rPr>
              <w:t xml:space="preserve">- </w:t>
            </w:r>
            <w:r w:rsidR="0078529D" w:rsidRPr="00DE4E4F">
              <w:rPr>
                <w:noProof/>
                <w:color w:val="006100"/>
                <w:sz w:val="18"/>
                <w:szCs w:val="18"/>
              </w:rPr>
              <w:t>At</w:t>
            </w:r>
            <w:r w:rsidR="004F623E" w:rsidRPr="00DE4E4F">
              <w:rPr>
                <w:noProof/>
                <w:color w:val="006100"/>
                <w:sz w:val="18"/>
                <w:szCs w:val="18"/>
              </w:rPr>
              <w:t xml:space="preserve"> least 30 600 unemployed persons </w:t>
            </w:r>
            <w:r w:rsidR="00E453AA" w:rsidRPr="00DE4E4F">
              <w:rPr>
                <w:noProof/>
                <w:color w:val="006100"/>
                <w:sz w:val="18"/>
                <w:szCs w:val="18"/>
              </w:rPr>
              <w:t>enter employment</w:t>
            </w:r>
            <w:r w:rsidR="004F623E" w:rsidRPr="00DE4E4F">
              <w:rPr>
                <w:noProof/>
                <w:color w:val="006100"/>
                <w:sz w:val="18"/>
                <w:szCs w:val="18"/>
              </w:rPr>
              <w:t xml:space="preserve"> </w:t>
            </w:r>
            <w:r w:rsidR="002909A3" w:rsidRPr="00DE4E4F">
              <w:rPr>
                <w:noProof/>
                <w:color w:val="006100"/>
                <w:sz w:val="18"/>
                <w:szCs w:val="18"/>
              </w:rPr>
              <w:t>through f</w:t>
            </w:r>
            <w:r w:rsidR="0074517F" w:rsidRPr="00DE4E4F">
              <w:rPr>
                <w:noProof/>
                <w:color w:val="006100"/>
                <w:sz w:val="18"/>
                <w:szCs w:val="18"/>
              </w:rPr>
              <w:t xml:space="preserve">our </w:t>
            </w:r>
            <w:r w:rsidR="00D05D0D" w:rsidRPr="00DE4E4F">
              <w:rPr>
                <w:noProof/>
                <w:color w:val="006100"/>
                <w:sz w:val="18"/>
                <w:szCs w:val="18"/>
              </w:rPr>
              <w:t>tar</w:t>
            </w:r>
            <w:r w:rsidR="00AD0DC2" w:rsidRPr="00DE4E4F">
              <w:rPr>
                <w:noProof/>
                <w:color w:val="006100"/>
                <w:sz w:val="18"/>
                <w:szCs w:val="18"/>
              </w:rPr>
              <w:t>geted</w:t>
            </w:r>
            <w:r w:rsidR="0074517F" w:rsidRPr="00DE4E4F">
              <w:rPr>
                <w:noProof/>
                <w:color w:val="006100"/>
                <w:sz w:val="18"/>
                <w:szCs w:val="18"/>
              </w:rPr>
              <w:t xml:space="preserve"> programmes </w:t>
            </w:r>
          </w:p>
          <w:p w14:paraId="7BEF4FD3" w14:textId="7E8D5F84" w:rsidR="001B186F" w:rsidRPr="00DE4E4F" w:rsidRDefault="009E10F2" w:rsidP="00391FD2">
            <w:pPr>
              <w:pStyle w:val="paragraph"/>
              <w:spacing w:before="0" w:beforeAutospacing="0" w:after="0" w:afterAutospacing="0"/>
              <w:textAlignment w:val="baseline"/>
              <w:rPr>
                <w:noProof/>
                <w:color w:val="006100"/>
                <w:sz w:val="18"/>
                <w:szCs w:val="18"/>
              </w:rPr>
            </w:pPr>
            <w:r w:rsidRPr="00DE4E4F">
              <w:rPr>
                <w:noProof/>
                <w:color w:val="006100"/>
                <w:sz w:val="18"/>
                <w:szCs w:val="18"/>
              </w:rPr>
              <w:t xml:space="preserve">- </w:t>
            </w:r>
            <w:r w:rsidR="0074517F" w:rsidRPr="00DE4E4F">
              <w:rPr>
                <w:noProof/>
                <w:color w:val="006100"/>
                <w:sz w:val="18"/>
                <w:szCs w:val="18"/>
              </w:rPr>
              <w:t xml:space="preserve">Temporary </w:t>
            </w:r>
            <w:r w:rsidR="0078529D" w:rsidRPr="00DE4E4F">
              <w:rPr>
                <w:noProof/>
                <w:color w:val="006100"/>
                <w:sz w:val="18"/>
                <w:szCs w:val="18"/>
              </w:rPr>
              <w:t xml:space="preserve">reinforcement </w:t>
            </w:r>
            <w:r w:rsidR="0074517F" w:rsidRPr="00DE4E4F">
              <w:rPr>
                <w:noProof/>
                <w:color w:val="006100"/>
                <w:sz w:val="18"/>
                <w:szCs w:val="18"/>
              </w:rPr>
              <w:t xml:space="preserve">of the counselling staff of the </w:t>
            </w:r>
            <w:r w:rsidR="00D974A2" w:rsidRPr="00DE4E4F">
              <w:rPr>
                <w:noProof/>
                <w:color w:val="006100"/>
                <w:sz w:val="18"/>
                <w:szCs w:val="18"/>
              </w:rPr>
              <w:t>p</w:t>
            </w:r>
            <w:r w:rsidR="0074517F" w:rsidRPr="00DE4E4F">
              <w:rPr>
                <w:noProof/>
                <w:color w:val="006100"/>
                <w:sz w:val="18"/>
                <w:szCs w:val="18"/>
              </w:rPr>
              <w:t xml:space="preserve">ublic </w:t>
            </w:r>
            <w:r w:rsidR="00D974A2" w:rsidRPr="00DE4E4F">
              <w:rPr>
                <w:noProof/>
                <w:color w:val="006100"/>
                <w:sz w:val="18"/>
                <w:szCs w:val="18"/>
              </w:rPr>
              <w:t>e</w:t>
            </w:r>
            <w:r w:rsidR="0074517F" w:rsidRPr="00DE4E4F">
              <w:rPr>
                <w:noProof/>
                <w:color w:val="006100"/>
                <w:sz w:val="18"/>
                <w:szCs w:val="18"/>
              </w:rPr>
              <w:t xml:space="preserve">mployment </w:t>
            </w:r>
            <w:r w:rsidR="00D974A2" w:rsidRPr="00DE4E4F">
              <w:rPr>
                <w:noProof/>
                <w:color w:val="006100"/>
                <w:sz w:val="18"/>
                <w:szCs w:val="18"/>
              </w:rPr>
              <w:t>s</w:t>
            </w:r>
            <w:r w:rsidR="0074517F" w:rsidRPr="00DE4E4F">
              <w:rPr>
                <w:noProof/>
                <w:color w:val="006100"/>
                <w:sz w:val="18"/>
                <w:szCs w:val="18"/>
              </w:rPr>
              <w:t xml:space="preserve">ervice </w:t>
            </w:r>
            <w:r w:rsidR="0078529D" w:rsidRPr="00DE4E4F">
              <w:rPr>
                <w:noProof/>
                <w:color w:val="006100"/>
                <w:sz w:val="18"/>
                <w:szCs w:val="18"/>
              </w:rPr>
              <w:t xml:space="preserve">through </w:t>
            </w:r>
            <w:r w:rsidR="0074517F" w:rsidRPr="00DE4E4F">
              <w:rPr>
                <w:noProof/>
                <w:color w:val="006100"/>
                <w:sz w:val="18"/>
                <w:szCs w:val="18"/>
              </w:rPr>
              <w:t xml:space="preserve">the recruitment of 600 </w:t>
            </w:r>
            <w:r w:rsidR="00F33E6F" w:rsidRPr="00DE4E4F">
              <w:rPr>
                <w:noProof/>
                <w:color w:val="006100"/>
                <w:sz w:val="18"/>
                <w:szCs w:val="18"/>
              </w:rPr>
              <w:t>em</w:t>
            </w:r>
            <w:r w:rsidR="007A5A08" w:rsidRPr="00DE4E4F">
              <w:rPr>
                <w:noProof/>
                <w:color w:val="006100"/>
                <w:sz w:val="18"/>
                <w:szCs w:val="18"/>
              </w:rPr>
              <w:t xml:space="preserve">ployment </w:t>
            </w:r>
            <w:r w:rsidR="0074517F" w:rsidRPr="00DE4E4F">
              <w:rPr>
                <w:noProof/>
                <w:color w:val="006100"/>
                <w:sz w:val="18"/>
                <w:szCs w:val="18"/>
              </w:rPr>
              <w:t>counsellors </w:t>
            </w:r>
          </w:p>
        </w:tc>
      </w:tr>
    </w:tbl>
    <w:p w14:paraId="06AD54B5" w14:textId="77777777" w:rsidR="001B186F" w:rsidRPr="00DE4E4F" w:rsidRDefault="001B186F">
      <w:pPr>
        <w:rPr>
          <w:noProof/>
        </w:rPr>
      </w:pPr>
    </w:p>
    <w:p w14:paraId="42975069" w14:textId="77777777" w:rsidR="001B186F" w:rsidRPr="00DE4E4F" w:rsidRDefault="001B186F">
      <w:pPr>
        <w:spacing w:before="120" w:after="120" w:line="240" w:lineRule="auto"/>
        <w:ind w:firstLine="6"/>
        <w:jc w:val="both"/>
        <w:outlineLvl w:val="3"/>
        <w:rPr>
          <w:rFonts w:ascii="Times New Roman" w:hAnsi="Times New Roman"/>
          <w:b/>
          <w:noProof/>
          <w:sz w:val="24"/>
        </w:rPr>
        <w:sectPr w:rsidR="001B186F" w:rsidRPr="00DE4E4F">
          <w:headerReference w:type="even" r:id="rId180"/>
          <w:headerReference w:type="default" r:id="rId181"/>
          <w:footerReference w:type="even" r:id="rId182"/>
          <w:footerReference w:type="default" r:id="rId183"/>
          <w:headerReference w:type="first" r:id="rId184"/>
          <w:footerReference w:type="first" r:id="rId185"/>
          <w:pgSz w:w="16838" w:h="11906" w:orient="landscape"/>
          <w:pgMar w:top="1134" w:right="1134" w:bottom="1134" w:left="1134" w:header="567" w:footer="567" w:gutter="0"/>
          <w:cols w:space="708"/>
          <w:docGrid w:linePitch="360"/>
        </w:sectPr>
      </w:pPr>
    </w:p>
    <w:p w14:paraId="41F4AFE0" w14:textId="21B65F4C"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I. COMPONENT 3.2: EDUCATION, VOCATIONAL EDUCATION AND TRAINING, AND SKILLS</w:t>
      </w:r>
    </w:p>
    <w:p w14:paraId="630BF525" w14:textId="77777777" w:rsidR="001B186F" w:rsidRPr="00DE4E4F" w:rsidRDefault="0074517F">
      <w:pPr>
        <w:spacing w:before="120" w:after="120" w:line="240" w:lineRule="auto"/>
        <w:jc w:val="both"/>
        <w:rPr>
          <w:rFonts w:ascii="Times New Roman" w:hAnsi="Times New Roman" w:cs="Times New Roman"/>
          <w:noProof/>
          <w:color w:val="000000"/>
          <w:sz w:val="24"/>
          <w:shd w:val="clear" w:color="auto" w:fill="FFFFFF"/>
        </w:rPr>
      </w:pPr>
      <w:r w:rsidRPr="00DE4E4F">
        <w:rPr>
          <w:rFonts w:ascii="Times New Roman" w:hAnsi="Times New Roman"/>
          <w:noProof/>
          <w:sz w:val="24"/>
        </w:rPr>
        <w:t xml:space="preserve">This component of the Greek recovery and resilience plan aims to improve the quality, efficiency and effectiveness of the education and lifelong-learning systems. The component includes an investment in horizontal upskilling programmes in digital, green, and financial literacy skills for a total 628 000 beneficiaries. This is accompanied by a reform of the life-long learning system to improve training provision, and a package of reforms and investments focusing on the vocational education and training (VET) and apprenticeship systems to improve their labour market relevance. Concerning VET, the plan aims to upgrade VET infrastructures and equipment, and modernize the existing curricula. Moreover, the plan provides for a new strategy for excellence in universities, aimed to enhance their research performance and education quality through </w:t>
      </w:r>
      <w:r w:rsidRPr="00DE4E4F">
        <w:rPr>
          <w:rFonts w:ascii="Times New Roman" w:hAnsi="Times New Roman"/>
          <w:noProof/>
          <w:color w:val="000000"/>
          <w:sz w:val="24"/>
        </w:rPr>
        <w:t xml:space="preserve">investments in upgrading research and educational infrastructures, and support to </w:t>
      </w:r>
      <w:r w:rsidRPr="00DE4E4F">
        <w:rPr>
          <w:rFonts w:ascii="Times New Roman" w:hAnsi="Times New Roman"/>
          <w:noProof/>
          <w:sz w:val="24"/>
        </w:rPr>
        <w:t>research projects. These reforms are coupled with investments in the digitalisation of the education system, a large part of which is allocated to interactive learning systems in primary and secondary schools and vouchers for pupils and students from low-income families for the purchase of IT equipment.</w:t>
      </w:r>
      <w:r w:rsidRPr="00DE4E4F">
        <w:rPr>
          <w:rFonts w:ascii="Times New Roman" w:hAnsi="Times New Roman"/>
          <w:noProof/>
          <w:color w:val="000000"/>
          <w:sz w:val="24"/>
          <w:shd w:val="clear" w:color="auto" w:fill="FFFFFF"/>
        </w:rPr>
        <w:t xml:space="preserve"> </w:t>
      </w:r>
    </w:p>
    <w:p w14:paraId="5CC8854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color w:val="000000"/>
          <w:sz w:val="24"/>
          <w:szCs w:val="24"/>
          <w:shd w:val="clear" w:color="auto" w:fill="FFFFFF"/>
        </w:rPr>
        <w:t xml:space="preserve">The component is in line with the Country Specific Recommendations to invest in education, employability, and skills and to improve digitalisation of the public administration (country-specific recommendations 3 2020 and 2 2019). </w:t>
      </w:r>
      <w:r w:rsidRPr="00DE4E4F">
        <w:rPr>
          <w:rFonts w:ascii="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3AEB44A"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I.1. Description of the reforms and investments for non-repayable financial support</w:t>
      </w:r>
    </w:p>
    <w:p w14:paraId="3047422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A New Strategy for Lifelong Skilling: Modernising and Upgrading Greece’s Upskilling and Reskilling System (measure ID: 16913)</w:t>
      </w:r>
    </w:p>
    <w:p w14:paraId="38C12EF4"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improve the national lifelong learning framework with a view to increasing its quality and labour market relevance. The measure consists of a) the entry into force of primary and secondary legislation setting out the key elements of the new lifelong learning framework and b) training programmes to various population groups and topics. </w:t>
      </w:r>
    </w:p>
    <w:p w14:paraId="6633123E" w14:textId="77777777" w:rsidR="001B186F" w:rsidRPr="00DE4E4F" w:rsidRDefault="0074517F">
      <w:pPr>
        <w:rPr>
          <w:rFonts w:ascii="Times New Roman" w:hAnsi="Times New Roman"/>
          <w:b/>
          <w:noProof/>
          <w:sz w:val="24"/>
        </w:rPr>
      </w:pPr>
      <w:r w:rsidRPr="00DE4E4F">
        <w:rPr>
          <w:rFonts w:ascii="Times New Roman" w:hAnsi="Times New Roman"/>
          <w:b/>
          <w:noProof/>
          <w:sz w:val="24"/>
        </w:rPr>
        <w:t>Reform:</w:t>
      </w:r>
      <w:r w:rsidRPr="00DE4E4F">
        <w:rPr>
          <w:rFonts w:ascii="Times New Roman" w:hAnsi="Times New Roman"/>
          <w:noProof/>
          <w:sz w:val="24"/>
        </w:rPr>
        <w:t xml:space="preserve"> Strategy for Excellence in Universities &amp; Innovation (measure ID: 16289)</w:t>
      </w:r>
    </w:p>
    <w:p w14:paraId="504FB8ED"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enhance the research performance and extroversion of Greek universities. The reform consists of collaborative research projects, projects for Greek universities, and approval decisions for postgraduate programmes.</w:t>
      </w:r>
    </w:p>
    <w:p w14:paraId="1D764539"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Strengthening the Apprenticeship System (measure ID: 16794)</w:t>
      </w:r>
    </w:p>
    <w:p w14:paraId="5D4A6F7A" w14:textId="0F85D87B" w:rsidR="001B186F" w:rsidRPr="00DE4E4F" w:rsidRDefault="0074517F">
      <w:pPr>
        <w:spacing w:before="120" w:after="120" w:line="240" w:lineRule="auto"/>
        <w:jc w:val="both"/>
        <w:rPr>
          <w:noProof/>
        </w:rPr>
      </w:pPr>
      <w:r w:rsidRPr="00DE4E4F">
        <w:rPr>
          <w:rFonts w:ascii="Times New Roman" w:hAnsi="Times New Roman"/>
          <w:noProof/>
          <w:sz w:val="24"/>
          <w:szCs w:val="24"/>
        </w:rPr>
        <w:t>The objective of the measure is to upgrade the national vocational education and training (VET) system. It consists of a new legal framework for the VET system</w:t>
      </w:r>
      <w:r w:rsidR="58A49D34" w:rsidRPr="00DE4E4F">
        <w:rPr>
          <w:rFonts w:ascii="Times New Roman" w:hAnsi="Times New Roman"/>
          <w:noProof/>
          <w:sz w:val="24"/>
          <w:szCs w:val="24"/>
        </w:rPr>
        <w:t>.</w:t>
      </w:r>
    </w:p>
    <w:p w14:paraId="0BA3780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Labour force skilling, reskilling and upskilling through a reformed training model (Vocational Education &amp; Training Reform) (measure ID: 16792)</w:t>
      </w:r>
    </w:p>
    <w:p w14:paraId="193FB2A8" w14:textId="1970C208" w:rsidR="001B186F" w:rsidRPr="00DE4E4F" w:rsidRDefault="0074517F">
      <w:pPr>
        <w:spacing w:after="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improve quality control and update the vocational training system of the public employment service (DYPA) to meet labour market needs. This measure consists of investments promoting a quality control system of the vocational training system of DYPA and sectoral training programmes.</w:t>
      </w:r>
      <w:r w:rsidR="00DE4C0C" w:rsidRPr="00DE4E4F">
        <w:rPr>
          <w:rFonts w:ascii="Times New Roman" w:hAnsi="Times New Roman"/>
          <w:noProof/>
          <w:sz w:val="24"/>
          <w:szCs w:val="24"/>
        </w:rPr>
        <w:t xml:space="preserve"> </w:t>
      </w:r>
    </w:p>
    <w:p w14:paraId="3BB586E9" w14:textId="20DE7767" w:rsidR="001B186F" w:rsidRPr="00DE4E4F" w:rsidRDefault="0074517F">
      <w:pPr>
        <w:spacing w:before="120" w:after="120" w:line="240" w:lineRule="auto"/>
        <w:jc w:val="both"/>
        <w:rPr>
          <w:rFonts w:ascii="Times New Roman" w:hAnsi="Times New Roman" w:cs="Times New Roman"/>
          <w:noProof/>
          <w:sz w:val="24"/>
          <w:szCs w:val="24"/>
        </w:rPr>
      </w:pPr>
      <w:r w:rsidRPr="00DE4E4F" w:rsidDel="00AB3832">
        <w:rPr>
          <w:rFonts w:ascii="Times New Roman" w:hAnsi="Times New Roman"/>
          <w:b/>
          <w:noProof/>
          <w:sz w:val="24"/>
          <w:szCs w:val="24"/>
        </w:rPr>
        <w:t>Reform</w:t>
      </w:r>
      <w:r w:rsidRPr="00DE4E4F">
        <w:rPr>
          <w:rFonts w:ascii="Times New Roman" w:hAnsi="Times New Roman"/>
          <w:b/>
          <w:noProof/>
          <w:sz w:val="24"/>
          <w:szCs w:val="24"/>
        </w:rPr>
        <w:t>:</w:t>
      </w:r>
      <w:r w:rsidRPr="00DE4E4F">
        <w:rPr>
          <w:rFonts w:ascii="Times New Roman" w:hAnsi="Times New Roman"/>
          <w:noProof/>
          <w:sz w:val="24"/>
          <w:szCs w:val="24"/>
        </w:rPr>
        <w:t xml:space="preserve"> Upgrading Vocational Education and Training (measure ID: 16934)</w:t>
      </w:r>
    </w:p>
    <w:p w14:paraId="6766B716" w14:textId="5B93BC18" w:rsidR="00A14FD7"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w:t>
      </w:r>
      <w:r w:rsidR="00A14FD7" w:rsidRPr="00DE4E4F">
        <w:rPr>
          <w:rFonts w:ascii="Times New Roman" w:hAnsi="Times New Roman"/>
          <w:noProof/>
          <w:sz w:val="24"/>
          <w:szCs w:val="24"/>
        </w:rPr>
        <w:t>improve the vocational education and training (VET)</w:t>
      </w:r>
      <w:r w:rsidR="001977EB" w:rsidRPr="00DE4E4F">
        <w:rPr>
          <w:rFonts w:ascii="Times New Roman" w:hAnsi="Times New Roman"/>
          <w:noProof/>
          <w:sz w:val="24"/>
          <w:szCs w:val="24"/>
        </w:rPr>
        <w:t xml:space="preserve"> system</w:t>
      </w:r>
      <w:r w:rsidR="00A14FD7" w:rsidRPr="00DE4E4F">
        <w:rPr>
          <w:rFonts w:ascii="Times New Roman" w:hAnsi="Times New Roman"/>
          <w:noProof/>
          <w:sz w:val="24"/>
          <w:szCs w:val="24"/>
        </w:rPr>
        <w:t xml:space="preserve">. </w:t>
      </w:r>
      <w:r w:rsidR="00394FBC" w:rsidRPr="00DE4E4F">
        <w:rPr>
          <w:rFonts w:ascii="Times New Roman" w:hAnsi="Times New Roman"/>
          <w:noProof/>
          <w:sz w:val="24"/>
          <w:szCs w:val="24"/>
        </w:rPr>
        <w:t>The measure con</w:t>
      </w:r>
      <w:r w:rsidR="005379B2" w:rsidRPr="00DE4E4F">
        <w:rPr>
          <w:rFonts w:ascii="Times New Roman" w:hAnsi="Times New Roman"/>
          <w:noProof/>
          <w:sz w:val="24"/>
          <w:szCs w:val="24"/>
        </w:rPr>
        <w:t>s</w:t>
      </w:r>
      <w:r w:rsidR="00394FBC" w:rsidRPr="00DE4E4F">
        <w:rPr>
          <w:rFonts w:ascii="Times New Roman" w:hAnsi="Times New Roman"/>
          <w:noProof/>
          <w:sz w:val="24"/>
          <w:szCs w:val="24"/>
        </w:rPr>
        <w:t xml:space="preserve">ists of the </w:t>
      </w:r>
      <w:r w:rsidR="00593C20" w:rsidRPr="00DE4E4F">
        <w:rPr>
          <w:rFonts w:ascii="Times New Roman" w:hAnsi="Times New Roman"/>
          <w:noProof/>
          <w:sz w:val="24"/>
          <w:szCs w:val="24"/>
        </w:rPr>
        <w:t>deliver</w:t>
      </w:r>
      <w:r w:rsidRPr="00DE4E4F" w:rsidDel="00593C20">
        <w:rPr>
          <w:rFonts w:ascii="Times New Roman" w:hAnsi="Times New Roman"/>
          <w:noProof/>
          <w:sz w:val="24"/>
          <w:szCs w:val="24"/>
        </w:rPr>
        <w:t>y of</w:t>
      </w:r>
      <w:r w:rsidR="00593C20" w:rsidRPr="00DE4E4F">
        <w:rPr>
          <w:rFonts w:ascii="Times New Roman" w:hAnsi="Times New Roman"/>
          <w:noProof/>
          <w:sz w:val="24"/>
          <w:szCs w:val="24"/>
        </w:rPr>
        <w:t xml:space="preserve"> Information Systems of the National Organisation for the Certification of Qualifications and Vocational Guidance (EOPPEP) and the development of an e-learning platform for VET</w:t>
      </w:r>
      <w:r w:rsidR="007C4061" w:rsidRPr="00DE4E4F">
        <w:rPr>
          <w:rFonts w:ascii="Times New Roman" w:hAnsi="Times New Roman"/>
          <w:noProof/>
          <w:sz w:val="24"/>
          <w:szCs w:val="24"/>
        </w:rPr>
        <w:t>.</w:t>
      </w:r>
    </w:p>
    <w:p w14:paraId="726A6C3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Digital transformation of Education (measure ID: 16676)</w:t>
      </w:r>
    </w:p>
    <w:p w14:paraId="77C57667" w14:textId="127C2EEA"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enable the digital transformation in education. The investment consists of the following components: Digital content in schools; digital equipment in schools; and digital services in schools.</w:t>
      </w:r>
    </w:p>
    <w:p w14:paraId="6D5C4F1E" w14:textId="701E4E00"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Upgrading Vocational Education and Training (VET): </w:t>
      </w:r>
      <w:r w:rsidR="004B7E9D" w:rsidRPr="00DE4E4F">
        <w:rPr>
          <w:rFonts w:ascii="Times New Roman" w:hAnsi="Times New Roman"/>
          <w:noProof/>
          <w:sz w:val="24"/>
        </w:rPr>
        <w:t>Purchase</w:t>
      </w:r>
      <w:r w:rsidRPr="00DE4E4F">
        <w:rPr>
          <w:rFonts w:ascii="Times New Roman" w:hAnsi="Times New Roman"/>
          <w:noProof/>
          <w:sz w:val="24"/>
        </w:rPr>
        <w:t xml:space="preserve"> of laboratory equipment for </w:t>
      </w:r>
      <w:r w:rsidR="00AC6EBD" w:rsidRPr="00DE4E4F">
        <w:rPr>
          <w:rFonts w:ascii="Times New Roman" w:hAnsi="Times New Roman"/>
          <w:noProof/>
          <w:sz w:val="24"/>
        </w:rPr>
        <w:t>l</w:t>
      </w:r>
      <w:r w:rsidRPr="00DE4E4F">
        <w:rPr>
          <w:rFonts w:ascii="Times New Roman" w:hAnsi="Times New Roman"/>
          <w:noProof/>
          <w:sz w:val="24"/>
        </w:rPr>
        <w:t>aborator</w:t>
      </w:r>
      <w:r w:rsidR="007179D3" w:rsidRPr="00DE4E4F">
        <w:rPr>
          <w:rFonts w:ascii="Times New Roman" w:hAnsi="Times New Roman"/>
          <w:noProof/>
          <w:sz w:val="24"/>
        </w:rPr>
        <w:t>ies</w:t>
      </w:r>
      <w:r w:rsidRPr="00DE4E4F">
        <w:rPr>
          <w:rFonts w:ascii="Times New Roman" w:hAnsi="Times New Roman"/>
          <w:noProof/>
          <w:sz w:val="24"/>
        </w:rPr>
        <w:t xml:space="preserve"> </w:t>
      </w:r>
      <w:r w:rsidR="00AC6EBD" w:rsidRPr="00DE4E4F">
        <w:rPr>
          <w:rFonts w:ascii="Times New Roman" w:hAnsi="Times New Roman"/>
          <w:noProof/>
          <w:sz w:val="24"/>
        </w:rPr>
        <w:t xml:space="preserve">of VET </w:t>
      </w:r>
      <w:r w:rsidR="007A0482" w:rsidRPr="00DE4E4F">
        <w:rPr>
          <w:rFonts w:ascii="Times New Roman" w:hAnsi="Times New Roman"/>
          <w:noProof/>
          <w:sz w:val="24"/>
        </w:rPr>
        <w:t>units</w:t>
      </w:r>
      <w:r w:rsidR="00AC6EBD" w:rsidRPr="00DE4E4F">
        <w:rPr>
          <w:rFonts w:ascii="Times New Roman" w:hAnsi="Times New Roman"/>
          <w:noProof/>
          <w:sz w:val="24"/>
        </w:rPr>
        <w:t xml:space="preserve"> </w:t>
      </w:r>
      <w:r w:rsidRPr="00DE4E4F">
        <w:rPr>
          <w:rFonts w:ascii="Times New Roman" w:hAnsi="Times New Roman"/>
          <w:noProof/>
          <w:sz w:val="24"/>
        </w:rPr>
        <w:t>(measure ID: 16933)</w:t>
      </w:r>
    </w:p>
    <w:p w14:paraId="09541BED" w14:textId="66751F68"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modernise the laboratory infrastructures of vocational education and training (VET) </w:t>
      </w:r>
      <w:r w:rsidR="00771DE8" w:rsidRPr="00DE4E4F">
        <w:rPr>
          <w:rFonts w:ascii="Times New Roman" w:hAnsi="Times New Roman"/>
          <w:noProof/>
          <w:sz w:val="24"/>
          <w:szCs w:val="24"/>
        </w:rPr>
        <w:t>u</w:t>
      </w:r>
      <w:r w:rsidR="00200229" w:rsidRPr="00DE4E4F">
        <w:rPr>
          <w:rFonts w:ascii="Times New Roman" w:hAnsi="Times New Roman"/>
          <w:noProof/>
          <w:sz w:val="24"/>
          <w:szCs w:val="24"/>
        </w:rPr>
        <w:t>nits</w:t>
      </w:r>
      <w:r w:rsidRPr="00DE4E4F">
        <w:rPr>
          <w:rFonts w:ascii="Times New Roman" w:hAnsi="Times New Roman"/>
          <w:noProof/>
          <w:sz w:val="24"/>
          <w:szCs w:val="24"/>
        </w:rPr>
        <w:t xml:space="preserve"> across Greece. The measure consists of </w:t>
      </w:r>
      <w:r w:rsidR="00D74D43" w:rsidRPr="00DE4E4F">
        <w:rPr>
          <w:rFonts w:ascii="Times New Roman" w:hAnsi="Times New Roman"/>
          <w:noProof/>
          <w:sz w:val="24"/>
          <w:szCs w:val="24"/>
        </w:rPr>
        <w:t xml:space="preserve">infrastructure </w:t>
      </w:r>
      <w:r w:rsidRPr="00DE4E4F">
        <w:rPr>
          <w:rFonts w:ascii="Times New Roman" w:hAnsi="Times New Roman"/>
          <w:noProof/>
          <w:sz w:val="24"/>
          <w:szCs w:val="24"/>
        </w:rPr>
        <w:t xml:space="preserve">modernisation </w:t>
      </w:r>
      <w:r w:rsidR="00D74D43" w:rsidRPr="00DE4E4F">
        <w:rPr>
          <w:rFonts w:ascii="Times New Roman" w:hAnsi="Times New Roman"/>
          <w:noProof/>
          <w:sz w:val="24"/>
          <w:szCs w:val="24"/>
        </w:rPr>
        <w:t xml:space="preserve">of </w:t>
      </w:r>
      <w:r w:rsidR="00557838" w:rsidRPr="00DE4E4F">
        <w:rPr>
          <w:rFonts w:ascii="Times New Roman" w:hAnsi="Times New Roman"/>
          <w:noProof/>
          <w:sz w:val="24"/>
          <w:szCs w:val="24"/>
        </w:rPr>
        <w:t xml:space="preserve">VET </w:t>
      </w:r>
      <w:r w:rsidR="00771DE8" w:rsidRPr="00DE4E4F">
        <w:rPr>
          <w:rFonts w:ascii="Times New Roman" w:hAnsi="Times New Roman"/>
          <w:noProof/>
          <w:sz w:val="24"/>
          <w:szCs w:val="24"/>
        </w:rPr>
        <w:t>units</w:t>
      </w:r>
      <w:r w:rsidR="007901CD" w:rsidRPr="00DE4E4F">
        <w:rPr>
          <w:rFonts w:ascii="Times New Roman" w:hAnsi="Times New Roman"/>
          <w:noProof/>
          <w:sz w:val="24"/>
          <w:szCs w:val="24"/>
        </w:rPr>
        <w:t>.</w:t>
      </w:r>
      <w:r w:rsidRPr="00DE4E4F">
        <w:rPr>
          <w:rFonts w:ascii="Times New Roman" w:hAnsi="Times New Roman"/>
          <w:noProof/>
          <w:sz w:val="24"/>
          <w:szCs w:val="24"/>
        </w:rPr>
        <w:t xml:space="preserve"> </w:t>
      </w:r>
    </w:p>
    <w:p w14:paraId="7AC00778" w14:textId="77777777" w:rsidR="001B186F" w:rsidRPr="00DE4E4F" w:rsidRDefault="001B186F">
      <w:pPr>
        <w:spacing w:before="120" w:after="120" w:line="240" w:lineRule="auto"/>
        <w:ind w:left="709"/>
        <w:jc w:val="both"/>
        <w:rPr>
          <w:rFonts w:ascii="Times New Roman" w:hAnsi="Times New Roman" w:cs="Times New Roman"/>
          <w:noProof/>
          <w:sz w:val="24"/>
        </w:rPr>
      </w:pPr>
    </w:p>
    <w:p w14:paraId="33EB8586"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08"/>
          <w:docGrid w:linePitch="360"/>
        </w:sectPr>
      </w:pPr>
    </w:p>
    <w:p w14:paraId="6D6E3421"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I.2. Milestones, targets, indicators, and timetable for monitoring and implementation for non-repayable financial support</w:t>
      </w:r>
    </w:p>
    <w:p w14:paraId="37D2B6A6" w14:textId="77777777" w:rsidR="001B186F" w:rsidRPr="00DE4E4F" w:rsidDel="00781666" w:rsidRDefault="0074517F">
      <w:pPr>
        <w:keepNext/>
        <w:keepLines/>
        <w:spacing w:before="40" w:after="0" w:line="240" w:lineRule="auto"/>
        <w:jc w:val="both"/>
        <w:outlineLvl w:val="4"/>
        <w:rPr>
          <w:rFonts w:ascii="Cambria" w:hAnsi="Cambria"/>
          <w:noProof/>
          <w:color w:val="365F91"/>
          <w:sz w:val="24"/>
          <w:szCs w:val="24"/>
        </w:rPr>
      </w:pPr>
      <w:r w:rsidRPr="00DE4E4F">
        <w:rPr>
          <w:rFonts w:ascii="Cambria" w:hAnsi="Cambria"/>
          <w:noProof/>
          <w:color w:val="365F91" w:themeColor="accent1" w:themeShade="BF"/>
          <w:sz w:val="24"/>
          <w:szCs w:val="24"/>
        </w:rPr>
        <w:t>Top investment 5: A New Strategy for Lifelong Skilling: Modernising and Upgrading Greece’s Upskilling and Reskilling System</w:t>
      </w:r>
    </w:p>
    <w:tbl>
      <w:tblPr>
        <w:tblW w:w="15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36"/>
        <w:gridCol w:w="2203"/>
        <w:gridCol w:w="1043"/>
        <w:gridCol w:w="1142"/>
        <w:gridCol w:w="1459"/>
        <w:gridCol w:w="1332"/>
        <w:gridCol w:w="870"/>
        <w:gridCol w:w="998"/>
        <w:gridCol w:w="850"/>
        <w:gridCol w:w="709"/>
        <w:gridCol w:w="4761"/>
      </w:tblGrid>
      <w:tr w:rsidR="00682269" w:rsidRPr="00DE4E4F" w14:paraId="195B8A0D" w14:textId="77777777">
        <w:trPr>
          <w:trHeight w:val="740"/>
          <w:tblHeader/>
          <w:jc w:val="center"/>
        </w:trPr>
        <w:tc>
          <w:tcPr>
            <w:tcW w:w="536" w:type="dxa"/>
            <w:vMerge w:val="restart"/>
            <w:shd w:val="clear" w:color="auto" w:fill="BDD7EE"/>
            <w:vAlign w:val="center"/>
            <w:hideMark/>
          </w:tcPr>
          <w:p w14:paraId="29B5BE1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203" w:type="dxa"/>
            <w:vMerge w:val="restart"/>
            <w:shd w:val="clear" w:color="auto" w:fill="BDD7EE"/>
            <w:vAlign w:val="center"/>
            <w:hideMark/>
          </w:tcPr>
          <w:p w14:paraId="3C49821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43" w:type="dxa"/>
            <w:vMerge w:val="restart"/>
            <w:shd w:val="clear" w:color="auto" w:fill="BDD7EE"/>
            <w:vAlign w:val="center"/>
            <w:hideMark/>
          </w:tcPr>
          <w:p w14:paraId="6B11A0F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42" w:type="dxa"/>
            <w:vMerge w:val="restart"/>
            <w:shd w:val="clear" w:color="auto" w:fill="BDD7EE"/>
            <w:vAlign w:val="center"/>
            <w:hideMark/>
          </w:tcPr>
          <w:p w14:paraId="1E5955C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459" w:type="dxa"/>
            <w:vMerge w:val="restart"/>
            <w:shd w:val="clear" w:color="auto" w:fill="BDD7EE"/>
            <w:vAlign w:val="center"/>
            <w:hideMark/>
          </w:tcPr>
          <w:p w14:paraId="643BE37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200" w:type="dxa"/>
            <w:gridSpan w:val="3"/>
            <w:shd w:val="clear" w:color="auto" w:fill="BDD7EE"/>
            <w:vAlign w:val="center"/>
            <w:hideMark/>
          </w:tcPr>
          <w:p w14:paraId="689347D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cs="Times New Roman"/>
                <w:b/>
                <w:noProof/>
                <w:sz w:val="18"/>
                <w:szCs w:val="18"/>
              </w:rPr>
              <w:br/>
            </w:r>
            <w:r w:rsidRPr="00DE4E4F">
              <w:rPr>
                <w:rFonts w:ascii="Times New Roman" w:hAnsi="Times New Roman"/>
                <w:b/>
                <w:noProof/>
                <w:sz w:val="18"/>
              </w:rPr>
              <w:t xml:space="preserve"> (for targets)</w:t>
            </w:r>
          </w:p>
        </w:tc>
        <w:tc>
          <w:tcPr>
            <w:tcW w:w="1559" w:type="dxa"/>
            <w:gridSpan w:val="2"/>
            <w:shd w:val="clear" w:color="auto" w:fill="BDD7EE"/>
            <w:vAlign w:val="center"/>
            <w:hideMark/>
          </w:tcPr>
          <w:p w14:paraId="7536FE1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761" w:type="dxa"/>
            <w:vMerge w:val="restart"/>
            <w:shd w:val="clear" w:color="auto" w:fill="BDD7EE"/>
            <w:vAlign w:val="center"/>
            <w:hideMark/>
          </w:tcPr>
          <w:p w14:paraId="59BF423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4A8AB7BE" w14:textId="77777777">
        <w:trPr>
          <w:trHeight w:val="512"/>
          <w:tblHeader/>
          <w:jc w:val="center"/>
        </w:trPr>
        <w:tc>
          <w:tcPr>
            <w:tcW w:w="536" w:type="dxa"/>
            <w:vMerge/>
            <w:vAlign w:val="center"/>
            <w:hideMark/>
          </w:tcPr>
          <w:p w14:paraId="67CBE14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03" w:type="dxa"/>
            <w:vMerge/>
            <w:vAlign w:val="center"/>
            <w:hideMark/>
          </w:tcPr>
          <w:p w14:paraId="138F12E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43" w:type="dxa"/>
            <w:vMerge/>
            <w:vAlign w:val="center"/>
            <w:hideMark/>
          </w:tcPr>
          <w:p w14:paraId="72D3F54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42" w:type="dxa"/>
            <w:vMerge/>
            <w:vAlign w:val="center"/>
            <w:hideMark/>
          </w:tcPr>
          <w:p w14:paraId="4875F08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59" w:type="dxa"/>
            <w:vMerge/>
            <w:vAlign w:val="center"/>
            <w:hideMark/>
          </w:tcPr>
          <w:p w14:paraId="6F991A0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32" w:type="dxa"/>
            <w:shd w:val="clear" w:color="auto" w:fill="BDD7EE"/>
            <w:vAlign w:val="center"/>
            <w:hideMark/>
          </w:tcPr>
          <w:p w14:paraId="5F882DB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70" w:type="dxa"/>
            <w:shd w:val="clear" w:color="auto" w:fill="BDD7EE"/>
            <w:vAlign w:val="center"/>
            <w:hideMark/>
          </w:tcPr>
          <w:p w14:paraId="064FE30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998" w:type="dxa"/>
            <w:shd w:val="clear" w:color="auto" w:fill="BDD7EE"/>
            <w:vAlign w:val="center"/>
            <w:hideMark/>
          </w:tcPr>
          <w:p w14:paraId="41C4AFC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50" w:type="dxa"/>
            <w:shd w:val="clear" w:color="auto" w:fill="BDD7EE"/>
            <w:vAlign w:val="center"/>
            <w:hideMark/>
          </w:tcPr>
          <w:p w14:paraId="319815E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328DD42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761" w:type="dxa"/>
            <w:vMerge/>
            <w:vAlign w:val="center"/>
            <w:hideMark/>
          </w:tcPr>
          <w:p w14:paraId="0610B8B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EC85D0A" w14:textId="77777777">
        <w:trPr>
          <w:trHeight w:val="309"/>
          <w:jc w:val="center"/>
        </w:trPr>
        <w:tc>
          <w:tcPr>
            <w:tcW w:w="536" w:type="dxa"/>
            <w:shd w:val="clear" w:color="auto" w:fill="C6EFCE"/>
            <w:noWrap/>
          </w:tcPr>
          <w:p w14:paraId="46B7D2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138</w:t>
            </w:r>
          </w:p>
        </w:tc>
        <w:tc>
          <w:tcPr>
            <w:tcW w:w="2203" w:type="dxa"/>
            <w:shd w:val="clear" w:color="auto" w:fill="C6EFCE"/>
            <w:noWrap/>
          </w:tcPr>
          <w:p w14:paraId="1513A0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- 16913_A New Strategy for Lifelong Skilling: Modernising and Upgrading Greece’s Upskilling and Reskilling System</w:t>
            </w:r>
          </w:p>
        </w:tc>
        <w:tc>
          <w:tcPr>
            <w:tcW w:w="1043" w:type="dxa"/>
            <w:shd w:val="clear" w:color="auto" w:fill="C6EFCE"/>
            <w:noWrap/>
          </w:tcPr>
          <w:p w14:paraId="2D11FD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42" w:type="dxa"/>
            <w:shd w:val="clear" w:color="auto" w:fill="C6EFCE"/>
            <w:noWrap/>
          </w:tcPr>
          <w:p w14:paraId="263B55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Lifelong learning strategy entry into force of legislation</w:t>
            </w:r>
          </w:p>
        </w:tc>
        <w:tc>
          <w:tcPr>
            <w:tcW w:w="1459" w:type="dxa"/>
            <w:shd w:val="clear" w:color="auto" w:fill="C6EFCE"/>
            <w:noWrap/>
          </w:tcPr>
          <w:p w14:paraId="4D4B74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w:t>
            </w:r>
          </w:p>
        </w:tc>
        <w:tc>
          <w:tcPr>
            <w:tcW w:w="1332" w:type="dxa"/>
            <w:shd w:val="clear" w:color="auto" w:fill="C6EFCE"/>
            <w:noWrap/>
          </w:tcPr>
          <w:p w14:paraId="62AE0AC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0" w:type="dxa"/>
            <w:shd w:val="clear" w:color="auto" w:fill="C6EFCE"/>
            <w:noWrap/>
          </w:tcPr>
          <w:p w14:paraId="49E13C6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8" w:type="dxa"/>
            <w:shd w:val="clear" w:color="auto" w:fill="C6EFCE"/>
            <w:noWrap/>
          </w:tcPr>
          <w:p w14:paraId="60D724C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38AA5BE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7A9397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761" w:type="dxa"/>
            <w:shd w:val="clear" w:color="auto" w:fill="C6EFCE"/>
            <w:noWrap/>
          </w:tcPr>
          <w:p w14:paraId="0B170F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On the basis of the National Strategy for Lifelong Learning, primary and secondary legislation will enter into force setting out the key elements of the new lifelong learning framework (including provisions to establish the national Skills Council as a central supervisory body, to set up lifelong skilling accounts, national Eligible Training Provider List and Scorecard and a labour market diagnosis mechanism).</w:t>
            </w:r>
          </w:p>
        </w:tc>
      </w:tr>
      <w:tr w:rsidR="00682269" w:rsidRPr="00DE4E4F" w14:paraId="108DB0A4" w14:textId="77777777">
        <w:trPr>
          <w:trHeight w:val="309"/>
          <w:jc w:val="center"/>
        </w:trPr>
        <w:tc>
          <w:tcPr>
            <w:tcW w:w="536" w:type="dxa"/>
            <w:shd w:val="clear" w:color="auto" w:fill="C6EFCE"/>
            <w:noWrap/>
          </w:tcPr>
          <w:p w14:paraId="37A6149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139</w:t>
            </w:r>
          </w:p>
        </w:tc>
        <w:tc>
          <w:tcPr>
            <w:tcW w:w="2203" w:type="dxa"/>
            <w:shd w:val="clear" w:color="auto" w:fill="C6EFCE"/>
            <w:noWrap/>
          </w:tcPr>
          <w:p w14:paraId="7971858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- 16913_A New Strategy for Lifelong Skilling: Modernising and Upgrading Greece’s Upskilling and Reskilling System</w:t>
            </w:r>
          </w:p>
        </w:tc>
        <w:tc>
          <w:tcPr>
            <w:tcW w:w="1043" w:type="dxa"/>
            <w:shd w:val="clear" w:color="auto" w:fill="C6EFCE"/>
            <w:noWrap/>
          </w:tcPr>
          <w:p w14:paraId="131D6D1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142" w:type="dxa"/>
            <w:shd w:val="clear" w:color="auto" w:fill="C6EFCE"/>
            <w:noWrap/>
          </w:tcPr>
          <w:p w14:paraId="6AEF7A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programmes lifelong learning strategy completion validation</w:t>
            </w:r>
          </w:p>
        </w:tc>
        <w:tc>
          <w:tcPr>
            <w:tcW w:w="1459" w:type="dxa"/>
            <w:shd w:val="clear" w:color="auto" w:fill="C6EFCE"/>
            <w:noWrap/>
          </w:tcPr>
          <w:p w14:paraId="00397F3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32" w:type="dxa"/>
            <w:shd w:val="clear" w:color="auto" w:fill="C6EFCE"/>
            <w:noWrap/>
          </w:tcPr>
          <w:p w14:paraId="38D261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persons who received a certificate of successful participation in a training programme</w:t>
            </w:r>
          </w:p>
        </w:tc>
        <w:tc>
          <w:tcPr>
            <w:tcW w:w="870" w:type="dxa"/>
            <w:shd w:val="clear" w:color="auto" w:fill="C6EFCE"/>
            <w:noWrap/>
          </w:tcPr>
          <w:p w14:paraId="79F2993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98" w:type="dxa"/>
            <w:shd w:val="clear" w:color="auto" w:fill="C6EFCE"/>
            <w:noWrap/>
          </w:tcPr>
          <w:p w14:paraId="6AED43B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150 000</w:t>
            </w:r>
          </w:p>
        </w:tc>
        <w:tc>
          <w:tcPr>
            <w:tcW w:w="850" w:type="dxa"/>
            <w:shd w:val="clear" w:color="auto" w:fill="C6EFCE"/>
            <w:noWrap/>
          </w:tcPr>
          <w:p w14:paraId="2B4C01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DE537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761" w:type="dxa"/>
            <w:shd w:val="clear" w:color="auto" w:fill="C6EFCE"/>
            <w:noWrap/>
          </w:tcPr>
          <w:p w14:paraId="7D8EED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of training programmes on digital, green and financial literacy skills for at least 150 000 participants and validation and certification of skills acquired for all successful participants. </w:t>
            </w:r>
          </w:p>
          <w:p w14:paraId="6F46F7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This investment tackles the need for digital, green and financial literacy skills of the following population groups: a) unemployed, especially the youth and long-term unemployed, b) employees, especially those with high unemployment risk and those who are left behind by workspace technology, c) employees, especially at SMEs with limited in-house training capacity, d) public sector employees, including teachers. Skills offered are: a) Baseline digital skills, b) Medium-level digital skills, c) Green skills and d) Financial literacy skills.</w:t>
            </w:r>
          </w:p>
        </w:tc>
      </w:tr>
      <w:tr w:rsidR="00682269" w:rsidRPr="00DE4E4F" w14:paraId="7ACD0F9F" w14:textId="77777777">
        <w:trPr>
          <w:trHeight w:val="2870"/>
          <w:jc w:val="center"/>
        </w:trPr>
        <w:tc>
          <w:tcPr>
            <w:tcW w:w="536" w:type="dxa"/>
            <w:shd w:val="clear" w:color="auto" w:fill="C6EFCE"/>
            <w:noWrap/>
            <w:hideMark/>
          </w:tcPr>
          <w:p w14:paraId="26BE3A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140</w:t>
            </w:r>
          </w:p>
        </w:tc>
        <w:tc>
          <w:tcPr>
            <w:tcW w:w="2203" w:type="dxa"/>
            <w:shd w:val="clear" w:color="auto" w:fill="C6EFCE"/>
            <w:noWrap/>
            <w:hideMark/>
          </w:tcPr>
          <w:p w14:paraId="6AC5E0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- 16913_A New Strategy for Lifelong Skilling: Modernising and Upgrading Greece’s Upskilling and Reskilling System</w:t>
            </w:r>
          </w:p>
        </w:tc>
        <w:tc>
          <w:tcPr>
            <w:tcW w:w="1043" w:type="dxa"/>
            <w:shd w:val="clear" w:color="auto" w:fill="C6EFCE"/>
            <w:noWrap/>
            <w:hideMark/>
          </w:tcPr>
          <w:p w14:paraId="4445A87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42" w:type="dxa"/>
            <w:shd w:val="clear" w:color="auto" w:fill="C6EFCE"/>
            <w:noWrap/>
            <w:hideMark/>
          </w:tcPr>
          <w:p w14:paraId="3F5DC70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Training programmes lifelong learning strategy delivery validation and certification of the acquired skills </w:t>
            </w:r>
          </w:p>
        </w:tc>
        <w:tc>
          <w:tcPr>
            <w:tcW w:w="1459" w:type="dxa"/>
            <w:shd w:val="clear" w:color="auto" w:fill="C6EFCE"/>
            <w:noWrap/>
            <w:hideMark/>
          </w:tcPr>
          <w:p w14:paraId="0BAA69C3"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Delivery of training programmes and validation and certification of the acquired skills </w:t>
            </w:r>
          </w:p>
        </w:tc>
        <w:tc>
          <w:tcPr>
            <w:tcW w:w="1332" w:type="dxa"/>
            <w:shd w:val="clear" w:color="auto" w:fill="C6EFCE"/>
            <w:noWrap/>
            <w:hideMark/>
          </w:tcPr>
          <w:p w14:paraId="23A8131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01F21EFF"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09BDFD9"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0" w:type="dxa"/>
            <w:shd w:val="clear" w:color="auto" w:fill="C6EFCE"/>
            <w:noWrap/>
            <w:hideMark/>
          </w:tcPr>
          <w:p w14:paraId="36E75F0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hideMark/>
          </w:tcPr>
          <w:p w14:paraId="653650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761" w:type="dxa"/>
            <w:shd w:val="clear" w:color="auto" w:fill="C6EFCE"/>
            <w:noWrap/>
            <w:hideMark/>
          </w:tcPr>
          <w:p w14:paraId="6FC2370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training programmes on digital, green and financial literacy skills for 350 000 participants and validation and certification of the acquired skills. </w:t>
            </w:r>
          </w:p>
          <w:p w14:paraId="08C6894D"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p w14:paraId="54EF48EA" w14:textId="6627ABE9" w:rsidR="001B186F" w:rsidRPr="00DE4E4F" w:rsidRDefault="0074517F" w:rsidP="009E2E69">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Out of the total number of participants under this measure, at least 33% (165 000 participants out of 500 000 participants) shall have carried out training programmes related to green skills and jobs in the green economy. </w:t>
            </w:r>
          </w:p>
        </w:tc>
      </w:tr>
      <w:tr w:rsidR="00682269" w:rsidRPr="00DE4E4F" w14:paraId="76202E20" w14:textId="77777777" w:rsidTr="002B60D8">
        <w:trPr>
          <w:trHeight w:val="1693"/>
          <w:jc w:val="center"/>
        </w:trPr>
        <w:tc>
          <w:tcPr>
            <w:tcW w:w="536" w:type="dxa"/>
            <w:shd w:val="clear" w:color="auto" w:fill="C6EFCE"/>
            <w:noWrap/>
          </w:tcPr>
          <w:p w14:paraId="27DD461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143</w:t>
            </w:r>
          </w:p>
        </w:tc>
        <w:tc>
          <w:tcPr>
            <w:tcW w:w="2203" w:type="dxa"/>
            <w:shd w:val="clear" w:color="auto" w:fill="C6EFCE"/>
            <w:noWrap/>
          </w:tcPr>
          <w:p w14:paraId="6ED5C50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- 16792_Labor force skilling, reskilling and upskilling through a reformed training model (Vocational Education &amp; Training Reform)</w:t>
            </w:r>
          </w:p>
        </w:tc>
        <w:tc>
          <w:tcPr>
            <w:tcW w:w="1043" w:type="dxa"/>
            <w:shd w:val="clear" w:color="auto" w:fill="C6EFCE"/>
            <w:noWrap/>
          </w:tcPr>
          <w:p w14:paraId="19F488F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42" w:type="dxa"/>
            <w:shd w:val="clear" w:color="auto" w:fill="C6EFCE"/>
            <w:noWrap/>
          </w:tcPr>
          <w:p w14:paraId="55383E0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VET quality control system contract award</w:t>
            </w:r>
          </w:p>
        </w:tc>
        <w:tc>
          <w:tcPr>
            <w:tcW w:w="1459" w:type="dxa"/>
            <w:shd w:val="clear" w:color="auto" w:fill="C6EFCE"/>
            <w:noWrap/>
          </w:tcPr>
          <w:p w14:paraId="69B096D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w:t>
            </w:r>
          </w:p>
        </w:tc>
        <w:tc>
          <w:tcPr>
            <w:tcW w:w="1332" w:type="dxa"/>
            <w:shd w:val="clear" w:color="auto" w:fill="C6EFCE"/>
            <w:noWrap/>
          </w:tcPr>
          <w:p w14:paraId="369893F2"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167087D4"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76178C7B"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00753AE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2C6273D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761" w:type="dxa"/>
            <w:shd w:val="clear" w:color="auto" w:fill="C6EFCE"/>
            <w:noWrap/>
          </w:tcPr>
          <w:p w14:paraId="5802952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the quality control system for vocational education and training (VET) aimed to improve quality control over the vocational training units of the Hellenic Manpower Employment Organisation (DYPA), mostly through assessing its output and tracking progress and performance of trainees in the labour market.</w:t>
            </w:r>
          </w:p>
        </w:tc>
      </w:tr>
      <w:tr w:rsidR="00682269" w:rsidRPr="00DE4E4F" w14:paraId="23FC0F70" w14:textId="77777777" w:rsidTr="009E2E69">
        <w:trPr>
          <w:trHeight w:val="1253"/>
          <w:jc w:val="center"/>
        </w:trPr>
        <w:tc>
          <w:tcPr>
            <w:tcW w:w="536" w:type="dxa"/>
            <w:shd w:val="clear" w:color="auto" w:fill="C6EFCE"/>
            <w:noWrap/>
          </w:tcPr>
          <w:p w14:paraId="6F95CA3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145a</w:t>
            </w:r>
          </w:p>
        </w:tc>
        <w:tc>
          <w:tcPr>
            <w:tcW w:w="2203" w:type="dxa"/>
            <w:shd w:val="clear" w:color="auto" w:fill="C6EFCE"/>
            <w:noWrap/>
          </w:tcPr>
          <w:p w14:paraId="607B816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9 - 3.2. Education, vocational education and training, and skills - 16794_Strengthening the Apprenticeship System </w:t>
            </w:r>
          </w:p>
        </w:tc>
        <w:tc>
          <w:tcPr>
            <w:tcW w:w="1043" w:type="dxa"/>
            <w:shd w:val="clear" w:color="auto" w:fill="C6EFCE"/>
            <w:noWrap/>
          </w:tcPr>
          <w:p w14:paraId="7D1F91E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42" w:type="dxa"/>
            <w:shd w:val="clear" w:color="auto" w:fill="C6EFCE"/>
            <w:noWrap/>
          </w:tcPr>
          <w:p w14:paraId="3F2D03B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Legal framework VET national system</w:t>
            </w:r>
          </w:p>
        </w:tc>
        <w:tc>
          <w:tcPr>
            <w:tcW w:w="1459" w:type="dxa"/>
            <w:shd w:val="clear" w:color="auto" w:fill="C6EFCE"/>
            <w:noWrap/>
          </w:tcPr>
          <w:p w14:paraId="3CF4515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1332" w:type="dxa"/>
            <w:shd w:val="clear" w:color="auto" w:fill="C6EFCE"/>
            <w:noWrap/>
          </w:tcPr>
          <w:p w14:paraId="03E0F928"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8C32DC0"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22BEFDC3"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1419E19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3FF0C0E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761" w:type="dxa"/>
            <w:shd w:val="clear" w:color="auto" w:fill="C6EFCE"/>
            <w:noWrap/>
          </w:tcPr>
          <w:p w14:paraId="1224AC8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law on the national VET system.</w:t>
            </w:r>
          </w:p>
        </w:tc>
      </w:tr>
      <w:tr w:rsidR="00682269" w:rsidRPr="00DE4E4F" w14:paraId="7B6D9EE7" w14:textId="77777777">
        <w:trPr>
          <w:trHeight w:val="1973"/>
          <w:jc w:val="center"/>
        </w:trPr>
        <w:tc>
          <w:tcPr>
            <w:tcW w:w="536" w:type="dxa"/>
            <w:shd w:val="clear" w:color="auto" w:fill="C6EFCE"/>
            <w:noWrap/>
          </w:tcPr>
          <w:p w14:paraId="507F381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146</w:t>
            </w:r>
          </w:p>
        </w:tc>
        <w:tc>
          <w:tcPr>
            <w:tcW w:w="2203" w:type="dxa"/>
            <w:shd w:val="clear" w:color="auto" w:fill="C6EFCE"/>
            <w:noWrap/>
          </w:tcPr>
          <w:p w14:paraId="3B96DD3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- 16792_Labor force skilling, reskilling and upskilling through a reformed training model (Vocational Education &amp; Training Reform)</w:t>
            </w:r>
          </w:p>
        </w:tc>
        <w:tc>
          <w:tcPr>
            <w:tcW w:w="1043" w:type="dxa"/>
            <w:shd w:val="clear" w:color="auto" w:fill="C6EFCE"/>
            <w:noWrap/>
          </w:tcPr>
          <w:p w14:paraId="25B03B5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42" w:type="dxa"/>
            <w:shd w:val="clear" w:color="auto" w:fill="C6EFCE"/>
            <w:noWrap/>
          </w:tcPr>
          <w:p w14:paraId="74E0C4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VET quality control system,</w:t>
            </w:r>
          </w:p>
          <w:p w14:paraId="6DE0660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sectoral training programmes delivery</w:t>
            </w:r>
          </w:p>
        </w:tc>
        <w:tc>
          <w:tcPr>
            <w:tcW w:w="1459" w:type="dxa"/>
            <w:shd w:val="clear" w:color="auto" w:fill="C6EFCE"/>
            <w:noWrap/>
          </w:tcPr>
          <w:p w14:paraId="54B7057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projects a and b </w:t>
            </w:r>
          </w:p>
        </w:tc>
        <w:tc>
          <w:tcPr>
            <w:tcW w:w="1332" w:type="dxa"/>
            <w:shd w:val="clear" w:color="auto" w:fill="C6EFCE"/>
            <w:noWrap/>
          </w:tcPr>
          <w:p w14:paraId="0C5987D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70" w:type="dxa"/>
            <w:shd w:val="clear" w:color="auto" w:fill="C6EFCE"/>
            <w:noWrap/>
          </w:tcPr>
          <w:p w14:paraId="61BDF6C2"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98" w:type="dxa"/>
            <w:shd w:val="clear" w:color="auto" w:fill="C6EFCE"/>
            <w:noWrap/>
          </w:tcPr>
          <w:p w14:paraId="4FB069A3"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0" w:type="dxa"/>
            <w:shd w:val="clear" w:color="auto" w:fill="C6EFCE"/>
            <w:noWrap/>
          </w:tcPr>
          <w:p w14:paraId="3DD1610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48499C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761" w:type="dxa"/>
            <w:shd w:val="clear" w:color="auto" w:fill="C6EFCE"/>
            <w:noWrap/>
          </w:tcPr>
          <w:p w14:paraId="0E0BEB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following projects: </w:t>
            </w:r>
          </w:p>
          <w:p w14:paraId="7A673A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VET quality control system of the national Employment Organization (DYPA)</w:t>
            </w:r>
          </w:p>
          <w:p w14:paraId="5062DAB8" w14:textId="59DB4280" w:rsidR="001B186F" w:rsidRPr="00DE4E4F" w:rsidRDefault="0074517F" w:rsidP="00E97A98">
            <w:pPr>
              <w:pStyle w:val="paragraph"/>
              <w:spacing w:before="0" w:beforeAutospacing="0" w:after="0" w:afterAutospacing="0"/>
              <w:rPr>
                <w:noProof/>
                <w:color w:val="006100"/>
                <w:sz w:val="18"/>
                <w:szCs w:val="18"/>
              </w:rPr>
            </w:pPr>
            <w:r w:rsidRPr="00DE4E4F">
              <w:rPr>
                <w:noProof/>
                <w:color w:val="006100"/>
                <w:sz w:val="18"/>
                <w:szCs w:val="18"/>
              </w:rPr>
              <w:t xml:space="preserve">b) </w:t>
            </w:r>
            <w:r w:rsidR="00854402" w:rsidRPr="00DE4E4F">
              <w:rPr>
                <w:noProof/>
                <w:color w:val="006100"/>
                <w:sz w:val="18"/>
                <w:szCs w:val="18"/>
              </w:rPr>
              <w:t>Sectoral</w:t>
            </w:r>
            <w:r w:rsidRPr="00DE4E4F">
              <w:rPr>
                <w:noProof/>
                <w:color w:val="006100"/>
                <w:sz w:val="18"/>
                <w:szCs w:val="18"/>
              </w:rPr>
              <w:t xml:space="preserve"> </w:t>
            </w:r>
            <w:r w:rsidR="00FA39C2" w:rsidRPr="00DE4E4F">
              <w:rPr>
                <w:noProof/>
                <w:color w:val="006100"/>
                <w:sz w:val="18"/>
                <w:szCs w:val="18"/>
              </w:rPr>
              <w:t>Continuing Vocational Training</w:t>
            </w:r>
            <w:r w:rsidR="00DE4C0C" w:rsidRPr="00DE4E4F">
              <w:rPr>
                <w:noProof/>
                <w:color w:val="006100"/>
                <w:sz w:val="18"/>
                <w:szCs w:val="18"/>
              </w:rPr>
              <w:t xml:space="preserve"> </w:t>
            </w:r>
            <w:r w:rsidRPr="00DE4E4F">
              <w:rPr>
                <w:noProof/>
                <w:color w:val="006100"/>
                <w:sz w:val="18"/>
                <w:szCs w:val="18"/>
              </w:rPr>
              <w:t>programmes</w:t>
            </w:r>
            <w:r w:rsidR="00DC1D58" w:rsidRPr="00DE4E4F">
              <w:rPr>
                <w:noProof/>
                <w:color w:val="006100"/>
                <w:sz w:val="18"/>
                <w:szCs w:val="18"/>
              </w:rPr>
              <w:t xml:space="preserve"> for 20</w:t>
            </w:r>
            <w:r w:rsidR="008D7F49" w:rsidRPr="00DE4E4F">
              <w:rPr>
                <w:noProof/>
                <w:color w:val="006100"/>
                <w:sz w:val="18"/>
                <w:szCs w:val="18"/>
              </w:rPr>
              <w:t> </w:t>
            </w:r>
            <w:r w:rsidR="00DC1D58" w:rsidRPr="00DE4E4F">
              <w:rPr>
                <w:noProof/>
                <w:color w:val="006100"/>
                <w:sz w:val="18"/>
                <w:szCs w:val="18"/>
              </w:rPr>
              <w:t>880 participants and certification of the acquired skills</w:t>
            </w:r>
            <w:r w:rsidR="009A7BB0" w:rsidRPr="00DE4E4F">
              <w:rPr>
                <w:noProof/>
                <w:color w:val="006100"/>
                <w:sz w:val="18"/>
                <w:szCs w:val="18"/>
              </w:rPr>
              <w:t xml:space="preserve"> as con</w:t>
            </w:r>
            <w:r w:rsidR="000F63B6" w:rsidRPr="00DE4E4F">
              <w:rPr>
                <w:noProof/>
                <w:color w:val="006100"/>
                <w:sz w:val="18"/>
                <w:szCs w:val="18"/>
              </w:rPr>
              <w:t xml:space="preserve">firmed by the related </w:t>
            </w:r>
            <w:r w:rsidR="0018256E" w:rsidRPr="00DE4E4F">
              <w:rPr>
                <w:noProof/>
                <w:color w:val="006100"/>
                <w:sz w:val="18"/>
                <w:szCs w:val="18"/>
              </w:rPr>
              <w:t xml:space="preserve">issued </w:t>
            </w:r>
            <w:r w:rsidR="005D135E" w:rsidRPr="00DE4E4F">
              <w:rPr>
                <w:noProof/>
                <w:color w:val="006100"/>
                <w:sz w:val="18"/>
                <w:szCs w:val="18"/>
              </w:rPr>
              <w:t>certificates</w:t>
            </w:r>
            <w:r w:rsidR="00CB71E8" w:rsidRPr="00DE4E4F">
              <w:rPr>
                <w:noProof/>
                <w:color w:val="006100"/>
                <w:sz w:val="18"/>
                <w:szCs w:val="18"/>
              </w:rPr>
              <w:t xml:space="preserve"> to participants</w:t>
            </w:r>
            <w:r w:rsidRPr="00DE4E4F">
              <w:rPr>
                <w:noProof/>
                <w:color w:val="006100"/>
                <w:sz w:val="18"/>
                <w:szCs w:val="18"/>
              </w:rPr>
              <w:t>. </w:t>
            </w:r>
          </w:p>
        </w:tc>
      </w:tr>
    </w:tbl>
    <w:p w14:paraId="377610DC" w14:textId="77777777" w:rsidR="001B186F" w:rsidRPr="00DE4E4F" w:rsidRDefault="001B186F">
      <w:pPr>
        <w:spacing w:before="120" w:after="120" w:line="240" w:lineRule="auto"/>
        <w:jc w:val="both"/>
        <w:rPr>
          <w:rFonts w:ascii="Times New Roman" w:hAnsi="Times New Roman" w:cs="Times New Roman"/>
          <w:noProof/>
          <w:sz w:val="24"/>
        </w:rPr>
      </w:pPr>
    </w:p>
    <w:p w14:paraId="47719506" w14:textId="77777777" w:rsidR="001B186F" w:rsidRPr="00DE4E4F" w:rsidRDefault="001B186F">
      <w:pPr>
        <w:spacing w:before="120" w:after="120" w:line="240" w:lineRule="auto"/>
        <w:ind w:left="709"/>
        <w:jc w:val="both"/>
        <w:rPr>
          <w:rFonts w:ascii="Times New Roman" w:hAnsi="Times New Roman" w:cs="Times New Roman"/>
          <w:noProof/>
          <w:sz w:val="24"/>
          <w:szCs w:val="24"/>
        </w:rPr>
        <w:sectPr w:rsidR="001B186F" w:rsidRPr="00DE4E4F">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6B6EDD7F" w14:textId="77777777" w:rsidR="001B186F" w:rsidRPr="00DE4E4F" w:rsidRDefault="0074517F">
      <w:pPr>
        <w:keepNext/>
        <w:keepLines/>
        <w:spacing w:before="24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12: Ministry of Education and Religious Affairs – Reforms and Investments</w:t>
      </w:r>
    </w:p>
    <w:p w14:paraId="17343492" w14:textId="6135D1CC" w:rsidR="001B186F" w:rsidRPr="00DE4E4F" w:rsidRDefault="0074517F">
      <w:pPr>
        <w:numPr>
          <w:ilvl w:val="0"/>
          <w:numId w:val="44"/>
        </w:numPr>
        <w:spacing w:before="120" w:after="0" w:line="240" w:lineRule="auto"/>
        <w:jc w:val="both"/>
        <w:rPr>
          <w:rFonts w:ascii="Times New Roman" w:hAnsi="Times New Roman" w:cs="Times New Roman"/>
          <w:noProof/>
        </w:rPr>
      </w:pPr>
      <w:r w:rsidRPr="00DE4E4F">
        <w:rPr>
          <w:rFonts w:ascii="Times New Roman" w:hAnsi="Times New Roman"/>
          <w:noProof/>
          <w:sz w:val="24"/>
        </w:rPr>
        <w:t xml:space="preserve">Upgrading Vocational Education and Training (VET): </w:t>
      </w:r>
      <w:r w:rsidR="00EF0940" w:rsidRPr="00DE4E4F">
        <w:rPr>
          <w:rFonts w:ascii="Times New Roman" w:hAnsi="Times New Roman"/>
          <w:noProof/>
          <w:sz w:val="24"/>
        </w:rPr>
        <w:t xml:space="preserve">Purchase of laboratory equipment for laboratories of VET units </w:t>
      </w:r>
      <w:r w:rsidRPr="00DE4E4F">
        <w:rPr>
          <w:rFonts w:ascii="Times New Roman" w:hAnsi="Times New Roman"/>
          <w:noProof/>
          <w:sz w:val="24"/>
        </w:rPr>
        <w:t>(ID: 16933)</w:t>
      </w:r>
    </w:p>
    <w:p w14:paraId="48D17A03" w14:textId="77777777" w:rsidR="001B186F" w:rsidRPr="00DE4E4F" w:rsidRDefault="0074517F">
      <w:pPr>
        <w:numPr>
          <w:ilvl w:val="0"/>
          <w:numId w:val="44"/>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Upgrading Vocational Education and Training (ID: 16934)</w:t>
      </w:r>
    </w:p>
    <w:p w14:paraId="2742AF0A" w14:textId="77777777" w:rsidR="001B186F" w:rsidRPr="00DE4E4F" w:rsidRDefault="0074517F">
      <w:pPr>
        <w:numPr>
          <w:ilvl w:val="0"/>
          <w:numId w:val="44"/>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Strategy for Excellence in Universities &amp; Innovation (ID: 16289)</w:t>
      </w:r>
    </w:p>
    <w:p w14:paraId="4441E654" w14:textId="77777777" w:rsidR="001B186F" w:rsidRPr="00DE4E4F" w:rsidRDefault="0074517F">
      <w:pPr>
        <w:numPr>
          <w:ilvl w:val="0"/>
          <w:numId w:val="44"/>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Digital transformation of Education (ID: 16676)</w:t>
      </w:r>
    </w:p>
    <w:tbl>
      <w:tblPr>
        <w:tblW w:w="16019"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6"/>
        <w:gridCol w:w="2557"/>
        <w:gridCol w:w="1172"/>
        <w:gridCol w:w="2047"/>
        <w:gridCol w:w="2222"/>
        <w:gridCol w:w="1154"/>
        <w:gridCol w:w="857"/>
        <w:gridCol w:w="771"/>
        <w:gridCol w:w="851"/>
        <w:gridCol w:w="720"/>
        <w:gridCol w:w="3002"/>
      </w:tblGrid>
      <w:tr w:rsidR="00682269" w:rsidRPr="00DE4E4F" w14:paraId="4789A0F6" w14:textId="77777777">
        <w:trPr>
          <w:trHeight w:val="939"/>
          <w:tblHeader/>
        </w:trPr>
        <w:tc>
          <w:tcPr>
            <w:tcW w:w="666" w:type="dxa"/>
            <w:vMerge w:val="restart"/>
            <w:shd w:val="clear" w:color="auto" w:fill="BDD7EE"/>
            <w:vAlign w:val="center"/>
            <w:hideMark/>
          </w:tcPr>
          <w:p w14:paraId="2F2DFA3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557" w:type="dxa"/>
            <w:vMerge w:val="restart"/>
            <w:shd w:val="clear" w:color="auto" w:fill="BDD7EE"/>
            <w:vAlign w:val="center"/>
            <w:hideMark/>
          </w:tcPr>
          <w:p w14:paraId="11E5A1D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72" w:type="dxa"/>
            <w:vMerge w:val="restart"/>
            <w:shd w:val="clear" w:color="auto" w:fill="BDD7EE"/>
            <w:vAlign w:val="center"/>
            <w:hideMark/>
          </w:tcPr>
          <w:p w14:paraId="317EB15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2047" w:type="dxa"/>
            <w:vMerge w:val="restart"/>
            <w:shd w:val="clear" w:color="auto" w:fill="BDD7EE"/>
            <w:vAlign w:val="center"/>
            <w:hideMark/>
          </w:tcPr>
          <w:p w14:paraId="6466103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2222" w:type="dxa"/>
            <w:vMerge w:val="restart"/>
            <w:shd w:val="clear" w:color="auto" w:fill="BDD7EE"/>
            <w:vAlign w:val="center"/>
            <w:hideMark/>
          </w:tcPr>
          <w:p w14:paraId="3A894EB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782" w:type="dxa"/>
            <w:gridSpan w:val="3"/>
            <w:shd w:val="clear" w:color="auto" w:fill="BDD7EE"/>
            <w:vAlign w:val="center"/>
            <w:hideMark/>
          </w:tcPr>
          <w:p w14:paraId="409CE36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Quantitative indicators </w:t>
            </w:r>
            <w:r w:rsidRPr="00DE4E4F">
              <w:rPr>
                <w:rFonts w:ascii="Times New Roman" w:hAnsi="Times New Roman" w:cs="Times New Roman"/>
                <w:b/>
                <w:noProof/>
                <w:sz w:val="18"/>
                <w:szCs w:val="18"/>
              </w:rPr>
              <w:br/>
            </w:r>
            <w:r w:rsidRPr="00DE4E4F">
              <w:rPr>
                <w:rFonts w:ascii="Times New Roman" w:hAnsi="Times New Roman"/>
                <w:b/>
                <w:noProof/>
                <w:sz w:val="18"/>
              </w:rPr>
              <w:t>(for targets)</w:t>
            </w:r>
          </w:p>
        </w:tc>
        <w:tc>
          <w:tcPr>
            <w:tcW w:w="1571" w:type="dxa"/>
            <w:gridSpan w:val="2"/>
            <w:shd w:val="clear" w:color="auto" w:fill="BDD7EE"/>
            <w:vAlign w:val="center"/>
            <w:hideMark/>
          </w:tcPr>
          <w:p w14:paraId="5DCC86A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002" w:type="dxa"/>
            <w:vMerge w:val="restart"/>
            <w:shd w:val="clear" w:color="auto" w:fill="BDD7EE"/>
            <w:vAlign w:val="center"/>
            <w:hideMark/>
          </w:tcPr>
          <w:p w14:paraId="0A55F91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br/>
            </w:r>
            <w:r w:rsidRPr="00DE4E4F">
              <w:rPr>
                <w:rFonts w:ascii="Times New Roman" w:hAnsi="Times New Roman"/>
                <w:b/>
                <w:noProof/>
                <w:sz w:val="18"/>
              </w:rPr>
              <w:br/>
              <w:t>Description of each milestone and target</w:t>
            </w:r>
          </w:p>
          <w:p w14:paraId="1F4224C7" w14:textId="77777777" w:rsidR="001B186F" w:rsidRPr="00DE4E4F" w:rsidRDefault="001B186F">
            <w:pPr>
              <w:rPr>
                <w:rFonts w:ascii="Times New Roman" w:hAnsi="Times New Roman"/>
                <w:noProof/>
                <w:sz w:val="18"/>
              </w:rPr>
            </w:pPr>
          </w:p>
        </w:tc>
      </w:tr>
      <w:tr w:rsidR="00682269" w:rsidRPr="00DE4E4F" w14:paraId="7997F04F" w14:textId="77777777">
        <w:trPr>
          <w:trHeight w:val="320"/>
          <w:tblHeader/>
        </w:trPr>
        <w:tc>
          <w:tcPr>
            <w:tcW w:w="666" w:type="dxa"/>
            <w:vMerge/>
            <w:vAlign w:val="center"/>
            <w:hideMark/>
          </w:tcPr>
          <w:p w14:paraId="05F0DFD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557" w:type="dxa"/>
            <w:vMerge/>
            <w:vAlign w:val="center"/>
            <w:hideMark/>
          </w:tcPr>
          <w:p w14:paraId="04C76F0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72" w:type="dxa"/>
            <w:vMerge/>
            <w:vAlign w:val="center"/>
            <w:hideMark/>
          </w:tcPr>
          <w:p w14:paraId="71FC37E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047" w:type="dxa"/>
            <w:vMerge/>
            <w:vAlign w:val="center"/>
            <w:hideMark/>
          </w:tcPr>
          <w:p w14:paraId="73F9DEF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22" w:type="dxa"/>
            <w:vMerge/>
            <w:vAlign w:val="center"/>
            <w:hideMark/>
          </w:tcPr>
          <w:p w14:paraId="53EB137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54" w:type="dxa"/>
            <w:shd w:val="clear" w:color="auto" w:fill="BDD7EE"/>
            <w:vAlign w:val="center"/>
            <w:hideMark/>
          </w:tcPr>
          <w:p w14:paraId="7C570B4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3257B7F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71" w:type="dxa"/>
            <w:shd w:val="clear" w:color="auto" w:fill="BDD7EE"/>
            <w:vAlign w:val="center"/>
            <w:hideMark/>
          </w:tcPr>
          <w:p w14:paraId="6A38982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51" w:type="dxa"/>
            <w:shd w:val="clear" w:color="auto" w:fill="BDD7EE"/>
            <w:vAlign w:val="center"/>
            <w:hideMark/>
          </w:tcPr>
          <w:p w14:paraId="1831F6D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20" w:type="dxa"/>
            <w:shd w:val="clear" w:color="auto" w:fill="BDD7EE"/>
            <w:vAlign w:val="center"/>
            <w:hideMark/>
          </w:tcPr>
          <w:p w14:paraId="4FD6AA4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002" w:type="dxa"/>
            <w:vMerge/>
            <w:vAlign w:val="center"/>
            <w:hideMark/>
          </w:tcPr>
          <w:p w14:paraId="794F7DB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E70C692" w14:textId="77777777">
        <w:trPr>
          <w:trHeight w:val="313"/>
        </w:trPr>
        <w:tc>
          <w:tcPr>
            <w:tcW w:w="666" w:type="dxa"/>
            <w:shd w:val="clear" w:color="auto" w:fill="C6EFCE"/>
            <w:noWrap/>
          </w:tcPr>
          <w:p w14:paraId="54EB04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147</w:t>
            </w:r>
          </w:p>
        </w:tc>
        <w:tc>
          <w:tcPr>
            <w:tcW w:w="2557" w:type="dxa"/>
            <w:shd w:val="clear" w:color="auto" w:fill="C6EFCE"/>
            <w:noWrap/>
          </w:tcPr>
          <w:p w14:paraId="5718A1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- 16289_Strategy for Excellence in Universities &amp; Innovation</w:t>
            </w:r>
          </w:p>
        </w:tc>
        <w:tc>
          <w:tcPr>
            <w:tcW w:w="1172" w:type="dxa"/>
            <w:shd w:val="clear" w:color="auto" w:fill="C6EFCE"/>
            <w:noWrap/>
          </w:tcPr>
          <w:p w14:paraId="6704269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47" w:type="dxa"/>
            <w:shd w:val="clear" w:color="auto" w:fill="C6EFCE"/>
            <w:noWrap/>
          </w:tcPr>
          <w:p w14:paraId="254A39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Universities of Excellence and Clusters of Research Excellence Approval decisions</w:t>
            </w:r>
          </w:p>
        </w:tc>
        <w:tc>
          <w:tcPr>
            <w:tcW w:w="2222" w:type="dxa"/>
            <w:shd w:val="clear" w:color="auto" w:fill="C6EFCE"/>
            <w:noWrap/>
          </w:tcPr>
          <w:p w14:paraId="2B8D46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approval decisions by the</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Ministry of Education, Religious Affairs and Sports</w:t>
            </w:r>
          </w:p>
        </w:tc>
        <w:tc>
          <w:tcPr>
            <w:tcW w:w="1154" w:type="dxa"/>
            <w:shd w:val="clear" w:color="auto" w:fill="C6EFCE"/>
            <w:noWrap/>
          </w:tcPr>
          <w:p w14:paraId="65DD773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C33A2C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71" w:type="dxa"/>
            <w:shd w:val="clear" w:color="auto" w:fill="C6EFCE"/>
            <w:noWrap/>
          </w:tcPr>
          <w:p w14:paraId="63F829F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26EF7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360D11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002" w:type="dxa"/>
            <w:shd w:val="clear" w:color="auto" w:fill="C6EFCE"/>
            <w:noWrap/>
          </w:tcPr>
          <w:p w14:paraId="2E757A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approval decisions by the Ministry of Education, Religious Affairs and Sports for the selected universities to upgrade and improve their research and educational infrastructures (for example equipment or research laboratories), expand in new research areas and improve the training offered.</w:t>
            </w:r>
          </w:p>
          <w:p w14:paraId="6BF306C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65587A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approval decision by the Ministry of Education, Religious Affairs and Sports for 70 collaborative research projects between universities and the private sector under the Clusters of Research Excellence initiative.</w:t>
            </w:r>
          </w:p>
        </w:tc>
      </w:tr>
      <w:tr w:rsidR="00682269" w:rsidRPr="00DE4E4F" w14:paraId="62F20A1B" w14:textId="77777777">
        <w:trPr>
          <w:trHeight w:val="313"/>
        </w:trPr>
        <w:tc>
          <w:tcPr>
            <w:tcW w:w="666" w:type="dxa"/>
            <w:shd w:val="clear" w:color="auto" w:fill="C6EFCE"/>
            <w:noWrap/>
          </w:tcPr>
          <w:p w14:paraId="177E74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148</w:t>
            </w:r>
          </w:p>
        </w:tc>
        <w:tc>
          <w:tcPr>
            <w:tcW w:w="2557" w:type="dxa"/>
            <w:shd w:val="clear" w:color="auto" w:fill="C6EFCE"/>
            <w:noWrap/>
          </w:tcPr>
          <w:p w14:paraId="6953CB4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- 16676_Digital transformation of Education</w:t>
            </w:r>
          </w:p>
        </w:tc>
        <w:tc>
          <w:tcPr>
            <w:tcW w:w="1172" w:type="dxa"/>
            <w:shd w:val="clear" w:color="auto" w:fill="C6EFCE"/>
            <w:noWrap/>
          </w:tcPr>
          <w:p w14:paraId="4EAAC8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047" w:type="dxa"/>
            <w:shd w:val="clear" w:color="auto" w:fill="C6EFCE"/>
            <w:noWrap/>
          </w:tcPr>
          <w:p w14:paraId="08DB931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Interactive systems installation completion</w:t>
            </w:r>
          </w:p>
        </w:tc>
        <w:tc>
          <w:tcPr>
            <w:tcW w:w="2222" w:type="dxa"/>
            <w:shd w:val="clear" w:color="auto" w:fill="C6EFCE"/>
            <w:noWrap/>
          </w:tcPr>
          <w:p w14:paraId="6AA603E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54" w:type="dxa"/>
            <w:shd w:val="clear" w:color="auto" w:fill="C6EFCE"/>
            <w:noWrap/>
          </w:tcPr>
          <w:p w14:paraId="7DF1E5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interactive learning systems installed</w:t>
            </w:r>
          </w:p>
        </w:tc>
        <w:tc>
          <w:tcPr>
            <w:tcW w:w="857" w:type="dxa"/>
            <w:shd w:val="clear" w:color="auto" w:fill="C6EFCE"/>
            <w:noWrap/>
          </w:tcPr>
          <w:p w14:paraId="43F7AA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71" w:type="dxa"/>
            <w:shd w:val="clear" w:color="auto" w:fill="C6EFCE"/>
            <w:noWrap/>
          </w:tcPr>
          <w:p w14:paraId="0F6301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36 000</w:t>
            </w:r>
          </w:p>
        </w:tc>
        <w:tc>
          <w:tcPr>
            <w:tcW w:w="851" w:type="dxa"/>
            <w:shd w:val="clear" w:color="auto" w:fill="C6EFCE"/>
            <w:noWrap/>
          </w:tcPr>
          <w:p w14:paraId="643BB4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617C17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002" w:type="dxa"/>
            <w:shd w:val="clear" w:color="auto" w:fill="C6EFCE"/>
            <w:noWrap/>
          </w:tcPr>
          <w:p w14:paraId="70AE1F4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at least 36 000 interactive learning systems for classrooms of primary and secondary schools</w:t>
            </w:r>
          </w:p>
        </w:tc>
      </w:tr>
      <w:tr w:rsidR="00682269" w:rsidRPr="00DE4E4F" w14:paraId="70FE6C76" w14:textId="77777777">
        <w:trPr>
          <w:trHeight w:val="313"/>
        </w:trPr>
        <w:tc>
          <w:tcPr>
            <w:tcW w:w="666" w:type="dxa"/>
            <w:shd w:val="clear" w:color="auto" w:fill="C6EFCE"/>
            <w:noWrap/>
          </w:tcPr>
          <w:p w14:paraId="7A7A93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148a</w:t>
            </w:r>
          </w:p>
        </w:tc>
        <w:tc>
          <w:tcPr>
            <w:tcW w:w="2557" w:type="dxa"/>
            <w:shd w:val="clear" w:color="auto" w:fill="C6EFCE"/>
            <w:noWrap/>
          </w:tcPr>
          <w:p w14:paraId="4B7EA8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- 16676_Digital transformation of Education</w:t>
            </w:r>
          </w:p>
        </w:tc>
        <w:tc>
          <w:tcPr>
            <w:tcW w:w="1172" w:type="dxa"/>
            <w:shd w:val="clear" w:color="auto" w:fill="C6EFCE"/>
            <w:noWrap/>
          </w:tcPr>
          <w:p w14:paraId="550ACA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47" w:type="dxa"/>
            <w:shd w:val="clear" w:color="auto" w:fill="C6EFCE"/>
            <w:noWrap/>
          </w:tcPr>
          <w:p w14:paraId="1A1572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Strategy to update curricula, rationalise services and monitor the outcome of Digital transformation of Education</w:t>
            </w:r>
          </w:p>
        </w:tc>
        <w:tc>
          <w:tcPr>
            <w:tcW w:w="2222" w:type="dxa"/>
            <w:shd w:val="clear" w:color="auto" w:fill="C6EFCE"/>
            <w:noWrap/>
          </w:tcPr>
          <w:p w14:paraId="43C446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reform strategy to update curricula, rationalise services and define the methodology to monitor the outcome of Digital transformation of Education</w:t>
            </w:r>
          </w:p>
        </w:tc>
        <w:tc>
          <w:tcPr>
            <w:tcW w:w="1154" w:type="dxa"/>
            <w:shd w:val="clear" w:color="auto" w:fill="C6EFCE"/>
            <w:noWrap/>
          </w:tcPr>
          <w:p w14:paraId="5BBFE31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B78EE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71" w:type="dxa"/>
            <w:shd w:val="clear" w:color="auto" w:fill="C6EFCE"/>
            <w:noWrap/>
          </w:tcPr>
          <w:p w14:paraId="197221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A7D43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42A406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002" w:type="dxa"/>
            <w:shd w:val="clear" w:color="auto" w:fill="C6EFCE"/>
            <w:noWrap/>
          </w:tcPr>
          <w:p w14:paraId="2995C0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reform strategy to update curricula, rationalise services and define the methodology to monitor the outcome of Digital transformation of Education</w:t>
            </w:r>
          </w:p>
        </w:tc>
      </w:tr>
      <w:tr w:rsidR="00682269" w:rsidRPr="00DE4E4F" w14:paraId="18CC2849" w14:textId="77777777">
        <w:trPr>
          <w:trHeight w:val="313"/>
        </w:trPr>
        <w:tc>
          <w:tcPr>
            <w:tcW w:w="666" w:type="dxa"/>
            <w:shd w:val="clear" w:color="auto" w:fill="C6EFCE"/>
            <w:noWrap/>
          </w:tcPr>
          <w:p w14:paraId="6B93D0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148b</w:t>
            </w:r>
          </w:p>
        </w:tc>
        <w:tc>
          <w:tcPr>
            <w:tcW w:w="2557" w:type="dxa"/>
            <w:shd w:val="clear" w:color="auto" w:fill="C6EFCE"/>
            <w:noWrap/>
          </w:tcPr>
          <w:p w14:paraId="20BA10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- 16676_Digital transformation of Education</w:t>
            </w:r>
          </w:p>
        </w:tc>
        <w:tc>
          <w:tcPr>
            <w:tcW w:w="1172" w:type="dxa"/>
            <w:shd w:val="clear" w:color="auto" w:fill="C6EFCE"/>
            <w:noWrap/>
          </w:tcPr>
          <w:p w14:paraId="1D23AE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47" w:type="dxa"/>
            <w:shd w:val="clear" w:color="auto" w:fill="C6EFCE"/>
            <w:noWrap/>
          </w:tcPr>
          <w:p w14:paraId="7CE7E5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of education</w:t>
            </w:r>
          </w:p>
        </w:tc>
        <w:tc>
          <w:tcPr>
            <w:tcW w:w="2222" w:type="dxa"/>
            <w:shd w:val="clear" w:color="auto" w:fill="C6EFCE"/>
            <w:noWrap/>
          </w:tcPr>
          <w:p w14:paraId="67560E9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digital projects in the education sector</w:t>
            </w:r>
          </w:p>
        </w:tc>
        <w:tc>
          <w:tcPr>
            <w:tcW w:w="1154" w:type="dxa"/>
            <w:shd w:val="clear" w:color="auto" w:fill="C6EFCE"/>
            <w:noWrap/>
          </w:tcPr>
          <w:p w14:paraId="6B7AF53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71F60C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71" w:type="dxa"/>
            <w:shd w:val="clear" w:color="auto" w:fill="C6EFCE"/>
            <w:noWrap/>
          </w:tcPr>
          <w:p w14:paraId="39D0ABE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55F8F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0E050F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002" w:type="dxa"/>
            <w:shd w:val="clear" w:color="auto" w:fill="C6EFCE"/>
            <w:noWrap/>
          </w:tcPr>
          <w:p w14:paraId="73255E3C" w14:textId="77777777" w:rsidR="001B186F" w:rsidRPr="00DE4E4F" w:rsidRDefault="0074517F">
            <w:pPr>
              <w:pStyle w:val="paragraph"/>
              <w:spacing w:before="0" w:beforeAutospacing="0" w:after="0" w:afterAutospacing="0"/>
              <w:textAlignment w:val="baseline"/>
              <w:rPr>
                <w:rFonts w:eastAsia="Calibri"/>
                <w:noProof/>
                <w:color w:val="006100"/>
                <w:sz w:val="18"/>
                <w:szCs w:val="18"/>
              </w:rPr>
            </w:pPr>
            <w:r w:rsidRPr="00DE4E4F">
              <w:rPr>
                <w:rFonts w:eastAsia="Calibri"/>
                <w:noProof/>
                <w:color w:val="006100"/>
                <w:sz w:val="18"/>
                <w:szCs w:val="18"/>
                <w:lang w:eastAsia="en-US"/>
              </w:rPr>
              <w:t>Delivery of the following projects:</w:t>
            </w:r>
          </w:p>
          <w:p w14:paraId="5503B800" w14:textId="69B266F8" w:rsidR="009E21CB" w:rsidRPr="00DE4E4F" w:rsidRDefault="009E21CB" w:rsidP="009A6FC8">
            <w:pPr>
              <w:pStyle w:val="paragraph"/>
              <w:numPr>
                <w:ilvl w:val="0"/>
                <w:numId w:val="45"/>
              </w:numPr>
              <w:spacing w:after="0" w:afterAutospacing="0"/>
              <w:ind w:left="414" w:hanging="357"/>
              <w:textAlignment w:val="baseline"/>
              <w:rPr>
                <w:rFonts w:eastAsia="Calibri"/>
                <w:noProof/>
                <w:color w:val="006100"/>
                <w:sz w:val="18"/>
                <w:szCs w:val="18"/>
                <w:lang w:eastAsia="en-US"/>
              </w:rPr>
            </w:pPr>
            <w:r w:rsidRPr="00DE4E4F">
              <w:rPr>
                <w:noProof/>
                <w:color w:val="006100"/>
                <w:sz w:val="18"/>
                <w:szCs w:val="18"/>
              </w:rPr>
              <w:t>5</w:t>
            </w:r>
            <w:r w:rsidR="009E2E69" w:rsidRPr="00DE4E4F">
              <w:rPr>
                <w:noProof/>
                <w:color w:val="006100"/>
                <w:sz w:val="18"/>
                <w:szCs w:val="18"/>
              </w:rPr>
              <w:t> </w:t>
            </w:r>
            <w:r w:rsidRPr="00DE4E4F">
              <w:rPr>
                <w:noProof/>
                <w:color w:val="006100"/>
                <w:sz w:val="18"/>
                <w:szCs w:val="18"/>
              </w:rPr>
              <w:t>000 Open Educational Resources</w:t>
            </w:r>
            <w:r w:rsidR="00055711" w:rsidRPr="00DE4E4F">
              <w:rPr>
                <w:noProof/>
                <w:color w:val="006100"/>
                <w:sz w:val="18"/>
                <w:szCs w:val="18"/>
              </w:rPr>
              <w:t xml:space="preserve"> </w:t>
            </w:r>
            <w:r w:rsidRPr="00DE4E4F">
              <w:rPr>
                <w:noProof/>
                <w:color w:val="006100"/>
                <w:sz w:val="18"/>
                <w:szCs w:val="18"/>
              </w:rPr>
              <w:t>and subsystem for digital educational platform, repository and personalized learning</w:t>
            </w:r>
          </w:p>
          <w:p w14:paraId="54D178E3" w14:textId="77777777" w:rsidR="001B186F" w:rsidRPr="00DE4E4F" w:rsidRDefault="0074517F" w:rsidP="001B66FB">
            <w:pPr>
              <w:pStyle w:val="paragraph"/>
              <w:numPr>
                <w:ilvl w:val="0"/>
                <w:numId w:val="45"/>
              </w:numPr>
              <w:spacing w:after="0" w:afterAutospacing="0"/>
              <w:ind w:left="414" w:hanging="357"/>
              <w:textAlignment w:val="baseline"/>
              <w:rPr>
                <w:rFonts w:eastAsia="Calibri"/>
                <w:noProof/>
                <w:color w:val="006100"/>
                <w:sz w:val="18"/>
                <w:szCs w:val="18"/>
                <w:lang w:eastAsia="en-US"/>
              </w:rPr>
            </w:pPr>
            <w:r w:rsidRPr="00DE4E4F">
              <w:rPr>
                <w:rFonts w:eastAsia="Calibri"/>
                <w:noProof/>
                <w:color w:val="006100"/>
                <w:sz w:val="18"/>
                <w:szCs w:val="18"/>
                <w:lang w:eastAsia="en-US"/>
              </w:rPr>
              <w:t xml:space="preserve">Installation of interactive learning systems for classrooms of primary and secondary schools </w:t>
            </w:r>
          </w:p>
          <w:p w14:paraId="03177901" w14:textId="1007697E" w:rsidR="001B186F" w:rsidRPr="00DE4E4F" w:rsidRDefault="0074517F" w:rsidP="001B66FB">
            <w:pPr>
              <w:pStyle w:val="paragraph"/>
              <w:numPr>
                <w:ilvl w:val="0"/>
                <w:numId w:val="45"/>
              </w:numPr>
              <w:spacing w:after="0" w:afterAutospacing="0"/>
              <w:ind w:left="414" w:hanging="357"/>
              <w:textAlignment w:val="baseline"/>
              <w:rPr>
                <w:rFonts w:eastAsia="Calibri"/>
                <w:noProof/>
                <w:color w:val="006100"/>
                <w:sz w:val="18"/>
                <w:szCs w:val="18"/>
                <w:lang w:eastAsia="en-US"/>
              </w:rPr>
            </w:pPr>
            <w:r w:rsidRPr="00DE4E4F">
              <w:rPr>
                <w:rFonts w:eastAsia="Calibri"/>
                <w:noProof/>
                <w:color w:val="006100"/>
                <w:sz w:val="18"/>
                <w:szCs w:val="18"/>
                <w:lang w:eastAsia="en-US"/>
              </w:rPr>
              <w:t xml:space="preserve">Provision of </w:t>
            </w:r>
            <w:r w:rsidR="001C6CAD" w:rsidRPr="00DE4E4F">
              <w:rPr>
                <w:rFonts w:eastAsia="Calibri"/>
                <w:noProof/>
                <w:color w:val="006100"/>
                <w:sz w:val="18"/>
                <w:szCs w:val="18"/>
                <w:lang w:eastAsia="en-US"/>
              </w:rPr>
              <w:t xml:space="preserve">660 000 </w:t>
            </w:r>
            <w:r w:rsidRPr="00DE4E4F">
              <w:rPr>
                <w:rFonts w:eastAsia="Calibri"/>
                <w:noProof/>
                <w:color w:val="006100"/>
                <w:sz w:val="18"/>
                <w:szCs w:val="18"/>
                <w:lang w:eastAsia="en-US"/>
              </w:rPr>
              <w:t xml:space="preserve">vouchers </w:t>
            </w:r>
            <w:r w:rsidR="004F582B" w:rsidRPr="00DE4E4F">
              <w:rPr>
                <w:rFonts w:eastAsia="Calibri"/>
                <w:noProof/>
                <w:color w:val="006100"/>
                <w:sz w:val="18"/>
                <w:szCs w:val="18"/>
                <w:lang w:eastAsia="en-US"/>
              </w:rPr>
              <w:t xml:space="preserve">under Digital Access Vouchers I and II </w:t>
            </w:r>
            <w:r w:rsidRPr="00DE4E4F">
              <w:rPr>
                <w:rFonts w:eastAsia="Calibri"/>
                <w:noProof/>
                <w:color w:val="006100"/>
                <w:sz w:val="18"/>
                <w:szCs w:val="18"/>
                <w:lang w:eastAsia="en-US"/>
              </w:rPr>
              <w:t xml:space="preserve">for the purchase of digital equipment </w:t>
            </w:r>
            <w:r w:rsidR="00647DDE" w:rsidRPr="00DE4E4F">
              <w:rPr>
                <w:rFonts w:eastAsia="Calibri"/>
                <w:noProof/>
                <w:color w:val="006100"/>
                <w:sz w:val="18"/>
                <w:szCs w:val="18"/>
                <w:lang w:eastAsia="en-US"/>
              </w:rPr>
              <w:t xml:space="preserve">as confirmed by the </w:t>
            </w:r>
            <w:r w:rsidR="00CC7E20" w:rsidRPr="00DE4E4F">
              <w:rPr>
                <w:rFonts w:eastAsia="Calibri"/>
                <w:noProof/>
                <w:color w:val="006100"/>
                <w:sz w:val="18"/>
                <w:szCs w:val="18"/>
                <w:lang w:eastAsia="en-US"/>
              </w:rPr>
              <w:t>informat</w:t>
            </w:r>
            <w:r w:rsidR="00A967D8" w:rsidRPr="00DE4E4F">
              <w:rPr>
                <w:rFonts w:eastAsia="Calibri"/>
                <w:noProof/>
                <w:color w:val="006100"/>
                <w:sz w:val="18"/>
                <w:szCs w:val="18"/>
                <w:lang w:eastAsia="en-US"/>
              </w:rPr>
              <w:t>i</w:t>
            </w:r>
            <w:r w:rsidR="00CC7E20" w:rsidRPr="00DE4E4F">
              <w:rPr>
                <w:rFonts w:eastAsia="Calibri"/>
                <w:noProof/>
                <w:color w:val="006100"/>
                <w:sz w:val="18"/>
                <w:szCs w:val="18"/>
                <w:lang w:eastAsia="en-US"/>
              </w:rPr>
              <w:t xml:space="preserve">on </w:t>
            </w:r>
            <w:r w:rsidR="00A967D8" w:rsidRPr="00DE4E4F">
              <w:rPr>
                <w:rFonts w:eastAsia="Calibri"/>
                <w:noProof/>
                <w:color w:val="006100"/>
                <w:sz w:val="18"/>
                <w:szCs w:val="18"/>
                <w:lang w:eastAsia="en-US"/>
              </w:rPr>
              <w:t xml:space="preserve">of </w:t>
            </w:r>
            <w:r w:rsidR="00CC7E20" w:rsidRPr="00DE4E4F">
              <w:rPr>
                <w:rFonts w:eastAsia="Calibri"/>
                <w:noProof/>
                <w:color w:val="006100"/>
                <w:sz w:val="18"/>
                <w:szCs w:val="18"/>
                <w:lang w:eastAsia="en-US"/>
              </w:rPr>
              <w:t xml:space="preserve">the </w:t>
            </w:r>
            <w:r w:rsidR="00C52534" w:rsidRPr="00DE4E4F">
              <w:rPr>
                <w:rFonts w:eastAsia="Calibri"/>
                <w:noProof/>
                <w:color w:val="006100"/>
                <w:sz w:val="18"/>
                <w:szCs w:val="18"/>
                <w:lang w:eastAsia="en-US"/>
              </w:rPr>
              <w:t>related electronic platform</w:t>
            </w:r>
          </w:p>
          <w:p w14:paraId="3689DB5A" w14:textId="77777777" w:rsidR="001B186F" w:rsidRPr="00DE4E4F" w:rsidRDefault="0074517F" w:rsidP="001B66FB">
            <w:pPr>
              <w:pStyle w:val="paragraph"/>
              <w:numPr>
                <w:ilvl w:val="0"/>
                <w:numId w:val="45"/>
              </w:numPr>
              <w:spacing w:after="0" w:afterAutospacing="0"/>
              <w:ind w:left="414" w:hanging="357"/>
              <w:textAlignment w:val="baseline"/>
              <w:rPr>
                <w:rFonts w:eastAsia="Calibri"/>
                <w:noProof/>
                <w:color w:val="006100"/>
                <w:sz w:val="18"/>
                <w:szCs w:val="18"/>
                <w:lang w:eastAsia="en-US"/>
              </w:rPr>
            </w:pPr>
            <w:r w:rsidRPr="00DE4E4F">
              <w:rPr>
                <w:rFonts w:eastAsia="Calibri"/>
                <w:noProof/>
                <w:color w:val="006100"/>
                <w:sz w:val="18"/>
                <w:szCs w:val="18"/>
                <w:lang w:eastAsia="en-US"/>
              </w:rPr>
              <w:t xml:space="preserve">Provision of robotics and STEM learning infrastructure to public schools </w:t>
            </w:r>
          </w:p>
          <w:p w14:paraId="49E607F5" w14:textId="77777777" w:rsidR="001B186F" w:rsidRPr="00DE4E4F" w:rsidRDefault="0074517F" w:rsidP="001B66FB">
            <w:pPr>
              <w:pStyle w:val="paragraph"/>
              <w:numPr>
                <w:ilvl w:val="0"/>
                <w:numId w:val="45"/>
              </w:numPr>
              <w:spacing w:before="0" w:beforeAutospacing="0" w:after="0" w:afterAutospacing="0"/>
              <w:ind w:left="414" w:hanging="357"/>
              <w:textAlignment w:val="baseline"/>
              <w:rPr>
                <w:rFonts w:eastAsia="Calibri"/>
                <w:noProof/>
                <w:color w:val="006100"/>
                <w:sz w:val="18"/>
                <w:szCs w:val="18"/>
                <w:lang w:eastAsia="en-US"/>
              </w:rPr>
            </w:pPr>
            <w:r w:rsidRPr="00DE4E4F">
              <w:rPr>
                <w:rFonts w:eastAsia="Calibri"/>
                <w:noProof/>
                <w:color w:val="006100"/>
                <w:sz w:val="18"/>
                <w:szCs w:val="18"/>
                <w:lang w:eastAsia="en-US"/>
              </w:rPr>
              <w:t>Upgrading of digital services of schools and universities</w:t>
            </w:r>
          </w:p>
        </w:tc>
      </w:tr>
      <w:tr w:rsidR="00682269" w:rsidRPr="00DE4E4F" w14:paraId="0915B2BA" w14:textId="77777777">
        <w:trPr>
          <w:trHeight w:val="313"/>
        </w:trPr>
        <w:tc>
          <w:tcPr>
            <w:tcW w:w="666" w:type="dxa"/>
            <w:shd w:val="clear" w:color="auto" w:fill="C6EFCE"/>
            <w:noWrap/>
          </w:tcPr>
          <w:p w14:paraId="6B3229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149</w:t>
            </w:r>
          </w:p>
        </w:tc>
        <w:tc>
          <w:tcPr>
            <w:tcW w:w="2557" w:type="dxa"/>
            <w:shd w:val="clear" w:color="auto" w:fill="C6EFCE"/>
            <w:noWrap/>
          </w:tcPr>
          <w:p w14:paraId="7E758B50" w14:textId="2F2B2A94"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9 - 3.2. Education, vocational education and training, and skills - 16933_Upgrading Vocational Education and Training (VET): </w:t>
            </w:r>
            <w:r w:rsidR="00832D5E" w:rsidRPr="00DE4E4F">
              <w:rPr>
                <w:rFonts w:ascii="Times New Roman" w:hAnsi="Times New Roman" w:cs="Times New Roman"/>
                <w:noProof/>
                <w:color w:val="006100"/>
                <w:sz w:val="18"/>
                <w:szCs w:val="18"/>
              </w:rPr>
              <w:t>Purchase of laboratory equipment for laboratories of VET units</w:t>
            </w:r>
          </w:p>
        </w:tc>
        <w:tc>
          <w:tcPr>
            <w:tcW w:w="1172" w:type="dxa"/>
            <w:shd w:val="clear" w:color="auto" w:fill="C6EFCE"/>
            <w:noWrap/>
          </w:tcPr>
          <w:p w14:paraId="7E6E888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Milestone</w:t>
            </w:r>
          </w:p>
        </w:tc>
        <w:tc>
          <w:tcPr>
            <w:tcW w:w="2047" w:type="dxa"/>
            <w:shd w:val="clear" w:color="auto" w:fill="C6EFCE"/>
            <w:noWrap/>
          </w:tcPr>
          <w:p w14:paraId="7179793D" w14:textId="2A5BEFEF" w:rsidR="001B186F" w:rsidRPr="00DE4E4F" w:rsidRDefault="00CC208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Modernisation of laboratories of VET Units</w:t>
            </w:r>
          </w:p>
        </w:tc>
        <w:tc>
          <w:tcPr>
            <w:tcW w:w="2222" w:type="dxa"/>
            <w:shd w:val="clear" w:color="auto" w:fill="C6EFCE"/>
            <w:noWrap/>
          </w:tcPr>
          <w:p w14:paraId="5C2D0847"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Purchase of modern equipment for laboratories in </w:t>
            </w:r>
            <w:r w:rsidRPr="00DE4E4F">
              <w:rPr>
                <w:rFonts w:ascii="Times New Roman" w:hAnsi="Times New Roman" w:cs="Times New Roman"/>
                <w:noProof/>
                <w:color w:val="006100"/>
                <w:sz w:val="18"/>
                <w:szCs w:val="18"/>
              </w:rPr>
              <w:t>Vocational Education and Training Units</w:t>
            </w:r>
          </w:p>
        </w:tc>
        <w:tc>
          <w:tcPr>
            <w:tcW w:w="1154" w:type="dxa"/>
            <w:shd w:val="clear" w:color="auto" w:fill="C6EFCE"/>
            <w:noWrap/>
          </w:tcPr>
          <w:p w14:paraId="46A37405"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7" w:type="dxa"/>
            <w:shd w:val="clear" w:color="auto" w:fill="C6EFCE"/>
            <w:noWrap/>
          </w:tcPr>
          <w:p w14:paraId="07A6B0B2" w14:textId="77777777" w:rsidR="001B186F" w:rsidRPr="00DE4E4F" w:rsidRDefault="001B186F">
            <w:pPr>
              <w:spacing w:after="0" w:line="240" w:lineRule="auto"/>
              <w:rPr>
                <w:rFonts w:ascii="Times New Roman" w:hAnsi="Times New Roman" w:cs="Times New Roman"/>
                <w:noProof/>
                <w:color w:val="006100"/>
                <w:sz w:val="18"/>
                <w:szCs w:val="18"/>
              </w:rPr>
            </w:pPr>
          </w:p>
        </w:tc>
        <w:tc>
          <w:tcPr>
            <w:tcW w:w="771" w:type="dxa"/>
            <w:shd w:val="clear" w:color="auto" w:fill="C6EFCE"/>
            <w:noWrap/>
          </w:tcPr>
          <w:p w14:paraId="20D55E14"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1" w:type="dxa"/>
            <w:shd w:val="clear" w:color="auto" w:fill="C6EFCE"/>
            <w:noWrap/>
          </w:tcPr>
          <w:p w14:paraId="3486EE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377FFC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002" w:type="dxa"/>
            <w:shd w:val="clear" w:color="auto" w:fill="C6EFCE"/>
            <w:noWrap/>
          </w:tcPr>
          <w:p w14:paraId="4412320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lang w:eastAsia="en-GB"/>
              </w:rPr>
              <w:t xml:space="preserve">Purchase </w:t>
            </w:r>
            <w:r w:rsidRPr="00DE4E4F">
              <w:rPr>
                <w:rFonts w:ascii="Times New Roman" w:hAnsi="Times New Roman" w:cs="Times New Roman"/>
                <w:noProof/>
                <w:color w:val="006100"/>
                <w:sz w:val="18"/>
                <w:szCs w:val="18"/>
              </w:rPr>
              <w:t>of modern equipment for 376 laboratories in Vocational Education and Training Units</w:t>
            </w:r>
          </w:p>
        </w:tc>
      </w:tr>
      <w:tr w:rsidR="00682269" w:rsidRPr="00DE4E4F" w14:paraId="01957BD6" w14:textId="77777777">
        <w:trPr>
          <w:trHeight w:val="1612"/>
        </w:trPr>
        <w:tc>
          <w:tcPr>
            <w:tcW w:w="666" w:type="dxa"/>
            <w:shd w:val="clear" w:color="auto" w:fill="C6EFCE"/>
            <w:noWrap/>
          </w:tcPr>
          <w:p w14:paraId="207632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150</w:t>
            </w:r>
          </w:p>
        </w:tc>
        <w:tc>
          <w:tcPr>
            <w:tcW w:w="2557" w:type="dxa"/>
            <w:shd w:val="clear" w:color="auto" w:fill="C6EFCE"/>
            <w:noWrap/>
          </w:tcPr>
          <w:p w14:paraId="718CB8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- 16289_Strategy for Excellence in Universities &amp; Innovation</w:t>
            </w:r>
          </w:p>
        </w:tc>
        <w:tc>
          <w:tcPr>
            <w:tcW w:w="1172" w:type="dxa"/>
            <w:shd w:val="clear" w:color="auto" w:fill="C6EFCE"/>
            <w:noWrap/>
          </w:tcPr>
          <w:p w14:paraId="3E8E80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47" w:type="dxa"/>
            <w:shd w:val="clear" w:color="auto" w:fill="C6EFCE"/>
            <w:noWrap/>
          </w:tcPr>
          <w:p w14:paraId="7BD3819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collaborative research projects and of projects for Greek universities, and issuance of approval decisions for postgraduate programmes</w:t>
            </w:r>
          </w:p>
          <w:p w14:paraId="7C20266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2222" w:type="dxa"/>
            <w:shd w:val="clear" w:color="auto" w:fill="C6EFCE"/>
            <w:noWrap/>
          </w:tcPr>
          <w:p w14:paraId="786ED4A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collaborative research projects and of projects for Greek universities, and issuance of approval decisions for postgraduate programmes </w:t>
            </w:r>
          </w:p>
        </w:tc>
        <w:tc>
          <w:tcPr>
            <w:tcW w:w="1154" w:type="dxa"/>
            <w:shd w:val="clear" w:color="auto" w:fill="C6EFCE"/>
            <w:noWrap/>
          </w:tcPr>
          <w:p w14:paraId="4EE1C9C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70715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71" w:type="dxa"/>
            <w:shd w:val="clear" w:color="auto" w:fill="C6EFCE"/>
            <w:noWrap/>
          </w:tcPr>
          <w:p w14:paraId="75C68A3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CB2587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40F9D0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002" w:type="dxa"/>
            <w:shd w:val="clear" w:color="auto" w:fill="C6EFCE"/>
            <w:noWrap/>
          </w:tcPr>
          <w:p w14:paraId="4AB66E4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Execution of 70 collaborative research projects (Clusters of Research Excellence) for academics with private sector companies.</w:t>
            </w:r>
          </w:p>
          <w:p w14:paraId="53B27E6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 Execution of projects related to infrastructures of Greek universities selected in the context of the measure.</w:t>
            </w:r>
          </w:p>
          <w:p w14:paraId="01A71321"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 Issuance of approval decisions for the funding of 35 joint and/or dual postgraduate study programmes with foreign universities.</w:t>
            </w:r>
          </w:p>
        </w:tc>
      </w:tr>
      <w:tr w:rsidR="00682269" w:rsidRPr="00DE4E4F" w14:paraId="4174A21F" w14:textId="77777777">
        <w:trPr>
          <w:trHeight w:val="313"/>
        </w:trPr>
        <w:tc>
          <w:tcPr>
            <w:tcW w:w="666" w:type="dxa"/>
            <w:shd w:val="clear" w:color="auto" w:fill="C6EFCE"/>
            <w:noWrap/>
          </w:tcPr>
          <w:p w14:paraId="5EBC5F9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152</w:t>
            </w:r>
          </w:p>
        </w:tc>
        <w:tc>
          <w:tcPr>
            <w:tcW w:w="2557" w:type="dxa"/>
            <w:shd w:val="clear" w:color="auto" w:fill="C6EFCE"/>
            <w:noWrap/>
          </w:tcPr>
          <w:p w14:paraId="134445D9" w14:textId="77777777" w:rsidR="002C108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9 - 3.2. Education, vocational education and training, and skills - 16934</w:t>
            </w:r>
          </w:p>
          <w:p w14:paraId="7BACE913" w14:textId="01A0DCD3"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_Upgrading Vocational Education and Training</w:t>
            </w:r>
          </w:p>
        </w:tc>
        <w:tc>
          <w:tcPr>
            <w:tcW w:w="1172" w:type="dxa"/>
            <w:shd w:val="clear" w:color="auto" w:fill="C6EFCE"/>
            <w:noWrap/>
          </w:tcPr>
          <w:p w14:paraId="33768A1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47" w:type="dxa"/>
            <w:shd w:val="clear" w:color="auto" w:fill="C6EFCE"/>
            <w:noWrap/>
          </w:tcPr>
          <w:p w14:paraId="659C8EDC" w14:textId="39A3AF04" w:rsidR="001B186F" w:rsidRPr="00DE4E4F" w:rsidRDefault="00B3215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Information Systems of EOPPEP and development of an e-learning platform for VET</w:t>
            </w:r>
          </w:p>
        </w:tc>
        <w:tc>
          <w:tcPr>
            <w:tcW w:w="2222" w:type="dxa"/>
            <w:shd w:val="clear" w:color="auto" w:fill="C6EFCE"/>
            <w:noWrap/>
          </w:tcPr>
          <w:p w14:paraId="42218D73" w14:textId="534F8939"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project</w:t>
            </w:r>
            <w:r w:rsidR="007C1AE7" w:rsidRPr="00DE4E4F">
              <w:rPr>
                <w:rFonts w:ascii="Times New Roman" w:hAnsi="Times New Roman" w:cs="Times New Roman"/>
                <w:noProof/>
                <w:color w:val="006100"/>
                <w:sz w:val="18"/>
                <w:szCs w:val="18"/>
              </w:rPr>
              <w:t>s</w:t>
            </w:r>
          </w:p>
        </w:tc>
        <w:tc>
          <w:tcPr>
            <w:tcW w:w="1154" w:type="dxa"/>
            <w:shd w:val="clear" w:color="auto" w:fill="C6EFCE"/>
            <w:noWrap/>
          </w:tcPr>
          <w:p w14:paraId="1C3C547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1810AF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71" w:type="dxa"/>
            <w:shd w:val="clear" w:color="auto" w:fill="C6EFCE"/>
            <w:noWrap/>
          </w:tcPr>
          <w:p w14:paraId="5E8F306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3640A48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p w14:paraId="68F3AE78"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20" w:type="dxa"/>
            <w:shd w:val="clear" w:color="auto" w:fill="C6EFCE"/>
            <w:noWrap/>
          </w:tcPr>
          <w:p w14:paraId="677927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002" w:type="dxa"/>
            <w:shd w:val="clear" w:color="auto" w:fill="C6EFCE"/>
            <w:noWrap/>
          </w:tcPr>
          <w:p w14:paraId="2DFFA1B9" w14:textId="1978F36E"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following project</w:t>
            </w:r>
            <w:r w:rsidR="00404566" w:rsidRPr="00DE4E4F">
              <w:rPr>
                <w:rFonts w:ascii="Times New Roman" w:hAnsi="Times New Roman" w:cs="Times New Roman"/>
                <w:noProof/>
                <w:color w:val="006100"/>
                <w:sz w:val="18"/>
                <w:szCs w:val="18"/>
              </w:rPr>
              <w:t xml:space="preserve">s </w:t>
            </w:r>
            <w:r w:rsidR="00EC54F2" w:rsidRPr="00DE4E4F">
              <w:rPr>
                <w:rFonts w:ascii="Times New Roman" w:hAnsi="Times New Roman" w:cs="Times New Roman"/>
                <w:noProof/>
                <w:color w:val="006100"/>
                <w:sz w:val="18"/>
                <w:szCs w:val="18"/>
              </w:rPr>
              <w:t xml:space="preserve">as confirmed by the acceptance </w:t>
            </w:r>
            <w:r w:rsidR="00DE4E4F" w:rsidRPr="00DE4E4F">
              <w:rPr>
                <w:rFonts w:ascii="Times New Roman" w:hAnsi="Times New Roman" w:cs="Times New Roman"/>
                <w:noProof/>
                <w:color w:val="006100"/>
                <w:sz w:val="18"/>
                <w:szCs w:val="18"/>
              </w:rPr>
              <w:t>protocol</w:t>
            </w:r>
            <w:r w:rsidR="00EC54F2" w:rsidRPr="00DE4E4F">
              <w:rPr>
                <w:rFonts w:ascii="Times New Roman" w:hAnsi="Times New Roman" w:cs="Times New Roman"/>
                <w:noProof/>
                <w:color w:val="006100"/>
                <w:sz w:val="18"/>
                <w:szCs w:val="18"/>
              </w:rPr>
              <w:t xml:space="preserve"> of the related project </w:t>
            </w:r>
            <w:r w:rsidR="007763AE" w:rsidRPr="00DE4E4F">
              <w:rPr>
                <w:rFonts w:ascii="Times New Roman" w:hAnsi="Times New Roman" w:cs="Times New Roman"/>
                <w:noProof/>
                <w:color w:val="006100"/>
                <w:sz w:val="18"/>
                <w:szCs w:val="18"/>
              </w:rPr>
              <w:t>monitoring</w:t>
            </w:r>
            <w:r w:rsidR="00EC54F2" w:rsidRPr="00DE4E4F">
              <w:rPr>
                <w:rFonts w:ascii="Times New Roman" w:hAnsi="Times New Roman" w:cs="Times New Roman"/>
                <w:noProof/>
                <w:color w:val="006100"/>
                <w:sz w:val="18"/>
                <w:szCs w:val="18"/>
              </w:rPr>
              <w:t xml:space="preserve"> committee</w:t>
            </w:r>
            <w:r w:rsidR="00452A80" w:rsidRPr="00DE4E4F">
              <w:rPr>
                <w:rFonts w:ascii="Times New Roman" w:hAnsi="Times New Roman" w:cs="Times New Roman"/>
                <w:noProof/>
                <w:color w:val="006100"/>
                <w:sz w:val="18"/>
                <w:szCs w:val="18"/>
              </w:rPr>
              <w:t>:</w:t>
            </w:r>
          </w:p>
          <w:p w14:paraId="170DFB6A" w14:textId="77777777" w:rsidR="00EC54F2" w:rsidRPr="00DE4E4F" w:rsidRDefault="00EC54F2">
            <w:pPr>
              <w:spacing w:after="0" w:line="240" w:lineRule="auto"/>
              <w:rPr>
                <w:rFonts w:ascii="Times New Roman" w:hAnsi="Times New Roman" w:cs="Times New Roman"/>
                <w:noProof/>
                <w:color w:val="006100"/>
                <w:sz w:val="18"/>
                <w:szCs w:val="18"/>
              </w:rPr>
            </w:pPr>
          </w:p>
          <w:p w14:paraId="3D5E030F" w14:textId="42E03607" w:rsidR="00D105F9" w:rsidRPr="00DE4E4F" w:rsidRDefault="00D105F9" w:rsidP="00426D0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r w:rsidR="00F954CE" w:rsidRPr="00DE4E4F">
              <w:rPr>
                <w:rFonts w:ascii="Times New Roman" w:hAnsi="Times New Roman" w:cs="Times New Roman"/>
                <w:noProof/>
                <w:color w:val="006100"/>
                <w:sz w:val="18"/>
                <w:szCs w:val="18"/>
              </w:rPr>
              <w:t xml:space="preserve">Design and </w:t>
            </w:r>
            <w:r w:rsidR="00426D0D" w:rsidRPr="00DE4E4F">
              <w:rPr>
                <w:rFonts w:ascii="Times New Roman" w:hAnsi="Times New Roman" w:cs="Times New Roman"/>
                <w:noProof/>
                <w:color w:val="006100"/>
                <w:sz w:val="18"/>
                <w:szCs w:val="18"/>
              </w:rPr>
              <w:t>d</w:t>
            </w:r>
            <w:r w:rsidR="00F954CE" w:rsidRPr="00DE4E4F">
              <w:rPr>
                <w:rFonts w:ascii="Times New Roman" w:hAnsi="Times New Roman" w:cs="Times New Roman"/>
                <w:noProof/>
                <w:color w:val="006100"/>
                <w:sz w:val="18"/>
                <w:szCs w:val="18"/>
              </w:rPr>
              <w:t xml:space="preserve">evelopment of the </w:t>
            </w:r>
            <w:r w:rsidR="009127EE" w:rsidRPr="00DE4E4F">
              <w:rPr>
                <w:rFonts w:ascii="Times New Roman" w:hAnsi="Times New Roman" w:cs="Times New Roman"/>
                <w:noProof/>
                <w:color w:val="006100"/>
                <w:sz w:val="18"/>
                <w:szCs w:val="18"/>
              </w:rPr>
              <w:t xml:space="preserve">Information </w:t>
            </w:r>
            <w:r w:rsidR="00F954CE" w:rsidRPr="00DE4E4F">
              <w:rPr>
                <w:rFonts w:ascii="Times New Roman" w:hAnsi="Times New Roman" w:cs="Times New Roman"/>
                <w:noProof/>
                <w:color w:val="006100"/>
                <w:sz w:val="18"/>
                <w:szCs w:val="18"/>
              </w:rPr>
              <w:t>Systems</w:t>
            </w:r>
            <w:r w:rsidR="009127EE" w:rsidRPr="00DE4E4F">
              <w:rPr>
                <w:rFonts w:ascii="Times New Roman" w:hAnsi="Times New Roman" w:cs="Times New Roman"/>
                <w:noProof/>
                <w:color w:val="006100"/>
                <w:sz w:val="18"/>
                <w:szCs w:val="18"/>
              </w:rPr>
              <w:t xml:space="preserve"> of the National </w:t>
            </w:r>
            <w:r w:rsidR="00F954CE" w:rsidRPr="00DE4E4F">
              <w:rPr>
                <w:rFonts w:ascii="Times New Roman" w:hAnsi="Times New Roman" w:cs="Times New Roman"/>
                <w:noProof/>
                <w:color w:val="006100"/>
                <w:sz w:val="18"/>
                <w:szCs w:val="18"/>
              </w:rPr>
              <w:t>Organization</w:t>
            </w:r>
            <w:r w:rsidR="009127EE" w:rsidRPr="00DE4E4F">
              <w:rPr>
                <w:rFonts w:ascii="Times New Roman" w:hAnsi="Times New Roman" w:cs="Times New Roman"/>
                <w:noProof/>
                <w:color w:val="006100"/>
                <w:sz w:val="18"/>
                <w:szCs w:val="18"/>
              </w:rPr>
              <w:t xml:space="preserve"> for the Certification of Qualifications and Vocational Guidance (EOPPEP</w:t>
            </w:r>
            <w:r w:rsidR="00F954CE" w:rsidRPr="00DE4E4F">
              <w:rPr>
                <w:rFonts w:ascii="Times New Roman" w:hAnsi="Times New Roman" w:cs="Times New Roman"/>
                <w:noProof/>
                <w:color w:val="006100"/>
                <w:sz w:val="18"/>
                <w:szCs w:val="18"/>
              </w:rPr>
              <w:t>)</w:t>
            </w:r>
          </w:p>
          <w:p w14:paraId="3880D4E8" w14:textId="507B67CB" w:rsidR="001B186F" w:rsidRPr="00DE4E4F" w:rsidRDefault="00426D0D" w:rsidP="009A6FC8">
            <w:pPr>
              <w:pStyle w:val="ListParagraph"/>
              <w:numPr>
                <w:ilvl w:val="0"/>
                <w:numId w:val="40"/>
              </w:numPr>
              <w:spacing w:after="0" w:line="240" w:lineRule="auto"/>
              <w:ind w:left="0"/>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D</w:t>
            </w:r>
            <w:r w:rsidR="009127EE" w:rsidRPr="00DE4E4F">
              <w:rPr>
                <w:rFonts w:ascii="Times New Roman" w:hAnsi="Times New Roman" w:cs="Times New Roman"/>
                <w:noProof/>
                <w:color w:val="006100"/>
                <w:sz w:val="18"/>
                <w:szCs w:val="18"/>
              </w:rPr>
              <w:t xml:space="preserve">evelopment </w:t>
            </w:r>
            <w:r w:rsidR="00C050CE" w:rsidRPr="00DE4E4F">
              <w:rPr>
                <w:rFonts w:ascii="Times New Roman" w:eastAsia="Times New Roman" w:hAnsi="Times New Roman" w:cs="Times New Roman"/>
                <w:noProof/>
                <w:color w:val="006100"/>
                <w:sz w:val="18"/>
                <w:szCs w:val="18"/>
              </w:rPr>
              <w:t xml:space="preserve">of an </w:t>
            </w:r>
            <w:r w:rsidR="008F3C23" w:rsidRPr="00DE4E4F">
              <w:rPr>
                <w:rFonts w:ascii="Times New Roman" w:eastAsia="Times New Roman" w:hAnsi="Times New Roman" w:cs="Times New Roman"/>
                <w:noProof/>
                <w:color w:val="006100"/>
                <w:sz w:val="18"/>
                <w:szCs w:val="18"/>
              </w:rPr>
              <w:t>e</w:t>
            </w:r>
            <w:r w:rsidR="00C050CE" w:rsidRPr="00DE4E4F">
              <w:rPr>
                <w:rFonts w:ascii="Times New Roman" w:eastAsia="Times New Roman" w:hAnsi="Times New Roman" w:cs="Times New Roman"/>
                <w:noProof/>
                <w:color w:val="006100"/>
                <w:sz w:val="18"/>
                <w:szCs w:val="18"/>
              </w:rPr>
              <w:t>lectronic</w:t>
            </w:r>
            <w:r w:rsidR="00932585" w:rsidRPr="00DE4E4F">
              <w:rPr>
                <w:rFonts w:ascii="Times New Roman" w:eastAsia="Times New Roman" w:hAnsi="Times New Roman" w:cs="Times New Roman"/>
                <w:noProof/>
                <w:color w:val="006100"/>
                <w:sz w:val="18"/>
                <w:szCs w:val="18"/>
              </w:rPr>
              <w:t xml:space="preserve"> </w:t>
            </w:r>
            <w:r w:rsidR="00C050CE" w:rsidRPr="00DE4E4F">
              <w:rPr>
                <w:rFonts w:ascii="Times New Roman" w:eastAsia="Times New Roman" w:hAnsi="Times New Roman" w:cs="Times New Roman"/>
                <w:noProof/>
                <w:color w:val="006100"/>
                <w:sz w:val="18"/>
                <w:szCs w:val="18"/>
              </w:rPr>
              <w:t>Platform for Vocational Education and Training (VET)</w:t>
            </w:r>
          </w:p>
        </w:tc>
      </w:tr>
    </w:tbl>
    <w:p w14:paraId="327C50EF"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6639BA36"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J. COMPONENT 3.3: IMPROVE RESILIENCE, ACCESSIBILITY AND SUSTAINABILITY OF HEALTHCARE</w:t>
      </w:r>
    </w:p>
    <w:p w14:paraId="4FA99E3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focuses on increasing the resilience of the health care system through various interventions. Part of these measures focus on infrastructural, both physical and digital, and operational improvements to modernise and upgrade the hospital system and the network of health centres. Others aim at supporting and enhancing access, efficiency and resilience of the health-care sector. More specifically, these include measures to strengthen public health and prevention, to increase the capacity of the health-care system to deliver mental health and home care services, to support the transition towards a stronger primary health-care sector and to rationalise pharmaceutical spending and support pharmaceutical R&amp;D. The plan on digitisation of health-care systems and services has the objective to promote efficiency, improve access and increase the overall transparency and quality of public spending in the system.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9272302"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J.1. Description of the reforms and investments for non-repayable financial support</w:t>
      </w:r>
    </w:p>
    <w:p w14:paraId="2D76CFB5"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Clawback reduction and rationalization of healthcare expenditure (measure ID: 16816)</w:t>
      </w:r>
    </w:p>
    <w:p w14:paraId="420B0D46" w14:textId="77777777" w:rsidR="001B186F" w:rsidRPr="00DE4E4F" w:rsidRDefault="0074517F">
      <w:pPr>
        <w:spacing w:before="120" w:after="120" w:line="240" w:lineRule="auto"/>
        <w:jc w:val="both"/>
        <w:rPr>
          <w:rFonts w:ascii="Times New Roman" w:eastAsia="Times New Roman" w:hAnsi="Times New Roman" w:cs="Times New Roman"/>
          <w:noProof/>
          <w:sz w:val="24"/>
          <w:szCs w:val="24"/>
        </w:rPr>
      </w:pPr>
      <w:r w:rsidRPr="00DE4E4F">
        <w:rPr>
          <w:rFonts w:ascii="Times New Roman" w:hAnsi="Times New Roman"/>
          <w:noProof/>
          <w:sz w:val="24"/>
          <w:szCs w:val="24"/>
        </w:rPr>
        <w:t xml:space="preserve">The objective of the measure is the clawback reduction and control of pharmaceutical expenditure. The reform consists of </w:t>
      </w:r>
      <w:r w:rsidRPr="00DE4E4F">
        <w:rPr>
          <w:rFonts w:ascii="Times New Roman" w:eastAsia="Times New Roman" w:hAnsi="Times New Roman" w:cs="Times New Roman"/>
          <w:noProof/>
          <w:sz w:val="24"/>
          <w:szCs w:val="24"/>
        </w:rPr>
        <w:t xml:space="preserve">setting a binding target of clawback reduction </w:t>
      </w:r>
      <w:r w:rsidRPr="00DE4E4F">
        <w:rPr>
          <w:rFonts w:ascii="Times New Roman" w:hAnsi="Times New Roman"/>
          <w:noProof/>
          <w:sz w:val="24"/>
          <w:szCs w:val="24"/>
        </w:rPr>
        <w:t xml:space="preserve">for </w:t>
      </w:r>
      <w:r w:rsidRPr="00DE4E4F">
        <w:rPr>
          <w:rFonts w:ascii="Times New Roman" w:eastAsia="Times New Roman" w:hAnsi="Times New Roman" w:cs="Times New Roman"/>
          <w:noProof/>
          <w:sz w:val="24"/>
          <w:szCs w:val="24"/>
        </w:rPr>
        <w:t xml:space="preserve">years </w:t>
      </w:r>
      <w:r w:rsidRPr="00DE4E4F">
        <w:rPr>
          <w:rFonts w:ascii="Times New Roman" w:hAnsi="Times New Roman"/>
          <w:noProof/>
          <w:sz w:val="24"/>
          <w:szCs w:val="24"/>
        </w:rPr>
        <w:t>2022 to 2025 and a partial offset of companies’ clawback liabilities by clinical trial, R&amp;D or other investment expenditure for the years 2021 and beyond.</w:t>
      </w:r>
    </w:p>
    <w:p w14:paraId="3D090AF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Reform of the Primary Health Care System (measure ID: 16755)</w:t>
      </w:r>
    </w:p>
    <w:p w14:paraId="1EF5E1E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upgrade the infrastructure and medical equipment of primary healthcare units and reorganise the primary health care system by retraining staff to act as first-line care. The measure consists of the renovation of primary healthcare units for energy efficiency and the delivery medical equipment. It also consists of the submission of proposals for the reform of Primary Health Care (PHC), a pilot referral mechanism, trainings to PHC staff, and a digital platform for PHC decision-making. Finally, it includes the expansion of the availability of family medicine curricula in medical curricula and the creation of chronic diseases management units.</w:t>
      </w:r>
    </w:p>
    <w:p w14:paraId="59E8E5D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Implementation of the National Public Health Prevention Program “Spiros Doxiadis” (NPP ”SD”) (measure ID: 16783)</w:t>
      </w:r>
    </w:p>
    <w:p w14:paraId="56C5368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create a comprehensive system of primary and secondary health prevention. The measure consists of health prevention interventions and population screening interventions, as well as a Health Monitoring System. </w:t>
      </w:r>
    </w:p>
    <w:p w14:paraId="66CA9ED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Reform in the fields of mental health and addictions (measure ID: 16820)</w:t>
      </w:r>
    </w:p>
    <w:p w14:paraId="063C2288" w14:textId="77777777"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szCs w:val="24"/>
        </w:rPr>
        <w:t>This reform aims to ensure access to quality mental health services for specific populations suffering from mental illness and addiction, in order to prevent their marginalisation or institutionalisation. It consists of expanding mental health services through mental health units for patients with dementia and Alzheimer's disease, as well as for patients with autism and for patients in the age group of children, adolescents and young adults, as well as mental health services for individuals with addictions. This shall be accompanied by the development of web applications and the digitalisation of mental health services. The implementation of the reform shall be completed by 31 December 2023.</w:t>
      </w:r>
    </w:p>
    <w:p w14:paraId="4C056404" w14:textId="77777777" w:rsidR="001B186F" w:rsidRPr="00DE4E4F" w:rsidRDefault="0074517F"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b/>
          <w:noProof/>
          <w:sz w:val="24"/>
          <w:szCs w:val="24"/>
        </w:rPr>
        <w:t>Reform:</w:t>
      </w:r>
      <w:r w:rsidRPr="00DE4E4F">
        <w:rPr>
          <w:rFonts w:ascii="Times New Roman" w:hAnsi="Times New Roman"/>
          <w:noProof/>
          <w:sz w:val="24"/>
          <w:szCs w:val="24"/>
        </w:rPr>
        <w:t xml:space="preserve"> Organizational Reforms in the Health System (measure ID: 16756)</w:t>
      </w:r>
    </w:p>
    <w:p w14:paraId="05DAD888" w14:textId="77777777" w:rsidR="001B186F" w:rsidRPr="00DE4E4F" w:rsidRDefault="0074517F" w:rsidP="009E2E69">
      <w:pPr>
        <w:spacing w:before="120" w:after="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rationalise the reimbursement of hospital medical procedures. The measure consists of 1) the creation of platforms for the Greek diagnosis-related group (DRG) Institute (KETEKNY), 2) the creation of a national health map that records the demand and supply of services in the health system, 3) the reduction of the waiting list for elective surgeries, and 4) the creation of tools and services to help citizens navigate the health system. </w:t>
      </w:r>
    </w:p>
    <w:p w14:paraId="37B17C2C" w14:textId="77777777" w:rsidR="001B186F" w:rsidRPr="00DE4E4F" w:rsidRDefault="0074517F"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Health Infrastructure (measure ID: 16795)</w:t>
      </w:r>
    </w:p>
    <w:p w14:paraId="2EF5889D" w14:textId="386AD60C" w:rsidR="001B186F" w:rsidRPr="00DE4E4F" w:rsidRDefault="00E71926"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objective of the measure is to renovate infrastructure and tools necessary for better provision of health services. The measure consists of hospitals throughout Greece being renovated and/or constructed (including with energy efficiency works).</w:t>
      </w:r>
    </w:p>
    <w:p w14:paraId="1C86C6B4" w14:textId="77777777" w:rsidR="001B186F" w:rsidRPr="00DE4E4F" w:rsidRDefault="0074517F"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Health (DigHealth) (measure ID: 16752)</w:t>
      </w:r>
    </w:p>
    <w:p w14:paraId="7981AECB" w14:textId="77777777" w:rsidR="001B186F" w:rsidRPr="00DE4E4F" w:rsidRDefault="0074517F" w:rsidP="009E2E69">
      <w:pPr>
        <w:spacing w:before="120" w:after="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digitalise the national health system. The measure consists of the delivery of digital projects in the healthcare sector. </w:t>
      </w:r>
    </w:p>
    <w:p w14:paraId="7F1BA5EB" w14:textId="77777777" w:rsidR="001B186F" w:rsidRPr="00DE4E4F" w:rsidRDefault="0074517F" w:rsidP="009E2E69">
      <w:pPr>
        <w:spacing w:before="120" w:after="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Radiotherapy Centre at the “Sotiria” Thoracic Diseases Hospital of Athens (measure ID: 16757)</w:t>
      </w:r>
    </w:p>
    <w:p w14:paraId="62B91218" w14:textId="1DCFA385" w:rsidR="001B186F" w:rsidRPr="00DE4E4F" w:rsidRDefault="00427960"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the construction and incorporation of a Radiotherapy Centre in Sotiria Hospital to help meet the needs of cancer patients in the country. </w:t>
      </w:r>
      <w:r w:rsidR="0074517F" w:rsidRPr="00DE4E4F">
        <w:rPr>
          <w:rFonts w:ascii="Times New Roman" w:hAnsi="Times New Roman"/>
          <w:noProof/>
          <w:sz w:val="24"/>
          <w:szCs w:val="24"/>
        </w:rPr>
        <w:t xml:space="preserve">The measure consists of a new building constructed at Sotiria Hospital to house the new radiotherapy department, as well as hospital infrastructure constructed and/or renovated. </w:t>
      </w:r>
    </w:p>
    <w:p w14:paraId="70F807F2" w14:textId="77777777" w:rsidR="001B186F" w:rsidRPr="00DE4E4F" w:rsidRDefault="0074517F" w:rsidP="009E2E69">
      <w:pPr>
        <w:spacing w:before="120" w:after="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Establishment of Home Health Care &amp; Hospital at Home systems (measure ID: 16753)</w:t>
      </w:r>
    </w:p>
    <w:p w14:paraId="7655B7F6" w14:textId="2AEC0380" w:rsidR="001B186F" w:rsidRPr="00DE4E4F" w:rsidRDefault="0074517F" w:rsidP="009E2E69">
      <w:pPr>
        <w:spacing w:before="120" w:after="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establish a home care system for patients with chronic disabilities. The measure consists of eight home care reference </w:t>
      </w:r>
      <w:r w:rsidR="6197C294" w:rsidRPr="00DE4E4F">
        <w:rPr>
          <w:rFonts w:ascii="Times New Roman" w:hAnsi="Times New Roman"/>
          <w:noProof/>
          <w:sz w:val="24"/>
          <w:szCs w:val="24"/>
        </w:rPr>
        <w:t xml:space="preserve">centres </w:t>
      </w:r>
      <w:r w:rsidR="37BF0B67" w:rsidRPr="00DE4E4F">
        <w:rPr>
          <w:rFonts w:ascii="Times New Roman" w:hAnsi="Times New Roman"/>
          <w:noProof/>
          <w:sz w:val="24"/>
          <w:szCs w:val="24"/>
        </w:rPr>
        <w:t>granted participation</w:t>
      </w:r>
      <w:r w:rsidRPr="00DE4E4F">
        <w:rPr>
          <w:rFonts w:ascii="Times New Roman" w:hAnsi="Times New Roman"/>
          <w:noProof/>
          <w:sz w:val="24"/>
          <w:szCs w:val="24"/>
        </w:rPr>
        <w:t xml:space="preserve">, telemedicine applications and equipment delivered, </w:t>
      </w:r>
      <w:r w:rsidR="002B1AB1" w:rsidRPr="00DE4E4F">
        <w:rPr>
          <w:rFonts w:ascii="Times New Roman" w:hAnsi="Times New Roman"/>
          <w:noProof/>
          <w:sz w:val="24"/>
          <w:szCs w:val="24"/>
        </w:rPr>
        <w:t>a</w:t>
      </w:r>
      <w:r w:rsidRPr="00DE4E4F">
        <w:rPr>
          <w:rFonts w:ascii="Times New Roman" w:hAnsi="Times New Roman"/>
          <w:noProof/>
          <w:sz w:val="24"/>
          <w:szCs w:val="24"/>
        </w:rPr>
        <w:t xml:space="preserve"> national registry for patients treated through home care delivered, and </w:t>
      </w:r>
      <w:r w:rsidR="00AA2889" w:rsidRPr="00DE4E4F">
        <w:rPr>
          <w:rFonts w:ascii="Times New Roman" w:hAnsi="Times New Roman"/>
          <w:noProof/>
          <w:sz w:val="24"/>
          <w:szCs w:val="24"/>
        </w:rPr>
        <w:t>"hospital healthcare at home" protocols and quality standards established</w:t>
      </w:r>
      <w:r w:rsidR="00142682" w:rsidRPr="00DE4E4F">
        <w:rPr>
          <w:rFonts w:ascii="Times New Roman" w:hAnsi="Times New Roman"/>
          <w:noProof/>
          <w:sz w:val="24"/>
          <w:szCs w:val="24"/>
        </w:rPr>
        <w:t xml:space="preserve">. </w:t>
      </w:r>
    </w:p>
    <w:p w14:paraId="517F4BAE" w14:textId="77777777" w:rsidR="001B186F" w:rsidRPr="00DE4E4F" w:rsidRDefault="0074517F" w:rsidP="009E2E69">
      <w:pPr>
        <w:spacing w:before="120" w:after="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Cell &amp; Gene Therapies and Hematology Clinic Laboratories within the General Hospital of Thessaloniki “Papanikolaou” (measure ID: 16793). </w:t>
      </w:r>
    </w:p>
    <w:p w14:paraId="1B874108" w14:textId="77777777" w:rsidR="001B186F" w:rsidRPr="00DE4E4F" w:rsidRDefault="0074517F" w:rsidP="009E2E69">
      <w:p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help meet the increased requirements of patient care for patients with malignant haematological diseases. The measure consists of a new building constructed at Papanikolaou Hospital</w:t>
      </w:r>
      <w:r w:rsidRPr="00DE4E4F" w:rsidDel="00C3365E">
        <w:rPr>
          <w:rFonts w:ascii="Times New Roman" w:hAnsi="Times New Roman"/>
          <w:noProof/>
          <w:sz w:val="24"/>
          <w:szCs w:val="24"/>
        </w:rPr>
        <w:t xml:space="preserve"> </w:t>
      </w:r>
      <w:r w:rsidRPr="00DE4E4F">
        <w:rPr>
          <w:rFonts w:ascii="Times New Roman" w:hAnsi="Times New Roman"/>
          <w:noProof/>
          <w:sz w:val="24"/>
          <w:szCs w:val="24"/>
        </w:rPr>
        <w:t>to house the Laboratories of the Cell &amp; Gene Therapy and Hematology Clinic.</w:t>
      </w:r>
    </w:p>
    <w:p w14:paraId="2ED69C2F" w14:textId="77777777" w:rsidR="001B186F" w:rsidRPr="00DE4E4F" w:rsidRDefault="0074517F" w:rsidP="009E2E69">
      <w:pPr>
        <w:spacing w:before="120" w:after="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Personal doctor reform (measure ID: 16984)</w:t>
      </w:r>
    </w:p>
    <w:p w14:paraId="7A328D77" w14:textId="77777777" w:rsidR="001B186F" w:rsidRPr="00DE4E4F" w:rsidRDefault="0074517F" w:rsidP="009E2E69">
      <w:pPr>
        <w:pStyle w:val="Default"/>
        <w:jc w:val="both"/>
        <w:rPr>
          <w:rFonts w:ascii="Times New Roman" w:hAnsi="Times New Roman" w:cs="Times New Roman"/>
          <w:noProof/>
          <w:lang w:val="en-GB"/>
        </w:rPr>
        <w:sectPr w:rsidR="001B186F" w:rsidRPr="00DE4E4F">
          <w:headerReference w:type="even" r:id="rId204"/>
          <w:headerReference w:type="default" r:id="rId205"/>
          <w:footerReference w:type="even" r:id="rId206"/>
          <w:footerReference w:type="default" r:id="rId207"/>
          <w:headerReference w:type="first" r:id="rId208"/>
          <w:footerReference w:type="first" r:id="rId209"/>
          <w:pgSz w:w="11906" w:h="16838"/>
          <w:pgMar w:top="1134" w:right="1134" w:bottom="1134" w:left="1134" w:header="567" w:footer="567" w:gutter="0"/>
          <w:cols w:space="708"/>
          <w:docGrid w:linePitch="360"/>
        </w:sectPr>
      </w:pPr>
      <w:r w:rsidRPr="00DE4E4F">
        <w:rPr>
          <w:rFonts w:ascii="Times New Roman" w:hAnsi="Times New Roman"/>
          <w:noProof/>
          <w:lang w:val="en-GB"/>
        </w:rPr>
        <w:t>The objective of the measure is to increase the number of personal doctors enrolled in the personal doctor system in order to achieve population coverage and population registration. The measure consists of a new legislative framework for signing up the current rural doctors as personal doctors, creating new positions similar to those of personal doctors and introducing a mechanism to incentivise doctors to become residents in General/Family Medicine or Internal Medicine. It also includes the activation of the registration and referral systems.</w:t>
      </w:r>
    </w:p>
    <w:p w14:paraId="0069F8A2" w14:textId="77777777" w:rsidR="001B186F" w:rsidRPr="00DE4E4F" w:rsidRDefault="0074517F">
      <w:pPr>
        <w:spacing w:before="120" w:after="120" w:line="240" w:lineRule="auto"/>
        <w:jc w:val="both"/>
        <w:rPr>
          <w:rFonts w:ascii="Times New Roman" w:hAnsi="Times New Roman"/>
          <w:b/>
          <w:noProof/>
          <w:sz w:val="24"/>
          <w:u w:val="single"/>
        </w:rPr>
      </w:pPr>
      <w:r w:rsidRPr="00DE4E4F">
        <w:rPr>
          <w:rFonts w:ascii="Times New Roman" w:hAnsi="Times New Roman"/>
          <w:b/>
          <w:noProof/>
          <w:sz w:val="24"/>
          <w:u w:val="single"/>
        </w:rPr>
        <w:t>J.2. Milestones, targets, indicators, and timetable for monitoring and implementation for non-repayable financial support</w:t>
      </w:r>
    </w:p>
    <w:p w14:paraId="7C740FA0" w14:textId="77777777" w:rsidR="001B186F" w:rsidRPr="00DE4E4F" w:rsidRDefault="0074517F">
      <w:pPr>
        <w:keepNext/>
        <w:keepLines/>
        <w:spacing w:before="40" w:after="0" w:line="240" w:lineRule="auto"/>
        <w:jc w:val="both"/>
        <w:outlineLvl w:val="4"/>
        <w:rPr>
          <w:rFonts w:ascii="Cambria" w:hAnsi="Cambria"/>
          <w:noProof/>
          <w:color w:val="365F91"/>
          <w:sz w:val="24"/>
        </w:rPr>
      </w:pPr>
      <w:r w:rsidRPr="00DE4E4F">
        <w:rPr>
          <w:rFonts w:ascii="Cambria" w:hAnsi="Cambria"/>
          <w:noProof/>
          <w:color w:val="365F91"/>
          <w:sz w:val="24"/>
        </w:rPr>
        <w:t>Key reform 7: Reforms and acceleration of investments in the Healthcare Sector - Clawback reduction and rationalization of healthcare expenditure (ID: 16816)</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1689"/>
        <w:gridCol w:w="1088"/>
        <w:gridCol w:w="1350"/>
        <w:gridCol w:w="1717"/>
        <w:gridCol w:w="1194"/>
        <w:gridCol w:w="870"/>
        <w:gridCol w:w="764"/>
        <w:gridCol w:w="973"/>
        <w:gridCol w:w="992"/>
        <w:gridCol w:w="4501"/>
      </w:tblGrid>
      <w:tr w:rsidR="00682269" w:rsidRPr="00DE4E4F" w14:paraId="5B2217D0" w14:textId="77777777" w:rsidTr="009E2E69">
        <w:trPr>
          <w:trHeight w:val="759"/>
          <w:tblHeader/>
          <w:jc w:val="center"/>
        </w:trPr>
        <w:tc>
          <w:tcPr>
            <w:tcW w:w="592" w:type="dxa"/>
            <w:vMerge w:val="restart"/>
            <w:shd w:val="clear" w:color="auto" w:fill="BDD7EE"/>
            <w:vAlign w:val="center"/>
            <w:hideMark/>
          </w:tcPr>
          <w:p w14:paraId="0B8876D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1689" w:type="dxa"/>
            <w:vMerge w:val="restart"/>
            <w:shd w:val="clear" w:color="auto" w:fill="BDD7EE"/>
            <w:vAlign w:val="center"/>
            <w:hideMark/>
          </w:tcPr>
          <w:p w14:paraId="0D441F2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Related Measure (Reform or Investment)</w:t>
            </w:r>
          </w:p>
        </w:tc>
        <w:tc>
          <w:tcPr>
            <w:tcW w:w="1088" w:type="dxa"/>
            <w:vMerge w:val="restart"/>
            <w:shd w:val="clear" w:color="auto" w:fill="BDD7EE"/>
            <w:vAlign w:val="center"/>
            <w:hideMark/>
          </w:tcPr>
          <w:p w14:paraId="096BD71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Milestone / Target</w:t>
            </w:r>
          </w:p>
        </w:tc>
        <w:tc>
          <w:tcPr>
            <w:tcW w:w="1350" w:type="dxa"/>
            <w:vMerge w:val="restart"/>
            <w:shd w:val="clear" w:color="auto" w:fill="BDD7EE"/>
            <w:vAlign w:val="center"/>
            <w:hideMark/>
          </w:tcPr>
          <w:p w14:paraId="0928330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Name</w:t>
            </w:r>
          </w:p>
        </w:tc>
        <w:tc>
          <w:tcPr>
            <w:tcW w:w="1717" w:type="dxa"/>
            <w:vMerge w:val="restart"/>
            <w:shd w:val="clear" w:color="auto" w:fill="BDD7EE"/>
            <w:vAlign w:val="center"/>
            <w:hideMark/>
          </w:tcPr>
          <w:p w14:paraId="66395B1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Qualitative indicators (for milestones)</w:t>
            </w:r>
          </w:p>
        </w:tc>
        <w:tc>
          <w:tcPr>
            <w:tcW w:w="2828" w:type="dxa"/>
            <w:gridSpan w:val="3"/>
            <w:shd w:val="clear" w:color="auto" w:fill="BDD7EE"/>
            <w:vAlign w:val="center"/>
            <w:hideMark/>
          </w:tcPr>
          <w:p w14:paraId="416793B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Quantitative indicators </w:t>
            </w:r>
            <w:r w:rsidRPr="00DE4E4F">
              <w:rPr>
                <w:rFonts w:ascii="Times New Roman" w:hAnsi="Times New Roman"/>
                <w:b/>
                <w:noProof/>
                <w:sz w:val="18"/>
                <w:szCs w:val="18"/>
              </w:rPr>
              <w:br/>
              <w:t xml:space="preserve"> (for targets)</w:t>
            </w:r>
          </w:p>
        </w:tc>
        <w:tc>
          <w:tcPr>
            <w:tcW w:w="1965" w:type="dxa"/>
            <w:gridSpan w:val="2"/>
            <w:shd w:val="clear" w:color="auto" w:fill="BDD7EE"/>
            <w:vAlign w:val="center"/>
            <w:hideMark/>
          </w:tcPr>
          <w:p w14:paraId="3D9B771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Indicative timeline for completion </w:t>
            </w:r>
          </w:p>
        </w:tc>
        <w:tc>
          <w:tcPr>
            <w:tcW w:w="4501" w:type="dxa"/>
            <w:vMerge w:val="restart"/>
            <w:shd w:val="clear" w:color="auto" w:fill="BDD7EE"/>
            <w:vAlign w:val="center"/>
            <w:hideMark/>
          </w:tcPr>
          <w:p w14:paraId="1034F83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Description of each milestone and target</w:t>
            </w:r>
          </w:p>
        </w:tc>
      </w:tr>
      <w:tr w:rsidR="00682269" w:rsidRPr="00DE4E4F" w14:paraId="4E0979F8" w14:textId="77777777" w:rsidTr="009E2E69">
        <w:trPr>
          <w:trHeight w:val="532"/>
          <w:tblHeader/>
          <w:jc w:val="center"/>
        </w:trPr>
        <w:tc>
          <w:tcPr>
            <w:tcW w:w="592" w:type="dxa"/>
            <w:vMerge/>
            <w:vAlign w:val="center"/>
            <w:hideMark/>
          </w:tcPr>
          <w:p w14:paraId="45F8604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89" w:type="dxa"/>
            <w:vMerge/>
            <w:vAlign w:val="center"/>
            <w:hideMark/>
          </w:tcPr>
          <w:p w14:paraId="6491615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88" w:type="dxa"/>
            <w:vMerge/>
            <w:vAlign w:val="center"/>
            <w:hideMark/>
          </w:tcPr>
          <w:p w14:paraId="385074F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50" w:type="dxa"/>
            <w:vMerge/>
            <w:vAlign w:val="center"/>
            <w:hideMark/>
          </w:tcPr>
          <w:p w14:paraId="01A3F53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17" w:type="dxa"/>
            <w:vMerge/>
            <w:vAlign w:val="center"/>
            <w:hideMark/>
          </w:tcPr>
          <w:p w14:paraId="0A02C50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94" w:type="dxa"/>
            <w:shd w:val="clear" w:color="auto" w:fill="BDD7EE"/>
            <w:vAlign w:val="center"/>
            <w:hideMark/>
          </w:tcPr>
          <w:p w14:paraId="274E528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Unit of measure</w:t>
            </w:r>
          </w:p>
        </w:tc>
        <w:tc>
          <w:tcPr>
            <w:tcW w:w="870" w:type="dxa"/>
            <w:shd w:val="clear" w:color="auto" w:fill="BDD7EE"/>
            <w:vAlign w:val="center"/>
            <w:hideMark/>
          </w:tcPr>
          <w:p w14:paraId="02C1AD8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Baseline </w:t>
            </w:r>
          </w:p>
        </w:tc>
        <w:tc>
          <w:tcPr>
            <w:tcW w:w="764" w:type="dxa"/>
            <w:shd w:val="clear" w:color="auto" w:fill="BDD7EE"/>
            <w:vAlign w:val="center"/>
            <w:hideMark/>
          </w:tcPr>
          <w:p w14:paraId="5B29C12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Goal </w:t>
            </w:r>
          </w:p>
        </w:tc>
        <w:tc>
          <w:tcPr>
            <w:tcW w:w="973" w:type="dxa"/>
            <w:shd w:val="clear" w:color="auto" w:fill="BDD7EE"/>
            <w:vAlign w:val="center"/>
            <w:hideMark/>
          </w:tcPr>
          <w:p w14:paraId="6BE3FFD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Quarter</w:t>
            </w:r>
          </w:p>
        </w:tc>
        <w:tc>
          <w:tcPr>
            <w:tcW w:w="992" w:type="dxa"/>
            <w:shd w:val="clear" w:color="auto" w:fill="BDD7EE"/>
            <w:vAlign w:val="center"/>
            <w:hideMark/>
          </w:tcPr>
          <w:p w14:paraId="24DA241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Year</w:t>
            </w:r>
          </w:p>
        </w:tc>
        <w:tc>
          <w:tcPr>
            <w:tcW w:w="4501" w:type="dxa"/>
            <w:vMerge/>
            <w:vAlign w:val="center"/>
            <w:hideMark/>
          </w:tcPr>
          <w:p w14:paraId="5FA813B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95A8483" w14:textId="77777777" w:rsidTr="009E2E69">
        <w:trPr>
          <w:trHeight w:val="309"/>
          <w:jc w:val="center"/>
        </w:trPr>
        <w:tc>
          <w:tcPr>
            <w:tcW w:w="592" w:type="dxa"/>
            <w:shd w:val="clear" w:color="auto" w:fill="C6EFCE"/>
            <w:noWrap/>
          </w:tcPr>
          <w:p w14:paraId="5C9910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153</w:t>
            </w:r>
          </w:p>
        </w:tc>
        <w:tc>
          <w:tcPr>
            <w:tcW w:w="1689" w:type="dxa"/>
            <w:shd w:val="clear" w:color="auto" w:fill="C6EFCE"/>
            <w:noWrap/>
          </w:tcPr>
          <w:p w14:paraId="770DD2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684DAD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50" w:type="dxa"/>
            <w:shd w:val="clear" w:color="auto" w:fill="C6EFCE"/>
            <w:noWrap/>
          </w:tcPr>
          <w:p w14:paraId="070AEF3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Clawback –legislation entry into force</w:t>
            </w:r>
          </w:p>
        </w:tc>
        <w:tc>
          <w:tcPr>
            <w:tcW w:w="1717" w:type="dxa"/>
            <w:shd w:val="clear" w:color="auto" w:fill="C6EFCE"/>
            <w:noWrap/>
          </w:tcPr>
          <w:p w14:paraId="49875F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the revised legislation introducing risk-sharing and the binding targets for minimum clawback reduction according to the timeline outlined in the Description. </w:t>
            </w:r>
          </w:p>
        </w:tc>
        <w:tc>
          <w:tcPr>
            <w:tcW w:w="1194" w:type="dxa"/>
            <w:shd w:val="clear" w:color="auto" w:fill="C6EFCE"/>
            <w:noWrap/>
          </w:tcPr>
          <w:p w14:paraId="69575D2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0" w:type="dxa"/>
            <w:shd w:val="clear" w:color="auto" w:fill="C6EFCE"/>
            <w:noWrap/>
          </w:tcPr>
          <w:p w14:paraId="579D87A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64" w:type="dxa"/>
            <w:shd w:val="clear" w:color="auto" w:fill="C6EFCE"/>
            <w:noWrap/>
          </w:tcPr>
          <w:p w14:paraId="516A978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73" w:type="dxa"/>
            <w:shd w:val="clear" w:color="auto" w:fill="C6EFCE"/>
            <w:noWrap/>
          </w:tcPr>
          <w:p w14:paraId="014482F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992" w:type="dxa"/>
            <w:shd w:val="clear" w:color="auto" w:fill="C6EFCE"/>
            <w:noWrap/>
          </w:tcPr>
          <w:p w14:paraId="3C6124E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501" w:type="dxa"/>
            <w:shd w:val="clear" w:color="auto" w:fill="C6EFCE"/>
            <w:noWrap/>
          </w:tcPr>
          <w:p w14:paraId="1CEA836D" w14:textId="77777777" w:rsidR="002B60D8"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legal framework (primary law) for risk sharing in the calculation of the clawback by setting a binding target of clawback reduction over the next years. The reform aims at a minimum reduction of clawback amounts by EUR 50 000 000 (2022), EUR 150 000 000 (2023), EUR 300 000 000 (2024) and EUR 400 000 000 (2025) respectively, from the 2020 levels. </w:t>
            </w:r>
          </w:p>
          <w:p w14:paraId="75D1B6B0" w14:textId="604D9F7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To the extent that this is not achieved, the difference between the targeted reduction and the actual reduction for each year shall not be clawed back from the pharmaceutical industry and the relevant amount shall be borne by the state budget up to the targeted reduction in the clawback amounts.</w:t>
            </w:r>
          </w:p>
        </w:tc>
      </w:tr>
      <w:tr w:rsidR="00682269" w:rsidRPr="00DE4E4F" w14:paraId="67FE9A48" w14:textId="77777777" w:rsidTr="009E2E69">
        <w:trPr>
          <w:trHeight w:val="309"/>
          <w:jc w:val="center"/>
        </w:trPr>
        <w:tc>
          <w:tcPr>
            <w:tcW w:w="592" w:type="dxa"/>
            <w:shd w:val="clear" w:color="auto" w:fill="C6EFCE"/>
            <w:noWrap/>
          </w:tcPr>
          <w:p w14:paraId="709A51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154</w:t>
            </w:r>
          </w:p>
        </w:tc>
        <w:tc>
          <w:tcPr>
            <w:tcW w:w="1689" w:type="dxa"/>
            <w:shd w:val="clear" w:color="auto" w:fill="C6EFCE"/>
            <w:noWrap/>
          </w:tcPr>
          <w:p w14:paraId="6B3F53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778073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15E308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Clawback decrease 50 000 000 - step 1</w:t>
            </w:r>
          </w:p>
        </w:tc>
        <w:tc>
          <w:tcPr>
            <w:tcW w:w="1717" w:type="dxa"/>
            <w:shd w:val="clear" w:color="auto" w:fill="C6EFCE"/>
            <w:noWrap/>
          </w:tcPr>
          <w:p w14:paraId="41C117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27A051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Decrease in the amount of clawback compared with the 2020 levels (EUR million)</w:t>
            </w:r>
          </w:p>
        </w:tc>
        <w:tc>
          <w:tcPr>
            <w:tcW w:w="870" w:type="dxa"/>
            <w:shd w:val="clear" w:color="auto" w:fill="C6EFCE"/>
            <w:noWrap/>
          </w:tcPr>
          <w:p w14:paraId="4C5275A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64" w:type="dxa"/>
            <w:shd w:val="clear" w:color="auto" w:fill="C6EFCE"/>
            <w:noWrap/>
          </w:tcPr>
          <w:p w14:paraId="1278734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p>
        </w:tc>
        <w:tc>
          <w:tcPr>
            <w:tcW w:w="973" w:type="dxa"/>
            <w:shd w:val="clear" w:color="auto" w:fill="C6EFCE"/>
            <w:noWrap/>
          </w:tcPr>
          <w:p w14:paraId="31EACB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17841E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501" w:type="dxa"/>
            <w:shd w:val="clear" w:color="auto" w:fill="C6EFCE"/>
            <w:noWrap/>
          </w:tcPr>
          <w:p w14:paraId="4280F3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Enforce previously adopted efficiency enhancing measures to achieve a reduction of the 2022 pharmaceutical clawback both for outpatient and inpatient pharmaceuticals by EUR 50 000 000 compared with the 2020 levels. To the extent that this is not achieved, the difference between the targeted reduction and the actual reduction for each year shall not be clawed back from the pharmaceutical industry and the relevant amount shall be borne by the state budget up to EUR 50 000 000. </w:t>
            </w:r>
          </w:p>
        </w:tc>
      </w:tr>
      <w:tr w:rsidR="00682269" w:rsidRPr="00DE4E4F" w14:paraId="3BA64BD8" w14:textId="77777777" w:rsidTr="009E2E69">
        <w:trPr>
          <w:trHeight w:val="309"/>
          <w:jc w:val="center"/>
        </w:trPr>
        <w:tc>
          <w:tcPr>
            <w:tcW w:w="592" w:type="dxa"/>
            <w:shd w:val="clear" w:color="auto" w:fill="C6EFCE"/>
            <w:noWrap/>
          </w:tcPr>
          <w:p w14:paraId="2D71A3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155</w:t>
            </w:r>
          </w:p>
        </w:tc>
        <w:tc>
          <w:tcPr>
            <w:tcW w:w="1689" w:type="dxa"/>
            <w:shd w:val="clear" w:color="auto" w:fill="C6EFCE"/>
            <w:noWrap/>
          </w:tcPr>
          <w:p w14:paraId="7B8E128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146A61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503885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Clawback decrease 150 000 000 - step 2</w:t>
            </w:r>
          </w:p>
        </w:tc>
        <w:tc>
          <w:tcPr>
            <w:tcW w:w="1717" w:type="dxa"/>
            <w:shd w:val="clear" w:color="auto" w:fill="C6EFCE"/>
            <w:noWrap/>
          </w:tcPr>
          <w:p w14:paraId="23604DB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40917F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Decrease in the amount of clawback compared with the 2020 levels (EUR million)</w:t>
            </w:r>
          </w:p>
        </w:tc>
        <w:tc>
          <w:tcPr>
            <w:tcW w:w="870" w:type="dxa"/>
            <w:shd w:val="clear" w:color="auto" w:fill="C6EFCE"/>
            <w:noWrap/>
          </w:tcPr>
          <w:p w14:paraId="28D549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64" w:type="dxa"/>
            <w:shd w:val="clear" w:color="auto" w:fill="C6EFCE"/>
            <w:noWrap/>
          </w:tcPr>
          <w:p w14:paraId="1972E6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150</w:t>
            </w:r>
          </w:p>
        </w:tc>
        <w:tc>
          <w:tcPr>
            <w:tcW w:w="973" w:type="dxa"/>
            <w:shd w:val="clear" w:color="auto" w:fill="C6EFCE"/>
            <w:noWrap/>
          </w:tcPr>
          <w:p w14:paraId="67F481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2A0A4E0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501" w:type="dxa"/>
            <w:shd w:val="clear" w:color="auto" w:fill="C6EFCE"/>
            <w:noWrap/>
          </w:tcPr>
          <w:p w14:paraId="685FBB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Enforce previously adopted efficiency enhancing measures to achieve a reduction of the 2023 pharmaceutical clawback, both for outpatient and inpatient pharmaceuticals, by EUR 150 000 000 compared with the 2020 levels, supporting the resilience of the health care system. To the extent that this is not achieved, the difference between the targeted reduction and the actual reduction for each year shall not be clawed back from the pharmaceutical industry and the relevant amount shall be borne by the state budget up to EUR 150 000 000.</w:t>
            </w:r>
          </w:p>
        </w:tc>
      </w:tr>
      <w:tr w:rsidR="00682269" w:rsidRPr="00DE4E4F" w14:paraId="1405974F" w14:textId="77777777" w:rsidTr="009E2E69">
        <w:trPr>
          <w:trHeight w:val="309"/>
          <w:jc w:val="center"/>
        </w:trPr>
        <w:tc>
          <w:tcPr>
            <w:tcW w:w="592" w:type="dxa"/>
            <w:shd w:val="clear" w:color="auto" w:fill="C6EFCE"/>
            <w:noWrap/>
          </w:tcPr>
          <w:p w14:paraId="75B871F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156</w:t>
            </w:r>
          </w:p>
        </w:tc>
        <w:tc>
          <w:tcPr>
            <w:tcW w:w="1689" w:type="dxa"/>
            <w:shd w:val="clear" w:color="auto" w:fill="C6EFCE"/>
            <w:noWrap/>
          </w:tcPr>
          <w:p w14:paraId="3FF9CC8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6D292E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5FF2E9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R&amp;D pharmaceutical investment proof - step 1</w:t>
            </w:r>
          </w:p>
        </w:tc>
        <w:tc>
          <w:tcPr>
            <w:tcW w:w="1717" w:type="dxa"/>
            <w:shd w:val="clear" w:color="auto" w:fill="C6EFCE"/>
            <w:noWrap/>
          </w:tcPr>
          <w:p w14:paraId="04F92E0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6667EE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Investment (in EUR million), applied through offsets of an equivalent amount with the clawbacks</w:t>
            </w:r>
          </w:p>
        </w:tc>
        <w:tc>
          <w:tcPr>
            <w:tcW w:w="870" w:type="dxa"/>
            <w:shd w:val="clear" w:color="auto" w:fill="C6EFCE"/>
            <w:noWrap/>
          </w:tcPr>
          <w:p w14:paraId="3C3E3F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64" w:type="dxa"/>
            <w:shd w:val="clear" w:color="auto" w:fill="C6EFCE"/>
            <w:noWrap/>
          </w:tcPr>
          <w:p w14:paraId="3B0945A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117</w:t>
            </w:r>
          </w:p>
        </w:tc>
        <w:tc>
          <w:tcPr>
            <w:tcW w:w="973" w:type="dxa"/>
            <w:shd w:val="clear" w:color="auto" w:fill="C6EFCE"/>
            <w:noWrap/>
          </w:tcPr>
          <w:p w14:paraId="6DC228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4C92FB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501" w:type="dxa"/>
            <w:shd w:val="clear" w:color="auto" w:fill="C6EFCE"/>
            <w:noWrap/>
          </w:tcPr>
          <w:p w14:paraId="3DBCEE0F" w14:textId="234C80C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Carry out investments in pharmaceuticals R&amp;D for an amount of EUR 117</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000 000. The investments shall be confirmed through </w:t>
            </w:r>
            <w:r w:rsidRPr="00DE4E4F">
              <w:rPr>
                <w:rFonts w:ascii="Times New Roman" w:eastAsiaTheme="minorEastAsia" w:hAnsi="Times New Roman" w:cs="Times New Roman"/>
                <w:noProof/>
                <w:color w:val="006100"/>
                <w:sz w:val="18"/>
                <w:szCs w:val="18"/>
              </w:rPr>
              <w:t>the issuance by the Competent Authority of offsetting clawback certificates of an amount of EUR</w:t>
            </w:r>
            <w:r w:rsidRPr="00DE4E4F">
              <w:rPr>
                <w:rFonts w:ascii="Times New Roman" w:hAnsi="Times New Roman" w:cs="Times New Roman"/>
                <w:noProof/>
                <w:color w:val="006100"/>
                <w:sz w:val="18"/>
                <w:szCs w:val="18"/>
              </w:rPr>
              <w:t> </w:t>
            </w:r>
            <w:r w:rsidRPr="00DE4E4F">
              <w:rPr>
                <w:rFonts w:ascii="Times New Roman" w:eastAsiaTheme="minorEastAsia" w:hAnsi="Times New Roman" w:cs="Times New Roman"/>
                <w:noProof/>
                <w:color w:val="006100"/>
                <w:sz w:val="18"/>
                <w:szCs w:val="18"/>
              </w:rPr>
              <w:t>117</w:t>
            </w:r>
            <w:r w:rsidRPr="00DE4E4F">
              <w:rPr>
                <w:rFonts w:ascii="Times New Roman" w:hAnsi="Times New Roman" w:cs="Times New Roman"/>
                <w:noProof/>
                <w:color w:val="006100"/>
                <w:sz w:val="18"/>
                <w:szCs w:val="18"/>
              </w:rPr>
              <w:t> </w:t>
            </w:r>
            <w:r w:rsidRPr="00DE4E4F">
              <w:rPr>
                <w:rFonts w:ascii="Times New Roman" w:eastAsiaTheme="minorEastAsia" w:hAnsi="Times New Roman" w:cs="Times New Roman"/>
                <w:noProof/>
                <w:color w:val="006100"/>
                <w:sz w:val="18"/>
                <w:szCs w:val="18"/>
              </w:rPr>
              <w:t>000</w:t>
            </w:r>
            <w:r w:rsidRPr="00DE4E4F">
              <w:rPr>
                <w:rFonts w:ascii="Times New Roman" w:hAnsi="Times New Roman" w:cs="Times New Roman"/>
                <w:noProof/>
                <w:color w:val="006100"/>
                <w:sz w:val="18"/>
                <w:szCs w:val="18"/>
              </w:rPr>
              <w:t> </w:t>
            </w:r>
            <w:r w:rsidRPr="00DE4E4F">
              <w:rPr>
                <w:rFonts w:ascii="Times New Roman" w:eastAsiaTheme="minorEastAsia" w:hAnsi="Times New Roman" w:cs="Times New Roman"/>
                <w:noProof/>
                <w:color w:val="006100"/>
                <w:sz w:val="18"/>
                <w:szCs w:val="18"/>
              </w:rPr>
              <w:t>000</w:t>
            </w:r>
            <w:r w:rsidRPr="00DE4E4F">
              <w:rPr>
                <w:rFonts w:ascii="Times New Roman" w:hAnsi="Times New Roman" w:cs="Times New Roman"/>
                <w:noProof/>
                <w:color w:val="006100"/>
                <w:sz w:val="18"/>
                <w:szCs w:val="18"/>
              </w:rPr>
              <w:t>.</w:t>
            </w:r>
          </w:p>
        </w:tc>
      </w:tr>
      <w:tr w:rsidR="00682269" w:rsidRPr="00DE4E4F" w14:paraId="2EFD18C3" w14:textId="77777777" w:rsidTr="009E2E69">
        <w:trPr>
          <w:trHeight w:val="309"/>
          <w:jc w:val="center"/>
        </w:trPr>
        <w:tc>
          <w:tcPr>
            <w:tcW w:w="592" w:type="dxa"/>
            <w:shd w:val="clear" w:color="auto" w:fill="C6EFCE"/>
            <w:noWrap/>
          </w:tcPr>
          <w:p w14:paraId="358A6DB8"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156a</w:t>
            </w:r>
          </w:p>
        </w:tc>
        <w:tc>
          <w:tcPr>
            <w:tcW w:w="1689" w:type="dxa"/>
            <w:shd w:val="clear" w:color="auto" w:fill="C6EFCE"/>
            <w:noWrap/>
          </w:tcPr>
          <w:p w14:paraId="1A9FF2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051E5D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78FF14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R&amp;D pharmaceutical investment proof - step 2</w:t>
            </w:r>
          </w:p>
        </w:tc>
        <w:tc>
          <w:tcPr>
            <w:tcW w:w="1717" w:type="dxa"/>
            <w:shd w:val="clear" w:color="auto" w:fill="C6EFCE"/>
            <w:noWrap/>
          </w:tcPr>
          <w:p w14:paraId="6CC5EB8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7FE877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Investment (in EUR million), applied through offsets of an equivalent amount with the clawbacks</w:t>
            </w:r>
          </w:p>
        </w:tc>
        <w:tc>
          <w:tcPr>
            <w:tcW w:w="870" w:type="dxa"/>
            <w:shd w:val="clear" w:color="auto" w:fill="C6EFCE"/>
            <w:noWrap/>
          </w:tcPr>
          <w:p w14:paraId="142CEB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117</w:t>
            </w:r>
          </w:p>
        </w:tc>
        <w:tc>
          <w:tcPr>
            <w:tcW w:w="764" w:type="dxa"/>
            <w:shd w:val="clear" w:color="auto" w:fill="C6EFCE"/>
            <w:noWrap/>
          </w:tcPr>
          <w:p w14:paraId="1A47A8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250</w:t>
            </w:r>
          </w:p>
        </w:tc>
        <w:tc>
          <w:tcPr>
            <w:tcW w:w="973" w:type="dxa"/>
            <w:shd w:val="clear" w:color="auto" w:fill="C6EFCE"/>
            <w:noWrap/>
          </w:tcPr>
          <w:p w14:paraId="4A0B4C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92" w:type="dxa"/>
            <w:shd w:val="clear" w:color="auto" w:fill="C6EFCE"/>
            <w:noWrap/>
          </w:tcPr>
          <w:p w14:paraId="2E8813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501" w:type="dxa"/>
            <w:shd w:val="clear" w:color="auto" w:fill="C6EFCE"/>
            <w:noWrap/>
          </w:tcPr>
          <w:p w14:paraId="47BB8A74" w14:textId="5189C49D"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investments in pharmaceuticals, R&amp;D or other eligible investments for an additional amount of EUR 133 000 000 in order to achieve the total amount of EUR 250 000 000 investments (cumulative step 1 and step</w:t>
            </w:r>
            <w:r w:rsidR="001F7482"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2). </w:t>
            </w:r>
          </w:p>
          <w:p w14:paraId="00BB5D76" w14:textId="76F908E5"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investments shall be confirmed through the issuance by the Competent Authority of offsetting clawback certificates of an amount of EUR 133</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000</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000.</w:t>
            </w:r>
          </w:p>
        </w:tc>
      </w:tr>
      <w:tr w:rsidR="00682269" w:rsidRPr="00DE4E4F" w14:paraId="66C66DFB" w14:textId="77777777" w:rsidTr="009E2E69">
        <w:trPr>
          <w:trHeight w:val="309"/>
          <w:jc w:val="center"/>
        </w:trPr>
        <w:tc>
          <w:tcPr>
            <w:tcW w:w="592" w:type="dxa"/>
            <w:shd w:val="clear" w:color="auto" w:fill="C6EFCE"/>
            <w:noWrap/>
          </w:tcPr>
          <w:p w14:paraId="3EABC0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157</w:t>
            </w:r>
          </w:p>
        </w:tc>
        <w:tc>
          <w:tcPr>
            <w:tcW w:w="1689" w:type="dxa"/>
            <w:shd w:val="clear" w:color="auto" w:fill="C6EFCE"/>
            <w:noWrap/>
          </w:tcPr>
          <w:p w14:paraId="5E0D03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344F5E3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63DE642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Clawback decrease 300 000 000 - step 3</w:t>
            </w:r>
          </w:p>
        </w:tc>
        <w:tc>
          <w:tcPr>
            <w:tcW w:w="1717" w:type="dxa"/>
            <w:shd w:val="clear" w:color="auto" w:fill="C6EFCE"/>
            <w:noWrap/>
          </w:tcPr>
          <w:p w14:paraId="65B630B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1978E8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Decrease in the amount of clawback compared with the 2020 levels (EUR million)</w:t>
            </w:r>
          </w:p>
        </w:tc>
        <w:tc>
          <w:tcPr>
            <w:tcW w:w="870" w:type="dxa"/>
            <w:shd w:val="clear" w:color="auto" w:fill="C6EFCE"/>
            <w:noWrap/>
          </w:tcPr>
          <w:p w14:paraId="4E86E8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64" w:type="dxa"/>
            <w:shd w:val="clear" w:color="auto" w:fill="C6EFCE"/>
            <w:noWrap/>
          </w:tcPr>
          <w:p w14:paraId="289302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300</w:t>
            </w:r>
          </w:p>
        </w:tc>
        <w:tc>
          <w:tcPr>
            <w:tcW w:w="973" w:type="dxa"/>
            <w:shd w:val="clear" w:color="auto" w:fill="C6EFCE"/>
            <w:noWrap/>
          </w:tcPr>
          <w:p w14:paraId="2AC338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1E5C00D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501" w:type="dxa"/>
            <w:shd w:val="clear" w:color="auto" w:fill="C6EFCE"/>
            <w:noWrap/>
          </w:tcPr>
          <w:p w14:paraId="4A98E643" w14:textId="6B1309C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Reduction of EUR 300 000 000 </w:t>
            </w:r>
            <w:r w:rsidR="00D71B7E" w:rsidRPr="00DE4E4F">
              <w:rPr>
                <w:rFonts w:ascii="Times New Roman" w:hAnsi="Times New Roman" w:cs="Times New Roman"/>
                <w:noProof/>
                <w:color w:val="006100"/>
                <w:sz w:val="18"/>
                <w:szCs w:val="18"/>
              </w:rPr>
              <w:t xml:space="preserve">of the 2024 </w:t>
            </w:r>
            <w:r w:rsidRPr="00DE4E4F">
              <w:rPr>
                <w:rFonts w:ascii="Times New Roman" w:hAnsi="Times New Roman" w:cs="Times New Roman"/>
                <w:noProof/>
                <w:color w:val="006100"/>
                <w:sz w:val="18"/>
                <w:szCs w:val="18"/>
              </w:rPr>
              <w:t>pharmaceutical clawback compared to the 2020 levels. In case this is not achieved, the difference between the targeted reduction and the actual reduction shall not be clawed back from the pharmaceutical industry and the relevant amount shall be borne by the state budget up to EUR 300 000 000</w:t>
            </w:r>
            <w:r w:rsidR="001F7482" w:rsidRPr="00DE4E4F">
              <w:rPr>
                <w:rFonts w:ascii="Times New Roman" w:hAnsi="Times New Roman" w:cs="Times New Roman"/>
                <w:noProof/>
                <w:color w:val="006100"/>
                <w:sz w:val="18"/>
                <w:szCs w:val="18"/>
              </w:rPr>
              <w:t>.</w:t>
            </w:r>
          </w:p>
        </w:tc>
      </w:tr>
      <w:tr w:rsidR="00682269" w:rsidRPr="00DE4E4F" w14:paraId="202F7B0C" w14:textId="77777777" w:rsidTr="009E2E69">
        <w:trPr>
          <w:trHeight w:val="309"/>
          <w:jc w:val="center"/>
        </w:trPr>
        <w:tc>
          <w:tcPr>
            <w:tcW w:w="592" w:type="dxa"/>
            <w:shd w:val="clear" w:color="auto" w:fill="C6EFCE"/>
            <w:noWrap/>
          </w:tcPr>
          <w:p w14:paraId="657627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158</w:t>
            </w:r>
          </w:p>
        </w:tc>
        <w:tc>
          <w:tcPr>
            <w:tcW w:w="1689" w:type="dxa"/>
            <w:shd w:val="clear" w:color="auto" w:fill="C6EFCE"/>
            <w:noWrap/>
          </w:tcPr>
          <w:p w14:paraId="00DAFF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- 16816_ Clawback reduction and rationalization of healthcare expenditure</w:t>
            </w:r>
          </w:p>
        </w:tc>
        <w:tc>
          <w:tcPr>
            <w:tcW w:w="1088" w:type="dxa"/>
            <w:shd w:val="clear" w:color="auto" w:fill="C6EFCE"/>
            <w:noWrap/>
          </w:tcPr>
          <w:p w14:paraId="6C79DB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50" w:type="dxa"/>
            <w:shd w:val="clear" w:color="auto" w:fill="C6EFCE"/>
            <w:noWrap/>
          </w:tcPr>
          <w:p w14:paraId="19D8EB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Clawback decrease 400 000 000 - step 4</w:t>
            </w:r>
          </w:p>
        </w:tc>
        <w:tc>
          <w:tcPr>
            <w:tcW w:w="1717" w:type="dxa"/>
            <w:shd w:val="clear" w:color="auto" w:fill="C6EFCE"/>
            <w:noWrap/>
          </w:tcPr>
          <w:p w14:paraId="31D2DA7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94" w:type="dxa"/>
            <w:shd w:val="clear" w:color="auto" w:fill="C6EFCE"/>
            <w:noWrap/>
          </w:tcPr>
          <w:p w14:paraId="0113120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Decrease in the amount of clawback compared with the 2020 levels (EUR million)</w:t>
            </w:r>
          </w:p>
        </w:tc>
        <w:tc>
          <w:tcPr>
            <w:tcW w:w="870" w:type="dxa"/>
            <w:shd w:val="clear" w:color="auto" w:fill="C6EFCE"/>
            <w:noWrap/>
          </w:tcPr>
          <w:p w14:paraId="53A806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764" w:type="dxa"/>
            <w:shd w:val="clear" w:color="auto" w:fill="C6EFCE"/>
            <w:noWrap/>
          </w:tcPr>
          <w:p w14:paraId="700FAE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400</w:t>
            </w:r>
          </w:p>
        </w:tc>
        <w:tc>
          <w:tcPr>
            <w:tcW w:w="973" w:type="dxa"/>
            <w:shd w:val="clear" w:color="auto" w:fill="C6EFCE"/>
            <w:noWrap/>
          </w:tcPr>
          <w:p w14:paraId="24971C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5420A03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501" w:type="dxa"/>
            <w:shd w:val="clear" w:color="auto" w:fill="C6EFCE"/>
            <w:noWrap/>
          </w:tcPr>
          <w:p w14:paraId="02AF7531" w14:textId="546B7F7F"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Reduction of EUR 400 000 000 </w:t>
            </w:r>
            <w:r w:rsidR="00D71B7E" w:rsidRPr="00DE4E4F">
              <w:rPr>
                <w:rFonts w:ascii="Times New Roman" w:hAnsi="Times New Roman" w:cs="Times New Roman"/>
                <w:noProof/>
                <w:color w:val="006100"/>
                <w:sz w:val="18"/>
                <w:szCs w:val="18"/>
              </w:rPr>
              <w:t xml:space="preserve">of the 2025 </w:t>
            </w:r>
            <w:r w:rsidRPr="00DE4E4F">
              <w:rPr>
                <w:rFonts w:ascii="Times New Roman" w:hAnsi="Times New Roman" w:cs="Times New Roman"/>
                <w:noProof/>
                <w:color w:val="006100"/>
                <w:sz w:val="18"/>
                <w:szCs w:val="18"/>
              </w:rPr>
              <w:t>pharmaceutical clawback compared to the 2020 levels. In case that is not achieved, the difference between the targeted reduction and the actual reduction shall not be clawed back from the pharmaceutical industry and the relevant amount shall be borne by the state budget up to EUR 400 000 000</w:t>
            </w:r>
            <w:r w:rsidR="001F7482" w:rsidRPr="00DE4E4F">
              <w:rPr>
                <w:rFonts w:ascii="Times New Roman" w:hAnsi="Times New Roman" w:cs="Times New Roman"/>
                <w:noProof/>
                <w:color w:val="006100"/>
                <w:sz w:val="18"/>
                <w:szCs w:val="18"/>
              </w:rPr>
              <w:t>.</w:t>
            </w:r>
          </w:p>
        </w:tc>
      </w:tr>
    </w:tbl>
    <w:p w14:paraId="58902F36" w14:textId="77777777" w:rsidR="001B186F" w:rsidRPr="00DE4E4F" w:rsidRDefault="001B186F">
      <w:pPr>
        <w:spacing w:before="120" w:after="120" w:line="240" w:lineRule="auto"/>
        <w:ind w:left="709"/>
        <w:jc w:val="both"/>
        <w:rPr>
          <w:rFonts w:ascii="Times New Roman" w:hAnsi="Times New Roman" w:cs="Times New Roman"/>
          <w:noProof/>
          <w:sz w:val="24"/>
          <w:szCs w:val="24"/>
        </w:rPr>
        <w:sectPr w:rsidR="001B186F" w:rsidRPr="00DE4E4F">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2E700FC6"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13: Improve resilience, accessibility and sustainability of healthcare</w:t>
      </w:r>
    </w:p>
    <w:p w14:paraId="1C19DAA6" w14:textId="77777777" w:rsidR="001B186F" w:rsidRPr="00DE4E4F" w:rsidRDefault="0074517F">
      <w:pPr>
        <w:numPr>
          <w:ilvl w:val="0"/>
          <w:numId w:val="46"/>
        </w:numPr>
        <w:tabs>
          <w:tab w:val="left" w:pos="8364"/>
        </w:tabs>
        <w:spacing w:before="120" w:after="0" w:line="240" w:lineRule="auto"/>
        <w:jc w:val="both"/>
        <w:rPr>
          <w:rFonts w:ascii="Times New Roman" w:hAnsi="Times New Roman" w:cs="Times New Roman"/>
          <w:noProof/>
        </w:rPr>
      </w:pPr>
      <w:r w:rsidRPr="00DE4E4F">
        <w:rPr>
          <w:rFonts w:ascii="Times New Roman" w:hAnsi="Times New Roman"/>
          <w:noProof/>
          <w:sz w:val="24"/>
        </w:rPr>
        <w:t>Organisational Reforms in the Health System (ID: 16756)</w:t>
      </w:r>
    </w:p>
    <w:p w14:paraId="26E5E33B" w14:textId="77777777" w:rsidR="001B186F" w:rsidRPr="00DE4E4F" w:rsidRDefault="0074517F">
      <w:pPr>
        <w:numPr>
          <w:ilvl w:val="0"/>
          <w:numId w:val="46"/>
        </w:numPr>
        <w:tabs>
          <w:tab w:val="left" w:pos="8364"/>
        </w:tabs>
        <w:spacing w:before="120" w:after="0" w:line="240" w:lineRule="auto"/>
        <w:jc w:val="both"/>
        <w:rPr>
          <w:rFonts w:ascii="Times New Roman" w:hAnsi="Times New Roman" w:cs="Times New Roman"/>
          <w:noProof/>
          <w:sz w:val="24"/>
        </w:rPr>
      </w:pPr>
      <w:r w:rsidRPr="00DE4E4F">
        <w:rPr>
          <w:rFonts w:ascii="Times New Roman" w:hAnsi="Times New Roman"/>
          <w:noProof/>
          <w:sz w:val="24"/>
        </w:rPr>
        <w:t>Reform in the fields of mental health and addictions (ID: 16820)</w:t>
      </w:r>
    </w:p>
    <w:p w14:paraId="5C4B0880" w14:textId="77777777" w:rsidR="001B186F" w:rsidRPr="00DE4E4F" w:rsidRDefault="0074517F">
      <w:pPr>
        <w:numPr>
          <w:ilvl w:val="0"/>
          <w:numId w:val="46"/>
        </w:numPr>
        <w:tabs>
          <w:tab w:val="left" w:pos="8364"/>
        </w:tabs>
        <w:spacing w:before="120" w:after="0" w:line="240" w:lineRule="auto"/>
        <w:jc w:val="both"/>
        <w:rPr>
          <w:rFonts w:ascii="Times New Roman" w:hAnsi="Times New Roman" w:cs="Times New Roman"/>
          <w:noProof/>
          <w:sz w:val="24"/>
        </w:rPr>
      </w:pPr>
      <w:r w:rsidRPr="00DE4E4F">
        <w:rPr>
          <w:rFonts w:ascii="Times New Roman" w:hAnsi="Times New Roman"/>
          <w:noProof/>
          <w:sz w:val="24"/>
        </w:rPr>
        <w:t>Reform of the Primary Health Care system (ID: 16755)</w:t>
      </w:r>
    </w:p>
    <w:p w14:paraId="45920DF0" w14:textId="77777777" w:rsidR="001B186F" w:rsidRPr="00DE4E4F" w:rsidRDefault="0074517F">
      <w:pPr>
        <w:numPr>
          <w:ilvl w:val="0"/>
          <w:numId w:val="46"/>
        </w:numPr>
        <w:tabs>
          <w:tab w:val="left" w:pos="8364"/>
        </w:tabs>
        <w:spacing w:before="120" w:after="120" w:line="240" w:lineRule="auto"/>
        <w:jc w:val="both"/>
        <w:rPr>
          <w:rFonts w:ascii="Times New Roman" w:hAnsi="Times New Roman" w:cs="Times New Roman"/>
          <w:noProof/>
          <w:sz w:val="24"/>
        </w:rPr>
      </w:pPr>
      <w:r w:rsidRPr="00DE4E4F">
        <w:rPr>
          <w:rFonts w:ascii="Times New Roman" w:hAnsi="Times New Roman"/>
          <w:noProof/>
          <w:sz w:val="24"/>
        </w:rPr>
        <w:t>Implementation of National Public Health Prevention Program “Spiros Doxiadis” (ID: 16783)</w:t>
      </w:r>
    </w:p>
    <w:p w14:paraId="0F2D7832" w14:textId="77777777" w:rsidR="001B186F" w:rsidRPr="00DE4E4F" w:rsidRDefault="0074517F">
      <w:pPr>
        <w:numPr>
          <w:ilvl w:val="0"/>
          <w:numId w:val="46"/>
        </w:numPr>
        <w:tabs>
          <w:tab w:val="left" w:pos="8364"/>
        </w:tabs>
        <w:spacing w:before="120" w:after="120" w:line="240" w:lineRule="auto"/>
        <w:jc w:val="both"/>
        <w:rPr>
          <w:rFonts w:ascii="Times New Roman" w:hAnsi="Times New Roman" w:cs="Times New Roman"/>
          <w:noProof/>
          <w:sz w:val="24"/>
        </w:rPr>
      </w:pPr>
      <w:r w:rsidRPr="00DE4E4F">
        <w:rPr>
          <w:rFonts w:ascii="Times New Roman" w:hAnsi="Times New Roman"/>
          <w:noProof/>
          <w:sz w:val="24"/>
        </w:rPr>
        <w:t>Personal doctor reform (ID: 16984)</w:t>
      </w:r>
    </w:p>
    <w:tbl>
      <w:tblPr>
        <w:tblW w:w="16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2085"/>
        <w:gridCol w:w="969"/>
        <w:gridCol w:w="1293"/>
        <w:gridCol w:w="1707"/>
        <w:gridCol w:w="1335"/>
        <w:gridCol w:w="1050"/>
        <w:gridCol w:w="975"/>
        <w:gridCol w:w="885"/>
        <w:gridCol w:w="825"/>
        <w:gridCol w:w="4447"/>
      </w:tblGrid>
      <w:tr w:rsidR="00FA4B18" w:rsidRPr="00DE4E4F" w14:paraId="2F09CD99" w14:textId="77777777" w:rsidTr="001F7482">
        <w:trPr>
          <w:trHeight w:val="631"/>
          <w:tblHeader/>
          <w:jc w:val="center"/>
        </w:trPr>
        <w:tc>
          <w:tcPr>
            <w:tcW w:w="717" w:type="dxa"/>
            <w:vMerge w:val="restart"/>
            <w:shd w:val="clear" w:color="auto" w:fill="BDD7EE"/>
            <w:vAlign w:val="center"/>
            <w:hideMark/>
          </w:tcPr>
          <w:p w14:paraId="5E68DEFE" w14:textId="77777777" w:rsidR="001B186F" w:rsidRPr="00DE4E4F" w:rsidRDefault="0074517F" w:rsidP="001F7482">
            <w:pPr>
              <w:spacing w:after="0" w:line="240" w:lineRule="auto"/>
              <w:ind w:right="-670"/>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085" w:type="dxa"/>
            <w:vMerge w:val="restart"/>
            <w:shd w:val="clear" w:color="auto" w:fill="BDD7EE"/>
            <w:vAlign w:val="center"/>
            <w:hideMark/>
          </w:tcPr>
          <w:p w14:paraId="783FA564" w14:textId="77777777" w:rsidR="001B186F" w:rsidRPr="00DE4E4F" w:rsidRDefault="0074517F" w:rsidP="001F7482">
            <w:pPr>
              <w:spacing w:after="0" w:line="240" w:lineRule="auto"/>
              <w:ind w:right="-670"/>
              <w:rPr>
                <w:rFonts w:ascii="Times New Roman" w:hAnsi="Times New Roman" w:cs="Times New Roman"/>
                <w:b/>
                <w:noProof/>
                <w:sz w:val="18"/>
                <w:szCs w:val="18"/>
              </w:rPr>
            </w:pPr>
            <w:r w:rsidRPr="00DE4E4F">
              <w:rPr>
                <w:rFonts w:ascii="Times New Roman" w:hAnsi="Times New Roman" w:cs="Times New Roman"/>
                <w:b/>
                <w:noProof/>
                <w:sz w:val="18"/>
                <w:szCs w:val="18"/>
              </w:rPr>
              <w:t>Related Measure</w:t>
            </w:r>
          </w:p>
          <w:p w14:paraId="3CB8D57B" w14:textId="77777777" w:rsidR="001B186F" w:rsidRPr="00DE4E4F" w:rsidRDefault="0074517F" w:rsidP="001F7482">
            <w:pPr>
              <w:spacing w:after="0" w:line="240" w:lineRule="auto"/>
              <w:ind w:right="-670"/>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(Reform or Investment)</w:t>
            </w:r>
          </w:p>
        </w:tc>
        <w:tc>
          <w:tcPr>
            <w:tcW w:w="969" w:type="dxa"/>
            <w:vMerge w:val="restart"/>
            <w:shd w:val="clear" w:color="auto" w:fill="BDD7EE"/>
            <w:vAlign w:val="center"/>
            <w:hideMark/>
          </w:tcPr>
          <w:p w14:paraId="19E295BF" w14:textId="77777777" w:rsidR="001B186F" w:rsidRPr="00DE4E4F" w:rsidRDefault="0074517F" w:rsidP="001F7482">
            <w:pPr>
              <w:spacing w:after="0" w:line="240" w:lineRule="auto"/>
              <w:ind w:right="-670"/>
              <w:rPr>
                <w:rFonts w:ascii="Times New Roman" w:hAnsi="Times New Roman" w:cs="Times New Roman"/>
                <w:b/>
                <w:noProof/>
                <w:sz w:val="18"/>
                <w:szCs w:val="18"/>
              </w:rPr>
            </w:pPr>
            <w:r w:rsidRPr="00DE4E4F">
              <w:rPr>
                <w:rFonts w:ascii="Times New Roman" w:hAnsi="Times New Roman" w:cs="Times New Roman"/>
                <w:b/>
                <w:noProof/>
                <w:sz w:val="18"/>
                <w:szCs w:val="18"/>
              </w:rPr>
              <w:t>Milestone /</w:t>
            </w:r>
          </w:p>
          <w:p w14:paraId="24976D7F" w14:textId="77777777" w:rsidR="001B186F" w:rsidRPr="00DE4E4F" w:rsidRDefault="0074517F" w:rsidP="001F7482">
            <w:pPr>
              <w:spacing w:after="0" w:line="240" w:lineRule="auto"/>
              <w:ind w:right="-670"/>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Target</w:t>
            </w:r>
          </w:p>
        </w:tc>
        <w:tc>
          <w:tcPr>
            <w:tcW w:w="1293" w:type="dxa"/>
            <w:vMerge w:val="restart"/>
            <w:shd w:val="clear" w:color="auto" w:fill="BDD7EE"/>
            <w:vAlign w:val="center"/>
            <w:hideMark/>
          </w:tcPr>
          <w:p w14:paraId="605061F3" w14:textId="77777777" w:rsidR="001B186F" w:rsidRPr="00DE4E4F" w:rsidRDefault="0074517F" w:rsidP="001F7482">
            <w:pPr>
              <w:spacing w:after="0" w:line="240" w:lineRule="auto"/>
              <w:ind w:left="447" w:right="-670" w:hanging="447"/>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707" w:type="dxa"/>
            <w:vMerge w:val="restart"/>
            <w:shd w:val="clear" w:color="auto" w:fill="BDD7EE"/>
            <w:vAlign w:val="center"/>
            <w:hideMark/>
          </w:tcPr>
          <w:p w14:paraId="06CA85B1" w14:textId="77777777" w:rsidR="001B186F" w:rsidRPr="00DE4E4F" w:rsidRDefault="0074517F" w:rsidP="001F7482">
            <w:pPr>
              <w:spacing w:after="0" w:line="240" w:lineRule="auto"/>
              <w:ind w:left="447" w:right="-670" w:hanging="447"/>
              <w:rPr>
                <w:rFonts w:ascii="Times New Roman" w:hAnsi="Times New Roman" w:cs="Times New Roman"/>
                <w:b/>
                <w:noProof/>
                <w:sz w:val="18"/>
                <w:szCs w:val="18"/>
              </w:rPr>
            </w:pPr>
            <w:r w:rsidRPr="00DE4E4F">
              <w:rPr>
                <w:rFonts w:ascii="Times New Roman" w:hAnsi="Times New Roman" w:cs="Times New Roman"/>
                <w:b/>
                <w:noProof/>
                <w:sz w:val="18"/>
                <w:szCs w:val="18"/>
              </w:rPr>
              <w:t>Qualitative indicators</w:t>
            </w:r>
          </w:p>
          <w:p w14:paraId="227785AF" w14:textId="77777777" w:rsidR="001B186F" w:rsidRPr="00DE4E4F" w:rsidRDefault="0074517F" w:rsidP="001F7482">
            <w:pPr>
              <w:spacing w:after="0" w:line="240" w:lineRule="auto"/>
              <w:ind w:left="447" w:right="-670" w:hanging="447"/>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(for milestones)</w:t>
            </w:r>
          </w:p>
        </w:tc>
        <w:tc>
          <w:tcPr>
            <w:tcW w:w="3360" w:type="dxa"/>
            <w:gridSpan w:val="3"/>
            <w:shd w:val="clear" w:color="auto" w:fill="BDD7EE"/>
            <w:vAlign w:val="center"/>
            <w:hideMark/>
          </w:tcPr>
          <w:p w14:paraId="5E504EC2" w14:textId="77777777" w:rsidR="001B186F" w:rsidRPr="00DE4E4F" w:rsidRDefault="0074517F" w:rsidP="001F7482">
            <w:pPr>
              <w:tabs>
                <w:tab w:val="left" w:pos="176"/>
                <w:tab w:val="left" w:pos="582"/>
              </w:tabs>
              <w:spacing w:after="0" w:line="240" w:lineRule="auto"/>
              <w:ind w:left="-108" w:right="-670" w:firstLine="108"/>
              <w:jc w:val="center"/>
              <w:rPr>
                <w:rFonts w:ascii="Times New Roman" w:hAnsi="Times New Roman" w:cs="Times New Roman"/>
                <w:b/>
                <w:noProof/>
                <w:sz w:val="18"/>
                <w:szCs w:val="18"/>
              </w:rPr>
            </w:pPr>
            <w:r w:rsidRPr="00DE4E4F">
              <w:rPr>
                <w:rFonts w:ascii="Times New Roman" w:hAnsi="Times New Roman" w:cs="Times New Roman"/>
                <w:b/>
                <w:noProof/>
                <w:sz w:val="18"/>
                <w:szCs w:val="18"/>
              </w:rPr>
              <w:t>Quantitative indicators</w:t>
            </w:r>
          </w:p>
          <w:p w14:paraId="49EA4D8E" w14:textId="77777777" w:rsidR="001B186F" w:rsidRPr="00DE4E4F" w:rsidRDefault="0074517F" w:rsidP="001F7482">
            <w:pPr>
              <w:spacing w:after="0" w:line="240" w:lineRule="auto"/>
              <w:ind w:right="-670"/>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(for targets)</w:t>
            </w:r>
          </w:p>
        </w:tc>
        <w:tc>
          <w:tcPr>
            <w:tcW w:w="1710" w:type="dxa"/>
            <w:gridSpan w:val="2"/>
            <w:shd w:val="clear" w:color="auto" w:fill="BDD7EE"/>
            <w:vAlign w:val="center"/>
            <w:hideMark/>
          </w:tcPr>
          <w:p w14:paraId="3CAE1BB3" w14:textId="77777777" w:rsidR="001B186F" w:rsidRPr="00DE4E4F" w:rsidRDefault="0074517F" w:rsidP="001F7482">
            <w:pPr>
              <w:spacing w:after="0" w:line="240" w:lineRule="auto"/>
              <w:ind w:right="-670"/>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Indicative timeline for completion</w:t>
            </w:r>
          </w:p>
        </w:tc>
        <w:tc>
          <w:tcPr>
            <w:tcW w:w="4447" w:type="dxa"/>
            <w:vMerge w:val="restart"/>
            <w:shd w:val="clear" w:color="auto" w:fill="BDD7EE"/>
            <w:vAlign w:val="center"/>
            <w:hideMark/>
          </w:tcPr>
          <w:p w14:paraId="7E697711" w14:textId="77777777" w:rsidR="001B186F" w:rsidRPr="00DE4E4F" w:rsidRDefault="0074517F" w:rsidP="001F7482">
            <w:pPr>
              <w:spacing w:after="0" w:line="240" w:lineRule="auto"/>
              <w:ind w:left="253" w:right="-670"/>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0E4D8D21" w14:textId="77777777" w:rsidTr="001F7482">
        <w:trPr>
          <w:trHeight w:val="532"/>
          <w:tblHeader/>
          <w:jc w:val="center"/>
        </w:trPr>
        <w:tc>
          <w:tcPr>
            <w:tcW w:w="717" w:type="dxa"/>
            <w:vMerge/>
            <w:vAlign w:val="center"/>
            <w:hideMark/>
          </w:tcPr>
          <w:p w14:paraId="26213B54"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c>
          <w:tcPr>
            <w:tcW w:w="2085" w:type="dxa"/>
            <w:vMerge/>
            <w:vAlign w:val="center"/>
            <w:hideMark/>
          </w:tcPr>
          <w:p w14:paraId="63EDC9B3"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c>
          <w:tcPr>
            <w:tcW w:w="969" w:type="dxa"/>
            <w:vMerge/>
            <w:vAlign w:val="center"/>
            <w:hideMark/>
          </w:tcPr>
          <w:p w14:paraId="345FBD1B"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c>
          <w:tcPr>
            <w:tcW w:w="1293" w:type="dxa"/>
            <w:vMerge/>
            <w:vAlign w:val="center"/>
            <w:hideMark/>
          </w:tcPr>
          <w:p w14:paraId="57E68FEC"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c>
          <w:tcPr>
            <w:tcW w:w="1707" w:type="dxa"/>
            <w:vMerge/>
            <w:vAlign w:val="center"/>
            <w:hideMark/>
          </w:tcPr>
          <w:p w14:paraId="432C25C7"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c>
          <w:tcPr>
            <w:tcW w:w="1335" w:type="dxa"/>
            <w:shd w:val="clear" w:color="auto" w:fill="BDD7EE"/>
            <w:vAlign w:val="center"/>
            <w:hideMark/>
          </w:tcPr>
          <w:p w14:paraId="0FB2235B" w14:textId="77777777" w:rsidR="001B186F" w:rsidRPr="00DE4E4F" w:rsidRDefault="0074517F" w:rsidP="001F7482">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1050" w:type="dxa"/>
            <w:shd w:val="clear" w:color="auto" w:fill="BDD7EE"/>
            <w:vAlign w:val="center"/>
            <w:hideMark/>
          </w:tcPr>
          <w:p w14:paraId="4003084A" w14:textId="77777777" w:rsidR="001B186F" w:rsidRPr="00DE4E4F" w:rsidRDefault="0074517F" w:rsidP="001F7482">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975" w:type="dxa"/>
            <w:shd w:val="clear" w:color="auto" w:fill="BDD7EE"/>
            <w:vAlign w:val="center"/>
            <w:hideMark/>
          </w:tcPr>
          <w:p w14:paraId="4F61DB7E" w14:textId="77777777" w:rsidR="001B186F" w:rsidRPr="00DE4E4F" w:rsidRDefault="0074517F" w:rsidP="001F7482">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885" w:type="dxa"/>
            <w:shd w:val="clear" w:color="auto" w:fill="BDD7EE"/>
            <w:vAlign w:val="center"/>
            <w:hideMark/>
          </w:tcPr>
          <w:p w14:paraId="782E5E17" w14:textId="77777777" w:rsidR="001B186F" w:rsidRPr="00DE4E4F" w:rsidRDefault="0074517F" w:rsidP="001F7482">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825" w:type="dxa"/>
            <w:shd w:val="clear" w:color="auto" w:fill="BDD7EE"/>
            <w:vAlign w:val="center"/>
            <w:hideMark/>
          </w:tcPr>
          <w:p w14:paraId="25DC9916" w14:textId="77777777" w:rsidR="001B186F" w:rsidRPr="00DE4E4F" w:rsidRDefault="0074517F" w:rsidP="001F7482">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4447" w:type="dxa"/>
            <w:vMerge/>
            <w:vAlign w:val="center"/>
            <w:hideMark/>
          </w:tcPr>
          <w:p w14:paraId="1AE996DE" w14:textId="77777777" w:rsidR="001B186F" w:rsidRPr="00DE4E4F" w:rsidRDefault="001B186F" w:rsidP="001F7482">
            <w:pPr>
              <w:spacing w:after="0" w:line="240" w:lineRule="auto"/>
              <w:rPr>
                <w:rFonts w:ascii="Times New Roman" w:eastAsia="Times New Roman" w:hAnsi="Times New Roman" w:cs="Times New Roman"/>
                <w:b/>
                <w:bCs/>
                <w:noProof/>
                <w:sz w:val="18"/>
                <w:szCs w:val="18"/>
                <w:lang w:eastAsia="en-GB"/>
              </w:rPr>
            </w:pPr>
          </w:p>
        </w:tc>
      </w:tr>
      <w:tr w:rsidR="00F7603C" w:rsidRPr="00DE4E4F" w14:paraId="0C9069CC" w14:textId="77777777" w:rsidTr="001F7482">
        <w:trPr>
          <w:trHeight w:val="313"/>
          <w:jc w:val="center"/>
        </w:trPr>
        <w:tc>
          <w:tcPr>
            <w:tcW w:w="717" w:type="dxa"/>
            <w:shd w:val="clear" w:color="auto" w:fill="C6EFCE"/>
            <w:noWrap/>
          </w:tcPr>
          <w:p w14:paraId="502BF398"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159</w:t>
            </w:r>
          </w:p>
        </w:tc>
        <w:tc>
          <w:tcPr>
            <w:tcW w:w="2085" w:type="dxa"/>
            <w:shd w:val="clear" w:color="auto" w:fill="C6EFCE"/>
            <w:noWrap/>
          </w:tcPr>
          <w:p w14:paraId="412CE86F"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-16755_Reform of the Primary Health Care System</w:t>
            </w:r>
          </w:p>
        </w:tc>
        <w:tc>
          <w:tcPr>
            <w:tcW w:w="969" w:type="dxa"/>
            <w:shd w:val="clear" w:color="auto" w:fill="C6EFCE"/>
            <w:noWrap/>
          </w:tcPr>
          <w:p w14:paraId="72DDB879"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3EFAE51B"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Primary Health Care family medicine curricula activation </w:t>
            </w:r>
          </w:p>
        </w:tc>
        <w:tc>
          <w:tcPr>
            <w:tcW w:w="1707" w:type="dxa"/>
            <w:shd w:val="clear" w:color="auto" w:fill="C6EFCE"/>
            <w:noWrap/>
          </w:tcPr>
          <w:p w14:paraId="3A340D0F" w14:textId="3B070161"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Proof of start of courses for all newly activated academic curricula in family medicine and of the inclusion of a family medicine module in all medical curricula</w:t>
            </w:r>
          </w:p>
        </w:tc>
        <w:tc>
          <w:tcPr>
            <w:tcW w:w="1335" w:type="dxa"/>
            <w:shd w:val="clear" w:color="auto" w:fill="C6EFCE"/>
            <w:noWrap/>
          </w:tcPr>
          <w:p w14:paraId="79E5C087"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7E17F134" w14:textId="77777777" w:rsidR="001B186F" w:rsidRPr="00DE4E4F" w:rsidRDefault="001B186F" w:rsidP="001F7482">
            <w:pPr>
              <w:spacing w:after="0" w:line="240" w:lineRule="auto"/>
              <w:ind w:left="-692" w:right="631"/>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778D42F6"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014EC6F1"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4632AA7F"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447" w:type="dxa"/>
            <w:shd w:val="clear" w:color="auto" w:fill="C6EFCE"/>
            <w:noWrap/>
          </w:tcPr>
          <w:p w14:paraId="20C3A4A7" w14:textId="7E88B43A"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Expand the number of active academic curricula in family medicine to at least 75% of medical schools in Greece and include a compulsory module in family medicine in all medical curricula. This shall include documentation, for the affected universities, highlighting the new architecture of degrees: 1) newly established curricula and 2) inclusion of the compulsory module in family medicine in existing curricula</w:t>
            </w:r>
            <w:r w:rsidR="008C3505" w:rsidRPr="00DE4E4F">
              <w:rPr>
                <w:rFonts w:ascii="Times New Roman" w:hAnsi="Times New Roman" w:cs="Times New Roman"/>
                <w:noProof/>
                <w:color w:val="006100"/>
                <w:sz w:val="18"/>
                <w:szCs w:val="18"/>
              </w:rPr>
              <w:t>.</w:t>
            </w:r>
          </w:p>
        </w:tc>
      </w:tr>
      <w:tr w:rsidR="00F7603C" w:rsidRPr="00DE4E4F" w14:paraId="6EEE975B" w14:textId="77777777" w:rsidTr="001F7482">
        <w:trPr>
          <w:trHeight w:val="313"/>
          <w:jc w:val="center"/>
        </w:trPr>
        <w:tc>
          <w:tcPr>
            <w:tcW w:w="717" w:type="dxa"/>
            <w:shd w:val="clear" w:color="auto" w:fill="C6EFCE"/>
            <w:noWrap/>
          </w:tcPr>
          <w:p w14:paraId="1B37636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160</w:t>
            </w:r>
          </w:p>
        </w:tc>
        <w:tc>
          <w:tcPr>
            <w:tcW w:w="2085" w:type="dxa"/>
            <w:shd w:val="clear" w:color="auto" w:fill="C6EFCE"/>
            <w:noWrap/>
          </w:tcPr>
          <w:p w14:paraId="378A4525" w14:textId="48562C69"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- 16820_Reform in the fields of mental health and addiction</w:t>
            </w:r>
          </w:p>
        </w:tc>
        <w:tc>
          <w:tcPr>
            <w:tcW w:w="969" w:type="dxa"/>
            <w:shd w:val="clear" w:color="auto" w:fill="C6EFCE"/>
            <w:noWrap/>
          </w:tcPr>
          <w:p w14:paraId="4E8B6D1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55E3E9BC"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Mental health – 50 units open – step 1 of 2</w:t>
            </w:r>
          </w:p>
        </w:tc>
        <w:tc>
          <w:tcPr>
            <w:tcW w:w="1707" w:type="dxa"/>
            <w:shd w:val="clear" w:color="auto" w:fill="C6EFCE"/>
            <w:noWrap/>
          </w:tcPr>
          <w:p w14:paraId="238AB2DB"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1AFC4212"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Mental Health Units completed and operational</w:t>
            </w:r>
          </w:p>
        </w:tc>
        <w:tc>
          <w:tcPr>
            <w:tcW w:w="1050" w:type="dxa"/>
            <w:shd w:val="clear" w:color="auto" w:fill="C6EFCE"/>
            <w:noWrap/>
          </w:tcPr>
          <w:p w14:paraId="5A7F5D17"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75" w:type="dxa"/>
            <w:shd w:val="clear" w:color="auto" w:fill="C6EFCE"/>
            <w:noWrap/>
          </w:tcPr>
          <w:p w14:paraId="6323302B"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p>
        </w:tc>
        <w:tc>
          <w:tcPr>
            <w:tcW w:w="885" w:type="dxa"/>
            <w:shd w:val="clear" w:color="auto" w:fill="C6EFCE"/>
            <w:noWrap/>
          </w:tcPr>
          <w:p w14:paraId="57FBC247"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705903C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447" w:type="dxa"/>
            <w:shd w:val="clear" w:color="auto" w:fill="C6EFCE"/>
            <w:noWrap/>
          </w:tcPr>
          <w:p w14:paraId="21F27E93"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 and full operation of 50 Mental Health Units (implemented through a renovation of existing units) supported by the National Strategic Plan for the support of mental health (out of a total of 106 mental health units)</w:t>
            </w:r>
          </w:p>
        </w:tc>
      </w:tr>
      <w:tr w:rsidR="00F7603C" w:rsidRPr="00DE4E4F" w14:paraId="65ED51F2" w14:textId="77777777" w:rsidTr="001F7482">
        <w:trPr>
          <w:trHeight w:val="313"/>
          <w:jc w:val="center"/>
        </w:trPr>
        <w:tc>
          <w:tcPr>
            <w:tcW w:w="717" w:type="dxa"/>
            <w:shd w:val="clear" w:color="auto" w:fill="C6EFCE"/>
            <w:noWrap/>
          </w:tcPr>
          <w:p w14:paraId="5231629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162</w:t>
            </w:r>
          </w:p>
        </w:tc>
        <w:tc>
          <w:tcPr>
            <w:tcW w:w="2085" w:type="dxa"/>
            <w:shd w:val="clear" w:color="auto" w:fill="C6EFCE"/>
            <w:noWrap/>
          </w:tcPr>
          <w:p w14:paraId="4BA0F1E2"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- 16820_Reform in the fields of mental health and addictions</w:t>
            </w:r>
          </w:p>
        </w:tc>
        <w:tc>
          <w:tcPr>
            <w:tcW w:w="969" w:type="dxa"/>
            <w:shd w:val="clear" w:color="auto" w:fill="C6EFCE"/>
            <w:noWrap/>
          </w:tcPr>
          <w:p w14:paraId="786C449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6C8F43DE"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Mental health – 106 units open – step 2 of 2</w:t>
            </w:r>
          </w:p>
        </w:tc>
        <w:tc>
          <w:tcPr>
            <w:tcW w:w="1707" w:type="dxa"/>
            <w:shd w:val="clear" w:color="auto" w:fill="C6EFCE"/>
            <w:noWrap/>
          </w:tcPr>
          <w:p w14:paraId="4F2B89B8"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544F2B3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Mental Health Units established or renovated</w:t>
            </w:r>
          </w:p>
        </w:tc>
        <w:tc>
          <w:tcPr>
            <w:tcW w:w="1050" w:type="dxa"/>
            <w:shd w:val="clear" w:color="auto" w:fill="C6EFCE"/>
            <w:noWrap/>
          </w:tcPr>
          <w:p w14:paraId="7C3AA35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p>
        </w:tc>
        <w:tc>
          <w:tcPr>
            <w:tcW w:w="975" w:type="dxa"/>
            <w:shd w:val="clear" w:color="auto" w:fill="C6EFCE"/>
            <w:noWrap/>
          </w:tcPr>
          <w:p w14:paraId="709A2FA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106</w:t>
            </w:r>
          </w:p>
          <w:p w14:paraId="6623FAA7"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0D53CDC9"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630A47D2"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447" w:type="dxa"/>
            <w:shd w:val="clear" w:color="auto" w:fill="C6EFCE"/>
            <w:noWrap/>
          </w:tcPr>
          <w:p w14:paraId="1C723F2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Establishment and the beginning of operations of 25 new Mental Health Units and renovation of 31 existing mental health units supported by the National Strategic Plan for the support of mental health, as well as the development of web applications and the digitalisation of mental health services (consisting of a digital map of mental health units and a digital platform for supervision of non-profit entities providing mental health services) </w:t>
            </w:r>
          </w:p>
        </w:tc>
      </w:tr>
      <w:tr w:rsidR="00F7603C" w:rsidRPr="00DE4E4F" w14:paraId="22189C50" w14:textId="77777777" w:rsidTr="001F7482">
        <w:trPr>
          <w:trHeight w:val="313"/>
          <w:jc w:val="center"/>
        </w:trPr>
        <w:tc>
          <w:tcPr>
            <w:tcW w:w="717" w:type="dxa"/>
            <w:shd w:val="clear" w:color="auto" w:fill="C6EFCE"/>
            <w:noWrap/>
          </w:tcPr>
          <w:p w14:paraId="5C6D932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163</w:t>
            </w:r>
          </w:p>
        </w:tc>
        <w:tc>
          <w:tcPr>
            <w:tcW w:w="2085" w:type="dxa"/>
            <w:shd w:val="clear" w:color="auto" w:fill="C6EFCE"/>
            <w:noWrap/>
          </w:tcPr>
          <w:p w14:paraId="72B2D14C"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10 - 3.3. Improve resilience, accessibility and sustainability of healthcare - 16756_Organizational Reforms in the Health System </w:t>
            </w:r>
          </w:p>
        </w:tc>
        <w:tc>
          <w:tcPr>
            <w:tcW w:w="969" w:type="dxa"/>
            <w:shd w:val="clear" w:color="auto" w:fill="C6EFCE"/>
            <w:noWrap/>
          </w:tcPr>
          <w:p w14:paraId="51144F2A"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132DD028"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Greek DRG Institute KETEKNY and the new</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 xml:space="preserve">Agency for Quality Assurance in Healthcare ODIPY </w:t>
            </w:r>
          </w:p>
        </w:tc>
        <w:tc>
          <w:tcPr>
            <w:tcW w:w="1707" w:type="dxa"/>
            <w:shd w:val="clear" w:color="auto" w:fill="C6EFCE"/>
            <w:noWrap/>
          </w:tcPr>
          <w:p w14:paraId="5F975676" w14:textId="060CC663"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Platforms</w:t>
            </w:r>
            <w:r w:rsidR="1A9896C6" w:rsidRPr="00DE4E4F">
              <w:rPr>
                <w:rFonts w:ascii="Times New Roman" w:hAnsi="Times New Roman" w:cs="Times New Roman"/>
                <w:noProof/>
                <w:color w:val="006100"/>
                <w:sz w:val="18"/>
                <w:szCs w:val="18"/>
              </w:rPr>
              <w:t xml:space="preserve"> are online and </w:t>
            </w:r>
            <w:r w:rsidR="00DE4E4F" w:rsidRPr="00DE4E4F">
              <w:rPr>
                <w:rFonts w:ascii="Times New Roman" w:hAnsi="Times New Roman" w:cs="Times New Roman"/>
                <w:noProof/>
                <w:color w:val="006100"/>
                <w:sz w:val="18"/>
                <w:szCs w:val="18"/>
              </w:rPr>
              <w:t>accessible</w:t>
            </w:r>
            <w:r w:rsidRPr="00DE4E4F">
              <w:rPr>
                <w:rFonts w:ascii="Times New Roman" w:hAnsi="Times New Roman" w:cs="Times New Roman"/>
                <w:noProof/>
                <w:color w:val="006100"/>
                <w:sz w:val="18"/>
                <w:szCs w:val="18"/>
              </w:rPr>
              <w:t>, strategy and legislative framework</w:t>
            </w:r>
            <w:r w:rsidR="00580803" w:rsidRPr="00DE4E4F">
              <w:rPr>
                <w:rFonts w:ascii="Times New Roman" w:hAnsi="Times New Roman" w:cs="Times New Roman"/>
                <w:noProof/>
                <w:color w:val="006100"/>
                <w:sz w:val="18"/>
                <w:szCs w:val="18"/>
              </w:rPr>
              <w:t xml:space="preserve"> </w:t>
            </w:r>
            <w:r w:rsidR="5F0A7887" w:rsidRPr="00DE4E4F">
              <w:rPr>
                <w:rFonts w:ascii="Times New Roman" w:hAnsi="Times New Roman" w:cs="Times New Roman"/>
                <w:noProof/>
                <w:color w:val="006100"/>
                <w:sz w:val="18"/>
                <w:szCs w:val="18"/>
              </w:rPr>
              <w:t>entered into force</w:t>
            </w:r>
            <w:r w:rsidRPr="00DE4E4F" w:rsidDel="001F144E">
              <w:rPr>
                <w:rFonts w:ascii="Times New Roman" w:hAnsi="Times New Roman" w:cs="Times New Roman"/>
                <w:noProof/>
                <w:color w:val="006100"/>
                <w:sz w:val="18"/>
                <w:szCs w:val="18"/>
              </w:rPr>
              <w:t xml:space="preserve"> </w:t>
            </w:r>
          </w:p>
        </w:tc>
        <w:tc>
          <w:tcPr>
            <w:tcW w:w="1335" w:type="dxa"/>
            <w:shd w:val="clear" w:color="auto" w:fill="C6EFCE"/>
            <w:noWrap/>
          </w:tcPr>
          <w:p w14:paraId="4BDCD518"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71E7C698"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63BA9CFE"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0925AC2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0549C23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79AB6E7F" w14:textId="2CF29AC0"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The fulfilment of this milestone requires that: </w:t>
            </w:r>
          </w:p>
          <w:p w14:paraId="5E40DE02" w14:textId="77777777" w:rsidR="001B186F" w:rsidRPr="00DE4E4F" w:rsidRDefault="0074517F" w:rsidP="001F7482">
            <w:pPr>
              <w:pStyle w:val="ListParagraph"/>
              <w:numPr>
                <w:ilvl w:val="0"/>
                <w:numId w:val="47"/>
              </w:numPr>
              <w:spacing w:after="0" w:line="240" w:lineRule="auto"/>
              <w:ind w:left="343" w:hanging="34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interoperability extension - DRG Coding Application Programming Interfaces (APIs) is online and accessible</w:t>
            </w:r>
          </w:p>
          <w:p w14:paraId="7991D016" w14:textId="77777777" w:rsidR="001B186F" w:rsidRPr="00DE4E4F" w:rsidRDefault="0074517F" w:rsidP="001F7482">
            <w:pPr>
              <w:pStyle w:val="ListParagraph"/>
              <w:numPr>
                <w:ilvl w:val="0"/>
                <w:numId w:val="47"/>
              </w:numPr>
              <w:spacing w:after="0" w:line="240" w:lineRule="auto"/>
              <w:ind w:left="343" w:hanging="34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International Classification of Diseases( ICD) &amp;</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Greek Medical Procedure classification (ETIP) medical coding consultation platform is online and accessible</w:t>
            </w:r>
          </w:p>
          <w:p w14:paraId="69E8C244" w14:textId="77777777" w:rsidR="001B186F" w:rsidRPr="00DE4E4F" w:rsidRDefault="0074517F" w:rsidP="001F7482">
            <w:pPr>
              <w:pStyle w:val="ListParagraph"/>
              <w:numPr>
                <w:ilvl w:val="0"/>
                <w:numId w:val="47"/>
              </w:numPr>
              <w:spacing w:after="0" w:line="240" w:lineRule="auto"/>
              <w:ind w:left="343" w:hanging="34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Financial and Accounting data collection platform is online and accessible </w:t>
            </w:r>
          </w:p>
          <w:p w14:paraId="2171A8A9" w14:textId="77777777" w:rsidR="001B186F" w:rsidRPr="00DE4E4F" w:rsidRDefault="0074517F" w:rsidP="001F7482">
            <w:pPr>
              <w:pStyle w:val="ListParagraph"/>
              <w:numPr>
                <w:ilvl w:val="0"/>
                <w:numId w:val="47"/>
              </w:numPr>
              <w:spacing w:after="0" w:line="240" w:lineRule="auto"/>
              <w:ind w:left="343" w:hanging="34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national Health Map (for demand and supply of services in the health system) is online and accessible</w:t>
            </w:r>
          </w:p>
          <w:p w14:paraId="20601BD6" w14:textId="2DCD0062" w:rsidR="001B186F" w:rsidRPr="00DE4E4F" w:rsidRDefault="0074517F" w:rsidP="001F7482">
            <w:pPr>
              <w:pStyle w:val="ListParagraph"/>
              <w:numPr>
                <w:ilvl w:val="0"/>
                <w:numId w:val="47"/>
              </w:numPr>
              <w:spacing w:after="0" w:line="240" w:lineRule="auto"/>
              <w:ind w:left="343" w:hanging="343"/>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w:t>
            </w:r>
            <w:r w:rsidR="02E1E69F" w:rsidRPr="00DE4E4F">
              <w:rPr>
                <w:rFonts w:ascii="Times New Roman" w:hAnsi="Times New Roman" w:cs="Times New Roman"/>
                <w:noProof/>
                <w:color w:val="006100"/>
                <w:sz w:val="18"/>
                <w:szCs w:val="18"/>
              </w:rPr>
              <w:t xml:space="preserve">a) </w:t>
            </w:r>
            <w:r w:rsidRPr="00DE4E4F">
              <w:rPr>
                <w:rFonts w:ascii="Times New Roman" w:hAnsi="Times New Roman" w:cs="Times New Roman"/>
                <w:noProof/>
                <w:color w:val="006100"/>
                <w:sz w:val="18"/>
                <w:szCs w:val="18"/>
              </w:rPr>
              <w:t xml:space="preserve">the legislative framework for quality assurance, patient safety and patient engagement, care and safety policies, </w:t>
            </w:r>
            <w:r w:rsidR="7221FBF1" w:rsidRPr="00DE4E4F">
              <w:rPr>
                <w:rFonts w:ascii="Times New Roman" w:hAnsi="Times New Roman" w:cs="Times New Roman"/>
                <w:noProof/>
                <w:color w:val="006100"/>
                <w:sz w:val="18"/>
                <w:szCs w:val="18"/>
              </w:rPr>
              <w:t>and b)</w:t>
            </w:r>
            <w:r w:rsidRPr="00DE4E4F">
              <w:rPr>
                <w:rFonts w:ascii="Times New Roman" w:hAnsi="Times New Roman" w:cs="Times New Roman"/>
                <w:noProof/>
                <w:color w:val="006100"/>
                <w:sz w:val="18"/>
                <w:szCs w:val="18"/>
              </w:rPr>
              <w:t xml:space="preserve"> the related national strategy </w:t>
            </w:r>
          </w:p>
        </w:tc>
      </w:tr>
      <w:tr w:rsidR="00F7603C" w:rsidRPr="00DE4E4F" w14:paraId="273B549F" w14:textId="77777777" w:rsidTr="001F7482">
        <w:trPr>
          <w:trHeight w:val="313"/>
          <w:jc w:val="center"/>
        </w:trPr>
        <w:tc>
          <w:tcPr>
            <w:tcW w:w="717" w:type="dxa"/>
            <w:shd w:val="clear" w:color="auto" w:fill="C6EFCE"/>
            <w:noWrap/>
          </w:tcPr>
          <w:p w14:paraId="25316C0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164</w:t>
            </w:r>
          </w:p>
        </w:tc>
        <w:tc>
          <w:tcPr>
            <w:tcW w:w="2085" w:type="dxa"/>
            <w:shd w:val="clear" w:color="auto" w:fill="C6EFCE"/>
            <w:noWrap/>
          </w:tcPr>
          <w:p w14:paraId="740AF108"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10 - 3.3. Improve resilience, accessibility and sustainability of healthcare - 16756_Organizational Reforms in the Health System </w:t>
            </w:r>
          </w:p>
        </w:tc>
        <w:tc>
          <w:tcPr>
            <w:tcW w:w="969" w:type="dxa"/>
            <w:shd w:val="clear" w:color="auto" w:fill="C6EFCE"/>
            <w:noWrap/>
          </w:tcPr>
          <w:p w14:paraId="62CDB697"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08E2B44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Health system –KETEKNY training </w:t>
            </w:r>
          </w:p>
        </w:tc>
        <w:tc>
          <w:tcPr>
            <w:tcW w:w="1707" w:type="dxa"/>
            <w:shd w:val="clear" w:color="auto" w:fill="C6EFCE"/>
            <w:noWrap/>
          </w:tcPr>
          <w:p w14:paraId="7C2A86BE"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0680126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healthcare professionals certified for training on clinical Coding and Billing </w:t>
            </w:r>
          </w:p>
        </w:tc>
        <w:tc>
          <w:tcPr>
            <w:tcW w:w="1050" w:type="dxa"/>
            <w:shd w:val="clear" w:color="auto" w:fill="C6EFCE"/>
            <w:noWrap/>
          </w:tcPr>
          <w:p w14:paraId="7A4E91C4"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75" w:type="dxa"/>
            <w:shd w:val="clear" w:color="auto" w:fill="C6EFCE"/>
            <w:noWrap/>
          </w:tcPr>
          <w:p w14:paraId="333B0DAE" w14:textId="05458C3D"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462 </w:t>
            </w:r>
          </w:p>
        </w:tc>
        <w:tc>
          <w:tcPr>
            <w:tcW w:w="885" w:type="dxa"/>
            <w:shd w:val="clear" w:color="auto" w:fill="C6EFCE"/>
            <w:noWrap/>
          </w:tcPr>
          <w:p w14:paraId="7B88A14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439F1AAC"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49CF0D3A" w14:textId="29BAFB40"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Certification of 3</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462 healthcare professionals for training on clinical Coding &amp; Billing.</w:t>
            </w:r>
          </w:p>
        </w:tc>
      </w:tr>
      <w:tr w:rsidR="00F7603C" w:rsidRPr="00DE4E4F" w14:paraId="554F801D" w14:textId="77777777" w:rsidTr="001F7482">
        <w:trPr>
          <w:trHeight w:val="313"/>
          <w:jc w:val="center"/>
        </w:trPr>
        <w:tc>
          <w:tcPr>
            <w:tcW w:w="717" w:type="dxa"/>
            <w:shd w:val="clear" w:color="auto" w:fill="C6EFCE"/>
            <w:noWrap/>
          </w:tcPr>
          <w:p w14:paraId="2A2A167A"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164a</w:t>
            </w:r>
          </w:p>
        </w:tc>
        <w:tc>
          <w:tcPr>
            <w:tcW w:w="2085" w:type="dxa"/>
            <w:shd w:val="clear" w:color="auto" w:fill="C6EFCE"/>
            <w:noWrap/>
          </w:tcPr>
          <w:p w14:paraId="2BAD216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16 756_Organizational Reforms in the Health System</w:t>
            </w:r>
          </w:p>
        </w:tc>
        <w:tc>
          <w:tcPr>
            <w:tcW w:w="969" w:type="dxa"/>
            <w:shd w:val="clear" w:color="auto" w:fill="C6EFCE"/>
            <w:noWrap/>
          </w:tcPr>
          <w:p w14:paraId="2BE8745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0FC51A36"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Surgeries waiting list reduction</w:t>
            </w:r>
          </w:p>
        </w:tc>
        <w:tc>
          <w:tcPr>
            <w:tcW w:w="1707" w:type="dxa"/>
            <w:shd w:val="clear" w:color="auto" w:fill="C6EFCE"/>
            <w:noWrap/>
          </w:tcPr>
          <w:p w14:paraId="178B37DA"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52EA5C7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surgeries performed for patients that have been waiting longer than four months.</w:t>
            </w:r>
          </w:p>
        </w:tc>
        <w:tc>
          <w:tcPr>
            <w:tcW w:w="1050" w:type="dxa"/>
            <w:shd w:val="clear" w:color="auto" w:fill="C6EFCE"/>
            <w:noWrap/>
          </w:tcPr>
          <w:p w14:paraId="03E94860"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75" w:type="dxa"/>
            <w:shd w:val="clear" w:color="auto" w:fill="C6EFCE"/>
            <w:noWrap/>
          </w:tcPr>
          <w:p w14:paraId="278A3EE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20 000</w:t>
            </w:r>
          </w:p>
        </w:tc>
        <w:tc>
          <w:tcPr>
            <w:tcW w:w="885" w:type="dxa"/>
            <w:shd w:val="clear" w:color="auto" w:fill="C6EFCE"/>
            <w:noWrap/>
          </w:tcPr>
          <w:p w14:paraId="7D9AF37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3C7AD8C6"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4FDAF4C7" w14:textId="5E0DD846"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Reduction of the backlog by at least 90% of the total number of pending surgeries for patients that have been waiting longer than four months on the Single Digital List of Surgeries (based on the status of the list on 16 October 2024)</w:t>
            </w:r>
            <w:r w:rsidR="61C31719" w:rsidRPr="00DE4E4F">
              <w:rPr>
                <w:rFonts w:ascii="Times New Roman" w:hAnsi="Times New Roman" w:cs="Times New Roman"/>
                <w:noProof/>
                <w:color w:val="006100"/>
                <w:sz w:val="18"/>
                <w:szCs w:val="18"/>
              </w:rPr>
              <w:t xml:space="preserve"> and reduction of the number of surgeries for patients that have been waiting longer than four months on the Single Digital List of Surgeries by at least 50% by the end of the afternoon surgeries programme</w:t>
            </w:r>
            <w:r w:rsidRPr="00DE4E4F">
              <w:rPr>
                <w:rFonts w:ascii="Times New Roman" w:hAnsi="Times New Roman" w:cs="Times New Roman"/>
                <w:noProof/>
                <w:color w:val="006100"/>
                <w:sz w:val="18"/>
                <w:szCs w:val="18"/>
              </w:rPr>
              <w:t xml:space="preserve">. </w:t>
            </w:r>
          </w:p>
          <w:p w14:paraId="1DED4FC2"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34199AAC"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Perform at least 20 000 surgeries for patients that have been waiting longer than four months, including at least 8 000 surgeries of these for patients that have been waiting longer than 8 months.</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These surgeries involve beneficiaries both from the status list of 16 October 2024 and those who became eligible since then.</w:t>
            </w:r>
            <w:r w:rsidRPr="00DE4E4F" w:rsidDel="00411E65">
              <w:rPr>
                <w:rFonts w:ascii="Times New Roman" w:hAnsi="Times New Roman" w:cs="Times New Roman"/>
                <w:noProof/>
                <w:color w:val="006100"/>
                <w:sz w:val="18"/>
                <w:szCs w:val="18"/>
              </w:rPr>
              <w:t xml:space="preserve"> </w:t>
            </w:r>
          </w:p>
        </w:tc>
      </w:tr>
      <w:tr w:rsidR="00F7603C" w:rsidRPr="00DE4E4F" w14:paraId="6DD25D69" w14:textId="77777777" w:rsidTr="001F7482">
        <w:trPr>
          <w:trHeight w:val="313"/>
          <w:jc w:val="center"/>
        </w:trPr>
        <w:tc>
          <w:tcPr>
            <w:tcW w:w="717" w:type="dxa"/>
            <w:shd w:val="clear" w:color="auto" w:fill="C6EFCE"/>
            <w:noWrap/>
          </w:tcPr>
          <w:p w14:paraId="65F2CB40"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164b</w:t>
            </w:r>
          </w:p>
        </w:tc>
        <w:tc>
          <w:tcPr>
            <w:tcW w:w="2085" w:type="dxa"/>
            <w:shd w:val="clear" w:color="auto" w:fill="C6EFCE"/>
            <w:noWrap/>
          </w:tcPr>
          <w:p w14:paraId="2E6C339D"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16 756_Organizational Reforms in the Health System</w:t>
            </w:r>
          </w:p>
        </w:tc>
        <w:tc>
          <w:tcPr>
            <w:tcW w:w="969" w:type="dxa"/>
            <w:shd w:val="clear" w:color="auto" w:fill="C6EFCE"/>
            <w:noWrap/>
          </w:tcPr>
          <w:p w14:paraId="0804CDF4"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3B5DBACB"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Health system navigation and guidance for citizens</w:t>
            </w:r>
          </w:p>
        </w:tc>
        <w:tc>
          <w:tcPr>
            <w:tcW w:w="1707" w:type="dxa"/>
            <w:shd w:val="clear" w:color="auto" w:fill="C6EFCE"/>
            <w:noWrap/>
          </w:tcPr>
          <w:p w14:paraId="15D3DD9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Tools and services for navigation and guidance to citizens</w:t>
            </w:r>
          </w:p>
        </w:tc>
        <w:tc>
          <w:tcPr>
            <w:tcW w:w="1335" w:type="dxa"/>
            <w:shd w:val="clear" w:color="auto" w:fill="C6EFCE"/>
            <w:noWrap/>
          </w:tcPr>
          <w:p w14:paraId="7BE85CD1"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1C3DA6E7"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0438B1D4" w14:textId="77777777" w:rsidR="001B186F" w:rsidRPr="00DE4E4F" w:rsidDel="00927587" w:rsidRDefault="001B186F" w:rsidP="001F7482">
            <w:pPr>
              <w:spacing w:after="0" w:line="240" w:lineRule="auto"/>
              <w:rPr>
                <w:rFonts w:ascii="Times New Roman" w:hAnsi="Times New Roman" w:cs="Times New Roman"/>
                <w:noProof/>
                <w:color w:val="006100"/>
                <w:sz w:val="18"/>
                <w:szCs w:val="18"/>
              </w:rPr>
            </w:pPr>
          </w:p>
        </w:tc>
        <w:tc>
          <w:tcPr>
            <w:tcW w:w="885" w:type="dxa"/>
            <w:shd w:val="clear" w:color="auto" w:fill="C6EFCE"/>
            <w:noWrap/>
          </w:tcPr>
          <w:p w14:paraId="0E0AD78D"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50FC0547"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6F635273" w14:textId="5821A64C"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free telephone line (1</w:t>
            </w:r>
            <w:r w:rsidR="009E2E6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566) for citizen requests is in use.</w:t>
            </w:r>
          </w:p>
          <w:p w14:paraId="505F07ED"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68BFFC9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website with digital assistant capabilities and a mobile app for managing and processing citizen requests are online and accessible.</w:t>
            </w:r>
          </w:p>
          <w:p w14:paraId="1A9C00AB"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network of trained Field officers is created to provide Guidance and navigation services for citizens in health structures and services.</w:t>
            </w:r>
          </w:p>
        </w:tc>
      </w:tr>
      <w:tr w:rsidR="00F7603C" w:rsidRPr="00DE4E4F" w14:paraId="728C08EC" w14:textId="77777777" w:rsidTr="001F7482">
        <w:trPr>
          <w:trHeight w:val="313"/>
          <w:jc w:val="center"/>
        </w:trPr>
        <w:tc>
          <w:tcPr>
            <w:tcW w:w="717" w:type="dxa"/>
            <w:shd w:val="clear" w:color="auto" w:fill="C6EFCE"/>
            <w:noWrap/>
          </w:tcPr>
          <w:p w14:paraId="3A56755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165</w:t>
            </w:r>
          </w:p>
        </w:tc>
        <w:tc>
          <w:tcPr>
            <w:tcW w:w="2085" w:type="dxa"/>
            <w:shd w:val="clear" w:color="auto" w:fill="C6EFCE"/>
            <w:noWrap/>
          </w:tcPr>
          <w:p w14:paraId="21DF54C2"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10 - 3.3. Improve resilience, accessibility and sustainability of healthcare - 16783_Implementation of the National Public Health Prevention Program “Spiros Doxiadis” (NPP”SD”)</w:t>
            </w:r>
          </w:p>
        </w:tc>
        <w:tc>
          <w:tcPr>
            <w:tcW w:w="969" w:type="dxa"/>
            <w:shd w:val="clear" w:color="auto" w:fill="C6EFCE"/>
            <w:noWrap/>
          </w:tcPr>
          <w:p w14:paraId="0FC3500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52E1BCD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National Public Health Prevention Program ‘Spiros Doxiadis’ - Primary Prevention</w:t>
            </w:r>
            <w:r w:rsidRPr="00DE4E4F" w:rsidDel="005D30EE">
              <w:rPr>
                <w:rFonts w:ascii="Times New Roman" w:hAnsi="Times New Roman" w:cs="Times New Roman"/>
                <w:noProof/>
                <w:color w:val="006100"/>
                <w:sz w:val="18"/>
                <w:szCs w:val="18"/>
              </w:rPr>
              <w:t xml:space="preserve"> </w:t>
            </w:r>
          </w:p>
        </w:tc>
        <w:tc>
          <w:tcPr>
            <w:tcW w:w="1707" w:type="dxa"/>
            <w:shd w:val="clear" w:color="auto" w:fill="C6EFCE"/>
            <w:noWrap/>
          </w:tcPr>
          <w:p w14:paraId="39164299"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Primary prevention interventions</w:t>
            </w:r>
            <w:r w:rsidRPr="00DE4E4F">
              <w:rPr>
                <w:rFonts w:ascii="Times New Roman" w:eastAsia="Times New Roman" w:hAnsi="Times New Roman" w:cs="Times New Roman"/>
                <w:noProof/>
                <w:color w:val="006100"/>
                <w:sz w:val="18"/>
                <w:szCs w:val="18"/>
                <w:lang w:eastAsia="en-GB"/>
              </w:rPr>
              <w:t xml:space="preserve"> and provisions in the legal act indicating the entry into force of the legal act.</w:t>
            </w:r>
          </w:p>
        </w:tc>
        <w:tc>
          <w:tcPr>
            <w:tcW w:w="1335" w:type="dxa"/>
            <w:shd w:val="clear" w:color="auto" w:fill="C6EFCE"/>
            <w:noWrap/>
          </w:tcPr>
          <w:p w14:paraId="2605ADCB"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42E8FFCA"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7FA9C750"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2F504D9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36BD4158"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15809C3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fulfilment of this milestone requires:</w:t>
            </w:r>
          </w:p>
          <w:p w14:paraId="01F6D71C"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75A705D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 Interventions for the Promotion of Physical Exercise and Healthy Eating:</w:t>
            </w:r>
          </w:p>
          <w:p w14:paraId="74433EAA" w14:textId="082A0164"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entry into force of a legal act for healthy eating in school canteens,</w:t>
            </w:r>
          </w:p>
          <w:p w14:paraId="52C80521" w14:textId="75FAE12D"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w:t>
            </w:r>
            <w:r w:rsidR="06BF14FB" w:rsidRPr="00DE4E4F">
              <w:rPr>
                <w:rFonts w:ascii="Times New Roman" w:eastAsia="Times New Roman" w:hAnsi="Times New Roman" w:cs="Times New Roman"/>
                <w:strike/>
                <w:noProof/>
                <w:color w:val="004377"/>
                <w:sz w:val="20"/>
                <w:szCs w:val="20"/>
              </w:rPr>
              <w:t xml:space="preserve"> </w:t>
            </w:r>
            <w:r w:rsidR="06BF14FB" w:rsidRPr="00DE4E4F">
              <w:rPr>
                <w:rFonts w:ascii="Times New Roman" w:eastAsia="Times New Roman" w:hAnsi="Times New Roman" w:cs="Times New Roman"/>
                <w:noProof/>
                <w:color w:val="006100"/>
                <w:sz w:val="18"/>
                <w:szCs w:val="18"/>
              </w:rPr>
              <w:t>delivery of 4 toolboxes of educational material for healthy eating and</w:t>
            </w:r>
            <w:r w:rsidR="00DE4C0C" w:rsidRPr="00DE4E4F">
              <w:rPr>
                <w:rFonts w:ascii="Times New Roman" w:eastAsia="Times New Roman" w:hAnsi="Times New Roman" w:cs="Times New Roman"/>
                <w:noProof/>
                <w:color w:val="006100"/>
                <w:sz w:val="18"/>
                <w:szCs w:val="18"/>
              </w:rPr>
              <w:t xml:space="preserve"> </w:t>
            </w:r>
            <w:r w:rsidR="3A4D3A08" w:rsidRPr="00DE4E4F">
              <w:rPr>
                <w:rFonts w:ascii="Times New Roman" w:eastAsia="Times New Roman" w:hAnsi="Times New Roman" w:cs="Times New Roman"/>
                <w:noProof/>
                <w:color w:val="006100"/>
                <w:sz w:val="18"/>
                <w:szCs w:val="18"/>
              </w:rPr>
              <w:t>issuance of an Official Ministerial Guidance Document</w:t>
            </w:r>
            <w:r w:rsidR="06BF14FB" w:rsidRPr="00DE4E4F">
              <w:rPr>
                <w:rFonts w:ascii="Times New Roman" w:eastAsia="Times New Roman" w:hAnsi="Times New Roman" w:cs="Times New Roman"/>
                <w:noProof/>
                <w:color w:val="006100"/>
                <w:sz w:val="18"/>
                <w:szCs w:val="18"/>
              </w:rPr>
              <w:t xml:space="preserve"> to </w:t>
            </w:r>
            <w:r w:rsidR="3A4D3A08" w:rsidRPr="00DE4E4F">
              <w:rPr>
                <w:rFonts w:ascii="Times New Roman" w:eastAsia="Times New Roman" w:hAnsi="Times New Roman" w:cs="Times New Roman"/>
                <w:noProof/>
                <w:color w:val="006100"/>
                <w:sz w:val="18"/>
                <w:szCs w:val="18"/>
              </w:rPr>
              <w:t xml:space="preserve">inform all primary and secondary schools nationwide of </w:t>
            </w:r>
            <w:r w:rsidR="06BF14FB" w:rsidRPr="00DE4E4F">
              <w:rPr>
                <w:rFonts w:ascii="Times New Roman" w:eastAsia="Times New Roman" w:hAnsi="Times New Roman" w:cs="Times New Roman"/>
                <w:noProof/>
                <w:color w:val="006100"/>
                <w:sz w:val="18"/>
                <w:szCs w:val="18"/>
              </w:rPr>
              <w:t xml:space="preserve">the </w:t>
            </w:r>
            <w:r w:rsidR="3A4D3A08" w:rsidRPr="00DE4E4F">
              <w:rPr>
                <w:rFonts w:ascii="Times New Roman" w:eastAsia="Times New Roman" w:hAnsi="Times New Roman" w:cs="Times New Roman"/>
                <w:noProof/>
                <w:color w:val="006100"/>
                <w:sz w:val="18"/>
                <w:szCs w:val="18"/>
              </w:rPr>
              <w:t xml:space="preserve">availability of the toolboxes and how they can be incorporated into various </w:t>
            </w:r>
            <w:r w:rsidR="06BF14FB" w:rsidRPr="00DE4E4F">
              <w:rPr>
                <w:rFonts w:ascii="Times New Roman" w:eastAsia="Times New Roman" w:hAnsi="Times New Roman" w:cs="Times New Roman"/>
                <w:noProof/>
                <w:color w:val="006100"/>
                <w:sz w:val="18"/>
                <w:szCs w:val="18"/>
              </w:rPr>
              <w:t>school</w:t>
            </w:r>
            <w:r w:rsidR="3A4D3A08" w:rsidRPr="00DE4E4F">
              <w:rPr>
                <w:rFonts w:ascii="Times New Roman" w:eastAsia="Times New Roman" w:hAnsi="Times New Roman" w:cs="Times New Roman"/>
                <w:noProof/>
                <w:color w:val="006100"/>
                <w:sz w:val="18"/>
                <w:szCs w:val="18"/>
              </w:rPr>
              <w:t>- based programs</w:t>
            </w:r>
            <w:r w:rsidRPr="00DE4E4F">
              <w:rPr>
                <w:rFonts w:asciiTheme="minorHAnsi" w:eastAsiaTheme="minorEastAsia" w:hAnsiTheme="minorHAnsi" w:cstheme="minorBidi"/>
                <w:noProof/>
                <w:color w:val="006100"/>
                <w:sz w:val="18"/>
                <w:szCs w:val="18"/>
              </w:rPr>
              <w:t xml:space="preserve">, </w:t>
            </w:r>
          </w:p>
          <w:p w14:paraId="5E79A91D"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heme="minorHAnsi" w:eastAsiaTheme="minorEastAsia" w:hAnsiTheme="minorHAnsi" w:cstheme="minorBidi"/>
                <w:noProof/>
                <w:color w:val="006100"/>
                <w:sz w:val="18"/>
                <w:szCs w:val="18"/>
              </w:rPr>
              <w:t xml:space="preserve">c) </w:t>
            </w:r>
            <w:r w:rsidRPr="00DE4E4F">
              <w:rPr>
                <w:rFonts w:ascii="Times New Roman" w:eastAsia="Times New Roman" w:hAnsi="Times New Roman" w:cs="Times New Roman"/>
                <w:noProof/>
                <w:color w:val="006100"/>
                <w:sz w:val="18"/>
                <w:szCs w:val="18"/>
              </w:rPr>
              <w:t>community actions</w:t>
            </w:r>
            <w:r w:rsidRPr="00DE4E4F">
              <w:rPr>
                <w:rFonts w:ascii="Times New Roman" w:hAnsi="Times New Roman" w:cs="Times New Roman"/>
                <w:noProof/>
                <w:color w:val="006100"/>
                <w:sz w:val="18"/>
                <w:szCs w:val="18"/>
              </w:rPr>
              <w:t>, and awareness raising actions</w:t>
            </w:r>
          </w:p>
          <w:p w14:paraId="75C9EAD6" w14:textId="629E6921" w:rsidR="001B186F" w:rsidRPr="00DE4E4F" w:rsidRDefault="0074517F" w:rsidP="001F7482">
            <w:pPr>
              <w:spacing w:after="0" w:line="240" w:lineRule="auto"/>
              <w:rPr>
                <w:noProof/>
              </w:rPr>
            </w:pPr>
            <w:r w:rsidRPr="00DE4E4F">
              <w:rPr>
                <w:rFonts w:ascii="Times New Roman" w:hAnsi="Times New Roman" w:cs="Times New Roman"/>
                <w:noProof/>
                <w:color w:val="006100"/>
                <w:sz w:val="18"/>
                <w:szCs w:val="18"/>
              </w:rPr>
              <w:t>d) establishment of European Center for Obesity,</w:t>
            </w:r>
          </w:p>
          <w:p w14:paraId="7C59AD7A" w14:textId="488F731E" w:rsidR="001B186F" w:rsidRPr="00DE4E4F" w:rsidRDefault="597B46F7"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and</w:t>
            </w:r>
          </w:p>
          <w:p w14:paraId="17610966" w14:textId="227760D5"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 delivery of digital tools, </w:t>
            </w:r>
          </w:p>
          <w:p w14:paraId="5EFF1BD1"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1DB2E1C5" w14:textId="4BACAA56" w:rsidR="001B186F" w:rsidRPr="00DE4E4F" w:rsidRDefault="0074517F" w:rsidP="001F7482">
            <w:pPr>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ii</w:t>
            </w:r>
            <w:r w:rsidR="4584A45F" w:rsidRPr="00DE4E4F">
              <w:rPr>
                <w:rFonts w:ascii="Times New Roman" w:hAnsi="Times New Roman" w:cs="Times New Roman"/>
                <w:noProof/>
                <w:color w:val="006100"/>
                <w:sz w:val="18"/>
                <w:szCs w:val="18"/>
              </w:rPr>
              <w:t xml:space="preserve">) </w:t>
            </w:r>
            <w:r w:rsidR="032FE3C8" w:rsidRPr="00DE4E4F">
              <w:rPr>
                <w:rFonts w:ascii="Times New Roman" w:hAnsi="Times New Roman" w:cs="Times New Roman"/>
                <w:noProof/>
                <w:color w:val="006100"/>
                <w:sz w:val="18"/>
                <w:szCs w:val="18"/>
              </w:rPr>
              <w:t>a</w:t>
            </w:r>
            <w:r w:rsidRPr="00DE4E4F">
              <w:rPr>
                <w:rFonts w:ascii="Times New Roman" w:hAnsi="Times New Roman" w:cs="Times New Roman"/>
                <w:noProof/>
                <w:color w:val="006100"/>
                <w:sz w:val="18"/>
                <w:szCs w:val="18"/>
              </w:rPr>
              <w:t>) Interventions to prevent psychosocial problems in children</w:t>
            </w:r>
            <w:r w:rsidR="15217EBD" w:rsidRPr="00DE4E4F">
              <w:rPr>
                <w:rFonts w:ascii="Times New Roman" w:eastAsia="Times New Roman" w:hAnsi="Times New Roman" w:cs="Times New Roman"/>
                <w:noProof/>
                <w:color w:val="006100"/>
                <w:sz w:val="20"/>
                <w:szCs w:val="20"/>
              </w:rPr>
              <w:t xml:space="preserve"> </w:t>
            </w:r>
            <w:r w:rsidR="15217EBD" w:rsidRPr="00DE4E4F">
              <w:rPr>
                <w:rFonts w:ascii="Times New Roman" w:eastAsia="Times New Roman" w:hAnsi="Times New Roman" w:cs="Times New Roman"/>
                <w:noProof/>
                <w:color w:val="006100"/>
                <w:sz w:val="18"/>
                <w:szCs w:val="18"/>
              </w:rPr>
              <w:t>and</w:t>
            </w:r>
            <w:r w:rsidR="15217EBD" w:rsidRPr="00DE4E4F">
              <w:rPr>
                <w:rFonts w:ascii="Times New Roman" w:eastAsia="Times New Roman" w:hAnsi="Times New Roman" w:cs="Times New Roman"/>
                <w:noProof/>
                <w:color w:val="006100"/>
                <w:sz w:val="20"/>
                <w:szCs w:val="20"/>
              </w:rPr>
              <w:t xml:space="preserve"> their families</w:t>
            </w:r>
            <w:r w:rsidRPr="00DE4E4F">
              <w:rPr>
                <w:rFonts w:ascii="Times New Roman" w:hAnsi="Times New Roman" w:cs="Times New Roman"/>
                <w:noProof/>
                <w:color w:val="006100"/>
                <w:sz w:val="18"/>
                <w:szCs w:val="18"/>
              </w:rPr>
              <w:t xml:space="preserve">, </w:t>
            </w:r>
            <w:r w:rsidR="317653BE" w:rsidRPr="00DE4E4F">
              <w:rPr>
                <w:rFonts w:ascii="Times New Roman" w:hAnsi="Times New Roman" w:cs="Times New Roman"/>
                <w:noProof/>
                <w:color w:val="006100"/>
                <w:sz w:val="18"/>
                <w:szCs w:val="18"/>
              </w:rPr>
              <w:t xml:space="preserve">b) </w:t>
            </w:r>
            <w:r w:rsidRPr="00DE4E4F">
              <w:rPr>
                <w:rFonts w:ascii="Times New Roman" w:hAnsi="Times New Roman" w:cs="Times New Roman"/>
                <w:noProof/>
                <w:color w:val="006100"/>
                <w:sz w:val="18"/>
                <w:szCs w:val="18"/>
              </w:rPr>
              <w:t>interventions to promote health for adolescents through menstrual health awareness and literacy;</w:t>
            </w:r>
            <w:r w:rsidR="3D15FA89" w:rsidRPr="00DE4E4F">
              <w:rPr>
                <w:rFonts w:ascii="Times New Roman" w:hAnsi="Times New Roman" w:cs="Times New Roman"/>
                <w:noProof/>
                <w:color w:val="006100"/>
                <w:sz w:val="18"/>
                <w:szCs w:val="18"/>
              </w:rPr>
              <w:t xml:space="preserve"> </w:t>
            </w:r>
            <w:r w:rsidR="1DA300F2" w:rsidRPr="00DE4E4F">
              <w:rPr>
                <w:rFonts w:ascii="Times New Roman" w:hAnsi="Times New Roman" w:cs="Times New Roman"/>
                <w:noProof/>
                <w:color w:val="006100"/>
                <w:sz w:val="18"/>
                <w:szCs w:val="18"/>
              </w:rPr>
              <w:t xml:space="preserve">c) </w:t>
            </w:r>
            <w:r w:rsidR="3D15FA89" w:rsidRPr="00DE4E4F">
              <w:rPr>
                <w:rFonts w:ascii="Times New Roman" w:eastAsia="Times New Roman" w:hAnsi="Times New Roman" w:cs="Times New Roman"/>
                <w:noProof/>
                <w:color w:val="006100"/>
                <w:sz w:val="18"/>
                <w:szCs w:val="18"/>
              </w:rPr>
              <w:t xml:space="preserve">establishment of a Model Community Center for preventing and addressing the phenomenon of self-harm in young </w:t>
            </w:r>
            <w:r w:rsidR="7A47ADF9" w:rsidRPr="00DE4E4F">
              <w:rPr>
                <w:rFonts w:ascii="Times New Roman" w:eastAsia="Times New Roman" w:hAnsi="Times New Roman" w:cs="Times New Roman"/>
                <w:noProof/>
                <w:color w:val="006100"/>
                <w:sz w:val="18"/>
                <w:szCs w:val="18"/>
              </w:rPr>
              <w:t>people</w:t>
            </w:r>
            <w:r w:rsidR="67914DFA" w:rsidRPr="00DE4E4F">
              <w:rPr>
                <w:rFonts w:ascii="Times New Roman" w:eastAsia="Times New Roman" w:hAnsi="Times New Roman" w:cs="Times New Roman"/>
                <w:noProof/>
                <w:color w:val="006100"/>
                <w:sz w:val="18"/>
                <w:szCs w:val="18"/>
              </w:rPr>
              <w:t>,</w:t>
            </w:r>
            <w:r w:rsidR="3D15FA89" w:rsidRPr="00DE4E4F">
              <w:rPr>
                <w:rFonts w:ascii="Times New Roman" w:eastAsia="Times New Roman" w:hAnsi="Times New Roman" w:cs="Times New Roman"/>
                <w:noProof/>
                <w:color w:val="006100"/>
                <w:sz w:val="18"/>
                <w:szCs w:val="18"/>
              </w:rPr>
              <w:t xml:space="preserve"> and </w:t>
            </w:r>
            <w:r w:rsidR="67914DFA" w:rsidRPr="00DE4E4F">
              <w:rPr>
                <w:rFonts w:ascii="Times New Roman" w:eastAsia="Times New Roman" w:hAnsi="Times New Roman" w:cs="Times New Roman"/>
                <w:noProof/>
                <w:color w:val="006100"/>
                <w:sz w:val="18"/>
                <w:szCs w:val="18"/>
              </w:rPr>
              <w:t>d)</w:t>
            </w:r>
            <w:r w:rsidRPr="00DE4E4F">
              <w:rPr>
                <w:rFonts w:ascii="Times New Roman" w:hAnsi="Times New Roman" w:cs="Times New Roman"/>
                <w:noProof/>
                <w:color w:val="006100"/>
                <w:sz w:val="18"/>
                <w:szCs w:val="18"/>
              </w:rPr>
              <w:t xml:space="preserve"> interventions </w:t>
            </w:r>
            <w:r w:rsidRPr="00DE4E4F">
              <w:rPr>
                <w:rFonts w:ascii="Times New Roman" w:eastAsiaTheme="minorEastAsia" w:hAnsi="Times New Roman" w:cs="Times New Roman"/>
                <w:noProof/>
                <w:color w:val="006100"/>
                <w:sz w:val="18"/>
                <w:szCs w:val="18"/>
              </w:rPr>
              <w:t>to increase awareness regarding family mental health</w:t>
            </w:r>
            <w:r w:rsidR="5437A072" w:rsidRPr="00DE4E4F">
              <w:rPr>
                <w:rFonts w:ascii="Times New Roman" w:eastAsiaTheme="minorEastAsia" w:hAnsi="Times New Roman" w:cs="Times New Roman"/>
                <w:noProof/>
                <w:color w:val="006100"/>
                <w:sz w:val="18"/>
                <w:szCs w:val="18"/>
              </w:rPr>
              <w:t>.</w:t>
            </w:r>
          </w:p>
        </w:tc>
      </w:tr>
      <w:tr w:rsidR="00F7603C" w:rsidRPr="00DE4E4F" w14:paraId="176FD3C9" w14:textId="77777777" w:rsidTr="001F7482">
        <w:trPr>
          <w:trHeight w:val="313"/>
          <w:jc w:val="center"/>
        </w:trPr>
        <w:tc>
          <w:tcPr>
            <w:tcW w:w="717" w:type="dxa"/>
            <w:shd w:val="clear" w:color="auto" w:fill="C6EFCE"/>
            <w:noWrap/>
          </w:tcPr>
          <w:p w14:paraId="013F351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165a</w:t>
            </w:r>
          </w:p>
        </w:tc>
        <w:tc>
          <w:tcPr>
            <w:tcW w:w="2085" w:type="dxa"/>
            <w:shd w:val="clear" w:color="auto" w:fill="C6EFCE"/>
            <w:noWrap/>
          </w:tcPr>
          <w:p w14:paraId="70E4171B"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- 16783_Implementation of the National Public Health Prevention Program “Spiros Doxiadis” (NPP”SD”)</w:t>
            </w:r>
          </w:p>
        </w:tc>
        <w:tc>
          <w:tcPr>
            <w:tcW w:w="969" w:type="dxa"/>
            <w:shd w:val="clear" w:color="auto" w:fill="C6EFCE"/>
            <w:noWrap/>
          </w:tcPr>
          <w:p w14:paraId="795754A7"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26577AFD"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National Public Health Prevention Program ‘Spiros Doxiadis’ – Secondary prevention</w:t>
            </w:r>
          </w:p>
        </w:tc>
        <w:tc>
          <w:tcPr>
            <w:tcW w:w="1707" w:type="dxa"/>
            <w:shd w:val="clear" w:color="auto" w:fill="C6EFCE"/>
            <w:noWrap/>
          </w:tcPr>
          <w:p w14:paraId="0515FA2E"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Prevention Screening Interventions</w:t>
            </w:r>
          </w:p>
        </w:tc>
        <w:tc>
          <w:tcPr>
            <w:tcW w:w="1335" w:type="dxa"/>
            <w:shd w:val="clear" w:color="auto" w:fill="C6EFCE"/>
            <w:noWrap/>
          </w:tcPr>
          <w:p w14:paraId="372B6804"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174228DD"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60265DBB"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3AE6B8A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4046EA2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0D7E1C94" w14:textId="72914E50"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Prevention screening interventions for breast cancer, cervical cancer, colorectal cancer and cardiovascular diseases (CVD), covering:</w:t>
            </w:r>
          </w:p>
          <w:p w14:paraId="3A1B047A"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39878454" w14:textId="3D559ADF" w:rsidR="001B186F" w:rsidRPr="00DE4E4F" w:rsidRDefault="0074517F" w:rsidP="001F7482">
            <w:pPr>
              <w:pStyle w:val="ListParagraph"/>
              <w:numPr>
                <w:ilvl w:val="0"/>
                <w:numId w:val="40"/>
              </w:numPr>
              <w:spacing w:after="0" w:line="240" w:lineRule="auto"/>
              <w:rPr>
                <w:rFonts w:ascii="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At least 1</w:t>
            </w:r>
            <w:r w:rsidR="009E2E69" w:rsidRPr="00DE4E4F">
              <w:rPr>
                <w:rFonts w:ascii="Times New Roman" w:eastAsia="Times New Roman" w:hAnsi="Times New Roman" w:cs="Times New Roman"/>
                <w:noProof/>
                <w:color w:val="006100"/>
                <w:sz w:val="18"/>
                <w:szCs w:val="18"/>
              </w:rPr>
              <w:t> </w:t>
            </w:r>
            <w:r w:rsidR="0FFABC4D" w:rsidRPr="00DE4E4F">
              <w:rPr>
                <w:rFonts w:ascii="Times New Roman" w:eastAsia="Times New Roman" w:hAnsi="Times New Roman" w:cs="Times New Roman"/>
                <w:noProof/>
                <w:color w:val="006100"/>
                <w:sz w:val="18"/>
                <w:szCs w:val="18"/>
              </w:rPr>
              <w:t>850</w:t>
            </w:r>
            <w:r w:rsidR="009E2E69" w:rsidRPr="00DE4E4F">
              <w:rPr>
                <w:rFonts w:ascii="Times New Roman" w:eastAsia="Times New Roman" w:hAnsi="Times New Roman" w:cs="Times New Roman"/>
                <w:noProof/>
                <w:color w:val="006100"/>
                <w:sz w:val="18"/>
                <w:szCs w:val="18"/>
              </w:rPr>
              <w:t> </w:t>
            </w:r>
            <w:r w:rsidR="0FFABC4D" w:rsidRPr="00DE4E4F">
              <w:rPr>
                <w:rFonts w:ascii="Times New Roman" w:eastAsia="Times New Roman" w:hAnsi="Times New Roman" w:cs="Times New Roman"/>
                <w:noProof/>
                <w:color w:val="006100"/>
                <w:sz w:val="18"/>
                <w:szCs w:val="18"/>
              </w:rPr>
              <w:t>000</w:t>
            </w:r>
            <w:r w:rsidR="00DE4C0C" w:rsidRPr="00DE4E4F">
              <w:rPr>
                <w:rFonts w:ascii="Times New Roman" w:eastAsia="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screening interventions executed for cervical cancer. </w:t>
            </w:r>
          </w:p>
          <w:p w14:paraId="1EEC5359" w14:textId="77777777" w:rsidR="001B186F" w:rsidRPr="00DE4E4F" w:rsidRDefault="001B186F" w:rsidP="001F7482">
            <w:pPr>
              <w:pStyle w:val="ListParagraph"/>
              <w:spacing w:after="0" w:line="240" w:lineRule="auto"/>
              <w:rPr>
                <w:rFonts w:ascii="Times New Roman" w:hAnsi="Times New Roman" w:cs="Times New Roman"/>
                <w:noProof/>
                <w:color w:val="006100"/>
                <w:sz w:val="18"/>
                <w:szCs w:val="18"/>
              </w:rPr>
            </w:pPr>
          </w:p>
          <w:p w14:paraId="6B464616" w14:textId="7EDB0247" w:rsidR="001B186F" w:rsidRPr="00DE4E4F" w:rsidRDefault="0074517F" w:rsidP="001F7482">
            <w:pPr>
              <w:pStyle w:val="ListParagraph"/>
              <w:numPr>
                <w:ilvl w:val="0"/>
                <w:numId w:val="40"/>
              </w:numPr>
              <w:spacing w:after="0" w:line="240" w:lineRule="auto"/>
              <w:rPr>
                <w:rFonts w:ascii="Times New Roman" w:hAnsi="Times New Roman" w:cs="Times New Roman"/>
                <w:noProof/>
                <w:color w:val="006100"/>
                <w:sz w:val="18"/>
                <w:szCs w:val="18"/>
              </w:rPr>
            </w:pPr>
            <w:bookmarkStart w:id="5" w:name="_Hlk234256932"/>
            <w:r w:rsidRPr="00DE4E4F">
              <w:rPr>
                <w:rFonts w:ascii="Times New Roman" w:hAnsi="Times New Roman" w:cs="Times New Roman"/>
                <w:noProof/>
                <w:color w:val="006100"/>
                <w:sz w:val="18"/>
                <w:szCs w:val="18"/>
              </w:rPr>
              <w:t xml:space="preserve">At least </w:t>
            </w:r>
            <w:r w:rsidR="3CE6E8A5" w:rsidRPr="00DE4E4F">
              <w:rPr>
                <w:rFonts w:ascii="Times New Roman" w:hAnsi="Times New Roman" w:cs="Times New Roman"/>
                <w:noProof/>
                <w:color w:val="006100"/>
                <w:sz w:val="18"/>
                <w:szCs w:val="18"/>
              </w:rPr>
              <w:t>4</w:t>
            </w:r>
            <w:r w:rsidR="009E2E69" w:rsidRPr="00DE4E4F">
              <w:rPr>
                <w:rFonts w:ascii="Times New Roman" w:hAnsi="Times New Roman" w:cs="Times New Roman"/>
                <w:noProof/>
                <w:color w:val="006100"/>
                <w:sz w:val="18"/>
                <w:szCs w:val="18"/>
              </w:rPr>
              <w:t> </w:t>
            </w:r>
            <w:r w:rsidR="3CE6E8A5" w:rsidRPr="00DE4E4F">
              <w:rPr>
                <w:rFonts w:ascii="Times New Roman" w:hAnsi="Times New Roman" w:cs="Times New Roman"/>
                <w:noProof/>
                <w:color w:val="006100"/>
                <w:sz w:val="18"/>
                <w:szCs w:val="18"/>
              </w:rPr>
              <w:t>150</w:t>
            </w:r>
            <w:r w:rsidR="009E2E69" w:rsidRPr="00DE4E4F">
              <w:rPr>
                <w:rFonts w:ascii="Times New Roman" w:hAnsi="Times New Roman" w:cs="Times New Roman"/>
                <w:noProof/>
                <w:color w:val="006100"/>
                <w:sz w:val="18"/>
                <w:szCs w:val="18"/>
              </w:rPr>
              <w:t> </w:t>
            </w:r>
            <w:r w:rsidR="3CE6E8A5"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0 screening interventions executed for cardiovascular diseases.</w:t>
            </w:r>
          </w:p>
          <w:bookmarkEnd w:id="5"/>
          <w:p w14:paraId="01FBA226" w14:textId="77777777" w:rsidR="001B186F" w:rsidRPr="00DE4E4F" w:rsidRDefault="001B186F" w:rsidP="001F7482">
            <w:pPr>
              <w:pStyle w:val="ListParagraph"/>
              <w:spacing w:after="0" w:line="240" w:lineRule="auto"/>
              <w:rPr>
                <w:rFonts w:ascii="Times New Roman" w:hAnsi="Times New Roman" w:cs="Times New Roman"/>
                <w:noProof/>
                <w:color w:val="006100"/>
                <w:sz w:val="18"/>
                <w:szCs w:val="18"/>
              </w:rPr>
            </w:pPr>
          </w:p>
          <w:p w14:paraId="2D882B80" w14:textId="17B37FA4" w:rsidR="001B186F" w:rsidRPr="00DE4E4F" w:rsidRDefault="0074517F" w:rsidP="001F7482">
            <w:pPr>
              <w:pStyle w:val="ListParagraph"/>
              <w:numPr>
                <w:ilvl w:val="0"/>
                <w:numId w:val="40"/>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At least 1</w:t>
            </w:r>
            <w:r w:rsidR="009E2E69" w:rsidRPr="00DE4E4F">
              <w:rPr>
                <w:rFonts w:ascii="Times New Roman" w:hAnsi="Times New Roman" w:cs="Times New Roman"/>
                <w:noProof/>
                <w:color w:val="006100"/>
                <w:sz w:val="18"/>
                <w:szCs w:val="18"/>
              </w:rPr>
              <w:t> </w:t>
            </w:r>
            <w:r w:rsidR="3A4DADCA" w:rsidRPr="00DE4E4F">
              <w:rPr>
                <w:rFonts w:ascii="Times New Roman" w:hAnsi="Times New Roman" w:cs="Times New Roman"/>
                <w:noProof/>
                <w:color w:val="006100"/>
                <w:sz w:val="18"/>
                <w:szCs w:val="18"/>
              </w:rPr>
              <w:t>250</w:t>
            </w:r>
            <w:r w:rsidR="009E2E69" w:rsidRPr="00DE4E4F">
              <w:rPr>
                <w:rFonts w:ascii="Times New Roman" w:hAnsi="Times New Roman" w:cs="Times New Roman"/>
                <w:noProof/>
                <w:color w:val="006100"/>
                <w:sz w:val="18"/>
                <w:szCs w:val="18"/>
              </w:rPr>
              <w:t> </w:t>
            </w:r>
            <w:r w:rsidR="3A4DADCA"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screening interventions executed for breast cancer</w:t>
            </w:r>
            <w:r w:rsidR="5BBC4C89" w:rsidRPr="00DE4E4F">
              <w:rPr>
                <w:rFonts w:ascii="Times New Roman" w:hAnsi="Times New Roman" w:cs="Times New Roman"/>
                <w:noProof/>
                <w:color w:val="006100"/>
                <w:sz w:val="18"/>
                <w:szCs w:val="18"/>
              </w:rPr>
              <w:t>.</w:t>
            </w:r>
          </w:p>
          <w:p w14:paraId="5BF9A0F9" w14:textId="77777777" w:rsidR="001B186F" w:rsidRPr="00DE4E4F" w:rsidRDefault="001B186F" w:rsidP="001F7482">
            <w:pPr>
              <w:pStyle w:val="ListParagraph"/>
              <w:spacing w:after="0" w:line="240" w:lineRule="auto"/>
              <w:rPr>
                <w:rFonts w:ascii="Times New Roman" w:hAnsi="Times New Roman" w:cs="Times New Roman"/>
                <w:noProof/>
                <w:color w:val="006100"/>
                <w:sz w:val="18"/>
                <w:szCs w:val="18"/>
              </w:rPr>
            </w:pPr>
          </w:p>
          <w:p w14:paraId="28F6999D" w14:textId="6F1055D7" w:rsidR="001B186F" w:rsidRPr="00DE4E4F" w:rsidRDefault="0074517F" w:rsidP="00B81D86">
            <w:pPr>
              <w:pStyle w:val="ListParagraph"/>
              <w:numPr>
                <w:ilvl w:val="0"/>
                <w:numId w:val="40"/>
              </w:numPr>
              <w:spacing w:after="0" w:line="240" w:lineRule="auto"/>
              <w:rPr>
                <w:rFonts w:ascii="Times New Roman" w:hAnsi="Times New Roman" w:cs="Times New Roman"/>
                <w:noProof/>
                <w:color w:val="006000"/>
                <w:sz w:val="18"/>
                <w:szCs w:val="18"/>
              </w:rPr>
            </w:pPr>
            <w:r w:rsidRPr="00DE4E4F">
              <w:rPr>
                <w:rFonts w:ascii="Times New Roman" w:hAnsi="Times New Roman" w:cs="Times New Roman"/>
                <w:noProof/>
                <w:color w:val="006100"/>
                <w:sz w:val="18"/>
                <w:szCs w:val="18"/>
              </w:rPr>
              <w:t>At least 1</w:t>
            </w:r>
            <w:r w:rsidR="009E2E69" w:rsidRPr="00DE4E4F">
              <w:rPr>
                <w:rFonts w:ascii="Times New Roman" w:hAnsi="Times New Roman" w:cs="Times New Roman"/>
                <w:noProof/>
                <w:color w:val="006100"/>
                <w:sz w:val="18"/>
                <w:szCs w:val="18"/>
              </w:rPr>
              <w:t> </w:t>
            </w:r>
            <w:r w:rsidR="0B78C900" w:rsidRPr="00DE4E4F">
              <w:rPr>
                <w:rFonts w:ascii="Times New Roman" w:hAnsi="Times New Roman" w:cs="Times New Roman"/>
                <w:noProof/>
                <w:color w:val="006100"/>
                <w:sz w:val="18"/>
                <w:szCs w:val="18"/>
              </w:rPr>
              <w:t>060</w:t>
            </w:r>
            <w:r w:rsidR="009E2E69" w:rsidRPr="00DE4E4F">
              <w:rPr>
                <w:rFonts w:ascii="Times New Roman" w:hAnsi="Times New Roman" w:cs="Times New Roman"/>
                <w:noProof/>
                <w:color w:val="006100"/>
                <w:sz w:val="18"/>
                <w:szCs w:val="18"/>
              </w:rPr>
              <w:t> </w:t>
            </w:r>
            <w:r w:rsidR="0B78C900"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screening interventions executed for colorectal cancer. </w:t>
            </w:r>
          </w:p>
        </w:tc>
      </w:tr>
      <w:tr w:rsidR="00F7603C" w:rsidRPr="00DE4E4F" w14:paraId="11EA2871" w14:textId="77777777" w:rsidTr="001F7482">
        <w:trPr>
          <w:trHeight w:val="2206"/>
          <w:jc w:val="center"/>
        </w:trPr>
        <w:tc>
          <w:tcPr>
            <w:tcW w:w="717" w:type="dxa"/>
            <w:shd w:val="clear" w:color="auto" w:fill="C6EFCE"/>
            <w:noWrap/>
          </w:tcPr>
          <w:p w14:paraId="381C7EE4"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165b</w:t>
            </w:r>
          </w:p>
        </w:tc>
        <w:tc>
          <w:tcPr>
            <w:tcW w:w="2085" w:type="dxa"/>
            <w:shd w:val="clear" w:color="auto" w:fill="C6EFCE"/>
            <w:noWrap/>
          </w:tcPr>
          <w:p w14:paraId="383CC57F"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- 16783_Implementation of the National Public Health Prevention Program “Spiros Doxiadis” (NPP”SD”)</w:t>
            </w:r>
          </w:p>
        </w:tc>
        <w:tc>
          <w:tcPr>
            <w:tcW w:w="969" w:type="dxa"/>
            <w:shd w:val="clear" w:color="auto" w:fill="C6EFCE"/>
            <w:noWrap/>
          </w:tcPr>
          <w:p w14:paraId="0E717CB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32CA61AE"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Health Monitoring</w:t>
            </w:r>
          </w:p>
        </w:tc>
        <w:tc>
          <w:tcPr>
            <w:tcW w:w="1707" w:type="dxa"/>
            <w:shd w:val="clear" w:color="auto" w:fill="C6EFCE"/>
            <w:noWrap/>
          </w:tcPr>
          <w:p w14:paraId="19122AF4" w14:textId="77777777" w:rsidR="001B186F" w:rsidRPr="00DE4E4F" w:rsidDel="00CA3873"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Platform for the secondary use of health data is online and accessible.</w:t>
            </w:r>
          </w:p>
        </w:tc>
        <w:tc>
          <w:tcPr>
            <w:tcW w:w="1335" w:type="dxa"/>
            <w:shd w:val="clear" w:color="auto" w:fill="C6EFCE"/>
            <w:noWrap/>
          </w:tcPr>
          <w:p w14:paraId="690684D7"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3A2320C5"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70ACF849"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36BDF6BD"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30AF91FE"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5A80953D" w14:textId="3DC4341B" w:rsidR="001B186F" w:rsidRPr="00DE4E4F" w:rsidRDefault="4A1C43CF" w:rsidP="001F7482">
            <w:pPr>
              <w:spacing w:after="0" w:line="240" w:lineRule="auto"/>
              <w:rPr>
                <w:rFonts w:ascii="Times New Roman" w:hAnsi="Times New Roman" w:cs="Times New Roman"/>
                <w:i/>
                <w:iCs/>
                <w:noProof/>
                <w:color w:val="006100"/>
                <w:sz w:val="18"/>
                <w:szCs w:val="18"/>
              </w:rPr>
            </w:pPr>
            <w:r w:rsidRPr="00DE4E4F">
              <w:rPr>
                <w:rFonts w:ascii="Times New Roman" w:hAnsi="Times New Roman" w:cs="Times New Roman"/>
                <w:noProof/>
                <w:color w:val="006100"/>
                <w:sz w:val="18"/>
                <w:szCs w:val="18"/>
              </w:rPr>
              <w:t>The</w:t>
            </w:r>
            <w:r w:rsidR="0074517F" w:rsidRPr="00DE4E4F">
              <w:rPr>
                <w:rFonts w:ascii="Times New Roman" w:hAnsi="Times New Roman" w:cs="Times New Roman"/>
                <w:noProof/>
                <w:color w:val="006100"/>
                <w:sz w:val="18"/>
                <w:szCs w:val="18"/>
              </w:rPr>
              <w:t xml:space="preserve"> platform for the secondary use of health data is online and accessible, including AI/ML</w:t>
            </w:r>
            <w:r w:rsidR="0E33A5E7" w:rsidRPr="00DE4E4F">
              <w:rPr>
                <w:rFonts w:ascii="Times New Roman" w:hAnsi="Times New Roman" w:cs="Times New Roman"/>
                <w:noProof/>
                <w:color w:val="006100"/>
                <w:sz w:val="18"/>
                <w:szCs w:val="18"/>
              </w:rPr>
              <w:t>,</w:t>
            </w:r>
            <w:r w:rsidR="0074517F" w:rsidRPr="00DE4E4F">
              <w:rPr>
                <w:rFonts w:ascii="Times New Roman" w:hAnsi="Times New Roman" w:cs="Times New Roman"/>
                <w:noProof/>
                <w:color w:val="006100"/>
                <w:sz w:val="18"/>
                <w:szCs w:val="18"/>
              </w:rPr>
              <w:t xml:space="preserve"> </w:t>
            </w:r>
            <w:r w:rsidR="1899A7CD" w:rsidRPr="00DE4E4F">
              <w:rPr>
                <w:rFonts w:ascii="Times New Roman" w:hAnsi="Times New Roman" w:cs="Times New Roman"/>
                <w:noProof/>
                <w:color w:val="006100"/>
                <w:sz w:val="18"/>
                <w:szCs w:val="18"/>
              </w:rPr>
              <w:t xml:space="preserve">use cases and </w:t>
            </w:r>
            <w:r w:rsidR="0074517F" w:rsidRPr="00DE4E4F">
              <w:rPr>
                <w:rFonts w:ascii="Times New Roman" w:hAnsi="Times New Roman" w:cs="Times New Roman"/>
                <w:noProof/>
                <w:color w:val="006100"/>
                <w:sz w:val="18"/>
                <w:szCs w:val="18"/>
              </w:rPr>
              <w:t>analytics .</w:t>
            </w:r>
          </w:p>
        </w:tc>
      </w:tr>
      <w:tr w:rsidR="00F7603C" w:rsidRPr="00DE4E4F" w14:paraId="1D86A079" w14:textId="77777777" w:rsidTr="001F7482">
        <w:trPr>
          <w:trHeight w:val="313"/>
          <w:jc w:val="center"/>
        </w:trPr>
        <w:tc>
          <w:tcPr>
            <w:tcW w:w="717" w:type="dxa"/>
            <w:shd w:val="clear" w:color="auto" w:fill="C6EFCE"/>
            <w:noWrap/>
          </w:tcPr>
          <w:p w14:paraId="5F1E4460"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166</w:t>
            </w:r>
          </w:p>
        </w:tc>
        <w:tc>
          <w:tcPr>
            <w:tcW w:w="2085" w:type="dxa"/>
            <w:shd w:val="clear" w:color="auto" w:fill="C6EFCE"/>
            <w:noWrap/>
          </w:tcPr>
          <w:p w14:paraId="27320219"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- 16755_Green investments - Reform of the Primary Health Care System</w:t>
            </w:r>
          </w:p>
        </w:tc>
        <w:tc>
          <w:tcPr>
            <w:tcW w:w="969" w:type="dxa"/>
            <w:shd w:val="clear" w:color="auto" w:fill="C6EFCE"/>
            <w:noWrap/>
          </w:tcPr>
          <w:p w14:paraId="4487502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161A9E32"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PHC – primary healthcare units with renovated infrastructure - step 1</w:t>
            </w:r>
          </w:p>
        </w:tc>
        <w:tc>
          <w:tcPr>
            <w:tcW w:w="1707" w:type="dxa"/>
            <w:shd w:val="clear" w:color="auto" w:fill="C6EFCE"/>
            <w:noWrap/>
          </w:tcPr>
          <w:p w14:paraId="16339638"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5416A2B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Primary Healthcare units where infrastructure is renovated </w:t>
            </w:r>
          </w:p>
        </w:tc>
        <w:tc>
          <w:tcPr>
            <w:tcW w:w="1050" w:type="dxa"/>
            <w:shd w:val="clear" w:color="auto" w:fill="C6EFCE"/>
            <w:noWrap/>
          </w:tcPr>
          <w:p w14:paraId="036CD4B9"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975" w:type="dxa"/>
            <w:shd w:val="clear" w:color="auto" w:fill="C6EFCE"/>
            <w:noWrap/>
          </w:tcPr>
          <w:p w14:paraId="01295DF4"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w:t>
            </w:r>
          </w:p>
        </w:tc>
        <w:tc>
          <w:tcPr>
            <w:tcW w:w="885" w:type="dxa"/>
            <w:shd w:val="clear" w:color="auto" w:fill="C6EFCE"/>
            <w:noWrap/>
          </w:tcPr>
          <w:p w14:paraId="2B061B94"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5" w:type="dxa"/>
            <w:shd w:val="clear" w:color="auto" w:fill="C6EFCE"/>
            <w:noWrap/>
          </w:tcPr>
          <w:p w14:paraId="245CD09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17BBDFD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For at least 15 primary healthcare units, infrastructure renovations for energy efficiency and the creation of Chronic Diseases Management Unit in each primary healthcare unit. </w:t>
            </w:r>
          </w:p>
        </w:tc>
      </w:tr>
      <w:tr w:rsidR="00F7603C" w:rsidRPr="00DE4E4F" w14:paraId="59C3B63C" w14:textId="77777777" w:rsidTr="001F7482">
        <w:trPr>
          <w:trHeight w:val="313"/>
          <w:jc w:val="center"/>
        </w:trPr>
        <w:tc>
          <w:tcPr>
            <w:tcW w:w="717" w:type="dxa"/>
            <w:shd w:val="clear" w:color="auto" w:fill="C6EFCE"/>
            <w:noWrap/>
          </w:tcPr>
          <w:p w14:paraId="50C6F29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166a</w:t>
            </w:r>
          </w:p>
        </w:tc>
        <w:tc>
          <w:tcPr>
            <w:tcW w:w="2085" w:type="dxa"/>
            <w:shd w:val="clear" w:color="auto" w:fill="C6EFCE"/>
            <w:noWrap/>
          </w:tcPr>
          <w:p w14:paraId="7B56A9D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- 16755_Green investments - Reform of the Primary Health Care System</w:t>
            </w:r>
          </w:p>
        </w:tc>
        <w:tc>
          <w:tcPr>
            <w:tcW w:w="969" w:type="dxa"/>
            <w:shd w:val="clear" w:color="auto" w:fill="C6EFCE"/>
            <w:noWrap/>
          </w:tcPr>
          <w:p w14:paraId="46BEB12A"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1C9F6F1A" w14:textId="3FE79BEF"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PHC – primary healthcare</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units with renovated infrastructure - step 2</w:t>
            </w:r>
          </w:p>
        </w:tc>
        <w:tc>
          <w:tcPr>
            <w:tcW w:w="1707" w:type="dxa"/>
            <w:shd w:val="clear" w:color="auto" w:fill="C6EFCE"/>
            <w:noWrap/>
          </w:tcPr>
          <w:p w14:paraId="2B75FFEE"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68E80BE0"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Primary Healthcare units where infrastructure is renovated </w:t>
            </w:r>
          </w:p>
        </w:tc>
        <w:tc>
          <w:tcPr>
            <w:tcW w:w="1050" w:type="dxa"/>
            <w:shd w:val="clear" w:color="auto" w:fill="C6EFCE"/>
            <w:noWrap/>
          </w:tcPr>
          <w:p w14:paraId="291C75FB"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15</w:t>
            </w:r>
          </w:p>
        </w:tc>
        <w:tc>
          <w:tcPr>
            <w:tcW w:w="975" w:type="dxa"/>
            <w:shd w:val="clear" w:color="auto" w:fill="C6EFCE"/>
            <w:noWrap/>
          </w:tcPr>
          <w:p w14:paraId="43E6DD59"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55</w:t>
            </w:r>
          </w:p>
        </w:tc>
        <w:tc>
          <w:tcPr>
            <w:tcW w:w="885" w:type="dxa"/>
            <w:shd w:val="clear" w:color="auto" w:fill="C6EFCE"/>
            <w:noWrap/>
          </w:tcPr>
          <w:p w14:paraId="0AC67DE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825" w:type="dxa"/>
            <w:shd w:val="clear" w:color="auto" w:fill="C6EFCE"/>
            <w:noWrap/>
          </w:tcPr>
          <w:p w14:paraId="7BD8768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4069F35A" w14:textId="77777777" w:rsidR="00367E3B" w:rsidRPr="00DE4E4F" w:rsidRDefault="00367E3B"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For at least an additional 40 primary healthcare units, infrastructure renovations for energy efficiency. </w:t>
            </w:r>
          </w:p>
          <w:p w14:paraId="74ABA6D6" w14:textId="77777777" w:rsidR="00367E3B" w:rsidRPr="00DE4E4F" w:rsidRDefault="00367E3B" w:rsidP="001F7482">
            <w:pPr>
              <w:spacing w:after="0" w:line="240" w:lineRule="auto"/>
              <w:rPr>
                <w:rFonts w:ascii="Times New Roman" w:hAnsi="Times New Roman" w:cs="Times New Roman"/>
                <w:noProof/>
                <w:color w:val="006100"/>
                <w:sz w:val="18"/>
                <w:szCs w:val="18"/>
              </w:rPr>
            </w:pPr>
          </w:p>
          <w:p w14:paraId="3A473B88" w14:textId="782C5228" w:rsidR="001B186F" w:rsidRPr="00DE4E4F" w:rsidRDefault="00367E3B"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Chronic Diseases Management Unit in an equal amount of primary healthcare units.</w:t>
            </w:r>
          </w:p>
        </w:tc>
      </w:tr>
      <w:tr w:rsidR="00F7603C" w:rsidRPr="00DE4E4F" w14:paraId="426A877B" w14:textId="77777777" w:rsidTr="001F7482">
        <w:trPr>
          <w:trHeight w:val="313"/>
          <w:jc w:val="center"/>
        </w:trPr>
        <w:tc>
          <w:tcPr>
            <w:tcW w:w="717" w:type="dxa"/>
            <w:shd w:val="clear" w:color="auto" w:fill="C6EFCE"/>
            <w:noWrap/>
          </w:tcPr>
          <w:p w14:paraId="4432EFDE"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166b</w:t>
            </w:r>
          </w:p>
        </w:tc>
        <w:tc>
          <w:tcPr>
            <w:tcW w:w="2085" w:type="dxa"/>
            <w:shd w:val="clear" w:color="auto" w:fill="C6EFCE"/>
            <w:noWrap/>
          </w:tcPr>
          <w:p w14:paraId="7128E9D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- 16755_Green investments - Reform of the Primary Health Care System</w:t>
            </w:r>
          </w:p>
        </w:tc>
        <w:tc>
          <w:tcPr>
            <w:tcW w:w="969" w:type="dxa"/>
            <w:shd w:val="clear" w:color="auto" w:fill="C6EFCE"/>
            <w:noWrap/>
          </w:tcPr>
          <w:p w14:paraId="499FE746"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93" w:type="dxa"/>
            <w:shd w:val="clear" w:color="auto" w:fill="C6EFCE"/>
            <w:noWrap/>
          </w:tcPr>
          <w:p w14:paraId="1678402C"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PHC – primary healthcare units with renovated infrastructure - step 3</w:t>
            </w:r>
          </w:p>
        </w:tc>
        <w:tc>
          <w:tcPr>
            <w:tcW w:w="1707" w:type="dxa"/>
            <w:shd w:val="clear" w:color="auto" w:fill="C6EFCE"/>
            <w:noWrap/>
          </w:tcPr>
          <w:p w14:paraId="1E42A65D"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335" w:type="dxa"/>
            <w:shd w:val="clear" w:color="auto" w:fill="C6EFCE"/>
            <w:noWrap/>
          </w:tcPr>
          <w:p w14:paraId="7DF4F11C"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Number of Primary Healthcare units where infrastructure is renovated </w:t>
            </w:r>
          </w:p>
        </w:tc>
        <w:tc>
          <w:tcPr>
            <w:tcW w:w="1050" w:type="dxa"/>
            <w:shd w:val="clear" w:color="auto" w:fill="C6EFCE"/>
            <w:noWrap/>
          </w:tcPr>
          <w:p w14:paraId="38D2A94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55</w:t>
            </w:r>
          </w:p>
        </w:tc>
        <w:tc>
          <w:tcPr>
            <w:tcW w:w="975" w:type="dxa"/>
            <w:shd w:val="clear" w:color="auto" w:fill="C6EFCE"/>
            <w:noWrap/>
          </w:tcPr>
          <w:p w14:paraId="04B49DB4" w14:textId="2A96EDE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w:t>
            </w:r>
            <w:r w:rsidR="00953376" w:rsidRPr="00DE4E4F">
              <w:rPr>
                <w:rFonts w:ascii="Times New Roman" w:hAnsi="Times New Roman" w:cs="Times New Roman"/>
                <w:noProof/>
                <w:color w:val="006100"/>
                <w:sz w:val="18"/>
                <w:szCs w:val="18"/>
              </w:rPr>
              <w:t>4</w:t>
            </w:r>
            <w:r w:rsidRPr="00DE4E4F">
              <w:rPr>
                <w:rFonts w:ascii="Times New Roman" w:hAnsi="Times New Roman" w:cs="Times New Roman"/>
                <w:noProof/>
                <w:color w:val="006100"/>
                <w:sz w:val="18"/>
                <w:szCs w:val="18"/>
              </w:rPr>
              <w:t>6</w:t>
            </w:r>
          </w:p>
        </w:tc>
        <w:tc>
          <w:tcPr>
            <w:tcW w:w="885" w:type="dxa"/>
            <w:shd w:val="clear" w:color="auto" w:fill="C6EFCE"/>
            <w:noWrap/>
          </w:tcPr>
          <w:p w14:paraId="2012A981"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06FD8CAA"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71C7E8B7" w14:textId="701078F5" w:rsidR="00AB5A7D" w:rsidRPr="00DE4E4F" w:rsidRDefault="00AB5A7D" w:rsidP="00AB5A7D">
            <w:pPr>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For at least an additional 91 primary healthcare units, infrastructure renovations for energy efficiency. </w:t>
            </w:r>
          </w:p>
          <w:p w14:paraId="4809FE38" w14:textId="22F37A4B" w:rsidR="001B186F" w:rsidRPr="00DE4E4F" w:rsidRDefault="00AB5A7D" w:rsidP="00A01455">
            <w:pPr>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Chronic Diseases Management Unit in an equal amount of primary healthcare units.</w:t>
            </w:r>
          </w:p>
        </w:tc>
      </w:tr>
      <w:tr w:rsidR="00F7603C" w:rsidRPr="00DE4E4F" w14:paraId="44AC52DE" w14:textId="77777777" w:rsidTr="001F7482">
        <w:trPr>
          <w:trHeight w:val="313"/>
          <w:jc w:val="center"/>
        </w:trPr>
        <w:tc>
          <w:tcPr>
            <w:tcW w:w="717" w:type="dxa"/>
            <w:shd w:val="clear" w:color="auto" w:fill="C6EFCE"/>
            <w:noWrap/>
          </w:tcPr>
          <w:p w14:paraId="0BDC4B0F"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166c</w:t>
            </w:r>
          </w:p>
        </w:tc>
        <w:tc>
          <w:tcPr>
            <w:tcW w:w="2085" w:type="dxa"/>
            <w:shd w:val="clear" w:color="auto" w:fill="C6EFCE"/>
            <w:noWrap/>
          </w:tcPr>
          <w:p w14:paraId="1D383BF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- 16755_Green investments - Reform of the Primary Health Care System</w:t>
            </w:r>
          </w:p>
        </w:tc>
        <w:tc>
          <w:tcPr>
            <w:tcW w:w="969" w:type="dxa"/>
            <w:shd w:val="clear" w:color="auto" w:fill="C6EFCE"/>
            <w:noWrap/>
          </w:tcPr>
          <w:p w14:paraId="11615171" w14:textId="77777777" w:rsidR="001B186F" w:rsidRPr="00DE4E4F" w:rsidRDefault="0074517F" w:rsidP="001F7482">
            <w:pPr>
              <w:rPr>
                <w:rFonts w:ascii="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5D7E264E"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PHC – medical equipment</w:t>
            </w:r>
          </w:p>
        </w:tc>
        <w:tc>
          <w:tcPr>
            <w:tcW w:w="1707" w:type="dxa"/>
            <w:shd w:val="clear" w:color="auto" w:fill="C6EFCE"/>
            <w:noWrap/>
          </w:tcPr>
          <w:p w14:paraId="4B90586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Delivery of medical equipment</w:t>
            </w:r>
            <w:r w:rsidRPr="00DE4E4F" w:rsidDel="00B5481F">
              <w:rPr>
                <w:rFonts w:ascii="Times New Roman" w:eastAsia="Times New Roman" w:hAnsi="Times New Roman" w:cs="Times New Roman"/>
                <w:noProof/>
                <w:color w:val="006100"/>
                <w:sz w:val="18"/>
                <w:szCs w:val="18"/>
                <w:lang w:eastAsia="en-GB"/>
              </w:rPr>
              <w:t xml:space="preserve"> </w:t>
            </w:r>
          </w:p>
        </w:tc>
        <w:tc>
          <w:tcPr>
            <w:tcW w:w="1335" w:type="dxa"/>
            <w:shd w:val="clear" w:color="auto" w:fill="C6EFCE"/>
            <w:noWrap/>
          </w:tcPr>
          <w:p w14:paraId="7B9C27A1"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30A93EE1"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67DE0D16"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885" w:type="dxa"/>
            <w:shd w:val="clear" w:color="auto" w:fill="C6EFCE"/>
            <w:noWrap/>
          </w:tcPr>
          <w:p w14:paraId="4CA8EC8B"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07876B63"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712F751A"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medical equipment for the Primary Health Care System across seven Health Regions. </w:t>
            </w:r>
          </w:p>
        </w:tc>
      </w:tr>
      <w:tr w:rsidR="00F7603C" w:rsidRPr="00DE4E4F" w14:paraId="00B8B877" w14:textId="77777777" w:rsidTr="001F7482">
        <w:trPr>
          <w:trHeight w:val="313"/>
          <w:jc w:val="center"/>
        </w:trPr>
        <w:tc>
          <w:tcPr>
            <w:tcW w:w="717" w:type="dxa"/>
            <w:shd w:val="clear" w:color="auto" w:fill="C6EFCE"/>
            <w:noWrap/>
          </w:tcPr>
          <w:p w14:paraId="21F3E232"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166d</w:t>
            </w:r>
          </w:p>
        </w:tc>
        <w:tc>
          <w:tcPr>
            <w:tcW w:w="2085" w:type="dxa"/>
            <w:shd w:val="clear" w:color="auto" w:fill="C6EFCE"/>
            <w:noWrap/>
          </w:tcPr>
          <w:p w14:paraId="24395FF3"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- 16755_Green investments - Reform of the Primary Health Care System</w:t>
            </w:r>
          </w:p>
        </w:tc>
        <w:tc>
          <w:tcPr>
            <w:tcW w:w="969" w:type="dxa"/>
            <w:shd w:val="clear" w:color="auto" w:fill="C6EFCE"/>
            <w:noWrap/>
          </w:tcPr>
          <w:p w14:paraId="4822A134"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738F1D02"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PHC – Reform and training</w:t>
            </w:r>
          </w:p>
        </w:tc>
        <w:tc>
          <w:tcPr>
            <w:tcW w:w="1707" w:type="dxa"/>
            <w:shd w:val="clear" w:color="auto" w:fill="C6EFCE"/>
            <w:noWrap/>
          </w:tcPr>
          <w:p w14:paraId="5458BCC1" w14:textId="05ED0E33" w:rsidR="001B186F" w:rsidRPr="00DE4E4F" w:rsidRDefault="0074517F" w:rsidP="001F748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Proposals for the PHC reform, pilot referral mechanism, digital platforms and trainings</w:t>
            </w:r>
            <w:r w:rsidR="00DE4C0C" w:rsidRPr="00DE4E4F">
              <w:rPr>
                <w:rFonts w:ascii="Times New Roman" w:eastAsia="Times New Roman" w:hAnsi="Times New Roman" w:cs="Times New Roman"/>
                <w:noProof/>
                <w:color w:val="006100"/>
                <w:sz w:val="18"/>
                <w:szCs w:val="18"/>
                <w:lang w:eastAsia="en-GB"/>
              </w:rPr>
              <w:t xml:space="preserve"> </w:t>
            </w:r>
          </w:p>
        </w:tc>
        <w:tc>
          <w:tcPr>
            <w:tcW w:w="1335" w:type="dxa"/>
            <w:shd w:val="clear" w:color="auto" w:fill="C6EFCE"/>
            <w:noWrap/>
          </w:tcPr>
          <w:p w14:paraId="6B4E08A9"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1050" w:type="dxa"/>
            <w:shd w:val="clear" w:color="auto" w:fill="C6EFCE"/>
            <w:noWrap/>
          </w:tcPr>
          <w:p w14:paraId="2BAF1F5A"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975" w:type="dxa"/>
            <w:shd w:val="clear" w:color="auto" w:fill="C6EFCE"/>
            <w:noWrap/>
          </w:tcPr>
          <w:p w14:paraId="78527F28" w14:textId="77777777" w:rsidR="001B186F" w:rsidRPr="00DE4E4F" w:rsidRDefault="001B186F" w:rsidP="001F7482">
            <w:pPr>
              <w:spacing w:after="0" w:line="240" w:lineRule="auto"/>
              <w:rPr>
                <w:rFonts w:ascii="Times New Roman" w:hAnsi="Times New Roman" w:cs="Times New Roman"/>
                <w:noProof/>
                <w:color w:val="006100"/>
                <w:sz w:val="18"/>
                <w:szCs w:val="18"/>
              </w:rPr>
            </w:pPr>
          </w:p>
        </w:tc>
        <w:tc>
          <w:tcPr>
            <w:tcW w:w="885" w:type="dxa"/>
            <w:shd w:val="clear" w:color="auto" w:fill="C6EFCE"/>
            <w:noWrap/>
          </w:tcPr>
          <w:p w14:paraId="0FE51BF8"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636EA513"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447" w:type="dxa"/>
            <w:shd w:val="clear" w:color="auto" w:fill="C6EFCE"/>
            <w:noWrap/>
          </w:tcPr>
          <w:p w14:paraId="26BFBBA5" w14:textId="77777777" w:rsidR="001B186F" w:rsidRPr="00DE4E4F" w:rsidRDefault="0074517F"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Submission of: </w:t>
            </w:r>
          </w:p>
          <w:p w14:paraId="248E7871" w14:textId="77777777" w:rsidR="001B186F" w:rsidRPr="00DE4E4F" w:rsidRDefault="0074517F" w:rsidP="001F7482">
            <w:pPr>
              <w:pStyle w:val="ListParagraph"/>
              <w:numPr>
                <w:ilvl w:val="0"/>
                <w:numId w:val="4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Proposals for the reform of Primary Health Care, </w:t>
            </w:r>
          </w:p>
          <w:p w14:paraId="08AF562E" w14:textId="77777777" w:rsidR="001B186F" w:rsidRPr="00DE4E4F" w:rsidRDefault="0074517F" w:rsidP="001F7482">
            <w:pPr>
              <w:pStyle w:val="ListParagraph"/>
              <w:numPr>
                <w:ilvl w:val="0"/>
                <w:numId w:val="4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Pilot referral mechanism, </w:t>
            </w:r>
          </w:p>
          <w:p w14:paraId="4989CEFE" w14:textId="77777777" w:rsidR="001B186F" w:rsidRPr="00DE4E4F" w:rsidRDefault="0074517F" w:rsidP="001F7482">
            <w:pPr>
              <w:pStyle w:val="ListParagraph"/>
              <w:numPr>
                <w:ilvl w:val="0"/>
                <w:numId w:val="4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Training of staff aiming at improving the PHC workforce capacity, </w:t>
            </w:r>
          </w:p>
          <w:p w14:paraId="46D6CD86" w14:textId="77777777" w:rsidR="001B186F" w:rsidRPr="00DE4E4F" w:rsidRDefault="0074517F" w:rsidP="001F7482">
            <w:pPr>
              <w:pStyle w:val="ListParagraph"/>
              <w:numPr>
                <w:ilvl w:val="0"/>
                <w:numId w:val="4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Digital platform for data-driven decision-making in PHC. </w:t>
            </w:r>
          </w:p>
          <w:p w14:paraId="3997730F" w14:textId="77777777" w:rsidR="001B186F" w:rsidRPr="00DE4E4F" w:rsidRDefault="001B186F" w:rsidP="001F7482">
            <w:pPr>
              <w:spacing w:after="0" w:line="240" w:lineRule="auto"/>
              <w:rPr>
                <w:rFonts w:ascii="Times New Roman" w:hAnsi="Times New Roman" w:cs="Times New Roman"/>
                <w:noProof/>
                <w:color w:val="006100"/>
                <w:sz w:val="18"/>
                <w:szCs w:val="18"/>
              </w:rPr>
            </w:pPr>
          </w:p>
          <w:p w14:paraId="0225D713" w14:textId="69959334" w:rsidR="001B186F" w:rsidRPr="00DE4E4F" w:rsidRDefault="00724724" w:rsidP="001F7482">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w:t>
            </w:r>
            <w:r w:rsidR="001410D7"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172</w:t>
            </w:r>
            <w:r w:rsidR="0074517F" w:rsidRPr="00DE4E4F">
              <w:rPr>
                <w:rFonts w:ascii="Times New Roman" w:hAnsi="Times New Roman" w:cs="Times New Roman"/>
                <w:noProof/>
                <w:color w:val="006100"/>
                <w:sz w:val="18"/>
                <w:szCs w:val="18"/>
              </w:rPr>
              <w:t xml:space="preserve"> primary healthcare professionals</w:t>
            </w:r>
            <w:r w:rsidRPr="00DE4E4F">
              <w:rPr>
                <w:rFonts w:ascii="Times New Roman" w:hAnsi="Times New Roman" w:cs="Times New Roman"/>
                <w:noProof/>
                <w:color w:val="006100"/>
                <w:sz w:val="18"/>
                <w:szCs w:val="18"/>
              </w:rPr>
              <w:t xml:space="preserve"> started a PHC training programme</w:t>
            </w:r>
            <w:r w:rsidR="0074517F" w:rsidRPr="00DE4E4F">
              <w:rPr>
                <w:rFonts w:ascii="Times New Roman" w:hAnsi="Times New Roman" w:cs="Times New Roman"/>
                <w:noProof/>
                <w:color w:val="006100"/>
                <w:sz w:val="18"/>
                <w:szCs w:val="18"/>
              </w:rPr>
              <w:t>.</w:t>
            </w:r>
          </w:p>
        </w:tc>
      </w:tr>
      <w:tr w:rsidR="00F7603C" w:rsidRPr="00DE4E4F" w14:paraId="0D870CD4" w14:textId="77777777" w:rsidTr="001F7482">
        <w:trPr>
          <w:trHeight w:val="313"/>
          <w:jc w:val="center"/>
        </w:trPr>
        <w:tc>
          <w:tcPr>
            <w:tcW w:w="717" w:type="dxa"/>
            <w:shd w:val="clear" w:color="auto" w:fill="C6EFCE"/>
            <w:noWrap/>
          </w:tcPr>
          <w:p w14:paraId="4989686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335</w:t>
            </w:r>
          </w:p>
        </w:tc>
        <w:tc>
          <w:tcPr>
            <w:tcW w:w="2085" w:type="dxa"/>
            <w:shd w:val="clear" w:color="auto" w:fill="C6EFCE"/>
            <w:noWrap/>
          </w:tcPr>
          <w:p w14:paraId="3777FB1A"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- 16984_ Personal</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Doctor reform</w:t>
            </w:r>
          </w:p>
        </w:tc>
        <w:tc>
          <w:tcPr>
            <w:tcW w:w="969" w:type="dxa"/>
            <w:shd w:val="clear" w:color="auto" w:fill="C6EFCE"/>
            <w:noWrap/>
          </w:tcPr>
          <w:p w14:paraId="10E8F58E"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54210BA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doctor reform – entry into force of legislation</w:t>
            </w:r>
          </w:p>
        </w:tc>
        <w:tc>
          <w:tcPr>
            <w:tcW w:w="1707" w:type="dxa"/>
            <w:shd w:val="clear" w:color="auto" w:fill="C6EFCE"/>
            <w:noWrap/>
          </w:tcPr>
          <w:p w14:paraId="12C8A89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setting out the key elements of the enrolment of rural doctors to the personal</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doctor system, the creation of new similar positions in urban, suburban and rural areas and on the incentive mechanism</w:t>
            </w:r>
          </w:p>
        </w:tc>
        <w:tc>
          <w:tcPr>
            <w:tcW w:w="1335" w:type="dxa"/>
            <w:shd w:val="clear" w:color="auto" w:fill="C6EFCE"/>
            <w:noWrap/>
          </w:tcPr>
          <w:p w14:paraId="36F84EB2"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6EEFD216"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015B8484"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2EF76C6F"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825" w:type="dxa"/>
            <w:shd w:val="clear" w:color="auto" w:fill="C6EFCE"/>
            <w:noWrap/>
          </w:tcPr>
          <w:p w14:paraId="6507A5CE"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447" w:type="dxa"/>
            <w:shd w:val="clear" w:color="auto" w:fill="C6EFCE"/>
            <w:noWrap/>
          </w:tcPr>
          <w:p w14:paraId="7170C01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Legislation shall enter into force setting out the key elements of the enrolment of rural doctors to the personal doctor system, the creation of new similar positions in urban, suburban and rural areas, where there is still a lack of personal doctors, and of </w:t>
            </w:r>
            <w:r w:rsidRPr="00DE4E4F" w:rsidDel="4FF1B930">
              <w:rPr>
                <w:rFonts w:ascii="Times New Roman" w:hAnsi="Times New Roman" w:cs="Times New Roman"/>
                <w:noProof/>
                <w:color w:val="006100"/>
                <w:sz w:val="18"/>
                <w:szCs w:val="18"/>
              </w:rPr>
              <w:t xml:space="preserve">the </w:t>
            </w:r>
            <w:r w:rsidRPr="00DE4E4F">
              <w:rPr>
                <w:rFonts w:ascii="Times New Roman" w:hAnsi="Times New Roman" w:cs="Times New Roman"/>
                <w:noProof/>
                <w:color w:val="006100"/>
                <w:sz w:val="18"/>
                <w:szCs w:val="18"/>
              </w:rPr>
              <w:t>incentive mechanism for doctors to become residents in General/Family Medicine or Internal Medicine.</w:t>
            </w:r>
          </w:p>
        </w:tc>
      </w:tr>
      <w:tr w:rsidR="00F7603C" w:rsidRPr="00DE4E4F" w14:paraId="1B634A26" w14:textId="77777777" w:rsidTr="001F7482">
        <w:trPr>
          <w:trHeight w:val="313"/>
          <w:jc w:val="center"/>
        </w:trPr>
        <w:tc>
          <w:tcPr>
            <w:tcW w:w="717" w:type="dxa"/>
            <w:shd w:val="clear" w:color="auto" w:fill="C6EFCE"/>
            <w:noWrap/>
          </w:tcPr>
          <w:p w14:paraId="1103D0E6"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336</w:t>
            </w:r>
          </w:p>
        </w:tc>
        <w:tc>
          <w:tcPr>
            <w:tcW w:w="2085" w:type="dxa"/>
            <w:shd w:val="clear" w:color="auto" w:fill="C6EFCE"/>
            <w:noWrap/>
          </w:tcPr>
          <w:p w14:paraId="5A71BDA7"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- 16984_ Personal</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Doctor reform</w:t>
            </w:r>
          </w:p>
        </w:tc>
        <w:tc>
          <w:tcPr>
            <w:tcW w:w="969" w:type="dxa"/>
            <w:shd w:val="clear" w:color="auto" w:fill="C6EFCE"/>
            <w:noWrap/>
          </w:tcPr>
          <w:p w14:paraId="58858F0D"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3" w:type="dxa"/>
            <w:shd w:val="clear" w:color="auto" w:fill="C6EFCE"/>
            <w:noWrap/>
          </w:tcPr>
          <w:p w14:paraId="16CDC85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 xml:space="preserve">doctor reform – registration </w:t>
            </w:r>
          </w:p>
        </w:tc>
        <w:tc>
          <w:tcPr>
            <w:tcW w:w="1707" w:type="dxa"/>
            <w:shd w:val="clear" w:color="auto" w:fill="C6EFCE"/>
            <w:noWrap/>
          </w:tcPr>
          <w:p w14:paraId="6F8B19DA"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Platforms for registration and referral are online and accessible </w:t>
            </w:r>
          </w:p>
        </w:tc>
        <w:tc>
          <w:tcPr>
            <w:tcW w:w="1335" w:type="dxa"/>
            <w:shd w:val="clear" w:color="auto" w:fill="C6EFCE"/>
            <w:noWrap/>
          </w:tcPr>
          <w:p w14:paraId="466BAA25"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1050" w:type="dxa"/>
            <w:shd w:val="clear" w:color="auto" w:fill="C6EFCE"/>
            <w:noWrap/>
          </w:tcPr>
          <w:p w14:paraId="2B6B214A"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975" w:type="dxa"/>
            <w:shd w:val="clear" w:color="auto" w:fill="C6EFCE"/>
            <w:noWrap/>
          </w:tcPr>
          <w:p w14:paraId="47E8D12D" w14:textId="77777777" w:rsidR="001B186F" w:rsidRPr="00DE4E4F" w:rsidRDefault="001B186F" w:rsidP="001F7482">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49AD7527"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5" w:type="dxa"/>
            <w:shd w:val="clear" w:color="auto" w:fill="C6EFCE"/>
            <w:noWrap/>
          </w:tcPr>
          <w:p w14:paraId="1E742FCA"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7" w:type="dxa"/>
            <w:shd w:val="clear" w:color="auto" w:fill="C6EFCE"/>
            <w:noWrap/>
          </w:tcPr>
          <w:p w14:paraId="6A5A0AF5" w14:textId="77777777" w:rsidR="001B186F" w:rsidRPr="00DE4E4F" w:rsidRDefault="0074517F" w:rsidP="001F748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Platform for registration with personal doctor is online and accessible. Platform for referral to specialty care is online and accessible. </w:t>
            </w:r>
          </w:p>
        </w:tc>
      </w:tr>
    </w:tbl>
    <w:p w14:paraId="4B2051EB" w14:textId="77777777" w:rsidR="001B186F" w:rsidRPr="00DE4E4F" w:rsidRDefault="001B186F">
      <w:pPr>
        <w:keepNext/>
        <w:keepLines/>
        <w:spacing w:before="40" w:after="0" w:line="240" w:lineRule="auto"/>
        <w:jc w:val="both"/>
        <w:outlineLvl w:val="4"/>
        <w:rPr>
          <w:rFonts w:ascii="Cambria" w:hAnsi="Cambria"/>
          <w:noProof/>
          <w:color w:val="365F91" w:themeColor="accent1" w:themeShade="BF"/>
          <w:sz w:val="24"/>
        </w:rPr>
        <w:sectPr w:rsidR="001B186F" w:rsidRPr="00DE4E4F">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31F39477" w14:textId="77777777" w:rsidR="001B186F" w:rsidRPr="00DE4E4F" w:rsidRDefault="0074517F">
      <w:pPr>
        <w:keepNext/>
        <w:keepLines/>
        <w:spacing w:before="40" w:after="0" w:line="240" w:lineRule="auto"/>
        <w:outlineLvl w:val="4"/>
        <w:rPr>
          <w:rFonts w:ascii="Cambria" w:eastAsia="Times New Roman" w:hAnsi="Cambria"/>
          <w:noProof/>
          <w:color w:val="365F91"/>
          <w:sz w:val="24"/>
          <w:szCs w:val="24"/>
        </w:rPr>
      </w:pPr>
      <w:r w:rsidRPr="00DE4E4F">
        <w:rPr>
          <w:rFonts w:ascii="Cambria" w:hAnsi="Cambria"/>
          <w:noProof/>
          <w:color w:val="365F91" w:themeColor="accent1" w:themeShade="BF"/>
          <w:sz w:val="24"/>
        </w:rPr>
        <w:t xml:space="preserve">Group 14: Infrastructural and digital measures to modernise and upgrade the healthcare system </w:t>
      </w:r>
    </w:p>
    <w:p w14:paraId="689368E1" w14:textId="77777777" w:rsidR="001B186F" w:rsidRPr="00DE4E4F" w:rsidRDefault="0074517F">
      <w:pPr>
        <w:numPr>
          <w:ilvl w:val="0"/>
          <w:numId w:val="49"/>
        </w:numPr>
        <w:spacing w:before="120" w:after="0" w:line="240" w:lineRule="auto"/>
        <w:jc w:val="both"/>
        <w:rPr>
          <w:rFonts w:ascii="Times New Roman" w:hAnsi="Times New Roman" w:cs="Times New Roman"/>
          <w:noProof/>
        </w:rPr>
      </w:pPr>
      <w:r w:rsidRPr="00DE4E4F">
        <w:rPr>
          <w:rFonts w:ascii="Times New Roman" w:hAnsi="Times New Roman"/>
          <w:noProof/>
          <w:sz w:val="24"/>
        </w:rPr>
        <w:t>Digital transformation of Health (ID: 16752)</w:t>
      </w:r>
    </w:p>
    <w:p w14:paraId="7A2B5CCC" w14:textId="77777777" w:rsidR="001B186F" w:rsidRPr="00DE4E4F" w:rsidRDefault="0074517F">
      <w:pPr>
        <w:numPr>
          <w:ilvl w:val="0"/>
          <w:numId w:val="49"/>
        </w:numPr>
        <w:spacing w:before="120" w:after="0" w:line="240" w:lineRule="auto"/>
        <w:jc w:val="both"/>
        <w:rPr>
          <w:rFonts w:ascii="Times New Roman" w:hAnsi="Times New Roman" w:cs="Times New Roman"/>
          <w:noProof/>
          <w:sz w:val="24"/>
        </w:rPr>
      </w:pPr>
      <w:r w:rsidRPr="00DE4E4F">
        <w:rPr>
          <w:rFonts w:ascii="Times New Roman" w:hAnsi="Times New Roman"/>
          <w:noProof/>
          <w:sz w:val="24"/>
          <w:szCs w:val="24"/>
        </w:rPr>
        <w:t>Health infrastructure</w:t>
      </w:r>
      <w:r w:rsidRPr="00DE4E4F">
        <w:rPr>
          <w:rFonts w:ascii="Times New Roman" w:hAnsi="Times New Roman"/>
          <w:noProof/>
          <w:sz w:val="24"/>
        </w:rPr>
        <w:t xml:space="preserve"> (ID: 16795)</w:t>
      </w:r>
    </w:p>
    <w:p w14:paraId="6C93EEE0" w14:textId="625C7F39" w:rsidR="001B186F" w:rsidRPr="00DE4E4F" w:rsidRDefault="0074517F">
      <w:pPr>
        <w:numPr>
          <w:ilvl w:val="0"/>
          <w:numId w:val="49"/>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Radiotherapy Centre at the “Sotiria” Thoracic Diseases Hospital of Athens (ID: 16757)</w:t>
      </w:r>
    </w:p>
    <w:p w14:paraId="023FEF74" w14:textId="77777777" w:rsidR="001B186F" w:rsidRPr="00DE4E4F" w:rsidRDefault="0074517F">
      <w:pPr>
        <w:numPr>
          <w:ilvl w:val="0"/>
          <w:numId w:val="49"/>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Cell &amp; Gene Therapies Hematology Clinic Laboratories within the General Hospital of Thessaloniki “Papanikolaou” (ID: 16793)</w:t>
      </w:r>
    </w:p>
    <w:p w14:paraId="69D1F427" w14:textId="77777777" w:rsidR="001B186F" w:rsidRPr="00DE4E4F" w:rsidRDefault="0074517F">
      <w:pPr>
        <w:numPr>
          <w:ilvl w:val="0"/>
          <w:numId w:val="49"/>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Establishment of Home Health Care &amp; Hospital at Home systems (ID: 16753)</w:t>
      </w:r>
    </w:p>
    <w:tbl>
      <w:tblPr>
        <w:tblW w:w="158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040"/>
        <w:gridCol w:w="1144"/>
        <w:gridCol w:w="1877"/>
        <w:gridCol w:w="1553"/>
        <w:gridCol w:w="1390"/>
        <w:gridCol w:w="1134"/>
        <w:gridCol w:w="708"/>
        <w:gridCol w:w="851"/>
        <w:gridCol w:w="709"/>
        <w:gridCol w:w="3880"/>
      </w:tblGrid>
      <w:tr w:rsidR="00682269" w:rsidRPr="00DE4E4F" w14:paraId="350A1A6E" w14:textId="77777777" w:rsidTr="4D22DC20">
        <w:trPr>
          <w:trHeight w:val="853"/>
          <w:tblHeader/>
          <w:jc w:val="center"/>
        </w:trPr>
        <w:tc>
          <w:tcPr>
            <w:tcW w:w="607" w:type="dxa"/>
            <w:vMerge w:val="restart"/>
            <w:shd w:val="clear" w:color="auto" w:fill="BDD7EE"/>
            <w:vAlign w:val="center"/>
            <w:hideMark/>
          </w:tcPr>
          <w:p w14:paraId="3690732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040" w:type="dxa"/>
            <w:vMerge w:val="restart"/>
            <w:shd w:val="clear" w:color="auto" w:fill="BDD7EE"/>
            <w:vAlign w:val="center"/>
            <w:hideMark/>
          </w:tcPr>
          <w:p w14:paraId="5E9EA11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Related Measure (Reform or Investment)</w:t>
            </w:r>
          </w:p>
        </w:tc>
        <w:tc>
          <w:tcPr>
            <w:tcW w:w="1144" w:type="dxa"/>
            <w:vMerge w:val="restart"/>
            <w:shd w:val="clear" w:color="auto" w:fill="BDD7EE"/>
            <w:vAlign w:val="center"/>
            <w:hideMark/>
          </w:tcPr>
          <w:p w14:paraId="0696EE3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Milestone / Target</w:t>
            </w:r>
          </w:p>
        </w:tc>
        <w:tc>
          <w:tcPr>
            <w:tcW w:w="1877" w:type="dxa"/>
            <w:vMerge w:val="restart"/>
            <w:shd w:val="clear" w:color="auto" w:fill="BDD7EE"/>
            <w:vAlign w:val="center"/>
            <w:hideMark/>
          </w:tcPr>
          <w:p w14:paraId="673D54F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553" w:type="dxa"/>
            <w:vMerge w:val="restart"/>
            <w:shd w:val="clear" w:color="auto" w:fill="BDD7EE"/>
            <w:vAlign w:val="center"/>
            <w:hideMark/>
          </w:tcPr>
          <w:p w14:paraId="36F0C51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Qualitative indicators (for milestones)</w:t>
            </w:r>
          </w:p>
        </w:tc>
        <w:tc>
          <w:tcPr>
            <w:tcW w:w="3232" w:type="dxa"/>
            <w:gridSpan w:val="3"/>
            <w:shd w:val="clear" w:color="auto" w:fill="BDD7EE"/>
            <w:vAlign w:val="center"/>
            <w:hideMark/>
          </w:tcPr>
          <w:p w14:paraId="4DC6FDB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Quantitative indicators (for targets)</w:t>
            </w:r>
          </w:p>
        </w:tc>
        <w:tc>
          <w:tcPr>
            <w:tcW w:w="1560" w:type="dxa"/>
            <w:gridSpan w:val="2"/>
            <w:shd w:val="clear" w:color="auto" w:fill="BDD7EE"/>
            <w:vAlign w:val="center"/>
            <w:hideMark/>
          </w:tcPr>
          <w:p w14:paraId="660146C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Indicative timeline for completion </w:t>
            </w:r>
          </w:p>
        </w:tc>
        <w:tc>
          <w:tcPr>
            <w:tcW w:w="3880" w:type="dxa"/>
            <w:vMerge w:val="restart"/>
            <w:shd w:val="clear" w:color="auto" w:fill="BDD7EE"/>
            <w:vAlign w:val="center"/>
            <w:hideMark/>
          </w:tcPr>
          <w:p w14:paraId="5A060C1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35B3DDF8" w14:textId="77777777" w:rsidTr="4D22DC20">
        <w:trPr>
          <w:trHeight w:val="432"/>
          <w:tblHeader/>
          <w:jc w:val="center"/>
        </w:trPr>
        <w:tc>
          <w:tcPr>
            <w:tcW w:w="607" w:type="dxa"/>
            <w:vMerge/>
            <w:vAlign w:val="center"/>
            <w:hideMark/>
          </w:tcPr>
          <w:p w14:paraId="5FA4CC8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040" w:type="dxa"/>
            <w:vMerge/>
            <w:vAlign w:val="center"/>
            <w:hideMark/>
          </w:tcPr>
          <w:p w14:paraId="5046ECF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44" w:type="dxa"/>
            <w:vMerge/>
            <w:vAlign w:val="center"/>
            <w:hideMark/>
          </w:tcPr>
          <w:p w14:paraId="4BFED4F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877" w:type="dxa"/>
            <w:vMerge/>
            <w:vAlign w:val="center"/>
            <w:hideMark/>
          </w:tcPr>
          <w:p w14:paraId="0A3C0762"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53" w:type="dxa"/>
            <w:vMerge/>
            <w:vAlign w:val="center"/>
            <w:hideMark/>
          </w:tcPr>
          <w:p w14:paraId="3BF3E84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90" w:type="dxa"/>
            <w:shd w:val="clear" w:color="auto" w:fill="BDD7EE"/>
            <w:vAlign w:val="center"/>
            <w:hideMark/>
          </w:tcPr>
          <w:p w14:paraId="1723F0E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1134" w:type="dxa"/>
            <w:shd w:val="clear" w:color="auto" w:fill="BDD7EE"/>
            <w:vAlign w:val="center"/>
            <w:hideMark/>
          </w:tcPr>
          <w:p w14:paraId="58DD64F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708" w:type="dxa"/>
            <w:shd w:val="clear" w:color="auto" w:fill="BDD7EE"/>
            <w:vAlign w:val="center"/>
            <w:hideMark/>
          </w:tcPr>
          <w:p w14:paraId="4078626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851" w:type="dxa"/>
            <w:shd w:val="clear" w:color="auto" w:fill="BDD7EE"/>
            <w:vAlign w:val="center"/>
            <w:hideMark/>
          </w:tcPr>
          <w:p w14:paraId="6562F19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709" w:type="dxa"/>
            <w:shd w:val="clear" w:color="auto" w:fill="BDD7EE"/>
            <w:vAlign w:val="center"/>
            <w:hideMark/>
          </w:tcPr>
          <w:p w14:paraId="1FDBEDB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3880" w:type="dxa"/>
            <w:vMerge/>
            <w:vAlign w:val="center"/>
            <w:hideMark/>
          </w:tcPr>
          <w:p w14:paraId="533BBC4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7DCA5D1E" w14:textId="77777777" w:rsidTr="4D22DC20">
        <w:trPr>
          <w:trHeight w:val="313"/>
          <w:jc w:val="center"/>
        </w:trPr>
        <w:tc>
          <w:tcPr>
            <w:tcW w:w="607" w:type="dxa"/>
            <w:shd w:val="clear" w:color="auto" w:fill="C6EFCE"/>
            <w:noWrap/>
          </w:tcPr>
          <w:p w14:paraId="505740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167</w:t>
            </w:r>
          </w:p>
          <w:p w14:paraId="3E54F3D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2040" w:type="dxa"/>
            <w:shd w:val="clear" w:color="auto" w:fill="C6EFCE"/>
            <w:noWrap/>
          </w:tcPr>
          <w:p w14:paraId="5C1B27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- 16752_Digital Transformation of Health (DigHealth)</w:t>
            </w:r>
          </w:p>
        </w:tc>
        <w:tc>
          <w:tcPr>
            <w:tcW w:w="1144" w:type="dxa"/>
            <w:shd w:val="clear" w:color="auto" w:fill="C6EFCE"/>
            <w:noWrap/>
          </w:tcPr>
          <w:p w14:paraId="18C9C2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0F4376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Health Care digital transformation - National Digital Health Record (subproject 1)</w:t>
            </w:r>
          </w:p>
        </w:tc>
        <w:tc>
          <w:tcPr>
            <w:tcW w:w="1553" w:type="dxa"/>
            <w:shd w:val="clear" w:color="auto" w:fill="C6EFCE"/>
            <w:noWrap/>
          </w:tcPr>
          <w:p w14:paraId="2A3692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testifying completion of all major elements of Subproject 1 (Digital Health Record - see Description)</w:t>
            </w:r>
          </w:p>
        </w:tc>
        <w:tc>
          <w:tcPr>
            <w:tcW w:w="1390" w:type="dxa"/>
            <w:shd w:val="clear" w:color="auto" w:fill="C6EFCE"/>
            <w:noWrap/>
          </w:tcPr>
          <w:p w14:paraId="0AA6E2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3F3CC9B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1A12B21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A4702E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714857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880" w:type="dxa"/>
            <w:shd w:val="clear" w:color="auto" w:fill="C6EFCE"/>
            <w:noWrap/>
          </w:tcPr>
          <w:p w14:paraId="7F5F15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Finalization and putting into operation </w:t>
            </w:r>
            <w:r w:rsidRPr="00DE4E4F">
              <w:rPr>
                <w:rFonts w:ascii="Times New Roman" w:hAnsi="Times New Roman" w:cs="Times New Roman"/>
                <w:noProof/>
                <w:color w:val="006100"/>
                <w:sz w:val="18"/>
                <w:szCs w:val="18"/>
              </w:rPr>
              <w:t>of at least all the following elements of Subproject 1 supporting the digital transformation of the health care system making national digital health record operational: 1) clinical documents, 2) terminology services, 3) national e-health interoperability framework, 4) collecting all laboratory results into the e-health record, 5) collecting discharge letters.</w:t>
            </w:r>
          </w:p>
        </w:tc>
      </w:tr>
      <w:tr w:rsidR="00682269" w:rsidRPr="00DE4E4F" w14:paraId="7D74AA00" w14:textId="77777777" w:rsidTr="4D22DC20">
        <w:trPr>
          <w:trHeight w:val="313"/>
          <w:jc w:val="center"/>
        </w:trPr>
        <w:tc>
          <w:tcPr>
            <w:tcW w:w="607" w:type="dxa"/>
            <w:shd w:val="clear" w:color="auto" w:fill="C6EFCE"/>
            <w:noWrap/>
          </w:tcPr>
          <w:p w14:paraId="576350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168</w:t>
            </w:r>
          </w:p>
        </w:tc>
        <w:tc>
          <w:tcPr>
            <w:tcW w:w="2040" w:type="dxa"/>
            <w:shd w:val="clear" w:color="auto" w:fill="C6EFCE"/>
            <w:noWrap/>
          </w:tcPr>
          <w:p w14:paraId="180851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- 16752_Digital Transformation of Health (DigHealth)</w:t>
            </w:r>
          </w:p>
        </w:tc>
        <w:tc>
          <w:tcPr>
            <w:tcW w:w="1144" w:type="dxa"/>
            <w:shd w:val="clear" w:color="auto" w:fill="C6EFCE"/>
            <w:noWrap/>
          </w:tcPr>
          <w:p w14:paraId="1220E7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135833E7"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Digital transformation –</w:t>
            </w:r>
            <w:r w:rsidRPr="00DE4E4F">
              <w:rPr>
                <w:rFonts w:ascii="Times New Roman" w:eastAsiaTheme="minorEastAsia" w:hAnsi="Times New Roman" w:cs="Times New Roman"/>
                <w:noProof/>
                <w:color w:val="006100"/>
                <w:sz w:val="18"/>
                <w:szCs w:val="18"/>
              </w:rPr>
              <w:t xml:space="preserve"> Expansion of the appointment creation and management system within the framework of the National Vaccination Program against COVID-19, infrastructure upgrade of the Electronic Prescription System</w:t>
            </w:r>
          </w:p>
        </w:tc>
        <w:tc>
          <w:tcPr>
            <w:tcW w:w="1553" w:type="dxa"/>
            <w:shd w:val="clear" w:color="auto" w:fill="C6EFCE"/>
            <w:noWrap/>
          </w:tcPr>
          <w:p w14:paraId="39CBCDFB"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1. Expansion of the appointment creation and management system within the framework of the National Vaccination Program against COVID-19</w:t>
            </w:r>
          </w:p>
          <w:p w14:paraId="5AA9DE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2. Infrastructure upgrade of the Electronic Prescription System </w:t>
            </w:r>
          </w:p>
        </w:tc>
        <w:tc>
          <w:tcPr>
            <w:tcW w:w="1390" w:type="dxa"/>
            <w:shd w:val="clear" w:color="auto" w:fill="C6EFCE"/>
            <w:noWrap/>
          </w:tcPr>
          <w:p w14:paraId="41C3865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0506D16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719BABD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7C1D22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04C1E4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1D701454"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1. Expansion of the appointment creation and management system within the framework of the National Vaccination Program against COVID-19</w:t>
            </w:r>
          </w:p>
          <w:p w14:paraId="6FC897C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2. Infrastructure upgrade of the Electronic Prescription System </w:t>
            </w:r>
          </w:p>
        </w:tc>
      </w:tr>
      <w:tr w:rsidR="00682269" w:rsidRPr="00DE4E4F" w14:paraId="05881745" w14:textId="77777777" w:rsidTr="4D22DC20">
        <w:trPr>
          <w:trHeight w:val="313"/>
          <w:jc w:val="center"/>
        </w:trPr>
        <w:tc>
          <w:tcPr>
            <w:tcW w:w="607" w:type="dxa"/>
            <w:shd w:val="clear" w:color="auto" w:fill="C6EFCE"/>
            <w:noWrap/>
          </w:tcPr>
          <w:p w14:paraId="7FAABF0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169</w:t>
            </w:r>
          </w:p>
        </w:tc>
        <w:tc>
          <w:tcPr>
            <w:tcW w:w="2040" w:type="dxa"/>
            <w:shd w:val="clear" w:color="auto" w:fill="C6EFCE"/>
            <w:noWrap/>
          </w:tcPr>
          <w:p w14:paraId="54705C1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- 16753_Establishment of Home Health Care &amp; Hospital at Home systems</w:t>
            </w:r>
          </w:p>
        </w:tc>
        <w:tc>
          <w:tcPr>
            <w:tcW w:w="1144" w:type="dxa"/>
            <w:shd w:val="clear" w:color="auto" w:fill="C6EFCE"/>
            <w:noWrap/>
          </w:tcPr>
          <w:p w14:paraId="7588EC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20DBC7DD" w14:textId="289B025B" w:rsidR="001B186F" w:rsidRPr="00DE4E4F" w:rsidRDefault="0074517F">
            <w:pPr>
              <w:spacing w:after="0" w:line="240" w:lineRule="auto"/>
              <w:rPr>
                <w:noProof/>
              </w:rPr>
            </w:pPr>
            <w:r w:rsidRPr="00DE4E4F">
              <w:rPr>
                <w:rFonts w:ascii="Times New Roman" w:hAnsi="Times New Roman" w:cs="Times New Roman"/>
                <w:noProof/>
                <w:color w:val="006100"/>
                <w:sz w:val="18"/>
                <w:szCs w:val="18"/>
              </w:rPr>
              <w:t xml:space="preserve">Home care reference </w:t>
            </w:r>
            <w:r w:rsidR="3F476420" w:rsidRPr="00DE4E4F">
              <w:rPr>
                <w:rFonts w:ascii="Times New Roman" w:hAnsi="Times New Roman" w:cs="Times New Roman"/>
                <w:noProof/>
                <w:color w:val="006100"/>
                <w:sz w:val="18"/>
                <w:szCs w:val="18"/>
              </w:rPr>
              <w:t>centres</w:t>
            </w:r>
          </w:p>
        </w:tc>
        <w:tc>
          <w:tcPr>
            <w:tcW w:w="1553" w:type="dxa"/>
            <w:shd w:val="clear" w:color="auto" w:fill="C6EFCE"/>
            <w:noWrap/>
          </w:tcPr>
          <w:p w14:paraId="2A8F2BC0" w14:textId="2A256F5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Eight home care reference </w:t>
            </w:r>
            <w:r w:rsidR="5AAB293B" w:rsidRPr="00DE4E4F">
              <w:rPr>
                <w:rFonts w:ascii="Times New Roman" w:hAnsi="Times New Roman" w:cs="Times New Roman"/>
                <w:noProof/>
                <w:color w:val="006100"/>
                <w:sz w:val="18"/>
                <w:szCs w:val="18"/>
              </w:rPr>
              <w:t xml:space="preserve">centres </w:t>
            </w:r>
            <w:r w:rsidR="4073AB51" w:rsidRPr="00DE4E4F">
              <w:rPr>
                <w:rFonts w:ascii="Times New Roman" w:hAnsi="Times New Roman" w:cs="Times New Roman"/>
                <w:noProof/>
                <w:color w:val="006100"/>
                <w:sz w:val="18"/>
                <w:szCs w:val="18"/>
              </w:rPr>
              <w:t>granted participation</w:t>
            </w:r>
          </w:p>
        </w:tc>
        <w:tc>
          <w:tcPr>
            <w:tcW w:w="1390" w:type="dxa"/>
            <w:shd w:val="clear" w:color="auto" w:fill="C6EFCE"/>
            <w:noWrap/>
          </w:tcPr>
          <w:p w14:paraId="518E1CA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3EDD31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65C8CBF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34580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7C670ED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18B0662F" w14:textId="432EA911"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Eight home care reference </w:t>
            </w:r>
            <w:r w:rsidR="2F7C3032" w:rsidRPr="00DE4E4F">
              <w:rPr>
                <w:rFonts w:ascii="Times New Roman" w:hAnsi="Times New Roman" w:cs="Times New Roman"/>
                <w:noProof/>
                <w:color w:val="006100"/>
                <w:sz w:val="18"/>
                <w:szCs w:val="18"/>
              </w:rPr>
              <w:t>centres</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have received approval certificates from Regional Health Authority granting participation in </w:t>
            </w:r>
            <w:r w:rsidR="5DAACF38" w:rsidRPr="00DE4E4F">
              <w:rPr>
                <w:rFonts w:ascii="Times New Roman" w:hAnsi="Times New Roman" w:cs="Times New Roman"/>
                <w:noProof/>
                <w:color w:val="006100"/>
                <w:sz w:val="18"/>
                <w:szCs w:val="18"/>
              </w:rPr>
              <w:t>the</w:t>
            </w:r>
            <w:r w:rsidR="00DE4C0C" w:rsidRPr="00DE4E4F">
              <w:rPr>
                <w:rFonts w:ascii="Times New Roman" w:hAnsi="Times New Roman" w:cs="Times New Roman"/>
                <w:noProof/>
                <w:color w:val="006100"/>
                <w:sz w:val="18"/>
                <w:szCs w:val="18"/>
              </w:rPr>
              <w:t xml:space="preserve"> </w:t>
            </w:r>
            <w:r w:rsidR="5DAACF38" w:rsidRPr="00DE4E4F">
              <w:rPr>
                <w:rFonts w:ascii="Times New Roman" w:hAnsi="Times New Roman" w:cs="Times New Roman"/>
                <w:noProof/>
                <w:color w:val="006100"/>
                <w:sz w:val="18"/>
                <w:szCs w:val="18"/>
              </w:rPr>
              <w:t>home care system</w:t>
            </w:r>
            <w:r w:rsidRPr="00DE4E4F">
              <w:rPr>
                <w:rFonts w:ascii="Times New Roman" w:hAnsi="Times New Roman" w:cs="Times New Roman"/>
                <w:noProof/>
                <w:color w:val="006100"/>
                <w:sz w:val="18"/>
                <w:szCs w:val="18"/>
              </w:rPr>
              <w:t xml:space="preserve"> and are staffed (2 in Athens, 1 in Thessaloniki, 1 in Alexandroupolis, 1 in Patra, 1 in Ioannina, 1 in Iraklion and 1 in Larisa). </w:t>
            </w:r>
          </w:p>
          <w:p w14:paraId="424CCF19" w14:textId="77777777" w:rsidR="001B186F" w:rsidRPr="00DE4E4F" w:rsidRDefault="001B186F">
            <w:pPr>
              <w:spacing w:after="0" w:line="240" w:lineRule="auto"/>
              <w:rPr>
                <w:rFonts w:ascii="Times New Roman" w:hAnsi="Times New Roman" w:cs="Times New Roman"/>
                <w:noProof/>
                <w:color w:val="006100"/>
                <w:sz w:val="18"/>
                <w:szCs w:val="18"/>
              </w:rPr>
            </w:pPr>
          </w:p>
          <w:p w14:paraId="17B1CA8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telemedicine applications and equipment, including training.</w:t>
            </w:r>
          </w:p>
          <w:p w14:paraId="1AB250DE" w14:textId="77777777" w:rsidR="001B186F" w:rsidRPr="00DE4E4F" w:rsidRDefault="001B186F">
            <w:pPr>
              <w:spacing w:after="0" w:line="240" w:lineRule="auto"/>
              <w:rPr>
                <w:rFonts w:ascii="Times New Roman" w:hAnsi="Times New Roman" w:cs="Times New Roman"/>
                <w:noProof/>
                <w:color w:val="006100"/>
                <w:sz w:val="18"/>
                <w:szCs w:val="18"/>
              </w:rPr>
            </w:pPr>
          </w:p>
          <w:p w14:paraId="45D5094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National registry for patients treated through home care is online and accessible. </w:t>
            </w:r>
          </w:p>
          <w:p w14:paraId="18D0A35C" w14:textId="77777777" w:rsidR="001B186F" w:rsidRPr="00DE4E4F" w:rsidRDefault="001B186F">
            <w:pPr>
              <w:spacing w:after="0" w:line="240" w:lineRule="auto"/>
              <w:rPr>
                <w:rFonts w:ascii="Times New Roman" w:hAnsi="Times New Roman" w:cs="Times New Roman"/>
                <w:noProof/>
                <w:color w:val="006100"/>
                <w:sz w:val="18"/>
                <w:szCs w:val="18"/>
              </w:rPr>
            </w:pPr>
          </w:p>
          <w:p w14:paraId="1717C25D" w14:textId="0D4DFECF" w:rsidR="001B186F" w:rsidRPr="00DE4E4F" w:rsidRDefault="00AA2889">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"Hospital healthcare at home" protocols and quality standards established.</w:t>
            </w:r>
          </w:p>
        </w:tc>
      </w:tr>
      <w:tr w:rsidR="00682269" w:rsidRPr="00DE4E4F" w14:paraId="2919C4CB" w14:textId="77777777" w:rsidTr="4D22DC20">
        <w:trPr>
          <w:trHeight w:val="313"/>
          <w:jc w:val="center"/>
        </w:trPr>
        <w:tc>
          <w:tcPr>
            <w:tcW w:w="607" w:type="dxa"/>
            <w:shd w:val="clear" w:color="auto" w:fill="C6EFCE"/>
            <w:noWrap/>
          </w:tcPr>
          <w:p w14:paraId="50F16F5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170</w:t>
            </w:r>
          </w:p>
        </w:tc>
        <w:tc>
          <w:tcPr>
            <w:tcW w:w="2040" w:type="dxa"/>
            <w:shd w:val="clear" w:color="auto" w:fill="C6EFCE"/>
            <w:noWrap/>
          </w:tcPr>
          <w:p w14:paraId="5949E6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- 16795_ Health infrastructure</w:t>
            </w:r>
          </w:p>
        </w:tc>
        <w:tc>
          <w:tcPr>
            <w:tcW w:w="1144" w:type="dxa"/>
            <w:shd w:val="clear" w:color="auto" w:fill="C6EFCE"/>
            <w:noWrap/>
          </w:tcPr>
          <w:p w14:paraId="031215B1"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Target</w:t>
            </w:r>
          </w:p>
        </w:tc>
        <w:tc>
          <w:tcPr>
            <w:tcW w:w="1877" w:type="dxa"/>
            <w:shd w:val="clear" w:color="auto" w:fill="C6EFCE"/>
            <w:noWrap/>
          </w:tcPr>
          <w:p w14:paraId="67D6D9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NHS Infrastructure upgrade – step 1</w:t>
            </w:r>
          </w:p>
        </w:tc>
        <w:tc>
          <w:tcPr>
            <w:tcW w:w="1553" w:type="dxa"/>
            <w:shd w:val="clear" w:color="auto" w:fill="C6EFCE"/>
            <w:noWrap/>
          </w:tcPr>
          <w:p w14:paraId="38715785"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390" w:type="dxa"/>
            <w:shd w:val="clear" w:color="auto" w:fill="C6EFCE"/>
            <w:noWrap/>
          </w:tcPr>
          <w:p w14:paraId="6F375E6F"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Hospitals renovated</w:t>
            </w:r>
          </w:p>
        </w:tc>
        <w:tc>
          <w:tcPr>
            <w:tcW w:w="1134" w:type="dxa"/>
            <w:shd w:val="clear" w:color="auto" w:fill="C6EFCE"/>
            <w:noWrap/>
          </w:tcPr>
          <w:p w14:paraId="3A2EAF5A"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708" w:type="dxa"/>
            <w:shd w:val="clear" w:color="auto" w:fill="C6EFCE"/>
            <w:noWrap/>
          </w:tcPr>
          <w:p w14:paraId="2C09E03F"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9</w:t>
            </w:r>
          </w:p>
        </w:tc>
        <w:tc>
          <w:tcPr>
            <w:tcW w:w="851" w:type="dxa"/>
            <w:shd w:val="clear" w:color="auto" w:fill="C6EFCE"/>
            <w:noWrap/>
          </w:tcPr>
          <w:p w14:paraId="11EC8E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3B22C4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3FC5FA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and/or construction works for a total of nine hospitals. </w:t>
            </w:r>
          </w:p>
        </w:tc>
      </w:tr>
      <w:tr w:rsidR="00682269" w:rsidRPr="00DE4E4F" w14:paraId="7949D6DC" w14:textId="77777777" w:rsidTr="4D22DC20">
        <w:trPr>
          <w:trHeight w:val="313"/>
          <w:jc w:val="center"/>
        </w:trPr>
        <w:tc>
          <w:tcPr>
            <w:tcW w:w="607" w:type="dxa"/>
            <w:shd w:val="clear" w:color="auto" w:fill="C6EFCE"/>
            <w:noWrap/>
          </w:tcPr>
          <w:p w14:paraId="5C9F5C7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170a</w:t>
            </w:r>
          </w:p>
        </w:tc>
        <w:tc>
          <w:tcPr>
            <w:tcW w:w="2040" w:type="dxa"/>
            <w:shd w:val="clear" w:color="auto" w:fill="C6EFCE"/>
            <w:noWrap/>
          </w:tcPr>
          <w:p w14:paraId="68AA137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- 16795_ Health infrastructure</w:t>
            </w:r>
          </w:p>
        </w:tc>
        <w:tc>
          <w:tcPr>
            <w:tcW w:w="1144" w:type="dxa"/>
            <w:shd w:val="clear" w:color="auto" w:fill="C6EFCE"/>
            <w:noWrap/>
          </w:tcPr>
          <w:p w14:paraId="5FB9DA2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877" w:type="dxa"/>
            <w:shd w:val="clear" w:color="auto" w:fill="C6EFCE"/>
            <w:noWrap/>
          </w:tcPr>
          <w:p w14:paraId="77F3ECA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NHS Infrastructure upgrade – step 2</w:t>
            </w:r>
          </w:p>
        </w:tc>
        <w:tc>
          <w:tcPr>
            <w:tcW w:w="1553" w:type="dxa"/>
            <w:shd w:val="clear" w:color="auto" w:fill="C6EFCE"/>
            <w:noWrap/>
          </w:tcPr>
          <w:p w14:paraId="63CAA99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70DA026A"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Hospitals renovated</w:t>
            </w:r>
          </w:p>
        </w:tc>
        <w:tc>
          <w:tcPr>
            <w:tcW w:w="1134" w:type="dxa"/>
            <w:shd w:val="clear" w:color="auto" w:fill="C6EFCE"/>
            <w:noWrap/>
          </w:tcPr>
          <w:p w14:paraId="769B8B8C"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708" w:type="dxa"/>
            <w:shd w:val="clear" w:color="auto" w:fill="C6EFCE"/>
            <w:noWrap/>
          </w:tcPr>
          <w:p w14:paraId="4845818E"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10</w:t>
            </w:r>
          </w:p>
        </w:tc>
        <w:tc>
          <w:tcPr>
            <w:tcW w:w="851" w:type="dxa"/>
            <w:shd w:val="clear" w:color="auto" w:fill="C6EFCE"/>
            <w:noWrap/>
          </w:tcPr>
          <w:p w14:paraId="2D87FCA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shd w:val="clear" w:color="auto" w:fill="C6EFCE"/>
            <w:noWrap/>
          </w:tcPr>
          <w:p w14:paraId="54F3705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880" w:type="dxa"/>
            <w:shd w:val="clear" w:color="auto" w:fill="C6EFCE"/>
            <w:noWrap/>
          </w:tcPr>
          <w:p w14:paraId="1A2ADC15" w14:textId="77777777" w:rsidR="001B186F" w:rsidRPr="00DE4E4F" w:rsidDel="0096057C"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and/or construction works for a total of 10 hospitals in the 1st and 2nd Health Regions. </w:t>
            </w:r>
          </w:p>
        </w:tc>
      </w:tr>
      <w:tr w:rsidR="00682269" w:rsidRPr="00DE4E4F" w14:paraId="1ACB3BCC" w14:textId="77777777" w:rsidTr="4D22DC20">
        <w:trPr>
          <w:trHeight w:val="313"/>
          <w:jc w:val="center"/>
        </w:trPr>
        <w:tc>
          <w:tcPr>
            <w:tcW w:w="607" w:type="dxa"/>
            <w:shd w:val="clear" w:color="auto" w:fill="C6EFCE"/>
            <w:noWrap/>
          </w:tcPr>
          <w:p w14:paraId="20C4AFD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170b</w:t>
            </w:r>
          </w:p>
        </w:tc>
        <w:tc>
          <w:tcPr>
            <w:tcW w:w="2040" w:type="dxa"/>
            <w:shd w:val="clear" w:color="auto" w:fill="C6EFCE"/>
            <w:noWrap/>
          </w:tcPr>
          <w:p w14:paraId="349A463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- 16795_ Health infrastructure</w:t>
            </w:r>
          </w:p>
        </w:tc>
        <w:tc>
          <w:tcPr>
            <w:tcW w:w="1144" w:type="dxa"/>
            <w:shd w:val="clear" w:color="auto" w:fill="C6EFCE"/>
            <w:noWrap/>
          </w:tcPr>
          <w:p w14:paraId="1D854D0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877" w:type="dxa"/>
            <w:shd w:val="clear" w:color="auto" w:fill="C6EFCE"/>
            <w:noWrap/>
          </w:tcPr>
          <w:p w14:paraId="1DE9E31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NHS Infrastructure upgrade – step 3</w:t>
            </w:r>
          </w:p>
        </w:tc>
        <w:tc>
          <w:tcPr>
            <w:tcW w:w="1553" w:type="dxa"/>
            <w:shd w:val="clear" w:color="auto" w:fill="C6EFCE"/>
            <w:noWrap/>
          </w:tcPr>
          <w:p w14:paraId="30B98408"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80AF3DB"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Hospitals renovated</w:t>
            </w:r>
          </w:p>
        </w:tc>
        <w:tc>
          <w:tcPr>
            <w:tcW w:w="1134" w:type="dxa"/>
            <w:shd w:val="clear" w:color="auto" w:fill="C6EFCE"/>
            <w:noWrap/>
          </w:tcPr>
          <w:p w14:paraId="373A074E"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708" w:type="dxa"/>
            <w:shd w:val="clear" w:color="auto" w:fill="C6EFCE"/>
            <w:noWrap/>
          </w:tcPr>
          <w:p w14:paraId="483700A5"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9</w:t>
            </w:r>
          </w:p>
        </w:tc>
        <w:tc>
          <w:tcPr>
            <w:tcW w:w="851" w:type="dxa"/>
            <w:shd w:val="clear" w:color="auto" w:fill="C6EFCE"/>
            <w:noWrap/>
          </w:tcPr>
          <w:p w14:paraId="0120947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shd w:val="clear" w:color="auto" w:fill="C6EFCE"/>
            <w:noWrap/>
          </w:tcPr>
          <w:p w14:paraId="59EC102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880" w:type="dxa"/>
            <w:shd w:val="clear" w:color="auto" w:fill="C6EFCE"/>
            <w:noWrap/>
          </w:tcPr>
          <w:p w14:paraId="5034F5EC" w14:textId="77777777" w:rsidR="001B186F" w:rsidRPr="00DE4E4F" w:rsidDel="0096057C"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and/or construction works for a total of 9 hospitals in Health Regions other than 1 and 2.</w:t>
            </w:r>
          </w:p>
        </w:tc>
      </w:tr>
      <w:tr w:rsidR="00682269" w:rsidRPr="00DE4E4F" w14:paraId="0A8D1736" w14:textId="77777777" w:rsidTr="4D22DC20">
        <w:trPr>
          <w:trHeight w:val="313"/>
          <w:jc w:val="center"/>
        </w:trPr>
        <w:tc>
          <w:tcPr>
            <w:tcW w:w="607" w:type="dxa"/>
            <w:shd w:val="clear" w:color="auto" w:fill="C6EFCE"/>
            <w:noWrap/>
          </w:tcPr>
          <w:p w14:paraId="01C1CB8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170c</w:t>
            </w:r>
          </w:p>
        </w:tc>
        <w:tc>
          <w:tcPr>
            <w:tcW w:w="2040" w:type="dxa"/>
            <w:shd w:val="clear" w:color="auto" w:fill="C6EFCE"/>
            <w:noWrap/>
          </w:tcPr>
          <w:p w14:paraId="02A9489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- 16795_ Health infrastructure</w:t>
            </w:r>
          </w:p>
        </w:tc>
        <w:tc>
          <w:tcPr>
            <w:tcW w:w="1144" w:type="dxa"/>
            <w:shd w:val="clear" w:color="auto" w:fill="C6EFCE"/>
            <w:noWrap/>
          </w:tcPr>
          <w:p w14:paraId="3352A73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877" w:type="dxa"/>
            <w:shd w:val="clear" w:color="auto" w:fill="C6EFCE"/>
            <w:noWrap/>
          </w:tcPr>
          <w:p w14:paraId="04E4E79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NHS Infrastructure upgrade – step 4</w:t>
            </w:r>
          </w:p>
        </w:tc>
        <w:tc>
          <w:tcPr>
            <w:tcW w:w="1553" w:type="dxa"/>
            <w:shd w:val="clear" w:color="auto" w:fill="C6EFCE"/>
            <w:noWrap/>
          </w:tcPr>
          <w:p w14:paraId="5C94D05C"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540A5115"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Hospitals renovated</w:t>
            </w:r>
          </w:p>
        </w:tc>
        <w:tc>
          <w:tcPr>
            <w:tcW w:w="1134" w:type="dxa"/>
            <w:shd w:val="clear" w:color="auto" w:fill="C6EFCE"/>
            <w:noWrap/>
          </w:tcPr>
          <w:p w14:paraId="2AD56F8B"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10</w:t>
            </w:r>
          </w:p>
        </w:tc>
        <w:tc>
          <w:tcPr>
            <w:tcW w:w="708" w:type="dxa"/>
            <w:shd w:val="clear" w:color="auto" w:fill="C6EFCE"/>
            <w:noWrap/>
          </w:tcPr>
          <w:p w14:paraId="5924E3F6"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23</w:t>
            </w:r>
          </w:p>
        </w:tc>
        <w:tc>
          <w:tcPr>
            <w:tcW w:w="851" w:type="dxa"/>
            <w:shd w:val="clear" w:color="auto" w:fill="C6EFCE"/>
            <w:noWrap/>
          </w:tcPr>
          <w:p w14:paraId="774A449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7736F24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880" w:type="dxa"/>
            <w:shd w:val="clear" w:color="auto" w:fill="C6EFCE"/>
            <w:noWrap/>
          </w:tcPr>
          <w:p w14:paraId="11F8A2E0" w14:textId="77777777" w:rsidR="001B186F" w:rsidRPr="00DE4E4F" w:rsidDel="0096057C"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and/or construction works for an additional 13 hospitals in the 1st and 2nd Health Regions.</w:t>
            </w:r>
          </w:p>
        </w:tc>
      </w:tr>
      <w:tr w:rsidR="00682269" w:rsidRPr="00DE4E4F" w14:paraId="2C7F1C05" w14:textId="77777777" w:rsidTr="4D22DC20">
        <w:trPr>
          <w:trHeight w:val="313"/>
          <w:jc w:val="center"/>
        </w:trPr>
        <w:tc>
          <w:tcPr>
            <w:tcW w:w="607" w:type="dxa"/>
            <w:shd w:val="clear" w:color="auto" w:fill="C6EFCE"/>
            <w:noWrap/>
          </w:tcPr>
          <w:p w14:paraId="61C0300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170d</w:t>
            </w:r>
          </w:p>
        </w:tc>
        <w:tc>
          <w:tcPr>
            <w:tcW w:w="2040" w:type="dxa"/>
            <w:shd w:val="clear" w:color="auto" w:fill="C6EFCE"/>
            <w:noWrap/>
          </w:tcPr>
          <w:p w14:paraId="2500873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- 16795_ Health infrastructure</w:t>
            </w:r>
          </w:p>
        </w:tc>
        <w:tc>
          <w:tcPr>
            <w:tcW w:w="1144" w:type="dxa"/>
            <w:shd w:val="clear" w:color="auto" w:fill="C6EFCE"/>
            <w:noWrap/>
          </w:tcPr>
          <w:p w14:paraId="204F312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877" w:type="dxa"/>
            <w:shd w:val="clear" w:color="auto" w:fill="C6EFCE"/>
            <w:noWrap/>
          </w:tcPr>
          <w:p w14:paraId="191E650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NHS Infrastructure upgrade – step 5</w:t>
            </w:r>
          </w:p>
        </w:tc>
        <w:tc>
          <w:tcPr>
            <w:tcW w:w="1553" w:type="dxa"/>
            <w:shd w:val="clear" w:color="auto" w:fill="C6EFCE"/>
            <w:noWrap/>
          </w:tcPr>
          <w:p w14:paraId="3E16F45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390" w:type="dxa"/>
            <w:shd w:val="clear" w:color="auto" w:fill="C6EFCE"/>
            <w:noWrap/>
          </w:tcPr>
          <w:p w14:paraId="11A99BC8"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Hospitals renovated</w:t>
            </w:r>
          </w:p>
        </w:tc>
        <w:tc>
          <w:tcPr>
            <w:tcW w:w="1134" w:type="dxa"/>
            <w:shd w:val="clear" w:color="auto" w:fill="C6EFCE"/>
            <w:noWrap/>
          </w:tcPr>
          <w:p w14:paraId="32CA1522"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9</w:t>
            </w:r>
          </w:p>
        </w:tc>
        <w:tc>
          <w:tcPr>
            <w:tcW w:w="708" w:type="dxa"/>
            <w:shd w:val="clear" w:color="auto" w:fill="C6EFCE"/>
            <w:noWrap/>
          </w:tcPr>
          <w:p w14:paraId="0D998C27"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48</w:t>
            </w:r>
          </w:p>
        </w:tc>
        <w:tc>
          <w:tcPr>
            <w:tcW w:w="851" w:type="dxa"/>
            <w:shd w:val="clear" w:color="auto" w:fill="C6EFCE"/>
            <w:noWrap/>
          </w:tcPr>
          <w:p w14:paraId="56A25CA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2DC869A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880" w:type="dxa"/>
            <w:shd w:val="clear" w:color="auto" w:fill="C6EFCE"/>
            <w:noWrap/>
          </w:tcPr>
          <w:p w14:paraId="7C88F07E" w14:textId="77777777" w:rsidR="001B186F" w:rsidRPr="00DE4E4F" w:rsidDel="0096057C"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Renovation and/or construction works for an additional 39 hospitals in Health Regions other than 1 and 2.</w:t>
            </w:r>
          </w:p>
        </w:tc>
      </w:tr>
      <w:tr w:rsidR="00682269" w:rsidRPr="00DE4E4F" w14:paraId="6A32C325" w14:textId="77777777" w:rsidTr="4D22DC20">
        <w:trPr>
          <w:trHeight w:val="313"/>
          <w:jc w:val="center"/>
        </w:trPr>
        <w:tc>
          <w:tcPr>
            <w:tcW w:w="607" w:type="dxa"/>
            <w:shd w:val="clear" w:color="auto" w:fill="C6EFCE"/>
            <w:noWrap/>
          </w:tcPr>
          <w:p w14:paraId="56F0D4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171</w:t>
            </w:r>
          </w:p>
        </w:tc>
        <w:tc>
          <w:tcPr>
            <w:tcW w:w="2040" w:type="dxa"/>
            <w:shd w:val="clear" w:color="auto" w:fill="C6EFCE"/>
            <w:noWrap/>
          </w:tcPr>
          <w:p w14:paraId="70063E77" w14:textId="07EB90B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- 16757_ Radiotherapy Centre at the “Sotiria” Thoracic Diseases Hospital of Athens</w:t>
            </w:r>
          </w:p>
        </w:tc>
        <w:tc>
          <w:tcPr>
            <w:tcW w:w="1144" w:type="dxa"/>
            <w:shd w:val="clear" w:color="auto" w:fill="C6EFCE"/>
            <w:noWrap/>
          </w:tcPr>
          <w:p w14:paraId="3A9744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582ECA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Sotiria Radiotherapy Centre</w:t>
            </w:r>
          </w:p>
          <w:p w14:paraId="161EE11E"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553" w:type="dxa"/>
            <w:shd w:val="clear" w:color="auto" w:fill="C6EFCE"/>
            <w:noWrap/>
          </w:tcPr>
          <w:p w14:paraId="39AF02B5" w14:textId="6973F513" w:rsidR="001B186F" w:rsidRPr="00DE4E4F" w:rsidRDefault="00591652">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Construction and incorporation into Sortiria Hospital’s organisational structure of new Radiotherapy centre</w:t>
            </w:r>
          </w:p>
        </w:tc>
        <w:tc>
          <w:tcPr>
            <w:tcW w:w="1390" w:type="dxa"/>
            <w:shd w:val="clear" w:color="auto" w:fill="C6EFCE"/>
            <w:noWrap/>
          </w:tcPr>
          <w:p w14:paraId="0A07A62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627F170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40A3BCC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648E69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tcPr>
          <w:p w14:paraId="46697EB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58301078"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Construction of a building in Sotiria Hospital to house radiotherapy and chemotherapy units, outpatient clinics and new laboratory departments.</w:t>
            </w:r>
          </w:p>
          <w:p w14:paraId="3507E7A4" w14:textId="016BF701" w:rsidR="001B186F" w:rsidRPr="00DE4E4F" w:rsidRDefault="00233B9C">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The </w:t>
            </w:r>
            <w:r w:rsidR="0074517F" w:rsidRPr="00DE4E4F">
              <w:rPr>
                <w:rFonts w:ascii="Times New Roman" w:eastAsiaTheme="minorEastAsia" w:hAnsi="Times New Roman" w:cs="Times New Roman"/>
                <w:noProof/>
                <w:color w:val="006100"/>
                <w:sz w:val="18"/>
                <w:szCs w:val="18"/>
              </w:rPr>
              <w:t xml:space="preserve">new radiotherapy </w:t>
            </w:r>
            <w:r w:rsidRPr="00DE4E4F">
              <w:rPr>
                <w:rFonts w:ascii="Times New Roman" w:eastAsiaTheme="minorEastAsia" w:hAnsi="Times New Roman" w:cs="Times New Roman"/>
                <w:noProof/>
                <w:color w:val="006100"/>
                <w:sz w:val="18"/>
                <w:szCs w:val="18"/>
              </w:rPr>
              <w:t xml:space="preserve">centre at Sotiria Hospital </w:t>
            </w:r>
            <w:r w:rsidR="0074517F" w:rsidRPr="00DE4E4F">
              <w:rPr>
                <w:rFonts w:ascii="Times New Roman" w:eastAsiaTheme="minorEastAsia" w:hAnsi="Times New Roman" w:cs="Times New Roman"/>
                <w:noProof/>
                <w:color w:val="006100"/>
                <w:sz w:val="18"/>
                <w:szCs w:val="18"/>
              </w:rPr>
              <w:t xml:space="preserve">has </w:t>
            </w:r>
            <w:r w:rsidR="00573000" w:rsidRPr="00DE4E4F">
              <w:rPr>
                <w:rFonts w:ascii="Times New Roman" w:eastAsiaTheme="minorEastAsia" w:hAnsi="Times New Roman" w:cs="Times New Roman"/>
                <w:noProof/>
                <w:color w:val="006100"/>
                <w:sz w:val="18"/>
                <w:szCs w:val="18"/>
              </w:rPr>
              <w:t>been incorporated into the hospital’s new organizati</w:t>
            </w:r>
            <w:r w:rsidR="003D6B2D" w:rsidRPr="00DE4E4F">
              <w:rPr>
                <w:rFonts w:ascii="Times New Roman" w:eastAsiaTheme="minorEastAsia" w:hAnsi="Times New Roman" w:cs="Times New Roman"/>
                <w:noProof/>
                <w:color w:val="006100"/>
                <w:sz w:val="18"/>
                <w:szCs w:val="18"/>
              </w:rPr>
              <w:t>on</w:t>
            </w:r>
            <w:r w:rsidR="00573000" w:rsidRPr="00DE4E4F">
              <w:rPr>
                <w:rFonts w:ascii="Times New Roman" w:eastAsiaTheme="minorEastAsia" w:hAnsi="Times New Roman" w:cs="Times New Roman"/>
                <w:noProof/>
                <w:color w:val="006100"/>
                <w:sz w:val="18"/>
                <w:szCs w:val="18"/>
              </w:rPr>
              <w:t>al structure approved by KESYPE.</w:t>
            </w:r>
          </w:p>
          <w:p w14:paraId="0B4E4936" w14:textId="77777777" w:rsidR="001B186F" w:rsidRPr="00DE4E4F" w:rsidRDefault="001B186F">
            <w:pPr>
              <w:spacing w:after="0" w:line="240" w:lineRule="auto"/>
              <w:rPr>
                <w:rFonts w:ascii="Times New Roman" w:eastAsiaTheme="minorEastAsia" w:hAnsi="Times New Roman" w:cs="Times New Roman"/>
                <w:noProof/>
                <w:color w:val="006100"/>
                <w:sz w:val="18"/>
                <w:szCs w:val="18"/>
              </w:rPr>
            </w:pPr>
          </w:p>
          <w:p w14:paraId="555B4CCC"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Renovation of the “300 Andron Men” building, including clinics. </w:t>
            </w:r>
          </w:p>
          <w:p w14:paraId="2A9E0015" w14:textId="77777777" w:rsidR="001B186F" w:rsidRPr="00DE4E4F" w:rsidRDefault="001B186F">
            <w:pPr>
              <w:spacing w:after="0" w:line="240" w:lineRule="auto"/>
              <w:rPr>
                <w:rFonts w:ascii="Times New Roman" w:eastAsiaTheme="minorEastAsia" w:hAnsi="Times New Roman" w:cs="Times New Roman"/>
                <w:noProof/>
                <w:color w:val="006100"/>
                <w:sz w:val="18"/>
                <w:szCs w:val="18"/>
              </w:rPr>
            </w:pPr>
          </w:p>
          <w:p w14:paraId="0A75F488"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Construction of a bridge interconnecting the “300 Andron Men” building and the existing bridge network of the hospital. </w:t>
            </w:r>
          </w:p>
        </w:tc>
      </w:tr>
      <w:tr w:rsidR="00682269" w:rsidRPr="00DE4E4F" w14:paraId="4CEE4B9D" w14:textId="77777777" w:rsidTr="4D22DC20">
        <w:trPr>
          <w:trHeight w:val="313"/>
          <w:jc w:val="center"/>
        </w:trPr>
        <w:tc>
          <w:tcPr>
            <w:tcW w:w="607" w:type="dxa"/>
            <w:shd w:val="clear" w:color="auto" w:fill="C6EFCE"/>
            <w:noWrap/>
          </w:tcPr>
          <w:p w14:paraId="387556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172</w:t>
            </w:r>
          </w:p>
        </w:tc>
        <w:tc>
          <w:tcPr>
            <w:tcW w:w="2040" w:type="dxa"/>
            <w:shd w:val="clear" w:color="auto" w:fill="C6EFCE"/>
            <w:noWrap/>
          </w:tcPr>
          <w:p w14:paraId="08733B5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- 16793_ Cell &amp; Gene Therapies and Hematology Clinic Laboratories within the General Hospital of Thessaloniki “Papanikolaou”</w:t>
            </w:r>
          </w:p>
        </w:tc>
        <w:tc>
          <w:tcPr>
            <w:tcW w:w="1144" w:type="dxa"/>
            <w:shd w:val="clear" w:color="auto" w:fill="C6EFCE"/>
            <w:noWrap/>
          </w:tcPr>
          <w:p w14:paraId="47B853C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05736E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Papanikolaou hospital </w:t>
            </w:r>
          </w:p>
        </w:tc>
        <w:tc>
          <w:tcPr>
            <w:tcW w:w="1553" w:type="dxa"/>
            <w:shd w:val="clear" w:color="auto" w:fill="C6EFCE"/>
            <w:noWrap/>
          </w:tcPr>
          <w:p w14:paraId="386CE46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Construction of building to house the Cell &amp; Gene Therapy and Hematology Clinic </w:t>
            </w:r>
          </w:p>
        </w:tc>
        <w:tc>
          <w:tcPr>
            <w:tcW w:w="1390" w:type="dxa"/>
            <w:shd w:val="clear" w:color="auto" w:fill="C6EFCE"/>
            <w:noWrap/>
          </w:tcPr>
          <w:p w14:paraId="44838B7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058AA06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3238B4D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47F38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F9A475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3CB0F6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Construction of a building to house 1) specialized laboratories of the Cell &amp; Gene Therapy and Hematology Clinic and 2) a special nursing unit. </w:t>
            </w:r>
          </w:p>
          <w:p w14:paraId="6BECA6E5" w14:textId="77777777" w:rsidR="001B186F" w:rsidRPr="00DE4E4F" w:rsidRDefault="001B186F">
            <w:pPr>
              <w:spacing w:after="0" w:line="240" w:lineRule="auto"/>
              <w:rPr>
                <w:rFonts w:ascii="Times New Roman" w:hAnsi="Times New Roman" w:cs="Times New Roman"/>
                <w:noProof/>
                <w:color w:val="006100"/>
                <w:sz w:val="18"/>
                <w:szCs w:val="18"/>
              </w:rPr>
            </w:pPr>
          </w:p>
          <w:p w14:paraId="70CB93B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new building shall achieve a Primary Energy Demand (PED) that is at least 20% lower than the NZEB requirement.</w:t>
            </w:r>
          </w:p>
        </w:tc>
      </w:tr>
      <w:tr w:rsidR="00682269" w:rsidRPr="00DE4E4F" w14:paraId="4B4035FB" w14:textId="77777777" w:rsidTr="4D22DC20">
        <w:trPr>
          <w:trHeight w:val="313"/>
          <w:jc w:val="center"/>
        </w:trPr>
        <w:tc>
          <w:tcPr>
            <w:tcW w:w="607" w:type="dxa"/>
            <w:shd w:val="clear" w:color="auto" w:fill="C6EFCE"/>
            <w:noWrap/>
          </w:tcPr>
          <w:p w14:paraId="6CD79D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173</w:t>
            </w:r>
          </w:p>
        </w:tc>
        <w:tc>
          <w:tcPr>
            <w:tcW w:w="2040" w:type="dxa"/>
            <w:shd w:val="clear" w:color="auto" w:fill="C6EFCE"/>
            <w:noWrap/>
          </w:tcPr>
          <w:p w14:paraId="26B5AAB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- 16752_Digital Transformation of Health (DigHealth)</w:t>
            </w:r>
          </w:p>
          <w:p w14:paraId="22628FD6" w14:textId="77777777" w:rsidR="001B186F" w:rsidRPr="00DE4E4F" w:rsidRDefault="001B186F">
            <w:pPr>
              <w:spacing w:before="120" w:after="120" w:line="240" w:lineRule="auto"/>
              <w:jc w:val="center"/>
              <w:rPr>
                <w:rFonts w:ascii="Times New Roman" w:eastAsia="Times New Roman" w:hAnsi="Times New Roman" w:cs="Times New Roman"/>
                <w:noProof/>
                <w:sz w:val="18"/>
                <w:szCs w:val="18"/>
                <w:lang w:eastAsia="en-GB"/>
              </w:rPr>
            </w:pPr>
          </w:p>
        </w:tc>
        <w:tc>
          <w:tcPr>
            <w:tcW w:w="1144" w:type="dxa"/>
            <w:shd w:val="clear" w:color="auto" w:fill="C6EFCE"/>
            <w:noWrap/>
          </w:tcPr>
          <w:p w14:paraId="3A34D36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179F7F1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 all subprojects delivered, step 1</w:t>
            </w:r>
          </w:p>
        </w:tc>
        <w:tc>
          <w:tcPr>
            <w:tcW w:w="1553" w:type="dxa"/>
            <w:shd w:val="clear" w:color="auto" w:fill="C6EFCE"/>
            <w:noWrap/>
          </w:tcPr>
          <w:p w14:paraId="5CDAAF27"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The national digital patient health record is delivered, and the capacity of the National Telemedicine Network is expanded</w:t>
            </w:r>
          </w:p>
        </w:tc>
        <w:tc>
          <w:tcPr>
            <w:tcW w:w="1390" w:type="dxa"/>
            <w:shd w:val="clear" w:color="auto" w:fill="C6EFCE"/>
            <w:noWrap/>
          </w:tcPr>
          <w:p w14:paraId="4C7E4E4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248E9F5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0E847FE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0C2AFD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856C51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4C50789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fulfilment of the milestone requires:</w:t>
            </w:r>
          </w:p>
          <w:p w14:paraId="462F3709" w14:textId="1D72CE5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 the delivery of the national digital health record, including speech to tech technologies using Artificial </w:t>
            </w:r>
            <w:r w:rsidR="00DE4E4F" w:rsidRPr="00DE4E4F">
              <w:rPr>
                <w:rFonts w:ascii="Times New Roman" w:hAnsi="Times New Roman" w:cs="Times New Roman"/>
                <w:noProof/>
                <w:color w:val="006100"/>
                <w:sz w:val="18"/>
                <w:szCs w:val="18"/>
              </w:rPr>
              <w:t>Intelligence</w:t>
            </w:r>
            <w:r w:rsidRPr="00DE4E4F">
              <w:rPr>
                <w:rFonts w:ascii="Times New Roman" w:hAnsi="Times New Roman" w:cs="Times New Roman"/>
                <w:noProof/>
                <w:color w:val="006100"/>
                <w:sz w:val="18"/>
                <w:szCs w:val="18"/>
              </w:rPr>
              <w:t xml:space="preserve"> (AI), inclusion of radiological examinations performed in the private sector, inclusion of the remote diagnosis process in the repository of radiological images</w:t>
            </w:r>
          </w:p>
          <w:p w14:paraId="1C5F299E" w14:textId="77777777" w:rsidR="001B186F" w:rsidRPr="00DE4E4F" w:rsidRDefault="001B186F">
            <w:pPr>
              <w:spacing w:after="0" w:line="240" w:lineRule="auto"/>
              <w:rPr>
                <w:rFonts w:ascii="Times New Roman" w:hAnsi="Times New Roman" w:cs="Times New Roman"/>
                <w:noProof/>
                <w:color w:val="006100"/>
                <w:sz w:val="18"/>
                <w:szCs w:val="18"/>
              </w:rPr>
            </w:pPr>
          </w:p>
          <w:p w14:paraId="7BFD9B6A" w14:textId="210BAFFF"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 the capacity expansion of the National Telemedicine Network, including new telemedicine stations</w:t>
            </w:r>
          </w:p>
        </w:tc>
      </w:tr>
      <w:tr w:rsidR="00682269" w:rsidRPr="00DE4E4F" w14:paraId="435EC786" w14:textId="77777777" w:rsidTr="4D22DC20">
        <w:trPr>
          <w:trHeight w:val="313"/>
          <w:jc w:val="center"/>
        </w:trPr>
        <w:tc>
          <w:tcPr>
            <w:tcW w:w="607" w:type="dxa"/>
            <w:shd w:val="clear" w:color="auto" w:fill="C6EFCE"/>
            <w:noWrap/>
          </w:tcPr>
          <w:p w14:paraId="7963BD6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173a</w:t>
            </w:r>
          </w:p>
        </w:tc>
        <w:tc>
          <w:tcPr>
            <w:tcW w:w="2040" w:type="dxa"/>
            <w:shd w:val="clear" w:color="auto" w:fill="C6EFCE"/>
            <w:noWrap/>
          </w:tcPr>
          <w:p w14:paraId="32443FDD" w14:textId="586B9E61"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- 16752_Digital Transformation of Health (DigHealth)</w:t>
            </w:r>
          </w:p>
        </w:tc>
        <w:tc>
          <w:tcPr>
            <w:tcW w:w="1144" w:type="dxa"/>
            <w:shd w:val="clear" w:color="auto" w:fill="C6EFCE"/>
            <w:noWrap/>
          </w:tcPr>
          <w:p w14:paraId="7F52D20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275172F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 all subprojects delivered, step 2</w:t>
            </w:r>
          </w:p>
        </w:tc>
        <w:tc>
          <w:tcPr>
            <w:tcW w:w="1553" w:type="dxa"/>
            <w:shd w:val="clear" w:color="auto" w:fill="C6EFCE"/>
            <w:noWrap/>
          </w:tcPr>
          <w:p w14:paraId="7AB3A486" w14:textId="31595132" w:rsidR="001B186F" w:rsidRPr="00DE4E4F" w:rsidDel="00A10AEE"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w:t>
            </w:r>
            <w:r w:rsidR="7629CA48" w:rsidRPr="00DE4E4F">
              <w:rPr>
                <w:rFonts w:ascii="Times New Roman" w:hAnsi="Times New Roman" w:cs="Times New Roman"/>
                <w:noProof/>
                <w:color w:val="006100"/>
                <w:sz w:val="18"/>
                <w:szCs w:val="18"/>
              </w:rPr>
              <w:t xml:space="preserve">medical equipment </w:t>
            </w:r>
            <w:r w:rsidR="34251DEA" w:rsidRPr="00DE4E4F">
              <w:rPr>
                <w:rFonts w:ascii="Times New Roman" w:hAnsi="Times New Roman" w:cs="Times New Roman"/>
                <w:noProof/>
                <w:color w:val="006100"/>
                <w:sz w:val="18"/>
                <w:szCs w:val="18"/>
              </w:rPr>
              <w:t>management</w:t>
            </w:r>
            <w:r w:rsidR="00351646" w:rsidRPr="00DE4E4F">
              <w:rPr>
                <w:rFonts w:ascii="Times New Roman" w:hAnsi="Times New Roman" w:cs="Times New Roman"/>
                <w:noProof/>
                <w:color w:val="006100"/>
                <w:sz w:val="18"/>
                <w:szCs w:val="18"/>
              </w:rPr>
              <w:t xml:space="preserve"> system</w:t>
            </w:r>
            <w:r w:rsidR="7629CA48" w:rsidRPr="00DE4E4F">
              <w:rPr>
                <w:rFonts w:ascii="Times New Roman" w:hAnsi="Times New Roman" w:cs="Times New Roman"/>
                <w:noProof/>
                <w:color w:val="006100"/>
                <w:sz w:val="18"/>
                <w:szCs w:val="18"/>
              </w:rPr>
              <w:t xml:space="preserve"> and </w:t>
            </w:r>
            <w:r w:rsidR="3F905EA0" w:rsidRPr="00DE4E4F">
              <w:rPr>
                <w:rFonts w:ascii="Times New Roman" w:hAnsi="Times New Roman" w:cs="Times New Roman"/>
                <w:noProof/>
                <w:color w:val="006100"/>
                <w:sz w:val="18"/>
                <w:szCs w:val="18"/>
              </w:rPr>
              <w:t xml:space="preserve">elements under </w:t>
            </w:r>
            <w:r w:rsidR="7629CA48" w:rsidRPr="00DE4E4F">
              <w:rPr>
                <w:rFonts w:ascii="Times New Roman" w:hAnsi="Times New Roman" w:cs="Times New Roman"/>
                <w:noProof/>
                <w:color w:val="006100"/>
                <w:sz w:val="18"/>
                <w:szCs w:val="18"/>
              </w:rPr>
              <w:t xml:space="preserve">the </w:t>
            </w:r>
            <w:r w:rsidRPr="00DE4E4F">
              <w:rPr>
                <w:rFonts w:ascii="Times New Roman" w:hAnsi="Times New Roman" w:cs="Times New Roman"/>
                <w:noProof/>
                <w:color w:val="006100"/>
                <w:sz w:val="18"/>
                <w:szCs w:val="18"/>
              </w:rPr>
              <w:t xml:space="preserve">hospital digital readiness </w:t>
            </w:r>
            <w:r w:rsidR="67F9EF80" w:rsidRPr="00DE4E4F">
              <w:rPr>
                <w:rFonts w:ascii="Times New Roman" w:hAnsi="Times New Roman" w:cs="Times New Roman"/>
                <w:noProof/>
                <w:color w:val="006100"/>
                <w:sz w:val="18"/>
                <w:szCs w:val="18"/>
              </w:rPr>
              <w:t xml:space="preserve">are </w:t>
            </w:r>
            <w:r w:rsidRPr="00DE4E4F">
              <w:rPr>
                <w:rFonts w:ascii="Times New Roman" w:hAnsi="Times New Roman" w:cs="Times New Roman"/>
                <w:noProof/>
                <w:color w:val="006100"/>
                <w:sz w:val="18"/>
                <w:szCs w:val="18"/>
              </w:rPr>
              <w:t>delivered</w:t>
            </w:r>
          </w:p>
        </w:tc>
        <w:tc>
          <w:tcPr>
            <w:tcW w:w="1390" w:type="dxa"/>
            <w:shd w:val="clear" w:color="auto" w:fill="C6EFCE"/>
            <w:noWrap/>
          </w:tcPr>
          <w:p w14:paraId="58BB971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2FA1769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604EB7F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6F4ABB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336D5B2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7959A784" w14:textId="724F91E0" w:rsidR="001B186F" w:rsidRPr="00DE4E4F" w:rsidDel="00A10AEE" w:rsidRDefault="0074517F">
            <w:pPr>
              <w:spacing w:after="0" w:line="240" w:lineRule="auto"/>
              <w:rPr>
                <w:noProof/>
              </w:rPr>
            </w:pPr>
            <w:r w:rsidRPr="00DE4E4F">
              <w:rPr>
                <w:rFonts w:ascii="Times New Roman" w:hAnsi="Times New Roman" w:cs="Times New Roman"/>
                <w:noProof/>
                <w:color w:val="006100"/>
                <w:sz w:val="18"/>
                <w:szCs w:val="18"/>
              </w:rPr>
              <w:t>The delivery of</w:t>
            </w:r>
            <w:r w:rsidR="0271A43A" w:rsidRPr="00DE4E4F">
              <w:rPr>
                <w:rFonts w:ascii="Times New Roman" w:hAnsi="Times New Roman" w:cs="Times New Roman"/>
                <w:noProof/>
                <w:color w:val="006100"/>
                <w:sz w:val="18"/>
                <w:szCs w:val="18"/>
              </w:rPr>
              <w:t xml:space="preserve">: </w:t>
            </w:r>
          </w:p>
          <w:p w14:paraId="5B2C5931" w14:textId="7C794466" w:rsidR="001B186F" w:rsidRPr="00DE4E4F" w:rsidDel="00A10AEE" w:rsidRDefault="4FF8C7A4" w:rsidP="4D22DC20">
            <w:pPr>
              <w:pStyle w:val="ListParagraph"/>
              <w:numPr>
                <w:ilvl w:val="0"/>
                <w:numId w:val="9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medical equipment </w:t>
            </w:r>
            <w:r w:rsidR="60799DEF" w:rsidRPr="00DE4E4F">
              <w:rPr>
                <w:rFonts w:ascii="Times New Roman" w:hAnsi="Times New Roman" w:cs="Times New Roman"/>
                <w:noProof/>
                <w:color w:val="006100"/>
                <w:sz w:val="18"/>
                <w:szCs w:val="18"/>
              </w:rPr>
              <w:t>management</w:t>
            </w:r>
            <w:r w:rsidR="45F06B40" w:rsidRPr="00DE4E4F">
              <w:rPr>
                <w:rFonts w:ascii="Times New Roman" w:hAnsi="Times New Roman" w:cs="Times New Roman"/>
                <w:noProof/>
                <w:color w:val="006100"/>
                <w:sz w:val="18"/>
                <w:szCs w:val="18"/>
              </w:rPr>
              <w:t xml:space="preserve"> system</w:t>
            </w:r>
          </w:p>
          <w:p w14:paraId="054F0426" w14:textId="79B51106" w:rsidR="001B186F" w:rsidRPr="00DE4E4F" w:rsidDel="00A10AEE" w:rsidRDefault="0074517F" w:rsidP="009A6FC8">
            <w:pPr>
              <w:pStyle w:val="ListParagraph"/>
              <w:numPr>
                <w:ilvl w:val="0"/>
                <w:numId w:val="9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DRG interoperability, e-orders</w:t>
            </w:r>
            <w:r w:rsidRPr="00DE4E4F" w:rsidDel="0060363B">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w:t>
            </w:r>
            <w:r w:rsidR="16D02101" w:rsidRPr="00DE4E4F">
              <w:rPr>
                <w:rFonts w:ascii="Times New Roman" w:hAnsi="Times New Roman" w:cs="Times New Roman"/>
                <w:noProof/>
                <w:color w:val="006100"/>
                <w:sz w:val="18"/>
                <w:szCs w:val="18"/>
              </w:rPr>
              <w:t xml:space="preserve">new </w:t>
            </w:r>
            <w:r w:rsidRPr="00DE4E4F">
              <w:rPr>
                <w:rFonts w:ascii="Times New Roman" w:hAnsi="Times New Roman" w:cs="Times New Roman"/>
                <w:noProof/>
                <w:color w:val="006100"/>
                <w:sz w:val="18"/>
                <w:szCs w:val="18"/>
              </w:rPr>
              <w:t>and/ or upgrade</w:t>
            </w:r>
            <w:r w:rsidR="3E98310D" w:rsidRPr="00DE4E4F">
              <w:rPr>
                <w:rFonts w:ascii="Times New Roman" w:hAnsi="Times New Roman" w:cs="Times New Roman"/>
                <w:noProof/>
                <w:color w:val="006100"/>
                <w:sz w:val="18"/>
                <w:szCs w:val="18"/>
              </w:rPr>
              <w:t xml:space="preserve">d </w:t>
            </w:r>
            <w:r w:rsidRPr="00DE4E4F">
              <w:rPr>
                <w:rFonts w:ascii="Times New Roman" w:hAnsi="Times New Roman" w:cs="Times New Roman"/>
                <w:noProof/>
                <w:color w:val="006100"/>
                <w:sz w:val="18"/>
                <w:szCs w:val="18"/>
              </w:rPr>
              <w:t>clinical information systems in hospitals</w:t>
            </w:r>
            <w:r w:rsidR="002419B0" w:rsidRPr="00DE4E4F">
              <w:rPr>
                <w:rFonts w:ascii="Times New Roman" w:hAnsi="Times New Roman" w:cs="Times New Roman"/>
                <w:noProof/>
                <w:color w:val="006100"/>
                <w:sz w:val="18"/>
                <w:szCs w:val="18"/>
              </w:rPr>
              <w:t>, under the “hospital digital readiness” project</w:t>
            </w:r>
          </w:p>
        </w:tc>
      </w:tr>
      <w:tr w:rsidR="00682269" w:rsidRPr="00DE4E4F" w14:paraId="001483C1" w14:textId="77777777" w:rsidTr="4D22DC20">
        <w:trPr>
          <w:trHeight w:val="313"/>
          <w:jc w:val="center"/>
        </w:trPr>
        <w:tc>
          <w:tcPr>
            <w:tcW w:w="607" w:type="dxa"/>
            <w:shd w:val="clear" w:color="auto" w:fill="C6EFCE"/>
            <w:noWrap/>
          </w:tcPr>
          <w:p w14:paraId="26192F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173b</w:t>
            </w:r>
          </w:p>
        </w:tc>
        <w:tc>
          <w:tcPr>
            <w:tcW w:w="2040" w:type="dxa"/>
            <w:shd w:val="clear" w:color="auto" w:fill="C6EFCE"/>
            <w:noWrap/>
          </w:tcPr>
          <w:p w14:paraId="2F3F465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10 - 3.3. Improve resilience, accessibility and sustainability of healthcare - 16752_Digital Transformation of Health (DigHealth)</w:t>
            </w:r>
          </w:p>
          <w:p w14:paraId="297979F4"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144" w:type="dxa"/>
            <w:shd w:val="clear" w:color="auto" w:fill="C6EFCE"/>
            <w:noWrap/>
          </w:tcPr>
          <w:p w14:paraId="3448480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77" w:type="dxa"/>
            <w:shd w:val="clear" w:color="auto" w:fill="C6EFCE"/>
            <w:noWrap/>
          </w:tcPr>
          <w:p w14:paraId="54000BD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transformation – all subprojects delivered, step 3</w:t>
            </w:r>
          </w:p>
        </w:tc>
        <w:tc>
          <w:tcPr>
            <w:tcW w:w="1553" w:type="dxa"/>
            <w:shd w:val="clear" w:color="auto" w:fill="C6EFCE"/>
            <w:noWrap/>
          </w:tcPr>
          <w:p w14:paraId="20D2DBAC" w14:textId="56DF431C" w:rsidR="001B186F" w:rsidRPr="00DE4E4F" w:rsidDel="00A10AEE" w:rsidRDefault="3C276F64">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Elements under t</w:t>
            </w:r>
            <w:r w:rsidR="0074517F" w:rsidRPr="00DE4E4F">
              <w:rPr>
                <w:rFonts w:ascii="Times New Roman" w:hAnsi="Times New Roman" w:cs="Times New Roman"/>
                <w:noProof/>
                <w:color w:val="006100"/>
                <w:sz w:val="18"/>
                <w:szCs w:val="18"/>
              </w:rPr>
              <w:t xml:space="preserve">he oncology/ </w:t>
            </w:r>
            <w:r w:rsidR="00DE4E4F" w:rsidRPr="00DE4E4F">
              <w:rPr>
                <w:rFonts w:ascii="Times New Roman" w:hAnsi="Times New Roman" w:cs="Times New Roman"/>
                <w:noProof/>
                <w:color w:val="006100"/>
                <w:sz w:val="18"/>
                <w:szCs w:val="18"/>
              </w:rPr>
              <w:t>haematology</w:t>
            </w:r>
            <w:r w:rsidR="0074517F" w:rsidRPr="00DE4E4F">
              <w:rPr>
                <w:rFonts w:ascii="Times New Roman" w:hAnsi="Times New Roman" w:cs="Times New Roman"/>
                <w:noProof/>
                <w:color w:val="006100"/>
                <w:sz w:val="18"/>
                <w:szCs w:val="18"/>
              </w:rPr>
              <w:t xml:space="preserve"> care digital transformation program </w:t>
            </w:r>
            <w:r w:rsidR="6017EF23" w:rsidRPr="00DE4E4F">
              <w:rPr>
                <w:rFonts w:ascii="Times New Roman" w:hAnsi="Times New Roman" w:cs="Times New Roman"/>
                <w:noProof/>
                <w:color w:val="006100"/>
                <w:sz w:val="18"/>
                <w:szCs w:val="18"/>
              </w:rPr>
              <w:t>are</w:t>
            </w:r>
            <w:r w:rsidR="0074517F" w:rsidRPr="00DE4E4F">
              <w:rPr>
                <w:rFonts w:ascii="Times New Roman" w:hAnsi="Times New Roman" w:cs="Times New Roman"/>
                <w:noProof/>
                <w:color w:val="006100"/>
                <w:sz w:val="18"/>
                <w:szCs w:val="18"/>
              </w:rPr>
              <w:t xml:space="preserve"> delivered, the integrated information system of EOPYY is upgraded, and e-Prescription system is </w:t>
            </w:r>
            <w:r w:rsidR="00DE4E4F" w:rsidRPr="00DE4E4F">
              <w:rPr>
                <w:rFonts w:ascii="Times New Roman" w:hAnsi="Times New Roman" w:cs="Times New Roman"/>
                <w:noProof/>
                <w:color w:val="006100"/>
                <w:sz w:val="18"/>
                <w:szCs w:val="18"/>
              </w:rPr>
              <w:t>extended</w:t>
            </w:r>
            <w:r w:rsidR="0074517F" w:rsidRPr="00DE4E4F">
              <w:rPr>
                <w:rFonts w:ascii="Times New Roman" w:hAnsi="Times New Roman" w:cs="Times New Roman"/>
                <w:noProof/>
                <w:color w:val="006100"/>
                <w:sz w:val="18"/>
                <w:szCs w:val="18"/>
              </w:rPr>
              <w:t xml:space="preserve"> to cover inpatient care</w:t>
            </w:r>
          </w:p>
        </w:tc>
        <w:tc>
          <w:tcPr>
            <w:tcW w:w="1390" w:type="dxa"/>
            <w:shd w:val="clear" w:color="auto" w:fill="C6EFCE"/>
            <w:noWrap/>
          </w:tcPr>
          <w:p w14:paraId="544221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080D6CA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8" w:type="dxa"/>
            <w:shd w:val="clear" w:color="auto" w:fill="C6EFCE"/>
            <w:noWrap/>
          </w:tcPr>
          <w:p w14:paraId="060CE02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37005AE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3AC8A9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880" w:type="dxa"/>
            <w:shd w:val="clear" w:color="auto" w:fill="C6EFCE"/>
            <w:noWrap/>
          </w:tcPr>
          <w:p w14:paraId="2D4CA210" w14:textId="500BF6C6" w:rsidR="001B186F" w:rsidRPr="00DE4E4F" w:rsidRDefault="0074517F">
            <w:pPr>
              <w:pStyle w:val="ListParagraph"/>
              <w:numPr>
                <w:ilvl w:val="0"/>
                <w:numId w:val="50"/>
              </w:num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the delivery of the Cancer Treatment Information System in at least 12 hospitals (including therapeutic protocols for chemotherapy), deployment/establishment of the national cancer registry, extension of the Patient Registry to include Patients with benign tumors</w:t>
            </w:r>
            <w:r w:rsidR="002419B0" w:rsidRPr="00DE4E4F">
              <w:rPr>
                <w:rFonts w:ascii="Times New Roman" w:eastAsiaTheme="minorEastAsia" w:hAnsi="Times New Roman" w:cs="Times New Roman"/>
                <w:noProof/>
                <w:color w:val="006100"/>
                <w:sz w:val="18"/>
                <w:szCs w:val="18"/>
              </w:rPr>
              <w:t>, under the oncology/</w:t>
            </w:r>
            <w:r w:rsidR="00DE4E4F" w:rsidRPr="00DE4E4F">
              <w:rPr>
                <w:rFonts w:ascii="Times New Roman" w:eastAsiaTheme="minorEastAsia" w:hAnsi="Times New Roman" w:cs="Times New Roman"/>
                <w:noProof/>
                <w:color w:val="006100"/>
                <w:sz w:val="18"/>
                <w:szCs w:val="18"/>
              </w:rPr>
              <w:t>haematology</w:t>
            </w:r>
            <w:r w:rsidR="002419B0" w:rsidRPr="00DE4E4F">
              <w:rPr>
                <w:rFonts w:ascii="Times New Roman" w:eastAsiaTheme="minorEastAsia" w:hAnsi="Times New Roman" w:cs="Times New Roman"/>
                <w:noProof/>
                <w:color w:val="006100"/>
                <w:sz w:val="18"/>
                <w:szCs w:val="18"/>
              </w:rPr>
              <w:t xml:space="preserve"> care digital transformation program</w:t>
            </w:r>
          </w:p>
          <w:p w14:paraId="3134625D" w14:textId="77777777" w:rsidR="001B186F" w:rsidRPr="00DE4E4F" w:rsidRDefault="0074517F">
            <w:pPr>
              <w:pStyle w:val="ListParagraph"/>
              <w:numPr>
                <w:ilvl w:val="0"/>
                <w:numId w:val="50"/>
              </w:num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the digital upgrade of the integrated information system of EOPYY (the National Organization for the Provision of Health Services), including the expenditure management and monitoring, the data management, analytics, and interoperability with 3rd parties</w:t>
            </w:r>
          </w:p>
          <w:p w14:paraId="5A5EC0BA" w14:textId="33A7D9CA" w:rsidR="001B186F" w:rsidRPr="00DE4E4F" w:rsidDel="00A10AEE" w:rsidRDefault="0074517F" w:rsidP="00B81D86">
            <w:pPr>
              <w:pStyle w:val="ListParagraph"/>
              <w:numPr>
                <w:ilvl w:val="0"/>
                <w:numId w:val="50"/>
              </w:num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Extension of the e-Prescription system to cover inpatient care</w:t>
            </w:r>
          </w:p>
        </w:tc>
      </w:tr>
    </w:tbl>
    <w:p w14:paraId="2E0F30F9"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17D67A3B" w14:textId="77777777" w:rsidR="001B186F" w:rsidRPr="00DE4E4F" w:rsidRDefault="0074517F">
      <w:pPr>
        <w:spacing w:before="120" w:after="120" w:line="240" w:lineRule="auto"/>
        <w:ind w:firstLine="6"/>
        <w:jc w:val="both"/>
        <w:outlineLvl w:val="3"/>
        <w:rPr>
          <w:rFonts w:ascii="Times New Roman" w:hAnsi="Times New Roman" w:cs="Times New Roman"/>
          <w:b/>
          <w:noProof/>
          <w:sz w:val="24"/>
          <w:szCs w:val="24"/>
        </w:rPr>
      </w:pPr>
      <w:r w:rsidRPr="00DE4E4F">
        <w:rPr>
          <w:rFonts w:ascii="Times New Roman" w:hAnsi="Times New Roman"/>
          <w:b/>
          <w:noProof/>
          <w:sz w:val="24"/>
        </w:rPr>
        <w:t>K. COMPONENT 3.4: INCREASE ACCESS TO EFFECTIVE AND INCLUSIVE SOCIAL POLICIES</w:t>
      </w:r>
    </w:p>
    <w:p w14:paraId="1A1BEC4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This component of the Greek recover and resolution plan aims to promote social inclusion with a particular focus on vulnerable groups, while supporting participation of women in the labour market. A large part of the component is dedicated to early childhood education and care, in particular in the form of subsidies for the creation of 1 000 new childcare units in municipalities. The Plan also allows for labour market activation measures for vulnerable groups including beneficiaries of guaranteed minimum income, refugees, homeless people, Roma and people suffering from autism spectrum disorders. A large-scale training programme for small businesses on diversity awareness and several small pilots such as on deinstitutionalization of children, support of persons with disabilities and social housing are also key elements of the plan.</w:t>
      </w:r>
      <w:r w:rsidRPr="00DE4E4F">
        <w:rPr>
          <w:rFonts w:ascii="Times New Roman" w:hAnsi="Times New Roman"/>
          <w:noProof/>
          <w:color w:val="000000"/>
          <w:sz w:val="24"/>
          <w:shd w:val="clear" w:color="auto" w:fill="FFFFFF"/>
        </w:rPr>
        <w:t xml:space="preserve"> The component is in line with the Country Specific Recommendations on labour market and social policy (Country Specific Recommendations 2 2020 and 1 2019) and investment (Country Specific Recommendations 3 2020 and 2 2019). </w:t>
      </w:r>
      <w:r w:rsidRPr="00DE4E4F">
        <w:rPr>
          <w:rFonts w:ascii="Times New Roman" w:hAnsi="Times New Roman"/>
          <w:noProof/>
          <w:sz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C43EDCE" w14:textId="77777777" w:rsidR="001B186F" w:rsidRPr="00DE4E4F" w:rsidRDefault="001B186F">
      <w:pPr>
        <w:spacing w:before="120" w:after="120" w:line="240" w:lineRule="auto"/>
        <w:jc w:val="both"/>
        <w:rPr>
          <w:rFonts w:ascii="Times New Roman" w:hAnsi="Times New Roman"/>
          <w:b/>
          <w:noProof/>
          <w:sz w:val="24"/>
          <w:u w:val="single"/>
        </w:rPr>
      </w:pPr>
    </w:p>
    <w:p w14:paraId="1506D067" w14:textId="77777777" w:rsidR="001B186F" w:rsidRPr="00DE4E4F" w:rsidRDefault="0074517F">
      <w:pPr>
        <w:spacing w:before="120" w:after="120" w:line="240" w:lineRule="auto"/>
        <w:jc w:val="both"/>
        <w:rPr>
          <w:rFonts w:ascii="Times New Roman" w:hAnsi="Times New Roman" w:cs="Times New Roman"/>
          <w:b/>
          <w:i/>
          <w:noProof/>
          <w:color w:val="4F81BD"/>
          <w:sz w:val="24"/>
          <w:szCs w:val="24"/>
        </w:rPr>
      </w:pPr>
      <w:r w:rsidRPr="00DE4E4F">
        <w:rPr>
          <w:rFonts w:ascii="Times New Roman" w:hAnsi="Times New Roman"/>
          <w:b/>
          <w:noProof/>
          <w:sz w:val="24"/>
          <w:u w:val="single"/>
        </w:rPr>
        <w:t>K.1. Description of the reforms and investments for non-repayable financial support</w:t>
      </w:r>
    </w:p>
    <w:p w14:paraId="4175CDB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 xml:space="preserve">Reform: </w:t>
      </w:r>
      <w:r w:rsidRPr="00DE4E4F">
        <w:rPr>
          <w:rFonts w:ascii="Times New Roman" w:hAnsi="Times New Roman"/>
          <w:noProof/>
          <w:sz w:val="24"/>
        </w:rPr>
        <w:t>Child Protection (measure ID: 16919)</w:t>
      </w:r>
    </w:p>
    <w:p w14:paraId="5F61DE9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support child protection. The measure consists of investments allowing for deinstitutionalisation and improvement of employability of persons up to 26 years old. </w:t>
      </w:r>
    </w:p>
    <w:p w14:paraId="48A4288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Disability (measure ID: 16904)</w:t>
      </w:r>
    </w:p>
    <w:p w14:paraId="5CB3CAA9" w14:textId="235ECA6A"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support social inclusion, independent living, employability and early childhood intervention for persons with disabilities. The measure </w:t>
      </w:r>
      <w:r w:rsidR="00734D9F" w:rsidRPr="00DE4E4F">
        <w:rPr>
          <w:rFonts w:ascii="Times New Roman" w:hAnsi="Times New Roman"/>
          <w:noProof/>
          <w:sz w:val="24"/>
          <w:szCs w:val="24"/>
        </w:rPr>
        <w:t>consists</w:t>
      </w:r>
      <w:r w:rsidRPr="00DE4E4F">
        <w:rPr>
          <w:rFonts w:ascii="Times New Roman" w:hAnsi="Times New Roman"/>
          <w:noProof/>
          <w:sz w:val="24"/>
          <w:szCs w:val="24"/>
        </w:rPr>
        <w:t xml:space="preserve"> of providing: a) funding for accessibility and support infrastructure for people with mobility and sensory impairments, and independent living assistance for persons with disabilities; b) support for early childhood interventions. </w:t>
      </w:r>
    </w:p>
    <w:p w14:paraId="7872ACC1" w14:textId="77777777" w:rsidR="001B186F" w:rsidRPr="00DE4E4F" w:rsidRDefault="0074517F">
      <w:pPr>
        <w:rPr>
          <w:rFonts w:ascii="Times New Roman" w:hAnsi="Times New Roman"/>
          <w:b/>
          <w:noProof/>
          <w:sz w:val="24"/>
        </w:rPr>
      </w:pPr>
      <w:r w:rsidRPr="00DE4E4F">
        <w:rPr>
          <w:rFonts w:ascii="Times New Roman" w:hAnsi="Times New Roman"/>
          <w:b/>
          <w:noProof/>
          <w:sz w:val="24"/>
        </w:rPr>
        <w:t>Investment:</w:t>
      </w:r>
      <w:r w:rsidRPr="00DE4E4F">
        <w:rPr>
          <w:rFonts w:ascii="Times New Roman" w:hAnsi="Times New Roman"/>
          <w:noProof/>
          <w:sz w:val="24"/>
        </w:rPr>
        <w:t xml:space="preserve"> Social Integration (measure ID: 16922)</w:t>
      </w:r>
    </w:p>
    <w:p w14:paraId="625A4F83" w14:textId="01F7ACB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increase the social integration of vulnerable persons, older people and persons with disabilities. The measure consists of: a) digital training of older people and of persons with disabilities; </w:t>
      </w:r>
      <w:r w:rsidR="51BC4C39" w:rsidRPr="00DE4E4F">
        <w:rPr>
          <w:rFonts w:ascii="Times New Roman" w:hAnsi="Times New Roman"/>
          <w:noProof/>
          <w:sz w:val="24"/>
          <w:szCs w:val="24"/>
        </w:rPr>
        <w:t>b</w:t>
      </w:r>
      <w:r w:rsidRPr="00DE4E4F">
        <w:rPr>
          <w:rFonts w:ascii="Times New Roman" w:hAnsi="Times New Roman"/>
          <w:noProof/>
          <w:sz w:val="24"/>
          <w:szCs w:val="24"/>
        </w:rPr>
        <w:t>) social housing support.</w:t>
      </w:r>
      <w:r w:rsidR="00DE4C0C" w:rsidRPr="00DE4E4F">
        <w:rPr>
          <w:rFonts w:ascii="Times New Roman" w:hAnsi="Times New Roman"/>
          <w:noProof/>
          <w:sz w:val="24"/>
          <w:szCs w:val="24"/>
        </w:rPr>
        <w:t xml:space="preserve"> </w:t>
      </w:r>
    </w:p>
    <w:p w14:paraId="3DA947E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Digital Transformation of the social support system (measure ID: 16925)</w:t>
      </w:r>
    </w:p>
    <w:p w14:paraId="223857A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measure is to facilitate the modernization and digital transformation of the social protection and welfare systems. The measure consists of establishing a National Portal of disability and delivery of disability cards to beneficiaries.</w:t>
      </w:r>
    </w:p>
    <w:p w14:paraId="6687DA1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Social Benefits Optimisation (measure ID: 16726)</w:t>
      </w:r>
    </w:p>
    <w:p w14:paraId="04C598B1" w14:textId="017F4CB1"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optimise the transfer of social benefits through the use of prepaid cards. The measure consists of t</w:t>
      </w:r>
      <w:r w:rsidRPr="00DE4E4F">
        <w:rPr>
          <w:rFonts w:ascii="Times New Roman" w:hAnsi="Times New Roman"/>
          <w:noProof/>
          <w:sz w:val="24"/>
        </w:rPr>
        <w:t xml:space="preserve">he </w:t>
      </w:r>
      <w:r w:rsidR="00DE4E4F" w:rsidRPr="00DE4E4F">
        <w:rPr>
          <w:rFonts w:ascii="Times New Roman" w:hAnsi="Times New Roman"/>
          <w:noProof/>
          <w:sz w:val="24"/>
        </w:rPr>
        <w:t>introduction</w:t>
      </w:r>
      <w:r w:rsidRPr="00DE4E4F">
        <w:rPr>
          <w:rFonts w:ascii="Times New Roman" w:hAnsi="Times New Roman"/>
          <w:noProof/>
          <w:sz w:val="24"/>
        </w:rPr>
        <w:t xml:space="preserve"> of prepaid cards for the payment of the majority of social benefits, including</w:t>
      </w:r>
      <w:r w:rsidRPr="00DE4E4F">
        <w:rPr>
          <w:rFonts w:ascii="Times New Roman" w:hAnsi="Times New Roman"/>
          <w:noProof/>
          <w:sz w:val="24"/>
          <w:szCs w:val="24"/>
        </w:rPr>
        <w:t xml:space="preserve"> incentives to beneficiaries for using them for the purchase of goods and services. </w:t>
      </w:r>
    </w:p>
    <w:p w14:paraId="2B7F81F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Diversity Awareness (measure ID: 16685)</w:t>
      </w:r>
    </w:p>
    <w:p w14:paraId="55A99508"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measure is to raise awareness on diversity. The measure consists in: a) diversity training programmes for employees in the private sector; b) entry into force of a legal act providing for a mechanism for an award system for enterprises/organisations promoting diversity and inclusion.</w:t>
      </w:r>
    </w:p>
    <w:p w14:paraId="65C7258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Promote integration of the refugee population into the labour market (measure ID: 16688)</w:t>
      </w:r>
    </w:p>
    <w:p w14:paraId="23F69849" w14:textId="6C9A88F4" w:rsidR="001B186F" w:rsidRPr="00DE4E4F" w:rsidRDefault="0074517F">
      <w:p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promote the integration of the refugee population into the labour market. The measure consists in vocational</w:t>
      </w:r>
      <w:r w:rsidR="002B21C6" w:rsidRPr="00DE4E4F">
        <w:rPr>
          <w:rFonts w:ascii="Times New Roman" w:hAnsi="Times New Roman"/>
          <w:noProof/>
          <w:sz w:val="24"/>
          <w:szCs w:val="24"/>
        </w:rPr>
        <w:t xml:space="preserve"> and linguistic</w:t>
      </w:r>
      <w:r w:rsidRPr="00DE4E4F">
        <w:rPr>
          <w:rFonts w:ascii="Times New Roman" w:hAnsi="Times New Roman"/>
          <w:noProof/>
          <w:sz w:val="24"/>
          <w:szCs w:val="24"/>
        </w:rPr>
        <w:t xml:space="preserve"> training</w:t>
      </w:r>
      <w:r w:rsidR="002B21C6" w:rsidRPr="00DE4E4F">
        <w:rPr>
          <w:rFonts w:ascii="Times New Roman" w:hAnsi="Times New Roman"/>
          <w:noProof/>
          <w:sz w:val="24"/>
          <w:szCs w:val="24"/>
        </w:rPr>
        <w:t>s</w:t>
      </w:r>
      <w:r w:rsidRPr="00DE4E4F">
        <w:rPr>
          <w:rFonts w:ascii="Times New Roman" w:hAnsi="Times New Roman"/>
          <w:noProof/>
          <w:sz w:val="24"/>
          <w:szCs w:val="24"/>
        </w:rPr>
        <w:t xml:space="preserve"> and traineeships to refugees, legal migrants and asylum seekers. </w:t>
      </w:r>
    </w:p>
    <w:p w14:paraId="463CFAD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Digital transformation of the immigration and asylum system (measure ID: 16763)</w:t>
      </w:r>
    </w:p>
    <w:p w14:paraId="2C70E207" w14:textId="74320739"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improve the quality of services for migrants and asylum seekers. The measure </w:t>
      </w:r>
      <w:r w:rsidR="00734D9F" w:rsidRPr="00DE4E4F">
        <w:rPr>
          <w:rFonts w:ascii="Times New Roman" w:hAnsi="Times New Roman"/>
          <w:noProof/>
          <w:sz w:val="24"/>
          <w:szCs w:val="24"/>
        </w:rPr>
        <w:t>consists</w:t>
      </w:r>
      <w:r w:rsidRPr="00DE4E4F">
        <w:rPr>
          <w:rFonts w:ascii="Times New Roman" w:hAnsi="Times New Roman"/>
          <w:noProof/>
          <w:sz w:val="24"/>
          <w:szCs w:val="24"/>
        </w:rPr>
        <w:t xml:space="preserve"> in providing goods and services for the digitalisation of the Migration and Asylum system.</w:t>
      </w:r>
    </w:p>
    <w:p w14:paraId="019BF60C" w14:textId="77777777" w:rsidR="001B186F" w:rsidRPr="00DE4E4F" w:rsidRDefault="0074517F">
      <w:pPr>
        <w:spacing w:before="120" w:after="120" w:line="240" w:lineRule="auto"/>
        <w:jc w:val="both"/>
        <w:rPr>
          <w:rFonts w:ascii="Times New Roman" w:hAnsi="Times New Roman" w:cs="Times New Roman"/>
          <w:noProof/>
          <w:color w:val="000000" w:themeColor="text1"/>
          <w:sz w:val="24"/>
          <w:szCs w:val="24"/>
        </w:rPr>
      </w:pPr>
      <w:r w:rsidRPr="00DE4E4F">
        <w:rPr>
          <w:rFonts w:ascii="Times New Roman" w:hAnsi="Times New Roman" w:cs="Times New Roman"/>
          <w:b/>
          <w:noProof/>
          <w:color w:val="000000" w:themeColor="text1"/>
          <w:sz w:val="24"/>
          <w:szCs w:val="24"/>
        </w:rPr>
        <w:t>Reform:</w:t>
      </w:r>
      <w:r w:rsidRPr="00DE4E4F">
        <w:rPr>
          <w:rFonts w:ascii="Times New Roman" w:hAnsi="Times New Roman" w:cs="Times New Roman"/>
          <w:noProof/>
          <w:color w:val="000000" w:themeColor="text1"/>
          <w:sz w:val="24"/>
          <w:szCs w:val="24"/>
        </w:rPr>
        <w:t xml:space="preserve"> </w:t>
      </w:r>
      <w:r w:rsidRPr="00DE4E4F">
        <w:rPr>
          <w:rStyle w:val="normaltextrun"/>
          <w:rFonts w:ascii="Times New Roman" w:eastAsiaTheme="minorHAnsi" w:hAnsi="Times New Roman" w:cs="Times New Roman"/>
          <w:noProof/>
          <w:color w:val="000000" w:themeColor="text1"/>
          <w:sz w:val="24"/>
          <w:szCs w:val="24"/>
          <w:bdr w:val="none" w:sz="0" w:space="0" w:color="auto" w:frame="1"/>
        </w:rPr>
        <w:t>Social</w:t>
      </w:r>
      <w:r w:rsidRPr="00DE4E4F">
        <w:rPr>
          <w:rFonts w:ascii="Times New Roman" w:hAnsi="Times New Roman" w:cs="Times New Roman"/>
          <w:noProof/>
          <w:color w:val="000000" w:themeColor="text1"/>
          <w:sz w:val="24"/>
          <w:szCs w:val="24"/>
        </w:rPr>
        <w:t xml:space="preserve"> and Affordable Housing (measure ID: 16402)</w:t>
      </w:r>
    </w:p>
    <w:p w14:paraId="573AD31F" w14:textId="40CF7D3E" w:rsidR="001B186F" w:rsidRPr="00DE4E4F" w:rsidRDefault="0074517F">
      <w:pPr>
        <w:pStyle w:val="paragraph"/>
        <w:jc w:val="both"/>
        <w:textAlignment w:val="baseline"/>
        <w:rPr>
          <w:noProof/>
        </w:rPr>
      </w:pPr>
      <w:r w:rsidRPr="00DE4E4F">
        <w:rPr>
          <w:noProof/>
        </w:rPr>
        <w:t xml:space="preserve">The objective of the measure is to increase access to affordable and quality housing for low-income households and increase </w:t>
      </w:r>
      <w:r w:rsidR="00DE4E4F" w:rsidRPr="00DE4E4F">
        <w:rPr>
          <w:noProof/>
        </w:rPr>
        <w:t>availability</w:t>
      </w:r>
      <w:r w:rsidRPr="00DE4E4F">
        <w:rPr>
          <w:noProof/>
        </w:rPr>
        <w:t xml:space="preserve"> of social housing for vulnerable groups. The measure consists of two elements, (i) the adoption of a national housing strategy and (ii) legislative changes related to the public property reciprocal exchange programme (“Kinoniki Antiparochi”).</w:t>
      </w:r>
    </w:p>
    <w:p w14:paraId="06C21EEA" w14:textId="77777777" w:rsidR="001B186F" w:rsidRPr="00DE4E4F" w:rsidRDefault="001B186F">
      <w:pPr>
        <w:pStyle w:val="PlainText"/>
        <w:jc w:val="both"/>
        <w:rPr>
          <w:rFonts w:ascii="Times New Roman" w:eastAsia="Times New Roman" w:hAnsi="Times New Roman" w:cs="Times New Roman"/>
          <w:noProof/>
          <w:sz w:val="24"/>
          <w:szCs w:val="24"/>
          <w:lang w:val="en-GB" w:eastAsia="en-GB"/>
          <w14:ligatures w14:val="none"/>
        </w:rPr>
      </w:pPr>
    </w:p>
    <w:p w14:paraId="60289CFF" w14:textId="77777777" w:rsidR="001B186F" w:rsidRPr="00DE4E4F" w:rsidRDefault="001B186F">
      <w:pPr>
        <w:spacing w:after="0" w:line="240" w:lineRule="auto"/>
        <w:rPr>
          <w:rFonts w:ascii="Times New Roman" w:eastAsiaTheme="minorHAnsi" w:hAnsi="Times New Roman" w:cs="Times New Roman"/>
          <w:noProof/>
          <w:sz w:val="24"/>
          <w:szCs w:val="24"/>
        </w:rPr>
        <w:sectPr w:rsidR="001B186F" w:rsidRPr="00DE4E4F">
          <w:headerReference w:type="even" r:id="rId228"/>
          <w:headerReference w:type="default" r:id="rId229"/>
          <w:footerReference w:type="even" r:id="rId230"/>
          <w:footerReference w:type="default" r:id="rId231"/>
          <w:headerReference w:type="first" r:id="rId232"/>
          <w:footerReference w:type="first" r:id="rId233"/>
          <w:pgSz w:w="11906" w:h="16838"/>
          <w:pgMar w:top="1134" w:right="1134" w:bottom="1134" w:left="1134" w:header="567" w:footer="567" w:gutter="0"/>
          <w:cols w:space="708"/>
          <w:docGrid w:linePitch="360"/>
        </w:sectPr>
      </w:pPr>
    </w:p>
    <w:p w14:paraId="111BC000"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K.2. Milestones, targets, indicators, and timetable for monitoring and implementation for non-repayable financial support</w:t>
      </w:r>
    </w:p>
    <w:p w14:paraId="70A17FE9" w14:textId="77777777" w:rsidR="001B186F" w:rsidRPr="00DE4E4F" w:rsidRDefault="0074517F">
      <w:pPr>
        <w:keepNext/>
        <w:keepLines/>
        <w:spacing w:before="12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15: Increase access to effective and inclusive social policies</w:t>
      </w:r>
    </w:p>
    <w:p w14:paraId="7EB50B85" w14:textId="77777777" w:rsidR="001B186F" w:rsidRPr="00DE4E4F" w:rsidRDefault="0074517F">
      <w:pPr>
        <w:numPr>
          <w:ilvl w:val="0"/>
          <w:numId w:val="51"/>
        </w:numPr>
        <w:spacing w:before="120" w:after="0" w:line="240" w:lineRule="auto"/>
        <w:ind w:left="0"/>
        <w:jc w:val="both"/>
        <w:rPr>
          <w:rFonts w:ascii="Times New Roman" w:hAnsi="Times New Roman" w:cs="Times New Roman"/>
          <w:noProof/>
        </w:rPr>
      </w:pPr>
      <w:r w:rsidRPr="00DE4E4F">
        <w:rPr>
          <w:rFonts w:ascii="Times New Roman" w:hAnsi="Times New Roman"/>
          <w:noProof/>
          <w:sz w:val="24"/>
        </w:rPr>
        <w:t>Child Protection (ID: 16919)</w:t>
      </w:r>
    </w:p>
    <w:p w14:paraId="0287F384" w14:textId="77777777" w:rsidR="001B186F" w:rsidRPr="00DE4E4F" w:rsidRDefault="0074517F">
      <w:pPr>
        <w:numPr>
          <w:ilvl w:val="0"/>
          <w:numId w:val="51"/>
        </w:numPr>
        <w:spacing w:before="120" w:after="0" w:line="240" w:lineRule="auto"/>
        <w:ind w:left="0" w:hanging="357"/>
        <w:jc w:val="both"/>
        <w:rPr>
          <w:rFonts w:ascii="Times New Roman" w:hAnsi="Times New Roman" w:cs="Times New Roman"/>
          <w:noProof/>
          <w:sz w:val="24"/>
        </w:rPr>
      </w:pPr>
      <w:r w:rsidRPr="00DE4E4F">
        <w:rPr>
          <w:rFonts w:ascii="Times New Roman" w:hAnsi="Times New Roman"/>
          <w:noProof/>
          <w:sz w:val="24"/>
        </w:rPr>
        <w:t>Disability (ID: 16904)</w:t>
      </w:r>
    </w:p>
    <w:p w14:paraId="3495CEB8" w14:textId="77777777" w:rsidR="001B186F" w:rsidRPr="00DE4E4F" w:rsidRDefault="0074517F">
      <w:pPr>
        <w:numPr>
          <w:ilvl w:val="0"/>
          <w:numId w:val="51"/>
        </w:numPr>
        <w:spacing w:before="120" w:after="0" w:line="240" w:lineRule="auto"/>
        <w:ind w:left="0" w:hanging="357"/>
        <w:jc w:val="both"/>
        <w:rPr>
          <w:rFonts w:ascii="Times New Roman" w:hAnsi="Times New Roman" w:cs="Times New Roman"/>
          <w:noProof/>
          <w:sz w:val="24"/>
        </w:rPr>
      </w:pPr>
      <w:r w:rsidRPr="00DE4E4F">
        <w:rPr>
          <w:rFonts w:ascii="Times New Roman" w:hAnsi="Times New Roman"/>
          <w:noProof/>
          <w:sz w:val="24"/>
        </w:rPr>
        <w:t>Social Benefits Optimisation (16726)</w:t>
      </w:r>
    </w:p>
    <w:p w14:paraId="7228326C" w14:textId="77777777" w:rsidR="001B186F" w:rsidRPr="00DE4E4F" w:rsidRDefault="0074517F" w:rsidP="00B81D86">
      <w:pPr>
        <w:numPr>
          <w:ilvl w:val="0"/>
          <w:numId w:val="51"/>
        </w:numPr>
        <w:spacing w:after="0" w:line="240" w:lineRule="auto"/>
        <w:ind w:left="0" w:hanging="357"/>
        <w:jc w:val="both"/>
        <w:rPr>
          <w:rFonts w:ascii="Times New Roman" w:hAnsi="Times New Roman" w:cs="Times New Roman"/>
          <w:noProof/>
          <w:color w:val="000000" w:themeColor="text1"/>
          <w:sz w:val="24"/>
        </w:rPr>
      </w:pPr>
      <w:r w:rsidRPr="00DE4E4F">
        <w:rPr>
          <w:rFonts w:ascii="Times New Roman" w:hAnsi="Times New Roman"/>
          <w:noProof/>
          <w:color w:val="000000" w:themeColor="text1"/>
          <w:sz w:val="24"/>
        </w:rPr>
        <w:t>Social and Affordable Housing (16402)</w:t>
      </w:r>
    </w:p>
    <w:p w14:paraId="0B235851" w14:textId="77777777" w:rsidR="001B186F" w:rsidRPr="00DE4E4F" w:rsidRDefault="001B186F" w:rsidP="00B81D86">
      <w:pPr>
        <w:spacing w:after="0" w:line="240" w:lineRule="auto"/>
        <w:jc w:val="both"/>
        <w:rPr>
          <w:rFonts w:ascii="Times New Roman" w:hAnsi="Times New Roman" w:cs="Times New Roman"/>
          <w:noProof/>
          <w:sz w:val="24"/>
        </w:rPr>
      </w:pPr>
    </w:p>
    <w:tbl>
      <w:tblPr>
        <w:tblW w:w="1606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04"/>
        <w:gridCol w:w="2269"/>
        <w:gridCol w:w="1134"/>
        <w:gridCol w:w="1559"/>
        <w:gridCol w:w="1984"/>
        <w:gridCol w:w="993"/>
        <w:gridCol w:w="992"/>
        <w:gridCol w:w="850"/>
        <w:gridCol w:w="961"/>
        <w:gridCol w:w="720"/>
        <w:gridCol w:w="3997"/>
      </w:tblGrid>
      <w:tr w:rsidR="00682269" w:rsidRPr="00DE4E4F" w14:paraId="60BC9540" w14:textId="77777777" w:rsidTr="001410D7">
        <w:trPr>
          <w:trHeight w:val="616"/>
          <w:tblHeader/>
          <w:jc w:val="center"/>
        </w:trPr>
        <w:tc>
          <w:tcPr>
            <w:tcW w:w="604" w:type="dxa"/>
            <w:vMerge w:val="restart"/>
            <w:shd w:val="clear" w:color="auto" w:fill="BDD7EE"/>
            <w:vAlign w:val="center"/>
            <w:hideMark/>
          </w:tcPr>
          <w:p w14:paraId="65FFD14C"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2269" w:type="dxa"/>
            <w:vMerge w:val="restart"/>
            <w:shd w:val="clear" w:color="auto" w:fill="BDD7EE"/>
            <w:vAlign w:val="center"/>
            <w:hideMark/>
          </w:tcPr>
          <w:p w14:paraId="220D4174"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34" w:type="dxa"/>
            <w:vMerge w:val="restart"/>
            <w:shd w:val="clear" w:color="auto" w:fill="BDD7EE"/>
            <w:vAlign w:val="center"/>
            <w:hideMark/>
          </w:tcPr>
          <w:p w14:paraId="7194C7BE"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59" w:type="dxa"/>
            <w:vMerge w:val="restart"/>
            <w:shd w:val="clear" w:color="auto" w:fill="BDD7EE"/>
            <w:vAlign w:val="center"/>
            <w:hideMark/>
          </w:tcPr>
          <w:p w14:paraId="73BFC499"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984" w:type="dxa"/>
            <w:vMerge w:val="restart"/>
            <w:shd w:val="clear" w:color="auto" w:fill="BDD7EE"/>
            <w:vAlign w:val="center"/>
            <w:hideMark/>
          </w:tcPr>
          <w:p w14:paraId="1EE61619"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835" w:type="dxa"/>
            <w:gridSpan w:val="3"/>
            <w:shd w:val="clear" w:color="auto" w:fill="BDD7EE"/>
            <w:vAlign w:val="center"/>
            <w:hideMark/>
          </w:tcPr>
          <w:p w14:paraId="7BEA81F0" w14:textId="77777777" w:rsidR="001B186F" w:rsidRPr="00DE4E4F" w:rsidRDefault="0074517F" w:rsidP="00B81D86">
            <w:pPr>
              <w:spacing w:after="0" w:line="240" w:lineRule="auto"/>
              <w:jc w:val="center"/>
              <w:rPr>
                <w:rFonts w:ascii="Times New Roman" w:hAnsi="Times New Roman"/>
                <w:b/>
                <w:noProof/>
                <w:sz w:val="18"/>
              </w:rPr>
            </w:pPr>
            <w:r w:rsidRPr="00DE4E4F">
              <w:rPr>
                <w:rFonts w:ascii="Times New Roman" w:hAnsi="Times New Roman"/>
                <w:b/>
                <w:noProof/>
                <w:sz w:val="18"/>
              </w:rPr>
              <w:t>Quantitative indicators</w:t>
            </w:r>
            <w:r w:rsidRPr="00DE4E4F">
              <w:rPr>
                <w:rFonts w:ascii="Times New Roman" w:hAnsi="Times New Roman"/>
                <w:b/>
                <w:noProof/>
                <w:sz w:val="18"/>
              </w:rPr>
              <w:br/>
              <w:t xml:space="preserve"> (for targets)</w:t>
            </w:r>
          </w:p>
        </w:tc>
        <w:tc>
          <w:tcPr>
            <w:tcW w:w="1681" w:type="dxa"/>
            <w:gridSpan w:val="2"/>
            <w:shd w:val="clear" w:color="auto" w:fill="BDD7EE"/>
            <w:vAlign w:val="center"/>
            <w:hideMark/>
          </w:tcPr>
          <w:p w14:paraId="6E87D19D"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997" w:type="dxa"/>
            <w:vMerge w:val="restart"/>
            <w:shd w:val="clear" w:color="auto" w:fill="BDD7EE"/>
            <w:vAlign w:val="center"/>
            <w:hideMark/>
          </w:tcPr>
          <w:p w14:paraId="6B8176EF"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746348FB" w14:textId="77777777" w:rsidTr="001410D7">
        <w:trPr>
          <w:trHeight w:val="658"/>
          <w:tblHeader/>
          <w:jc w:val="center"/>
        </w:trPr>
        <w:tc>
          <w:tcPr>
            <w:tcW w:w="604" w:type="dxa"/>
            <w:vMerge/>
            <w:vAlign w:val="center"/>
            <w:hideMark/>
          </w:tcPr>
          <w:p w14:paraId="3DB69DC7"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c>
          <w:tcPr>
            <w:tcW w:w="2269" w:type="dxa"/>
            <w:vMerge/>
            <w:vAlign w:val="center"/>
            <w:hideMark/>
          </w:tcPr>
          <w:p w14:paraId="21CFB9DB"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3919C2E0"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c>
          <w:tcPr>
            <w:tcW w:w="1559" w:type="dxa"/>
            <w:vMerge/>
            <w:vAlign w:val="center"/>
            <w:hideMark/>
          </w:tcPr>
          <w:p w14:paraId="2C55EDAF"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c>
          <w:tcPr>
            <w:tcW w:w="1984" w:type="dxa"/>
            <w:vMerge/>
            <w:vAlign w:val="center"/>
            <w:hideMark/>
          </w:tcPr>
          <w:p w14:paraId="778C1209"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c>
          <w:tcPr>
            <w:tcW w:w="993" w:type="dxa"/>
            <w:shd w:val="clear" w:color="auto" w:fill="BDD7EE"/>
            <w:vAlign w:val="center"/>
            <w:hideMark/>
          </w:tcPr>
          <w:p w14:paraId="539CDDB4" w14:textId="77777777" w:rsidR="001B186F" w:rsidRPr="00DE4E4F" w:rsidRDefault="0074517F">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43F214BD" w14:textId="77777777" w:rsidR="001B186F" w:rsidRPr="00DE4E4F" w:rsidRDefault="0074517F">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50" w:type="dxa"/>
            <w:shd w:val="clear" w:color="auto" w:fill="BDD7EE"/>
            <w:vAlign w:val="center"/>
            <w:hideMark/>
          </w:tcPr>
          <w:p w14:paraId="3912620A" w14:textId="77777777" w:rsidR="001B186F" w:rsidRPr="00DE4E4F" w:rsidRDefault="0074517F">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61" w:type="dxa"/>
            <w:shd w:val="clear" w:color="auto" w:fill="BDD7EE"/>
            <w:vAlign w:val="center"/>
            <w:hideMark/>
          </w:tcPr>
          <w:p w14:paraId="1147E923" w14:textId="77777777" w:rsidR="001B186F" w:rsidRPr="00DE4E4F" w:rsidRDefault="0074517F">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20" w:type="dxa"/>
            <w:shd w:val="clear" w:color="auto" w:fill="BDD7EE"/>
            <w:vAlign w:val="center"/>
            <w:hideMark/>
          </w:tcPr>
          <w:p w14:paraId="0EC78C7B" w14:textId="77777777" w:rsidR="001B186F" w:rsidRPr="00DE4E4F" w:rsidRDefault="0074517F">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997" w:type="dxa"/>
            <w:vMerge/>
            <w:vAlign w:val="center"/>
            <w:hideMark/>
          </w:tcPr>
          <w:p w14:paraId="1864F6F8" w14:textId="77777777" w:rsidR="001B186F" w:rsidRPr="00DE4E4F" w:rsidRDefault="001B186F">
            <w:pPr>
              <w:spacing w:before="120" w:after="0" w:line="240" w:lineRule="auto"/>
              <w:rPr>
                <w:rFonts w:ascii="Times New Roman" w:eastAsia="Times New Roman" w:hAnsi="Times New Roman" w:cs="Times New Roman"/>
                <w:b/>
                <w:bCs/>
                <w:noProof/>
                <w:sz w:val="18"/>
                <w:szCs w:val="18"/>
                <w:lang w:eastAsia="en-GB"/>
              </w:rPr>
            </w:pPr>
          </w:p>
        </w:tc>
      </w:tr>
      <w:tr w:rsidR="001410D7" w:rsidRPr="00DE4E4F" w14:paraId="7682F548" w14:textId="77777777" w:rsidTr="001410D7">
        <w:trPr>
          <w:trHeight w:val="313"/>
          <w:jc w:val="center"/>
        </w:trPr>
        <w:tc>
          <w:tcPr>
            <w:tcW w:w="604" w:type="dxa"/>
            <w:shd w:val="clear" w:color="auto" w:fill="C6EFCE"/>
            <w:noWrap/>
          </w:tcPr>
          <w:p w14:paraId="1FF3AA90"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174</w:t>
            </w:r>
          </w:p>
        </w:tc>
        <w:tc>
          <w:tcPr>
            <w:tcW w:w="2269" w:type="dxa"/>
            <w:shd w:val="clear" w:color="auto" w:fill="C6EFCE"/>
            <w:noWrap/>
          </w:tcPr>
          <w:p w14:paraId="61E32702"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- 16904_ Disability</w:t>
            </w:r>
          </w:p>
        </w:tc>
        <w:tc>
          <w:tcPr>
            <w:tcW w:w="1134" w:type="dxa"/>
            <w:shd w:val="clear" w:color="auto" w:fill="C6EFCE"/>
            <w:noWrap/>
          </w:tcPr>
          <w:p w14:paraId="625C699E"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0E4CAFD6"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 assistance disability law and rollout of first phase pilot scheme</w:t>
            </w:r>
          </w:p>
        </w:tc>
        <w:tc>
          <w:tcPr>
            <w:tcW w:w="1984" w:type="dxa"/>
            <w:shd w:val="clear" w:color="auto" w:fill="C6EFCE"/>
            <w:noWrap/>
          </w:tcPr>
          <w:p w14:paraId="2F026BA0"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(Official Journal reference) and publication of notice for Call for Applications for Personal Assistance scheme.</w:t>
            </w:r>
          </w:p>
        </w:tc>
        <w:tc>
          <w:tcPr>
            <w:tcW w:w="993" w:type="dxa"/>
            <w:shd w:val="clear" w:color="auto" w:fill="C6EFCE"/>
            <w:noWrap/>
          </w:tcPr>
          <w:p w14:paraId="0AE7AC86"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74D24A85"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4281D936"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0A76C111"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20" w:type="dxa"/>
            <w:shd w:val="clear" w:color="auto" w:fill="C6EFCE"/>
            <w:noWrap/>
          </w:tcPr>
          <w:p w14:paraId="08D9517E"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97" w:type="dxa"/>
            <w:shd w:val="clear" w:color="auto" w:fill="C6EFCE"/>
            <w:noWrap/>
          </w:tcPr>
          <w:p w14:paraId="1417F79D" w14:textId="279FCE5E"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 assistance: Entry into force of the law to enable the de-institutionalisation of disability care, and call for applications for participating in a first phase pilot project including a process for eligibility based on both a medical and functional assessment of disability by a multi-disciplinary evaluation committee</w:t>
            </w:r>
            <w:r w:rsidR="00DE4C0C" w:rsidRPr="00DE4E4F">
              <w:rPr>
                <w:rFonts w:ascii="Times New Roman" w:hAnsi="Times New Roman" w:cs="Times New Roman"/>
                <w:noProof/>
                <w:color w:val="006100"/>
                <w:sz w:val="18"/>
                <w:szCs w:val="18"/>
                <w:u w:val="single"/>
              </w:rPr>
              <w:t xml:space="preserve"> </w:t>
            </w:r>
          </w:p>
        </w:tc>
      </w:tr>
      <w:tr w:rsidR="001410D7" w:rsidRPr="00DE4E4F" w14:paraId="35099B27" w14:textId="77777777" w:rsidTr="001410D7">
        <w:trPr>
          <w:trHeight w:val="313"/>
          <w:jc w:val="center"/>
        </w:trPr>
        <w:tc>
          <w:tcPr>
            <w:tcW w:w="604" w:type="dxa"/>
            <w:shd w:val="clear" w:color="auto" w:fill="C6EFCE"/>
            <w:noWrap/>
          </w:tcPr>
          <w:p w14:paraId="1908D4A7"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174a</w:t>
            </w:r>
          </w:p>
        </w:tc>
        <w:tc>
          <w:tcPr>
            <w:tcW w:w="2269" w:type="dxa"/>
            <w:shd w:val="clear" w:color="auto" w:fill="C6EFCE"/>
            <w:noWrap/>
          </w:tcPr>
          <w:p w14:paraId="02D2CA23"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- 16904_ Disability</w:t>
            </w:r>
          </w:p>
        </w:tc>
        <w:tc>
          <w:tcPr>
            <w:tcW w:w="1134" w:type="dxa"/>
            <w:shd w:val="clear" w:color="auto" w:fill="C6EFCE"/>
            <w:noWrap/>
          </w:tcPr>
          <w:p w14:paraId="6BA14E6B"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264A576F" w14:textId="3D85F463"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Accessibility and support infrastructure, early childhood interventions, </w:t>
            </w:r>
            <w:r w:rsidR="2A1C43E3" w:rsidRPr="00DE4E4F">
              <w:rPr>
                <w:rFonts w:ascii="Times New Roman" w:hAnsi="Times New Roman" w:cs="Times New Roman"/>
                <w:noProof/>
                <w:color w:val="006100"/>
                <w:sz w:val="18"/>
                <w:szCs w:val="18"/>
              </w:rPr>
              <w:t xml:space="preserve">permanent </w:t>
            </w:r>
            <w:r w:rsidRPr="00DE4E4F">
              <w:rPr>
                <w:rFonts w:ascii="Times New Roman" w:hAnsi="Times New Roman" w:cs="Times New Roman"/>
                <w:noProof/>
                <w:color w:val="006100"/>
                <w:sz w:val="18"/>
                <w:szCs w:val="18"/>
              </w:rPr>
              <w:t>national rollout of Personal Assistance disability scheme</w:t>
            </w:r>
          </w:p>
        </w:tc>
        <w:tc>
          <w:tcPr>
            <w:tcW w:w="1984" w:type="dxa"/>
            <w:shd w:val="clear" w:color="auto" w:fill="C6EFCE"/>
            <w:noWrap/>
          </w:tcPr>
          <w:p w14:paraId="1EF0C669" w14:textId="77777777" w:rsidR="00C540E3" w:rsidRPr="00DE4E4F" w:rsidRDefault="00C540E3">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Acceptance protocols of the project committees,</w:t>
            </w:r>
          </w:p>
          <w:p w14:paraId="0D0911C6" w14:textId="15F86604" w:rsidR="001B186F" w:rsidRPr="00DE4E4F" w:rsidRDefault="00C540E3">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signed </w:t>
            </w:r>
            <w:r w:rsidR="0074517F" w:rsidRPr="00DE4E4F">
              <w:rPr>
                <w:rFonts w:ascii="Times New Roman" w:hAnsi="Times New Roman" w:cs="Times New Roman"/>
                <w:noProof/>
                <w:color w:val="006100"/>
                <w:sz w:val="18"/>
                <w:szCs w:val="18"/>
              </w:rPr>
              <w:t>contracts and publication of a call to beneficiaries of the national rollout (Personal Assistance disability scheme).</w:t>
            </w:r>
          </w:p>
        </w:tc>
        <w:tc>
          <w:tcPr>
            <w:tcW w:w="993" w:type="dxa"/>
            <w:shd w:val="clear" w:color="auto" w:fill="C6EFCE"/>
            <w:noWrap/>
          </w:tcPr>
          <w:p w14:paraId="2FFB813E"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5E99F6B9"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539AF0D2"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7A158B6A"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27926DA0"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97" w:type="dxa"/>
            <w:shd w:val="clear" w:color="auto" w:fill="C6EFCE"/>
            <w:noWrap/>
          </w:tcPr>
          <w:p w14:paraId="6C722720" w14:textId="0EC919CF" w:rsidR="001B186F" w:rsidRPr="00DE4E4F" w:rsidRDefault="0074517F">
            <w:pPr>
              <w:spacing w:after="0" w:line="240" w:lineRule="auto"/>
              <w:textAlignment w:val="baseline"/>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w:t>
            </w:r>
            <w:r w:rsidR="000310C0" w:rsidRPr="00DE4E4F">
              <w:rPr>
                <w:rFonts w:ascii="Times New Roman" w:hAnsi="Times New Roman" w:cs="Times New Roman"/>
                <w:noProof/>
                <w:color w:val="006100"/>
                <w:sz w:val="18"/>
                <w:szCs w:val="18"/>
              </w:rPr>
              <w:t>Accessibility</w:t>
            </w:r>
            <w:r w:rsidRPr="00DE4E4F">
              <w:rPr>
                <w:rFonts w:ascii="Times New Roman" w:hAnsi="Times New Roman" w:cs="Times New Roman"/>
                <w:noProof/>
                <w:color w:val="006100"/>
                <w:sz w:val="18"/>
                <w:szCs w:val="18"/>
              </w:rPr>
              <w:t xml:space="preserve"> and support infrastructure to people with mobility and sensory impairments</w:t>
            </w:r>
            <w:r w:rsidR="00F77BC3" w:rsidRPr="00DE4E4F">
              <w:rPr>
                <w:rFonts w:ascii="Times New Roman" w:hAnsi="Times New Roman" w:cs="Times New Roman"/>
                <w:noProof/>
                <w:color w:val="006100"/>
                <w:sz w:val="18"/>
                <w:szCs w:val="18"/>
              </w:rPr>
              <w:t xml:space="preserve"> confirmed</w:t>
            </w:r>
            <w:r w:rsidR="4DD8D4A9" w:rsidRPr="00DE4E4F">
              <w:rPr>
                <w:rFonts w:ascii="Times New Roman" w:hAnsi="Times New Roman" w:cs="Times New Roman"/>
                <w:noProof/>
                <w:color w:val="006100"/>
                <w:sz w:val="18"/>
                <w:szCs w:val="18"/>
              </w:rPr>
              <w:t xml:space="preserve"> </w:t>
            </w:r>
            <w:r w:rsidR="00C540E3" w:rsidRPr="00DE4E4F">
              <w:rPr>
                <w:rFonts w:ascii="Times New Roman" w:hAnsi="Times New Roman" w:cs="Times New Roman"/>
                <w:noProof/>
                <w:color w:val="006100"/>
                <w:sz w:val="18"/>
                <w:szCs w:val="18"/>
              </w:rPr>
              <w:t xml:space="preserve">by acceptance protocols of the project committee </w:t>
            </w:r>
            <w:r w:rsidR="4DD8D4A9" w:rsidRPr="00DE4E4F">
              <w:rPr>
                <w:rFonts w:ascii="Times New Roman" w:hAnsi="Times New Roman" w:cs="Times New Roman"/>
                <w:noProof/>
                <w:color w:val="006100"/>
                <w:sz w:val="18"/>
                <w:szCs w:val="18"/>
              </w:rPr>
              <w:t>in</w:t>
            </w:r>
            <w:r w:rsidRPr="00DE4E4F">
              <w:rPr>
                <w:rFonts w:ascii="Times New Roman" w:hAnsi="Times New Roman" w:cs="Times New Roman"/>
                <w:noProof/>
                <w:color w:val="006100"/>
                <w:sz w:val="18"/>
                <w:szCs w:val="18"/>
              </w:rPr>
              <w:t>;</w:t>
            </w:r>
          </w:p>
          <w:p w14:paraId="6FFB7A0E" w14:textId="4D301183" w:rsidR="001B186F" w:rsidRPr="00DE4E4F" w:rsidRDefault="73B8F029" w:rsidP="783E41E0">
            <w:pPr>
              <w:spacing w:after="0" w:line="240" w:lineRule="auto"/>
              <w:textAlignment w:val="baseline"/>
              <w:rPr>
                <w:rFonts w:ascii="Times New Roman" w:hAnsi="Times New Roman" w:cs="Times New Roman"/>
                <w:noProof/>
                <w:sz w:val="18"/>
                <w:szCs w:val="18"/>
              </w:rPr>
            </w:pPr>
            <w:r w:rsidRPr="00DE4E4F">
              <w:rPr>
                <w:rFonts w:ascii="Times New Roman" w:hAnsi="Times New Roman" w:cs="Times New Roman"/>
                <w:noProof/>
                <w:color w:val="006100"/>
                <w:sz w:val="18"/>
                <w:szCs w:val="18"/>
              </w:rPr>
              <w:t>a</w:t>
            </w:r>
            <w:r w:rsidR="0074517F" w:rsidRPr="00DE4E4F">
              <w:rPr>
                <w:rFonts w:ascii="Times New Roman" w:hAnsi="Times New Roman" w:cs="Times New Roman"/>
                <w:noProof/>
                <w:color w:val="006100"/>
                <w:sz w:val="18"/>
                <w:szCs w:val="18"/>
              </w:rPr>
              <w:t xml:space="preserve">) </w:t>
            </w:r>
            <w:r w:rsidR="30606143" w:rsidRPr="00DE4E4F">
              <w:rPr>
                <w:rFonts w:ascii="Times New Roman" w:hAnsi="Times New Roman" w:cs="Times New Roman"/>
                <w:noProof/>
                <w:color w:val="006100"/>
                <w:sz w:val="18"/>
                <w:szCs w:val="18"/>
              </w:rPr>
              <w:t>1</w:t>
            </w:r>
            <w:r w:rsidR="001410D7" w:rsidRPr="00DE4E4F">
              <w:rPr>
                <w:rFonts w:ascii="Times New Roman" w:hAnsi="Times New Roman" w:cs="Times New Roman"/>
                <w:noProof/>
                <w:color w:val="006100"/>
                <w:sz w:val="18"/>
                <w:szCs w:val="18"/>
              </w:rPr>
              <w:t> </w:t>
            </w:r>
            <w:r w:rsidR="30606143" w:rsidRPr="00DE4E4F">
              <w:rPr>
                <w:rFonts w:ascii="Times New Roman" w:hAnsi="Times New Roman" w:cs="Times New Roman"/>
                <w:noProof/>
                <w:color w:val="006100"/>
                <w:sz w:val="18"/>
                <w:szCs w:val="18"/>
              </w:rPr>
              <w:t>000 private houses selected through a call</w:t>
            </w:r>
            <w:r w:rsidR="001A0994" w:rsidRPr="00DE4E4F">
              <w:rPr>
                <w:rFonts w:ascii="Times New Roman" w:hAnsi="Times New Roman" w:cs="Times New Roman"/>
                <w:noProof/>
                <w:color w:val="006100"/>
                <w:sz w:val="18"/>
                <w:szCs w:val="18"/>
              </w:rPr>
              <w:t>;</w:t>
            </w:r>
          </w:p>
          <w:p w14:paraId="5CD8398E" w14:textId="5D32FF69" w:rsidR="001B186F" w:rsidRPr="00DE4E4F" w:rsidRDefault="30606143" w:rsidP="783E41E0">
            <w:pPr>
              <w:spacing w:after="0" w:line="240" w:lineRule="auto"/>
              <w:textAlignment w:val="baseline"/>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 2 public buildings.</w:t>
            </w:r>
          </w:p>
          <w:p w14:paraId="048AC33F" w14:textId="708139C4" w:rsidR="001B186F" w:rsidRPr="00DE4E4F" w:rsidRDefault="001B186F" w:rsidP="783E41E0">
            <w:pPr>
              <w:spacing w:after="0" w:line="240" w:lineRule="auto"/>
              <w:textAlignment w:val="baseline"/>
              <w:rPr>
                <w:rFonts w:ascii="Times New Roman" w:hAnsi="Times New Roman" w:cs="Times New Roman"/>
                <w:noProof/>
                <w:color w:val="006100"/>
                <w:sz w:val="18"/>
                <w:szCs w:val="18"/>
              </w:rPr>
            </w:pPr>
          </w:p>
          <w:p w14:paraId="12584BBE" w14:textId="47D2FC66" w:rsidR="001A0994" w:rsidRPr="00DE4E4F" w:rsidRDefault="001A0994" w:rsidP="001A0994">
            <w:pPr>
              <w:spacing w:after="0" w:line="240" w:lineRule="auto"/>
              <w:textAlignment w:val="baseline"/>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w:t>
            </w:r>
            <w:r w:rsidR="7D169DFF" w:rsidRPr="00DE4E4F">
              <w:rPr>
                <w:rFonts w:ascii="Times New Roman" w:hAnsi="Times New Roman" w:cs="Times New Roman"/>
                <w:noProof/>
                <w:color w:val="006100"/>
                <w:sz w:val="18"/>
                <w:szCs w:val="18"/>
              </w:rPr>
              <w:t>1</w:t>
            </w:r>
            <w:r w:rsidR="00B81D86" w:rsidRPr="00DE4E4F">
              <w:rPr>
                <w:rFonts w:ascii="Times New Roman" w:hAnsi="Times New Roman" w:cs="Times New Roman"/>
                <w:noProof/>
                <w:color w:val="006100"/>
                <w:sz w:val="18"/>
                <w:szCs w:val="18"/>
              </w:rPr>
              <w:t> </w:t>
            </w:r>
            <w:r w:rsidR="7D169DFF" w:rsidRPr="00DE4E4F">
              <w:rPr>
                <w:rFonts w:ascii="Times New Roman" w:hAnsi="Times New Roman" w:cs="Times New Roman"/>
                <w:noProof/>
                <w:color w:val="006100"/>
                <w:sz w:val="18"/>
                <w:szCs w:val="18"/>
              </w:rPr>
              <w:t xml:space="preserve">250 </w:t>
            </w:r>
            <w:r w:rsidR="0074517F" w:rsidRPr="00DE4E4F">
              <w:rPr>
                <w:rFonts w:ascii="Times New Roman" w:hAnsi="Times New Roman" w:cs="Times New Roman"/>
                <w:noProof/>
                <w:color w:val="006100"/>
                <w:sz w:val="18"/>
                <w:szCs w:val="18"/>
              </w:rPr>
              <w:t>signed contracts providing Early childhood interventions</w:t>
            </w:r>
            <w:r w:rsidRPr="00DE4E4F">
              <w:rPr>
                <w:rFonts w:ascii="Times New Roman" w:hAnsi="Times New Roman" w:cs="Times New Roman"/>
                <w:noProof/>
                <w:color w:val="006100"/>
                <w:sz w:val="18"/>
                <w:szCs w:val="18"/>
              </w:rPr>
              <w:t>.</w:t>
            </w:r>
          </w:p>
          <w:p w14:paraId="1A64B270" w14:textId="0D62620D" w:rsidR="001B186F" w:rsidRPr="00DE4E4F" w:rsidRDefault="0074517F" w:rsidP="001A0994">
            <w:pPr>
              <w:spacing w:after="0" w:line="240" w:lineRule="auto"/>
              <w:textAlignment w:val="baseline"/>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w:t>
            </w:r>
          </w:p>
          <w:p w14:paraId="241E2F4E" w14:textId="34937B48" w:rsidR="001B186F" w:rsidRPr="00DE4E4F" w:rsidRDefault="57B40DC5">
            <w:pPr>
              <w:spacing w:after="0" w:line="240" w:lineRule="auto"/>
              <w:textAlignment w:val="baseline"/>
              <w:rPr>
                <w:rFonts w:ascii="Times New Roman" w:hAnsi="Times New Roman" w:cs="Times New Roman"/>
                <w:noProof/>
                <w:sz w:val="18"/>
                <w:szCs w:val="18"/>
              </w:rPr>
            </w:pPr>
            <w:r w:rsidRPr="00DE4E4F">
              <w:rPr>
                <w:rFonts w:ascii="Times New Roman" w:hAnsi="Times New Roman" w:cs="Times New Roman"/>
                <w:noProof/>
                <w:color w:val="006100"/>
                <w:sz w:val="18"/>
                <w:szCs w:val="18"/>
              </w:rPr>
              <w:t>3</w:t>
            </w:r>
            <w:r w:rsidR="0074517F" w:rsidRPr="00DE4E4F">
              <w:rPr>
                <w:rFonts w:ascii="Times New Roman" w:hAnsi="Times New Roman" w:cs="Times New Roman"/>
                <w:noProof/>
                <w:color w:val="006100"/>
                <w:sz w:val="18"/>
                <w:szCs w:val="18"/>
              </w:rPr>
              <w:t xml:space="preserve">. Publication of a call to beneficiaries of the </w:t>
            </w:r>
            <w:r w:rsidR="4959674D" w:rsidRPr="00DE4E4F">
              <w:rPr>
                <w:rFonts w:ascii="Times New Roman" w:hAnsi="Times New Roman" w:cs="Times New Roman"/>
                <w:noProof/>
                <w:color w:val="006100"/>
                <w:sz w:val="18"/>
                <w:szCs w:val="18"/>
              </w:rPr>
              <w:t xml:space="preserve">permanent </w:t>
            </w:r>
            <w:r w:rsidR="0074517F" w:rsidRPr="00DE4E4F">
              <w:rPr>
                <w:rFonts w:ascii="Times New Roman" w:hAnsi="Times New Roman" w:cs="Times New Roman"/>
                <w:noProof/>
                <w:color w:val="006100"/>
                <w:sz w:val="18"/>
                <w:szCs w:val="18"/>
              </w:rPr>
              <w:t>nationwide rollout for the Personal Assistance disability scheme</w:t>
            </w:r>
            <w:r w:rsidR="695DADBE" w:rsidRPr="00DE4E4F">
              <w:rPr>
                <w:rFonts w:ascii="Times New Roman" w:hAnsi="Times New Roman" w:cs="Times New Roman"/>
                <w:noProof/>
                <w:color w:val="006100"/>
                <w:sz w:val="18"/>
                <w:szCs w:val="18"/>
              </w:rPr>
              <w:t>.</w:t>
            </w:r>
          </w:p>
        </w:tc>
      </w:tr>
      <w:tr w:rsidR="001410D7" w:rsidRPr="00DE4E4F" w14:paraId="7054597E" w14:textId="77777777" w:rsidTr="001410D7">
        <w:trPr>
          <w:trHeight w:val="313"/>
          <w:jc w:val="center"/>
        </w:trPr>
        <w:tc>
          <w:tcPr>
            <w:tcW w:w="604" w:type="dxa"/>
            <w:shd w:val="clear" w:color="auto" w:fill="C6EFCE"/>
            <w:noWrap/>
          </w:tcPr>
          <w:p w14:paraId="4C91FC83"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175</w:t>
            </w:r>
          </w:p>
        </w:tc>
        <w:tc>
          <w:tcPr>
            <w:tcW w:w="2269" w:type="dxa"/>
            <w:shd w:val="clear" w:color="auto" w:fill="C6EFCE"/>
            <w:noWrap/>
          </w:tcPr>
          <w:p w14:paraId="17910329"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16726 Social Benefits Optimisation</w:t>
            </w:r>
          </w:p>
        </w:tc>
        <w:tc>
          <w:tcPr>
            <w:tcW w:w="1134" w:type="dxa"/>
            <w:shd w:val="clear" w:color="auto" w:fill="C6EFCE"/>
            <w:noWrap/>
          </w:tcPr>
          <w:p w14:paraId="31330001"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0C94047A"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Social Benefits Optimisation pre-paid cards</w:t>
            </w:r>
          </w:p>
        </w:tc>
        <w:tc>
          <w:tcPr>
            <w:tcW w:w="1984" w:type="dxa"/>
            <w:shd w:val="clear" w:color="auto" w:fill="C6EFCE"/>
            <w:noWrap/>
          </w:tcPr>
          <w:p w14:paraId="257C7531"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prepaid cards for the payment of social benefits provided by these two services</w:t>
            </w:r>
          </w:p>
        </w:tc>
        <w:tc>
          <w:tcPr>
            <w:tcW w:w="993" w:type="dxa"/>
            <w:shd w:val="clear" w:color="auto" w:fill="C6EFCE"/>
            <w:noWrap/>
          </w:tcPr>
          <w:p w14:paraId="32A8AD79"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C13B82D"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B8D592E"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28A33AD0"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19141635"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97" w:type="dxa"/>
            <w:shd w:val="clear" w:color="auto" w:fill="C6EFCE"/>
            <w:noWrap/>
          </w:tcPr>
          <w:p w14:paraId="32A49E29"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prepaid cards for the payment of the majority of social benefits provided by the Single Welfare Benefits Payment Authority (OPEKA) and the Public Employment Service (DYPA)</w:t>
            </w:r>
          </w:p>
        </w:tc>
      </w:tr>
      <w:tr w:rsidR="001410D7" w:rsidRPr="00DE4E4F" w14:paraId="26A355C8" w14:textId="77777777" w:rsidTr="001410D7">
        <w:trPr>
          <w:trHeight w:val="313"/>
          <w:jc w:val="center"/>
        </w:trPr>
        <w:tc>
          <w:tcPr>
            <w:tcW w:w="604" w:type="dxa"/>
            <w:shd w:val="clear" w:color="auto" w:fill="C6EFCE"/>
            <w:noWrap/>
          </w:tcPr>
          <w:p w14:paraId="6EFA255D"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175a</w:t>
            </w:r>
          </w:p>
          <w:p w14:paraId="0D7864E3"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2269" w:type="dxa"/>
            <w:shd w:val="clear" w:color="auto" w:fill="C6EFCE"/>
            <w:noWrap/>
          </w:tcPr>
          <w:p w14:paraId="5EC314EE"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16726 Social Benefits Optimisation</w:t>
            </w:r>
          </w:p>
        </w:tc>
        <w:tc>
          <w:tcPr>
            <w:tcW w:w="1134" w:type="dxa"/>
            <w:shd w:val="clear" w:color="auto" w:fill="C6EFCE"/>
            <w:noWrap/>
          </w:tcPr>
          <w:p w14:paraId="7D06DEB3"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0B9A7CFB"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Social Benefits Optimisation prepaid cards</w:t>
            </w:r>
          </w:p>
        </w:tc>
        <w:tc>
          <w:tcPr>
            <w:tcW w:w="1984" w:type="dxa"/>
            <w:shd w:val="clear" w:color="auto" w:fill="C6EFCE"/>
            <w:noWrap/>
          </w:tcPr>
          <w:p w14:paraId="40B957B7"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993" w:type="dxa"/>
            <w:shd w:val="clear" w:color="auto" w:fill="C6EFCE"/>
            <w:noWrap/>
          </w:tcPr>
          <w:p w14:paraId="2166D99B"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1B6C5C9"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5BCE6584"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18196D52"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2283B0A4"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97" w:type="dxa"/>
            <w:shd w:val="clear" w:color="auto" w:fill="C6EFCE"/>
            <w:noWrap/>
          </w:tcPr>
          <w:p w14:paraId="311C52DA"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legal acts providing incentives to beneficiaries for using prepaid cards for the purchase of goods and services</w:t>
            </w:r>
            <w:r w:rsidRPr="00DE4E4F">
              <w:rPr>
                <w:rStyle w:val="eop"/>
                <w:rFonts w:ascii="Times New Roman" w:hAnsi="Times New Roman" w:cs="Times New Roman"/>
                <w:noProof/>
                <w:color w:val="000000" w:themeColor="text1"/>
                <w:sz w:val="18"/>
                <w:szCs w:val="18"/>
              </w:rPr>
              <w:t>.</w:t>
            </w:r>
          </w:p>
        </w:tc>
      </w:tr>
      <w:tr w:rsidR="001410D7" w:rsidRPr="00DE4E4F" w14:paraId="74A03A71" w14:textId="77777777" w:rsidTr="001410D7">
        <w:trPr>
          <w:trHeight w:val="313"/>
          <w:jc w:val="center"/>
        </w:trPr>
        <w:tc>
          <w:tcPr>
            <w:tcW w:w="604" w:type="dxa"/>
            <w:shd w:val="clear" w:color="auto" w:fill="C6EFCE"/>
            <w:noWrap/>
          </w:tcPr>
          <w:p w14:paraId="631E924D"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176</w:t>
            </w:r>
          </w:p>
        </w:tc>
        <w:tc>
          <w:tcPr>
            <w:tcW w:w="2269" w:type="dxa"/>
            <w:shd w:val="clear" w:color="auto" w:fill="C6EFCE"/>
            <w:noWrap/>
          </w:tcPr>
          <w:p w14:paraId="26DF7A1A"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- 16904_Disability</w:t>
            </w:r>
          </w:p>
        </w:tc>
        <w:tc>
          <w:tcPr>
            <w:tcW w:w="1134" w:type="dxa"/>
            <w:shd w:val="clear" w:color="auto" w:fill="C6EFCE"/>
            <w:noWrap/>
          </w:tcPr>
          <w:p w14:paraId="665C0106"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72A02B41"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 assistance disability assessment</w:t>
            </w:r>
          </w:p>
        </w:tc>
        <w:tc>
          <w:tcPr>
            <w:tcW w:w="1984" w:type="dxa"/>
            <w:shd w:val="clear" w:color="auto" w:fill="C6EFCE"/>
            <w:noWrap/>
          </w:tcPr>
          <w:p w14:paraId="22F59E07" w14:textId="58FA0421"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Personal assistants assigned for at least 1500 beneficiaries.</w:t>
            </w:r>
          </w:p>
        </w:tc>
        <w:tc>
          <w:tcPr>
            <w:tcW w:w="993" w:type="dxa"/>
            <w:shd w:val="clear" w:color="auto" w:fill="C6EFCE"/>
            <w:noWrap/>
          </w:tcPr>
          <w:p w14:paraId="43BC3B39"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2738DAE4"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4B3226DB"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5E098B14"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2F297135"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97" w:type="dxa"/>
            <w:shd w:val="clear" w:color="auto" w:fill="C6EFCE"/>
            <w:noWrap/>
          </w:tcPr>
          <w:p w14:paraId="63E8CA28"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Assignment of personal assistants for at least 1500 beneficiaries, including a disability assessment process by a multi-disciplinary evaluation committee.</w:t>
            </w:r>
          </w:p>
        </w:tc>
      </w:tr>
      <w:tr w:rsidR="001410D7" w:rsidRPr="00DE4E4F" w14:paraId="00D7A793" w14:textId="77777777" w:rsidTr="001410D7">
        <w:trPr>
          <w:trHeight w:val="313"/>
          <w:jc w:val="center"/>
        </w:trPr>
        <w:tc>
          <w:tcPr>
            <w:tcW w:w="604" w:type="dxa"/>
            <w:shd w:val="clear" w:color="auto" w:fill="C6EFCE"/>
            <w:noWrap/>
          </w:tcPr>
          <w:p w14:paraId="41EF000E"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178</w:t>
            </w:r>
          </w:p>
        </w:tc>
        <w:tc>
          <w:tcPr>
            <w:tcW w:w="2269" w:type="dxa"/>
            <w:shd w:val="clear" w:color="auto" w:fill="C6EFCE"/>
            <w:noWrap/>
          </w:tcPr>
          <w:p w14:paraId="08E1EE6F"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- 16919_Child Protection</w:t>
            </w:r>
          </w:p>
        </w:tc>
        <w:tc>
          <w:tcPr>
            <w:tcW w:w="1134" w:type="dxa"/>
            <w:shd w:val="clear" w:color="auto" w:fill="C6EFCE"/>
            <w:noWrap/>
          </w:tcPr>
          <w:p w14:paraId="5E84C787"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26E77085" w14:textId="77777777" w:rsidR="001B186F" w:rsidRPr="00DE4E4F" w:rsidRDefault="0074517F">
            <w:pPr>
              <w:spacing w:before="120" w:after="0" w:line="240" w:lineRule="auto"/>
              <w:rPr>
                <w:rFonts w:ascii="Times New Roman" w:eastAsia="Times New Roman" w:hAnsi="Times New Roman" w:cs="Times New Roman"/>
                <w:noProof/>
                <w:color w:val="006100"/>
                <w:sz w:val="17"/>
                <w:szCs w:val="17"/>
              </w:rPr>
            </w:pPr>
            <w:r w:rsidRPr="00DE4E4F">
              <w:rPr>
                <w:rFonts w:ascii="Times New Roman" w:hAnsi="Times New Roman" w:cs="Times New Roman"/>
                <w:noProof/>
                <w:color w:val="006100"/>
                <w:sz w:val="18"/>
                <w:szCs w:val="18"/>
              </w:rPr>
              <w:t>Independent living apartments for de-institutionalisation of persons up to 26 years old</w:t>
            </w:r>
            <w:r w:rsidRPr="00DE4E4F">
              <w:rPr>
                <w:rFonts w:ascii="Times New Roman" w:hAnsi="Times New Roman" w:cs="Times New Roman"/>
                <w:noProof/>
                <w:color w:val="006100"/>
                <w:sz w:val="17"/>
                <w:szCs w:val="17"/>
              </w:rPr>
              <w:t xml:space="preserve"> </w:t>
            </w:r>
          </w:p>
        </w:tc>
        <w:tc>
          <w:tcPr>
            <w:tcW w:w="1984" w:type="dxa"/>
            <w:shd w:val="clear" w:color="auto" w:fill="C6EFCE"/>
            <w:noWrap/>
          </w:tcPr>
          <w:p w14:paraId="17D45611" w14:textId="6CC6C7AC" w:rsidR="001B186F" w:rsidRPr="00DE4E4F" w:rsidRDefault="00DE1203">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P</w:t>
            </w:r>
            <w:r w:rsidR="0074517F" w:rsidRPr="00DE4E4F">
              <w:rPr>
                <w:rFonts w:ascii="Times New Roman" w:hAnsi="Times New Roman" w:cs="Times New Roman"/>
                <w:noProof/>
                <w:color w:val="006100"/>
                <w:sz w:val="18"/>
                <w:szCs w:val="18"/>
              </w:rPr>
              <w:t xml:space="preserve">lacement </w:t>
            </w:r>
            <w:r w:rsidRPr="00DE4E4F">
              <w:rPr>
                <w:rFonts w:ascii="Times New Roman" w:hAnsi="Times New Roman" w:cs="Times New Roman"/>
                <w:noProof/>
                <w:color w:val="006100"/>
                <w:sz w:val="18"/>
                <w:szCs w:val="18"/>
              </w:rPr>
              <w:t xml:space="preserve">decisions issued </w:t>
            </w:r>
            <w:r w:rsidR="0074517F" w:rsidRPr="00DE4E4F">
              <w:rPr>
                <w:rFonts w:ascii="Times New Roman" w:hAnsi="Times New Roman" w:cs="Times New Roman"/>
                <w:noProof/>
                <w:color w:val="006100"/>
                <w:sz w:val="18"/>
                <w:szCs w:val="18"/>
              </w:rPr>
              <w:t>for persons up to 26 years old in semi-independent living apartments</w:t>
            </w:r>
          </w:p>
        </w:tc>
        <w:tc>
          <w:tcPr>
            <w:tcW w:w="993" w:type="dxa"/>
            <w:shd w:val="clear" w:color="auto" w:fill="C6EFCE"/>
            <w:noWrap/>
          </w:tcPr>
          <w:p w14:paraId="47F6830C"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rPr>
            </w:pPr>
          </w:p>
        </w:tc>
        <w:tc>
          <w:tcPr>
            <w:tcW w:w="992" w:type="dxa"/>
            <w:shd w:val="clear" w:color="auto" w:fill="C6EFCE"/>
            <w:noWrap/>
          </w:tcPr>
          <w:p w14:paraId="570E3807"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rPr>
            </w:pPr>
          </w:p>
        </w:tc>
        <w:tc>
          <w:tcPr>
            <w:tcW w:w="850" w:type="dxa"/>
            <w:shd w:val="clear" w:color="auto" w:fill="C6EFCE"/>
            <w:noWrap/>
          </w:tcPr>
          <w:p w14:paraId="5788481F"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rPr>
            </w:pPr>
          </w:p>
        </w:tc>
        <w:tc>
          <w:tcPr>
            <w:tcW w:w="961" w:type="dxa"/>
            <w:shd w:val="clear" w:color="auto" w:fill="C6EFCE"/>
            <w:noWrap/>
          </w:tcPr>
          <w:p w14:paraId="2243B677"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1ABBA79C"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97" w:type="dxa"/>
            <w:shd w:val="clear" w:color="auto" w:fill="C6EFCE"/>
            <w:noWrap/>
          </w:tcPr>
          <w:p w14:paraId="729608AC" w14:textId="5AF41C9C" w:rsidR="001B186F" w:rsidRPr="00DE4E4F" w:rsidRDefault="00DE1203" w:rsidP="001410D7">
            <w:pPr>
              <w:spacing w:before="120"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xml:space="preserve">Placement decisions issued for at least 135 </w:t>
            </w:r>
            <w:r w:rsidR="00B47491" w:rsidRPr="00DE4E4F">
              <w:rPr>
                <w:rFonts w:ascii="Times New Roman" w:eastAsia="Times New Roman" w:hAnsi="Times New Roman" w:cs="Times New Roman"/>
                <w:noProof/>
                <w:color w:val="006100"/>
                <w:sz w:val="18"/>
                <w:szCs w:val="18"/>
              </w:rPr>
              <w:t>persons aged up to 26 years and currently residing in Child Protection Units (CPUs), in semi-independent living apartments.</w:t>
            </w:r>
          </w:p>
        </w:tc>
      </w:tr>
      <w:tr w:rsidR="001410D7" w:rsidRPr="00DE4E4F" w14:paraId="5FC85ED4" w14:textId="77777777" w:rsidTr="001410D7">
        <w:trPr>
          <w:trHeight w:val="313"/>
          <w:jc w:val="center"/>
        </w:trPr>
        <w:tc>
          <w:tcPr>
            <w:tcW w:w="604" w:type="dxa"/>
            <w:shd w:val="clear" w:color="auto" w:fill="C6EFCE"/>
            <w:noWrap/>
          </w:tcPr>
          <w:p w14:paraId="6C4453E5"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179</w:t>
            </w:r>
          </w:p>
        </w:tc>
        <w:tc>
          <w:tcPr>
            <w:tcW w:w="2269" w:type="dxa"/>
            <w:shd w:val="clear" w:color="auto" w:fill="C6EFCE"/>
            <w:noWrap/>
          </w:tcPr>
          <w:p w14:paraId="14535974"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- 16904_ Disability</w:t>
            </w:r>
          </w:p>
        </w:tc>
        <w:tc>
          <w:tcPr>
            <w:tcW w:w="1134" w:type="dxa"/>
            <w:shd w:val="clear" w:color="auto" w:fill="C6EFCE"/>
            <w:noWrap/>
          </w:tcPr>
          <w:p w14:paraId="5C9B6D50"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51BD7C6A" w14:textId="3FC5B8DA"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National rollout of Personal Assistance disability scheme and </w:t>
            </w:r>
            <w:r w:rsidR="16EA690C" w:rsidRPr="00DE4E4F">
              <w:rPr>
                <w:rFonts w:ascii="Times New Roman" w:hAnsi="Times New Roman" w:cs="Times New Roman"/>
                <w:noProof/>
                <w:color w:val="006100"/>
                <w:sz w:val="18"/>
                <w:szCs w:val="18"/>
              </w:rPr>
              <w:t xml:space="preserve">evaluation of the pilot programme </w:t>
            </w:r>
          </w:p>
        </w:tc>
        <w:tc>
          <w:tcPr>
            <w:tcW w:w="1984" w:type="dxa"/>
            <w:shd w:val="clear" w:color="auto" w:fill="C6EFCE"/>
            <w:noWrap/>
          </w:tcPr>
          <w:p w14:paraId="6D5ACCFD" w14:textId="07B71859"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 Entry into force of a legal act for the </w:t>
            </w:r>
            <w:r w:rsidR="2FCEF954" w:rsidRPr="00DE4E4F">
              <w:rPr>
                <w:rFonts w:ascii="Times New Roman" w:hAnsi="Times New Roman" w:cs="Times New Roman"/>
                <w:noProof/>
                <w:color w:val="006100"/>
                <w:sz w:val="18"/>
                <w:szCs w:val="18"/>
              </w:rPr>
              <w:t>permanent</w:t>
            </w:r>
            <w:r w:rsidRPr="00DE4E4F">
              <w:rPr>
                <w:rFonts w:ascii="Times New Roman" w:hAnsi="Times New Roman" w:cs="Times New Roman"/>
                <w:noProof/>
                <w:color w:val="006100"/>
                <w:sz w:val="18"/>
                <w:szCs w:val="18"/>
              </w:rPr>
              <w:t xml:space="preserve"> national rollout and b) evaluation report of the pilot scheme and assessment system with statistics and recommendations. </w:t>
            </w:r>
          </w:p>
        </w:tc>
        <w:tc>
          <w:tcPr>
            <w:tcW w:w="993" w:type="dxa"/>
            <w:shd w:val="clear" w:color="auto" w:fill="C6EFCE"/>
            <w:noWrap/>
          </w:tcPr>
          <w:p w14:paraId="4F7707FC"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247A34FA"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7F4F19E8" w14:textId="77777777" w:rsidR="001B186F" w:rsidRPr="00DE4E4F" w:rsidRDefault="001B186F">
            <w:pPr>
              <w:spacing w:before="120" w:after="0" w:line="240" w:lineRule="auto"/>
              <w:rPr>
                <w:rFonts w:ascii="Times New Roman" w:eastAsia="Times New Roman" w:hAnsi="Times New Roman" w:cs="Times New Roman"/>
                <w:noProof/>
                <w:color w:val="006100"/>
                <w:sz w:val="18"/>
                <w:szCs w:val="18"/>
                <w:lang w:eastAsia="en-GB"/>
              </w:rPr>
            </w:pPr>
          </w:p>
        </w:tc>
        <w:tc>
          <w:tcPr>
            <w:tcW w:w="961" w:type="dxa"/>
            <w:shd w:val="clear" w:color="auto" w:fill="C6EFCE"/>
            <w:noWrap/>
          </w:tcPr>
          <w:p w14:paraId="18A1D73D"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20" w:type="dxa"/>
            <w:shd w:val="clear" w:color="auto" w:fill="C6EFCE"/>
            <w:noWrap/>
          </w:tcPr>
          <w:p w14:paraId="13CAFFAD" w14:textId="77777777"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97" w:type="dxa"/>
            <w:shd w:val="clear" w:color="auto" w:fill="C6EFCE"/>
            <w:noWrap/>
          </w:tcPr>
          <w:p w14:paraId="6DBF5262" w14:textId="45A5A386" w:rsidR="001B186F" w:rsidRPr="00DE4E4F" w:rsidRDefault="0074517F">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legal act to enable the </w:t>
            </w:r>
            <w:r w:rsidR="415974E6" w:rsidRPr="00DE4E4F">
              <w:rPr>
                <w:rFonts w:ascii="Times New Roman" w:hAnsi="Times New Roman" w:cs="Times New Roman"/>
                <w:noProof/>
                <w:color w:val="006100"/>
                <w:sz w:val="18"/>
                <w:szCs w:val="18"/>
              </w:rPr>
              <w:t xml:space="preserve">permanent </w:t>
            </w:r>
            <w:r w:rsidRPr="00DE4E4F">
              <w:rPr>
                <w:rFonts w:ascii="Times New Roman" w:hAnsi="Times New Roman" w:cs="Times New Roman"/>
                <w:noProof/>
                <w:color w:val="006100"/>
                <w:sz w:val="18"/>
                <w:szCs w:val="18"/>
              </w:rPr>
              <w:t>nationwide roll-out of the Personal Assistance disability scheme, including medical and functional assessment process and delivery of an evaluation report of the pilot scheme with statistics and recommendations.</w:t>
            </w:r>
          </w:p>
        </w:tc>
      </w:tr>
      <w:tr w:rsidR="001410D7" w:rsidRPr="00DE4E4F" w14:paraId="0F06420C" w14:textId="77777777" w:rsidTr="001410D7">
        <w:trPr>
          <w:trHeight w:val="313"/>
          <w:jc w:val="center"/>
        </w:trPr>
        <w:tc>
          <w:tcPr>
            <w:tcW w:w="604" w:type="dxa"/>
            <w:shd w:val="clear" w:color="auto" w:fill="C6EFCE"/>
            <w:noWrap/>
          </w:tcPr>
          <w:p w14:paraId="24EAD424"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181</w:t>
            </w:r>
          </w:p>
        </w:tc>
        <w:tc>
          <w:tcPr>
            <w:tcW w:w="2269" w:type="dxa"/>
            <w:shd w:val="clear" w:color="auto" w:fill="C6EFCE"/>
            <w:noWrap/>
          </w:tcPr>
          <w:p w14:paraId="5FD93CD9"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16402_Social and Affordable Housing</w:t>
            </w:r>
          </w:p>
        </w:tc>
        <w:tc>
          <w:tcPr>
            <w:tcW w:w="1134" w:type="dxa"/>
            <w:shd w:val="clear" w:color="auto" w:fill="C6EFCE"/>
            <w:noWrap/>
          </w:tcPr>
          <w:p w14:paraId="2C002D85"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1DDF153F"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National Housing Strategy </w:t>
            </w:r>
          </w:p>
        </w:tc>
        <w:tc>
          <w:tcPr>
            <w:tcW w:w="1984" w:type="dxa"/>
            <w:shd w:val="clear" w:color="auto" w:fill="C6EFCE"/>
            <w:noWrap/>
          </w:tcPr>
          <w:p w14:paraId="123EC1C5" w14:textId="1E85723F"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Approval of the Housing Strategy by the</w:t>
            </w:r>
            <w:r w:rsidR="00DE4C0C" w:rsidRPr="00DE4E4F">
              <w:rPr>
                <w:rFonts w:ascii="Times New Roman" w:hAnsi="Times New Roman" w:cs="Times New Roman"/>
                <w:noProof/>
                <w:color w:val="006100"/>
                <w:sz w:val="18"/>
                <w:szCs w:val="18"/>
              </w:rPr>
              <w:t xml:space="preserve"> </w:t>
            </w:r>
            <w:r w:rsidR="7612652E" w:rsidRPr="00DE4E4F">
              <w:rPr>
                <w:rFonts w:ascii="Times New Roman" w:hAnsi="Times New Roman" w:cs="Times New Roman"/>
                <w:noProof/>
                <w:color w:val="006100"/>
                <w:sz w:val="18"/>
                <w:szCs w:val="18"/>
              </w:rPr>
              <w:t>Government Committee for Housing Policy</w:t>
            </w:r>
            <w:r w:rsidR="3B8113A6" w:rsidRPr="00DE4E4F">
              <w:rPr>
                <w:rFonts w:ascii="Times New Roman" w:hAnsi="Times New Roman" w:cs="Times New Roman"/>
                <w:noProof/>
                <w:color w:val="006100"/>
                <w:sz w:val="18"/>
                <w:szCs w:val="18"/>
              </w:rPr>
              <w:t xml:space="preserve">, through an act published in the Government Gazette. </w:t>
            </w:r>
            <w:r w:rsidR="7612652E" w:rsidRPr="00DE4E4F">
              <w:rPr>
                <w:rFonts w:ascii="Times New Roman" w:hAnsi="Times New Roman" w:cs="Times New Roman"/>
                <w:noProof/>
                <w:color w:val="006100"/>
                <w:sz w:val="18"/>
                <w:szCs w:val="18"/>
              </w:rPr>
              <w:t>Publication of the Housing Strategy on the official website of the Ministry of Social Cohesion and Family Affairs.</w:t>
            </w:r>
            <w:r w:rsidR="00DE4C0C" w:rsidRPr="00DE4E4F">
              <w:rPr>
                <w:rFonts w:ascii="Times New Roman" w:hAnsi="Times New Roman" w:cs="Times New Roman"/>
                <w:noProof/>
                <w:color w:val="006100"/>
                <w:sz w:val="18"/>
                <w:szCs w:val="18"/>
              </w:rPr>
              <w:t xml:space="preserve"> </w:t>
            </w:r>
          </w:p>
        </w:tc>
        <w:tc>
          <w:tcPr>
            <w:tcW w:w="993" w:type="dxa"/>
            <w:shd w:val="clear" w:color="auto" w:fill="C6EFCE"/>
            <w:noWrap/>
          </w:tcPr>
          <w:p w14:paraId="0C9C58AB"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65025124"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24EFB4B0"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961" w:type="dxa"/>
            <w:shd w:val="clear" w:color="auto" w:fill="C6EFCE"/>
            <w:noWrap/>
          </w:tcPr>
          <w:p w14:paraId="1AF378EA"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20" w:type="dxa"/>
            <w:shd w:val="clear" w:color="auto" w:fill="C6EFCE"/>
            <w:noWrap/>
          </w:tcPr>
          <w:p w14:paraId="09726C99"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3997" w:type="dxa"/>
            <w:shd w:val="clear" w:color="auto" w:fill="C6EFCE"/>
            <w:noWrap/>
          </w:tcPr>
          <w:p w14:paraId="05BCD6EB"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the national Housing Strategy, following a public consultation, that shall include:</w:t>
            </w:r>
          </w:p>
          <w:p w14:paraId="388DA4BA" w14:textId="77777777" w:rsidR="001B186F" w:rsidRPr="00DE4E4F" w:rsidRDefault="0074517F">
            <w:pPr>
              <w:pStyle w:val="ListParagraph"/>
              <w:numPr>
                <w:ilvl w:val="0"/>
                <w:numId w:val="52"/>
              </w:numPr>
              <w:spacing w:before="120" w:after="0" w:line="240" w:lineRule="auto"/>
              <w:ind w:left="414" w:hanging="35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An analysis of the functioning of the housing market.</w:t>
            </w:r>
          </w:p>
          <w:p w14:paraId="2CF5459E" w14:textId="77777777" w:rsidR="001B186F" w:rsidRPr="00DE4E4F" w:rsidRDefault="0074517F">
            <w:pPr>
              <w:pStyle w:val="ListParagraph"/>
              <w:numPr>
                <w:ilvl w:val="0"/>
                <w:numId w:val="52"/>
              </w:numPr>
              <w:spacing w:before="120" w:after="0" w:line="240" w:lineRule="auto"/>
              <w:ind w:left="414" w:hanging="35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mapping of the housing stock at regional level, including private properties that are not occupied and state-owned properties that are or can become available for social housing purposes, accompanied by an analysis of housing price developments and their determinants backed by statistical data and indicators;</w:t>
            </w:r>
          </w:p>
          <w:p w14:paraId="587C9444" w14:textId="77777777" w:rsidR="001B186F" w:rsidRPr="00DE4E4F" w:rsidRDefault="0074517F">
            <w:pPr>
              <w:pStyle w:val="ListParagraph"/>
              <w:numPr>
                <w:ilvl w:val="0"/>
                <w:numId w:val="52"/>
              </w:numPr>
              <w:spacing w:before="120" w:after="0" w:line="240" w:lineRule="auto"/>
              <w:ind w:left="414" w:hanging="35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An analysis of housing needs by segments of population (i.e. groups of population with distinct characteristics such as age, disposable income, family composition, at municipal and regional level, in rural or urban areas, small cities or big cities); </w:t>
            </w:r>
          </w:p>
          <w:p w14:paraId="3E50D4B0" w14:textId="77777777" w:rsidR="001B186F" w:rsidRPr="00DE4E4F" w:rsidRDefault="0074517F">
            <w:pPr>
              <w:pStyle w:val="ListParagraph"/>
              <w:numPr>
                <w:ilvl w:val="0"/>
                <w:numId w:val="52"/>
              </w:numPr>
              <w:spacing w:before="120" w:after="0" w:line="240" w:lineRule="auto"/>
              <w:ind w:left="414" w:hanging="35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Details of the different implementing policy actions, including for each responsible authority, budget and funding source, prioritisation and expected beneficiaries; </w:t>
            </w:r>
          </w:p>
          <w:p w14:paraId="3DFC3190" w14:textId="77777777" w:rsidR="001B186F" w:rsidRPr="00DE4E4F" w:rsidRDefault="0074517F">
            <w:pPr>
              <w:pStyle w:val="ListParagraph"/>
              <w:numPr>
                <w:ilvl w:val="0"/>
                <w:numId w:val="52"/>
              </w:numPr>
              <w:spacing w:before="120" w:after="0" w:line="240" w:lineRule="auto"/>
              <w:ind w:left="414" w:hanging="35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description of the governance structure that will be responsible for the implementation and future updates of the strategy, and a description of the implementation timeline.</w:t>
            </w:r>
          </w:p>
        </w:tc>
      </w:tr>
      <w:tr w:rsidR="001410D7" w:rsidRPr="00DE4E4F" w14:paraId="293BE78D" w14:textId="77777777" w:rsidTr="001410D7">
        <w:trPr>
          <w:trHeight w:val="313"/>
          <w:jc w:val="center"/>
        </w:trPr>
        <w:tc>
          <w:tcPr>
            <w:tcW w:w="604" w:type="dxa"/>
            <w:shd w:val="clear" w:color="auto" w:fill="C6EFCE"/>
            <w:noWrap/>
          </w:tcPr>
          <w:p w14:paraId="7E208CF0"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181a</w:t>
            </w:r>
          </w:p>
        </w:tc>
        <w:tc>
          <w:tcPr>
            <w:tcW w:w="2269" w:type="dxa"/>
            <w:shd w:val="clear" w:color="auto" w:fill="C6EFCE"/>
            <w:noWrap/>
          </w:tcPr>
          <w:p w14:paraId="41CBD770"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11 – 3.4 Increase access to effective and inclusive social policies – 16402_Social and Affordable Housing </w:t>
            </w:r>
          </w:p>
        </w:tc>
        <w:tc>
          <w:tcPr>
            <w:tcW w:w="1134" w:type="dxa"/>
            <w:shd w:val="clear" w:color="auto" w:fill="C6EFCE"/>
            <w:noWrap/>
          </w:tcPr>
          <w:p w14:paraId="4414AE17"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6867905B"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Modification of a legal act</w:t>
            </w:r>
          </w:p>
        </w:tc>
        <w:tc>
          <w:tcPr>
            <w:tcW w:w="1984" w:type="dxa"/>
            <w:shd w:val="clear" w:color="auto" w:fill="C6EFCE"/>
            <w:noWrap/>
          </w:tcPr>
          <w:p w14:paraId="6819D164" w14:textId="77777777" w:rsidR="001B186F" w:rsidRPr="00DE4E4F" w:rsidRDefault="0074517F">
            <w:pPr>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legal act</w:t>
            </w:r>
          </w:p>
        </w:tc>
        <w:tc>
          <w:tcPr>
            <w:tcW w:w="993" w:type="dxa"/>
            <w:shd w:val="clear" w:color="auto" w:fill="C6EFCE"/>
            <w:noWrap/>
          </w:tcPr>
          <w:p w14:paraId="4182DD78"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992" w:type="dxa"/>
            <w:shd w:val="clear" w:color="auto" w:fill="C6EFCE"/>
            <w:noWrap/>
          </w:tcPr>
          <w:p w14:paraId="54770CE6"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850" w:type="dxa"/>
            <w:shd w:val="clear" w:color="auto" w:fill="C6EFCE"/>
            <w:noWrap/>
          </w:tcPr>
          <w:p w14:paraId="7636B841" w14:textId="77777777" w:rsidR="001B186F" w:rsidRPr="00DE4E4F" w:rsidRDefault="001B186F">
            <w:pPr>
              <w:spacing w:before="120" w:after="0" w:line="240" w:lineRule="auto"/>
              <w:rPr>
                <w:rFonts w:ascii="Times New Roman" w:hAnsi="Times New Roman" w:cs="Times New Roman"/>
                <w:noProof/>
                <w:color w:val="006100"/>
                <w:sz w:val="18"/>
                <w:szCs w:val="18"/>
              </w:rPr>
            </w:pPr>
          </w:p>
        </w:tc>
        <w:tc>
          <w:tcPr>
            <w:tcW w:w="961" w:type="dxa"/>
            <w:shd w:val="clear" w:color="auto" w:fill="C6EFCE"/>
            <w:noWrap/>
          </w:tcPr>
          <w:p w14:paraId="2C479A9D"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20" w:type="dxa"/>
            <w:shd w:val="clear" w:color="auto" w:fill="C6EFCE"/>
            <w:noWrap/>
          </w:tcPr>
          <w:p w14:paraId="52033C65" w14:textId="77777777" w:rsidR="001B186F" w:rsidRPr="00DE4E4F" w:rsidRDefault="0074517F">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97" w:type="dxa"/>
            <w:shd w:val="clear" w:color="auto" w:fill="C6EFCE"/>
            <w:noWrap/>
          </w:tcPr>
          <w:p w14:paraId="6130D3D8"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Legal act shall have entered into force to provide private sector developers incentives to invest in new construction or renovation of state-owned real estate assets, the possibility to receive ownership of a part of the property, including for commercial purposes, while converting a share of the properties into social and affordable housing. Private real estate developers shall be invited through a transparent and competitive process to undertake the development or renovation of state-owned real estate assets. The law shall specify the roles of the Ministry of Social Cohesion and Family Affairs as central authority for the management of the public property reciprocal exchange programme (“Kinoniki Antiparochi”).</w:t>
            </w:r>
          </w:p>
        </w:tc>
      </w:tr>
    </w:tbl>
    <w:p w14:paraId="7A2EDD24" w14:textId="239BD88E" w:rsidR="001410D7" w:rsidRPr="00DE4E4F" w:rsidRDefault="001410D7">
      <w:pPr>
        <w:spacing w:before="120" w:after="120" w:line="240" w:lineRule="auto"/>
        <w:jc w:val="both"/>
        <w:rPr>
          <w:rFonts w:ascii="Times New Roman" w:hAnsi="Times New Roman" w:cs="Times New Roman"/>
          <w:noProof/>
          <w:sz w:val="24"/>
          <w:szCs w:val="24"/>
        </w:rPr>
      </w:pPr>
    </w:p>
    <w:p w14:paraId="72E6B4DF" w14:textId="2CCF8EF0" w:rsidR="001B186F" w:rsidRPr="00DE4E4F" w:rsidRDefault="001410D7" w:rsidP="001410D7">
      <w:pPr>
        <w:rPr>
          <w:rFonts w:ascii="Cambria" w:eastAsia="Times New Roman" w:hAnsi="Cambria"/>
          <w:noProof/>
          <w:color w:val="365F91"/>
          <w:sz w:val="24"/>
        </w:rPr>
      </w:pPr>
      <w:r w:rsidRPr="00DE4E4F">
        <w:rPr>
          <w:noProof/>
        </w:rPr>
        <w:br w:type="page"/>
      </w:r>
      <w:r w:rsidR="0074517F" w:rsidRPr="00DE4E4F">
        <w:rPr>
          <w:rFonts w:ascii="Cambria" w:hAnsi="Cambria"/>
          <w:noProof/>
          <w:color w:val="365F91"/>
          <w:sz w:val="24"/>
        </w:rPr>
        <w:t>Group 16: Increase access to effective and inclusive social policies - Migration &amp; Asylum</w:t>
      </w:r>
    </w:p>
    <w:p w14:paraId="17B5C686" w14:textId="77777777" w:rsidR="001B186F" w:rsidRPr="00DE4E4F" w:rsidRDefault="0074517F">
      <w:pPr>
        <w:numPr>
          <w:ilvl w:val="0"/>
          <w:numId w:val="53"/>
        </w:numPr>
        <w:spacing w:before="120" w:after="0" w:line="240" w:lineRule="auto"/>
        <w:ind w:left="0"/>
        <w:jc w:val="both"/>
        <w:rPr>
          <w:rFonts w:ascii="Times New Roman" w:hAnsi="Times New Roman" w:cs="Times New Roman"/>
          <w:noProof/>
        </w:rPr>
      </w:pPr>
      <w:r w:rsidRPr="00DE4E4F">
        <w:rPr>
          <w:rFonts w:ascii="Times New Roman" w:hAnsi="Times New Roman"/>
          <w:noProof/>
          <w:sz w:val="24"/>
        </w:rPr>
        <w:t>Digitalisation of the Migration and Asylum system (ID: 16763)</w:t>
      </w:r>
    </w:p>
    <w:p w14:paraId="338DD1BB" w14:textId="77777777" w:rsidR="001B186F" w:rsidRPr="00DE4E4F" w:rsidRDefault="0074517F">
      <w:pPr>
        <w:numPr>
          <w:ilvl w:val="0"/>
          <w:numId w:val="53"/>
        </w:numPr>
        <w:spacing w:before="120" w:after="0" w:line="240" w:lineRule="auto"/>
        <w:ind w:left="0"/>
        <w:jc w:val="both"/>
        <w:rPr>
          <w:rFonts w:ascii="Times New Roman" w:hAnsi="Times New Roman" w:cs="Times New Roman"/>
          <w:noProof/>
          <w:sz w:val="24"/>
        </w:rPr>
      </w:pPr>
      <w:r w:rsidRPr="00DE4E4F">
        <w:rPr>
          <w:rFonts w:ascii="Times New Roman" w:hAnsi="Times New Roman"/>
          <w:noProof/>
          <w:sz w:val="24"/>
        </w:rPr>
        <w:t>Digital Transformation of the Social Support System (ID: 16925)</w:t>
      </w:r>
    </w:p>
    <w:p w14:paraId="62B3BE9C" w14:textId="77777777" w:rsidR="001B186F" w:rsidRPr="00DE4E4F" w:rsidRDefault="0074517F">
      <w:pPr>
        <w:numPr>
          <w:ilvl w:val="0"/>
          <w:numId w:val="53"/>
        </w:numPr>
        <w:spacing w:before="120" w:after="0" w:line="240" w:lineRule="auto"/>
        <w:ind w:left="0"/>
        <w:jc w:val="both"/>
        <w:rPr>
          <w:rFonts w:ascii="Times New Roman" w:hAnsi="Times New Roman" w:cs="Times New Roman"/>
          <w:noProof/>
          <w:sz w:val="24"/>
        </w:rPr>
      </w:pPr>
      <w:r w:rsidRPr="00DE4E4F">
        <w:rPr>
          <w:rFonts w:ascii="Times New Roman" w:hAnsi="Times New Roman"/>
          <w:noProof/>
          <w:sz w:val="24"/>
        </w:rPr>
        <w:t>Diversity awareness (ID: 16685)</w:t>
      </w:r>
    </w:p>
    <w:p w14:paraId="24A4520C" w14:textId="77777777" w:rsidR="001B186F" w:rsidRPr="00DE4E4F" w:rsidRDefault="0074517F">
      <w:pPr>
        <w:numPr>
          <w:ilvl w:val="0"/>
          <w:numId w:val="53"/>
        </w:numPr>
        <w:spacing w:before="120" w:after="0" w:line="240" w:lineRule="auto"/>
        <w:ind w:left="0" w:hanging="357"/>
        <w:jc w:val="both"/>
        <w:rPr>
          <w:rFonts w:ascii="Times New Roman" w:hAnsi="Times New Roman" w:cs="Times New Roman"/>
          <w:noProof/>
          <w:sz w:val="24"/>
        </w:rPr>
      </w:pPr>
      <w:r w:rsidRPr="00DE4E4F">
        <w:rPr>
          <w:rFonts w:ascii="Times New Roman" w:hAnsi="Times New Roman"/>
          <w:noProof/>
          <w:sz w:val="24"/>
        </w:rPr>
        <w:t>Social Integration (ID: 16922)</w:t>
      </w:r>
    </w:p>
    <w:p w14:paraId="4EEC5500" w14:textId="77777777" w:rsidR="001B186F" w:rsidRPr="00DE4E4F" w:rsidRDefault="0074517F">
      <w:pPr>
        <w:numPr>
          <w:ilvl w:val="0"/>
          <w:numId w:val="53"/>
        </w:numPr>
        <w:spacing w:before="120" w:after="120" w:line="240" w:lineRule="auto"/>
        <w:ind w:left="0"/>
        <w:jc w:val="both"/>
        <w:rPr>
          <w:rFonts w:ascii="Times New Roman" w:hAnsi="Times New Roman" w:cs="Times New Roman"/>
          <w:noProof/>
          <w:sz w:val="24"/>
        </w:rPr>
      </w:pPr>
      <w:r w:rsidRPr="00DE4E4F">
        <w:rPr>
          <w:rFonts w:ascii="Times New Roman" w:hAnsi="Times New Roman"/>
          <w:noProof/>
          <w:sz w:val="24"/>
        </w:rPr>
        <w:t>Promote integration of the refugee population into the labour market (ID: 16688)</w:t>
      </w:r>
    </w:p>
    <w:tbl>
      <w:tblPr>
        <w:tblW w:w="1576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66"/>
        <w:gridCol w:w="1942"/>
        <w:gridCol w:w="1099"/>
        <w:gridCol w:w="2107"/>
        <w:gridCol w:w="1766"/>
        <w:gridCol w:w="1404"/>
        <w:gridCol w:w="1035"/>
        <w:gridCol w:w="1097"/>
        <w:gridCol w:w="846"/>
        <w:gridCol w:w="783"/>
        <w:gridCol w:w="3117"/>
      </w:tblGrid>
      <w:tr w:rsidR="00682269" w:rsidRPr="00DE4E4F" w14:paraId="14F57502" w14:textId="77777777" w:rsidTr="00B81D86">
        <w:trPr>
          <w:trHeight w:val="927"/>
          <w:tblHeader/>
          <w:jc w:val="center"/>
        </w:trPr>
        <w:tc>
          <w:tcPr>
            <w:tcW w:w="566" w:type="dxa"/>
            <w:vMerge w:val="restart"/>
            <w:shd w:val="clear" w:color="auto" w:fill="BDD7EE"/>
            <w:vAlign w:val="center"/>
            <w:hideMark/>
          </w:tcPr>
          <w:p w14:paraId="5B85B525"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w:t>
            </w:r>
            <w:r w:rsidRPr="00DE4E4F">
              <w:rPr>
                <w:rFonts w:ascii="Times New Roman" w:hAnsi="Times New Roman"/>
                <w:b/>
                <w:noProof/>
                <w:sz w:val="18"/>
              </w:rPr>
              <w:br/>
              <w:t>No.</w:t>
            </w:r>
          </w:p>
        </w:tc>
        <w:tc>
          <w:tcPr>
            <w:tcW w:w="1942" w:type="dxa"/>
            <w:vMerge w:val="restart"/>
            <w:shd w:val="clear" w:color="auto" w:fill="BDD7EE"/>
            <w:vAlign w:val="center"/>
            <w:hideMark/>
          </w:tcPr>
          <w:p w14:paraId="3383259B"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99" w:type="dxa"/>
            <w:vMerge w:val="restart"/>
            <w:shd w:val="clear" w:color="auto" w:fill="BDD7EE"/>
            <w:vAlign w:val="center"/>
            <w:hideMark/>
          </w:tcPr>
          <w:p w14:paraId="49468AFE"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2107" w:type="dxa"/>
            <w:vMerge w:val="restart"/>
            <w:shd w:val="clear" w:color="auto" w:fill="BDD7EE"/>
            <w:vAlign w:val="center"/>
            <w:hideMark/>
          </w:tcPr>
          <w:p w14:paraId="324F0A64"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766" w:type="dxa"/>
            <w:vMerge w:val="restart"/>
            <w:shd w:val="clear" w:color="auto" w:fill="BDD7EE"/>
            <w:vAlign w:val="center"/>
            <w:hideMark/>
          </w:tcPr>
          <w:p w14:paraId="1D4E692F"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536" w:type="dxa"/>
            <w:gridSpan w:val="3"/>
            <w:shd w:val="clear" w:color="auto" w:fill="BDD7EE"/>
            <w:vAlign w:val="center"/>
            <w:hideMark/>
          </w:tcPr>
          <w:p w14:paraId="6425F528"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29" w:type="dxa"/>
            <w:gridSpan w:val="2"/>
            <w:shd w:val="clear" w:color="auto" w:fill="BDD7EE"/>
            <w:vAlign w:val="center"/>
            <w:hideMark/>
          </w:tcPr>
          <w:p w14:paraId="1F3AEB81"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117" w:type="dxa"/>
            <w:vMerge w:val="restart"/>
            <w:shd w:val="clear" w:color="auto" w:fill="BDD7EE"/>
            <w:vAlign w:val="center"/>
            <w:hideMark/>
          </w:tcPr>
          <w:p w14:paraId="326983E3"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1121F79C" w14:textId="77777777" w:rsidTr="00B81D86">
        <w:trPr>
          <w:trHeight w:val="654"/>
          <w:tblHeader/>
          <w:jc w:val="center"/>
        </w:trPr>
        <w:tc>
          <w:tcPr>
            <w:tcW w:w="566" w:type="dxa"/>
            <w:vMerge/>
            <w:vAlign w:val="center"/>
            <w:hideMark/>
          </w:tcPr>
          <w:p w14:paraId="27968387"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c>
          <w:tcPr>
            <w:tcW w:w="1942" w:type="dxa"/>
            <w:vMerge/>
            <w:vAlign w:val="center"/>
            <w:hideMark/>
          </w:tcPr>
          <w:p w14:paraId="5440958D"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c>
          <w:tcPr>
            <w:tcW w:w="1099" w:type="dxa"/>
            <w:vMerge/>
            <w:vAlign w:val="center"/>
            <w:hideMark/>
          </w:tcPr>
          <w:p w14:paraId="4CB63550"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c>
          <w:tcPr>
            <w:tcW w:w="2107" w:type="dxa"/>
            <w:vMerge/>
            <w:vAlign w:val="center"/>
            <w:hideMark/>
          </w:tcPr>
          <w:p w14:paraId="052817E8"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c>
          <w:tcPr>
            <w:tcW w:w="1766" w:type="dxa"/>
            <w:vMerge/>
            <w:vAlign w:val="center"/>
            <w:hideMark/>
          </w:tcPr>
          <w:p w14:paraId="6E29CA96"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c>
          <w:tcPr>
            <w:tcW w:w="1404" w:type="dxa"/>
            <w:shd w:val="clear" w:color="auto" w:fill="BDD7EE"/>
            <w:vAlign w:val="center"/>
            <w:hideMark/>
          </w:tcPr>
          <w:p w14:paraId="544DDC3E"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035" w:type="dxa"/>
            <w:shd w:val="clear" w:color="auto" w:fill="BDD7EE"/>
            <w:vAlign w:val="center"/>
            <w:hideMark/>
          </w:tcPr>
          <w:p w14:paraId="4A072B30"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1097" w:type="dxa"/>
            <w:shd w:val="clear" w:color="auto" w:fill="BDD7EE"/>
            <w:vAlign w:val="center"/>
            <w:hideMark/>
          </w:tcPr>
          <w:p w14:paraId="1010A329"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6" w:type="dxa"/>
            <w:shd w:val="clear" w:color="auto" w:fill="BDD7EE"/>
            <w:vAlign w:val="center"/>
            <w:hideMark/>
          </w:tcPr>
          <w:p w14:paraId="695023C0"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83" w:type="dxa"/>
            <w:shd w:val="clear" w:color="auto" w:fill="BDD7EE"/>
            <w:vAlign w:val="center"/>
            <w:hideMark/>
          </w:tcPr>
          <w:p w14:paraId="42785E02" w14:textId="77777777" w:rsidR="001B186F" w:rsidRPr="00DE4E4F" w:rsidRDefault="0074517F" w:rsidP="00B81D86">
            <w:pPr>
              <w:spacing w:before="12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117" w:type="dxa"/>
            <w:vMerge/>
            <w:vAlign w:val="center"/>
            <w:hideMark/>
          </w:tcPr>
          <w:p w14:paraId="1EBB43BA" w14:textId="77777777" w:rsidR="001B186F" w:rsidRPr="00DE4E4F" w:rsidRDefault="001B186F" w:rsidP="00B81D86">
            <w:pPr>
              <w:spacing w:before="120" w:after="0" w:line="240" w:lineRule="auto"/>
              <w:rPr>
                <w:rFonts w:ascii="Times New Roman" w:eastAsia="Times New Roman" w:hAnsi="Times New Roman" w:cs="Times New Roman"/>
                <w:b/>
                <w:noProof/>
                <w:sz w:val="18"/>
                <w:szCs w:val="18"/>
                <w:lang w:eastAsia="en-GB"/>
              </w:rPr>
            </w:pPr>
          </w:p>
        </w:tc>
      </w:tr>
      <w:tr w:rsidR="00682269" w:rsidRPr="00DE4E4F" w14:paraId="40A20070" w14:textId="77777777" w:rsidTr="00B81D86">
        <w:trPr>
          <w:trHeight w:val="309"/>
          <w:jc w:val="center"/>
        </w:trPr>
        <w:tc>
          <w:tcPr>
            <w:tcW w:w="566" w:type="dxa"/>
            <w:shd w:val="clear" w:color="auto" w:fill="C6EFCE"/>
            <w:noWrap/>
          </w:tcPr>
          <w:p w14:paraId="5F24E89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182</w:t>
            </w:r>
          </w:p>
        </w:tc>
        <w:tc>
          <w:tcPr>
            <w:tcW w:w="1942" w:type="dxa"/>
            <w:shd w:val="clear" w:color="auto" w:fill="C6EFCE"/>
            <w:noWrap/>
          </w:tcPr>
          <w:p w14:paraId="25FD0A82"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- 16925_Digital Transformation of the social support system</w:t>
            </w:r>
          </w:p>
        </w:tc>
        <w:tc>
          <w:tcPr>
            <w:tcW w:w="1099" w:type="dxa"/>
            <w:shd w:val="clear" w:color="auto" w:fill="C6EFCE"/>
            <w:noWrap/>
          </w:tcPr>
          <w:p w14:paraId="7788E28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59677C4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disability cards to beneficiaries</w:t>
            </w:r>
          </w:p>
        </w:tc>
        <w:tc>
          <w:tcPr>
            <w:tcW w:w="1766" w:type="dxa"/>
            <w:shd w:val="clear" w:color="auto" w:fill="C6EFCE"/>
            <w:noWrap/>
          </w:tcPr>
          <w:p w14:paraId="7217C02D"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Issuance of disability cards to beneficiaries</w:t>
            </w:r>
          </w:p>
        </w:tc>
        <w:tc>
          <w:tcPr>
            <w:tcW w:w="1404" w:type="dxa"/>
            <w:shd w:val="clear" w:color="auto" w:fill="C6EFCE"/>
            <w:noWrap/>
          </w:tcPr>
          <w:p w14:paraId="14347F61"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3D07579F"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5DB94F1E"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291D225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5DBC3C46"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19613840" w14:textId="0E54207D"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1</w:t>
            </w:r>
            <w:r w:rsidR="0D4261D0" w:rsidRPr="00DE4E4F">
              <w:rPr>
                <w:rFonts w:ascii="Times New Roman" w:hAnsi="Times New Roman" w:cs="Times New Roman"/>
                <w:noProof/>
                <w:color w:val="006100"/>
                <w:sz w:val="18"/>
                <w:szCs w:val="18"/>
              </w:rPr>
              <w:t>2</w:t>
            </w:r>
            <w:r w:rsidRPr="00DE4E4F">
              <w:rPr>
                <w:rFonts w:ascii="Times New Roman" w:hAnsi="Times New Roman" w:cs="Times New Roman"/>
                <w:noProof/>
                <w:color w:val="006100"/>
                <w:sz w:val="18"/>
                <w:szCs w:val="18"/>
              </w:rPr>
              <w:t>0 000 disability cards to beneficiaries</w:t>
            </w:r>
          </w:p>
          <w:p w14:paraId="41B7BB8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Disability cards shall incorporate cultural and transportation benefits for persons with disabilities </w:t>
            </w:r>
          </w:p>
        </w:tc>
      </w:tr>
      <w:tr w:rsidR="00682269" w:rsidRPr="00DE4E4F" w14:paraId="3625FCC7" w14:textId="77777777" w:rsidTr="00B81D86">
        <w:trPr>
          <w:trHeight w:val="309"/>
          <w:jc w:val="center"/>
        </w:trPr>
        <w:tc>
          <w:tcPr>
            <w:tcW w:w="566" w:type="dxa"/>
            <w:shd w:val="clear" w:color="auto" w:fill="C6EFCE"/>
            <w:noWrap/>
          </w:tcPr>
          <w:p w14:paraId="21F78CB9"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182a</w:t>
            </w:r>
          </w:p>
        </w:tc>
        <w:tc>
          <w:tcPr>
            <w:tcW w:w="1942" w:type="dxa"/>
            <w:shd w:val="clear" w:color="auto" w:fill="C6EFCE"/>
            <w:noWrap/>
          </w:tcPr>
          <w:p w14:paraId="30DE6C5A"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- 16925_Digital Transformation of the social support system</w:t>
            </w:r>
          </w:p>
        </w:tc>
        <w:tc>
          <w:tcPr>
            <w:tcW w:w="1099" w:type="dxa"/>
            <w:shd w:val="clear" w:color="auto" w:fill="C6EFCE"/>
            <w:noWrap/>
          </w:tcPr>
          <w:p w14:paraId="5FEF75A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0082B53C"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National Portal of Disability </w:t>
            </w:r>
          </w:p>
        </w:tc>
        <w:tc>
          <w:tcPr>
            <w:tcW w:w="1766" w:type="dxa"/>
            <w:shd w:val="clear" w:color="auto" w:fill="C6EFCE"/>
            <w:noWrap/>
          </w:tcPr>
          <w:p w14:paraId="316F7F89"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National Portal of disability </w:t>
            </w:r>
          </w:p>
        </w:tc>
        <w:tc>
          <w:tcPr>
            <w:tcW w:w="1404" w:type="dxa"/>
            <w:shd w:val="clear" w:color="auto" w:fill="C6EFCE"/>
            <w:noWrap/>
          </w:tcPr>
          <w:p w14:paraId="1D7C8237"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35" w:type="dxa"/>
            <w:shd w:val="clear" w:color="auto" w:fill="C6EFCE"/>
            <w:noWrap/>
          </w:tcPr>
          <w:p w14:paraId="4C9C35FC"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97" w:type="dxa"/>
            <w:shd w:val="clear" w:color="auto" w:fill="C6EFCE"/>
            <w:noWrap/>
          </w:tcPr>
          <w:p w14:paraId="1FCFD702"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03782A6B"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33FFF14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7CD94481" w14:textId="77777777" w:rsidR="001B186F" w:rsidRPr="00DE4E4F" w:rsidRDefault="0074517F" w:rsidP="00B81D86">
            <w:pPr>
              <w:spacing w:after="0" w:line="240" w:lineRule="auto"/>
              <w:jc w:val="both"/>
              <w:textAlignment w:val="baseline"/>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National Portal of disability provides users online access to their personal data and benefits corresponding to their disability</w:t>
            </w:r>
          </w:p>
        </w:tc>
      </w:tr>
      <w:tr w:rsidR="00682269" w:rsidRPr="00DE4E4F" w14:paraId="6727E9A0" w14:textId="77777777" w:rsidTr="00B81D86">
        <w:trPr>
          <w:trHeight w:val="309"/>
          <w:jc w:val="center"/>
        </w:trPr>
        <w:tc>
          <w:tcPr>
            <w:tcW w:w="566" w:type="dxa"/>
            <w:shd w:val="clear" w:color="auto" w:fill="C6EFCE"/>
            <w:noWrap/>
          </w:tcPr>
          <w:p w14:paraId="2968900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184</w:t>
            </w:r>
          </w:p>
        </w:tc>
        <w:tc>
          <w:tcPr>
            <w:tcW w:w="1942" w:type="dxa"/>
            <w:shd w:val="clear" w:color="auto" w:fill="C6EFCE"/>
            <w:noWrap/>
          </w:tcPr>
          <w:p w14:paraId="2B6B4B9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- 16685_Diversity Awareness</w:t>
            </w:r>
          </w:p>
        </w:tc>
        <w:tc>
          <w:tcPr>
            <w:tcW w:w="1099" w:type="dxa"/>
            <w:shd w:val="clear" w:color="auto" w:fill="C6EFCE"/>
            <w:noWrap/>
          </w:tcPr>
          <w:p w14:paraId="4E40C0C4"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25300D46"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certificates issued for employees in private sector businesses</w:t>
            </w:r>
          </w:p>
        </w:tc>
        <w:tc>
          <w:tcPr>
            <w:tcW w:w="1766" w:type="dxa"/>
            <w:shd w:val="clear" w:color="auto" w:fill="C6EFCE"/>
            <w:noWrap/>
          </w:tcPr>
          <w:p w14:paraId="3F7A09C0" w14:textId="06000BE9" w:rsidR="001B186F" w:rsidRPr="00DE4E4F" w:rsidRDefault="0074517F" w:rsidP="00B81D86">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Diversity awareness training</w:t>
            </w:r>
            <w:r w:rsidRPr="00DE4E4F">
              <w:rPr>
                <w:rFonts w:ascii="Times New Roman" w:eastAsia="Times New Roman" w:hAnsi="Times New Roman" w:cs="Times New Roman"/>
                <w:noProof/>
                <w:color w:val="006100"/>
                <w:sz w:val="18"/>
                <w:szCs w:val="18"/>
                <w:lang w:eastAsia="en-GB"/>
              </w:rPr>
              <w:t xml:space="preserve"> certificates issued for 80</w:t>
            </w:r>
            <w:r w:rsidR="00B81D86" w:rsidRPr="00DE4E4F">
              <w:rPr>
                <w:rFonts w:ascii="Times New Roman" w:eastAsia="Times New Roman" w:hAnsi="Times New Roman" w:cs="Times New Roman"/>
                <w:noProof/>
                <w:color w:val="006100"/>
                <w:sz w:val="18"/>
                <w:szCs w:val="18"/>
                <w:lang w:eastAsia="en-GB"/>
              </w:rPr>
              <w:t> </w:t>
            </w:r>
            <w:r w:rsidRPr="00DE4E4F">
              <w:rPr>
                <w:rFonts w:ascii="Times New Roman" w:eastAsia="Times New Roman" w:hAnsi="Times New Roman" w:cs="Times New Roman"/>
                <w:noProof/>
                <w:color w:val="006100"/>
                <w:sz w:val="18"/>
                <w:szCs w:val="18"/>
                <w:lang w:eastAsia="en-GB"/>
              </w:rPr>
              <w:t xml:space="preserve">000 employees in private sector businesses </w:t>
            </w:r>
          </w:p>
        </w:tc>
        <w:tc>
          <w:tcPr>
            <w:tcW w:w="1404" w:type="dxa"/>
            <w:shd w:val="clear" w:color="auto" w:fill="C6EFCE"/>
            <w:noWrap/>
          </w:tcPr>
          <w:p w14:paraId="47D4E3FD"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1035" w:type="dxa"/>
            <w:shd w:val="clear" w:color="auto" w:fill="C6EFCE"/>
            <w:noWrap/>
          </w:tcPr>
          <w:p w14:paraId="4D3B4790"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7635334E"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71FE28ED"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83" w:type="dxa"/>
            <w:shd w:val="clear" w:color="auto" w:fill="C6EFCE"/>
            <w:noWrap/>
          </w:tcPr>
          <w:p w14:paraId="3E74F406"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117" w:type="dxa"/>
            <w:shd w:val="clear" w:color="auto" w:fill="C6EFCE"/>
            <w:noWrap/>
          </w:tcPr>
          <w:p w14:paraId="27C2619F" w14:textId="13EA93C4"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Diversity awareness training certificates issued for 80</w:t>
            </w:r>
            <w:r w:rsidR="001410D7"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000 employees in private sector businesses </w:t>
            </w:r>
          </w:p>
        </w:tc>
      </w:tr>
      <w:tr w:rsidR="00682269" w:rsidRPr="00DE4E4F" w14:paraId="4BD3B7FE" w14:textId="77777777" w:rsidTr="00B81D86">
        <w:trPr>
          <w:trHeight w:val="309"/>
          <w:jc w:val="center"/>
        </w:trPr>
        <w:tc>
          <w:tcPr>
            <w:tcW w:w="566" w:type="dxa"/>
            <w:shd w:val="clear" w:color="auto" w:fill="C6EFCE"/>
            <w:noWrap/>
          </w:tcPr>
          <w:p w14:paraId="013A894D"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184a</w:t>
            </w:r>
          </w:p>
        </w:tc>
        <w:tc>
          <w:tcPr>
            <w:tcW w:w="1942" w:type="dxa"/>
            <w:shd w:val="clear" w:color="auto" w:fill="C6EFCE"/>
            <w:noWrap/>
          </w:tcPr>
          <w:p w14:paraId="3DB21136"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- 16685_Diversity Awareness</w:t>
            </w:r>
          </w:p>
        </w:tc>
        <w:tc>
          <w:tcPr>
            <w:tcW w:w="1099" w:type="dxa"/>
            <w:shd w:val="clear" w:color="auto" w:fill="C6EFCE"/>
            <w:noWrap/>
          </w:tcPr>
          <w:p w14:paraId="734B0DF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2163E81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Legal act specifying the role of the Equality Observatory, and legal act providing for the start of a pilot for the evaluation and award system for enterprises/organisations promoting diversity and inclusion</w:t>
            </w:r>
            <w:r w:rsidRPr="00DE4E4F" w:rsidDel="008B477A">
              <w:rPr>
                <w:rFonts w:ascii="Times New Roman" w:hAnsi="Times New Roman" w:cs="Times New Roman"/>
                <w:noProof/>
                <w:color w:val="006100"/>
                <w:sz w:val="18"/>
                <w:szCs w:val="18"/>
              </w:rPr>
              <w:t xml:space="preserve"> </w:t>
            </w:r>
          </w:p>
        </w:tc>
        <w:tc>
          <w:tcPr>
            <w:tcW w:w="1766" w:type="dxa"/>
            <w:shd w:val="clear" w:color="auto" w:fill="C6EFCE"/>
            <w:noWrap/>
          </w:tcPr>
          <w:p w14:paraId="10CBA415"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Provision in the legal acts indicating the entry into force of the legal acts</w:t>
            </w:r>
          </w:p>
        </w:tc>
        <w:tc>
          <w:tcPr>
            <w:tcW w:w="1404" w:type="dxa"/>
            <w:shd w:val="clear" w:color="auto" w:fill="C6EFCE"/>
            <w:noWrap/>
          </w:tcPr>
          <w:p w14:paraId="6F62786B"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35" w:type="dxa"/>
            <w:shd w:val="clear" w:color="auto" w:fill="C6EFCE"/>
            <w:noWrap/>
          </w:tcPr>
          <w:p w14:paraId="2FB282F4"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97" w:type="dxa"/>
            <w:shd w:val="clear" w:color="auto" w:fill="C6EFCE"/>
            <w:noWrap/>
          </w:tcPr>
          <w:p w14:paraId="6E569BA3"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0B9DA39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83" w:type="dxa"/>
            <w:shd w:val="clear" w:color="auto" w:fill="C6EFCE"/>
            <w:noWrap/>
          </w:tcPr>
          <w:p w14:paraId="399AB15A"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7E929213"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legal act specifying the role of the Equality Observatory as an operating arm of the Ministry of Social Cohesion and Family Affairs, and attributing the Equality Observatory the role of issuing reports assessing the state of play of equal opportunities.</w:t>
            </w:r>
          </w:p>
          <w:p w14:paraId="57FACE93"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Entry into force of a legal act providing for the start a pilot for the evaluation of an award system for enterprises/organisations promoting diversity and inclusion.</w:t>
            </w:r>
          </w:p>
        </w:tc>
      </w:tr>
      <w:tr w:rsidR="00682269" w:rsidRPr="00DE4E4F" w14:paraId="259C4231" w14:textId="77777777" w:rsidTr="00B81D86">
        <w:trPr>
          <w:trHeight w:val="309"/>
          <w:jc w:val="center"/>
        </w:trPr>
        <w:tc>
          <w:tcPr>
            <w:tcW w:w="566" w:type="dxa"/>
            <w:shd w:val="clear" w:color="auto" w:fill="C6EFCE"/>
            <w:noWrap/>
          </w:tcPr>
          <w:p w14:paraId="144655E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185</w:t>
            </w:r>
          </w:p>
        </w:tc>
        <w:tc>
          <w:tcPr>
            <w:tcW w:w="1942" w:type="dxa"/>
            <w:shd w:val="clear" w:color="auto" w:fill="C6EFCE"/>
            <w:noWrap/>
          </w:tcPr>
          <w:p w14:paraId="695A5575"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- 16763_Digital Transformation of the immigration and asylum system</w:t>
            </w:r>
          </w:p>
        </w:tc>
        <w:tc>
          <w:tcPr>
            <w:tcW w:w="1099" w:type="dxa"/>
            <w:shd w:val="clear" w:color="auto" w:fill="C6EFCE"/>
            <w:noWrap/>
          </w:tcPr>
          <w:p w14:paraId="498D61D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4FEF4401"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Digitalisation of the Migration Asylum System </w:t>
            </w:r>
          </w:p>
        </w:tc>
        <w:tc>
          <w:tcPr>
            <w:tcW w:w="1766" w:type="dxa"/>
            <w:shd w:val="clear" w:color="auto" w:fill="C6EFCE"/>
            <w:noWrap/>
          </w:tcPr>
          <w:p w14:paraId="2910BE78"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Digitalisation projects for the Migration Asylum System </w:t>
            </w:r>
          </w:p>
        </w:tc>
        <w:tc>
          <w:tcPr>
            <w:tcW w:w="1404" w:type="dxa"/>
            <w:shd w:val="clear" w:color="auto" w:fill="C6EFCE"/>
            <w:noWrap/>
          </w:tcPr>
          <w:p w14:paraId="0267CED9"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35" w:type="dxa"/>
            <w:shd w:val="clear" w:color="auto" w:fill="C6EFCE"/>
            <w:noWrap/>
          </w:tcPr>
          <w:p w14:paraId="637718B9"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97" w:type="dxa"/>
            <w:shd w:val="clear" w:color="auto" w:fill="C6EFCE"/>
            <w:noWrap/>
          </w:tcPr>
          <w:p w14:paraId="6AFC4C65"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C0BB1B4"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83" w:type="dxa"/>
            <w:shd w:val="clear" w:color="auto" w:fill="C6EFCE"/>
            <w:noWrap/>
          </w:tcPr>
          <w:p w14:paraId="17AD3FB4"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6C7192DC"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 Digitisation and document management system on legal migration of the Ministry of Migration and Asylum for a unified management of the whole life cycle of the procedures related to refugee flows.</w:t>
            </w:r>
          </w:p>
          <w:p w14:paraId="5C1C0425"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Creation of integrated digital migration services and cybersecurity infrastructure services for the protection of the Information Infrastructures of the Ministry of Migration and Asylum</w:t>
            </w:r>
          </w:p>
          <w:p w14:paraId="39D7F3F5"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 Provision of high-speed internet to the temporary accommodation facilities (REA)</w:t>
            </w:r>
          </w:p>
          <w:p w14:paraId="2CB6C2CA"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 Creation of a management system for asylum seekers (HYPERION).</w:t>
            </w:r>
          </w:p>
          <w:p w14:paraId="7A5B8F7A"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 Creation of an integrated digital electronic and physical security management system (KENTAVROS).</w:t>
            </w:r>
          </w:p>
        </w:tc>
      </w:tr>
      <w:tr w:rsidR="00682269" w:rsidRPr="00DE4E4F" w14:paraId="2B8631B0" w14:textId="77777777" w:rsidTr="00B81D86">
        <w:trPr>
          <w:trHeight w:val="425"/>
          <w:jc w:val="center"/>
        </w:trPr>
        <w:tc>
          <w:tcPr>
            <w:tcW w:w="566" w:type="dxa"/>
            <w:shd w:val="clear" w:color="auto" w:fill="C6EFCE"/>
            <w:noWrap/>
          </w:tcPr>
          <w:p w14:paraId="76A429D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186</w:t>
            </w:r>
          </w:p>
        </w:tc>
        <w:tc>
          <w:tcPr>
            <w:tcW w:w="1942" w:type="dxa"/>
            <w:shd w:val="clear" w:color="auto" w:fill="C6EFCE"/>
            <w:noWrap/>
          </w:tcPr>
          <w:p w14:paraId="12E6075B"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- 16922_Social Integration</w:t>
            </w:r>
          </w:p>
        </w:tc>
        <w:tc>
          <w:tcPr>
            <w:tcW w:w="1099" w:type="dxa"/>
            <w:shd w:val="clear" w:color="auto" w:fill="C6EFCE"/>
            <w:noWrap/>
          </w:tcPr>
          <w:p w14:paraId="1DB4F76A"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107" w:type="dxa"/>
            <w:shd w:val="clear" w:color="auto" w:fill="C6EFCE"/>
            <w:noWrap/>
          </w:tcPr>
          <w:p w14:paraId="428470A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Social housing renovation apartment completion </w:t>
            </w:r>
          </w:p>
        </w:tc>
        <w:tc>
          <w:tcPr>
            <w:tcW w:w="1766" w:type="dxa"/>
            <w:shd w:val="clear" w:color="auto" w:fill="C6EFCE"/>
            <w:noWrap/>
          </w:tcPr>
          <w:p w14:paraId="6DE38E83"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404" w:type="dxa"/>
            <w:shd w:val="clear" w:color="auto" w:fill="C6EFCE"/>
            <w:noWrap/>
          </w:tcPr>
          <w:p w14:paraId="4DDF267C"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Renovated apartments</w:t>
            </w:r>
          </w:p>
        </w:tc>
        <w:tc>
          <w:tcPr>
            <w:tcW w:w="1035" w:type="dxa"/>
            <w:shd w:val="clear" w:color="auto" w:fill="C6EFCE"/>
            <w:noWrap/>
          </w:tcPr>
          <w:p w14:paraId="04D4364C"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1097" w:type="dxa"/>
            <w:shd w:val="clear" w:color="auto" w:fill="C6EFCE"/>
            <w:noWrap/>
          </w:tcPr>
          <w:p w14:paraId="5C33AD84"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p>
          <w:p w14:paraId="45948BBA"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EC13230"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83" w:type="dxa"/>
            <w:shd w:val="clear" w:color="auto" w:fill="C6EFCE"/>
            <w:noWrap/>
          </w:tcPr>
          <w:p w14:paraId="04AF508E" w14:textId="77777777" w:rsidR="001B186F" w:rsidRPr="00DE4E4F" w:rsidRDefault="0074517F" w:rsidP="00B81D86">
            <w:pPr>
              <w:spacing w:before="120"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54B2077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50 apartments renovated. </w:t>
            </w:r>
          </w:p>
          <w:p w14:paraId="4CD53CB1"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r>
      <w:tr w:rsidR="00682269" w:rsidRPr="00DE4E4F" w14:paraId="3192CAAA" w14:textId="77777777" w:rsidTr="00B81D86">
        <w:trPr>
          <w:trHeight w:val="309"/>
          <w:jc w:val="center"/>
        </w:trPr>
        <w:tc>
          <w:tcPr>
            <w:tcW w:w="566" w:type="dxa"/>
            <w:shd w:val="clear" w:color="auto" w:fill="C6EFCE"/>
            <w:noWrap/>
          </w:tcPr>
          <w:p w14:paraId="562CE92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186a</w:t>
            </w:r>
          </w:p>
        </w:tc>
        <w:tc>
          <w:tcPr>
            <w:tcW w:w="1942" w:type="dxa"/>
            <w:shd w:val="clear" w:color="auto" w:fill="C6EFCE"/>
            <w:noWrap/>
          </w:tcPr>
          <w:p w14:paraId="13FA650D"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- 16922_Social Integration</w:t>
            </w:r>
          </w:p>
        </w:tc>
        <w:tc>
          <w:tcPr>
            <w:tcW w:w="1099" w:type="dxa"/>
            <w:shd w:val="clear" w:color="auto" w:fill="C6EFCE"/>
            <w:noWrap/>
          </w:tcPr>
          <w:p w14:paraId="08036750"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059F1566"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Social integration of vulnerable groups, digital training</w:t>
            </w:r>
          </w:p>
        </w:tc>
        <w:tc>
          <w:tcPr>
            <w:tcW w:w="1766" w:type="dxa"/>
            <w:shd w:val="clear" w:color="auto" w:fill="C6EFCE"/>
            <w:noWrap/>
          </w:tcPr>
          <w:p w14:paraId="43049969"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Elderly persons and persons with disabilities enrolled in a training following the launch of the call for applications</w:t>
            </w:r>
          </w:p>
        </w:tc>
        <w:tc>
          <w:tcPr>
            <w:tcW w:w="1404" w:type="dxa"/>
            <w:shd w:val="clear" w:color="auto" w:fill="C6EFCE"/>
            <w:noWrap/>
          </w:tcPr>
          <w:p w14:paraId="227E2331"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35" w:type="dxa"/>
            <w:shd w:val="clear" w:color="auto" w:fill="C6EFCE"/>
            <w:noWrap/>
          </w:tcPr>
          <w:p w14:paraId="5C18E4AB"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97" w:type="dxa"/>
            <w:shd w:val="clear" w:color="auto" w:fill="C6EFCE"/>
            <w:noWrap/>
          </w:tcPr>
          <w:p w14:paraId="4209541B"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7AEC5D6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58C94C0E"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3D77A21B"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5 400 elderly persons and persons with disabilities enrolled in a digital training </w:t>
            </w:r>
          </w:p>
        </w:tc>
      </w:tr>
      <w:tr w:rsidR="00682269" w:rsidRPr="00DE4E4F" w14:paraId="31A731C6" w14:textId="77777777" w:rsidTr="00B81D86">
        <w:trPr>
          <w:trHeight w:val="309"/>
          <w:jc w:val="center"/>
        </w:trPr>
        <w:tc>
          <w:tcPr>
            <w:tcW w:w="566" w:type="dxa"/>
            <w:shd w:val="clear" w:color="auto" w:fill="C6EFCE"/>
            <w:noWrap/>
          </w:tcPr>
          <w:p w14:paraId="6775A1F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187</w:t>
            </w:r>
          </w:p>
        </w:tc>
        <w:tc>
          <w:tcPr>
            <w:tcW w:w="1942" w:type="dxa"/>
            <w:shd w:val="clear" w:color="auto" w:fill="C6EFCE"/>
            <w:noWrap/>
          </w:tcPr>
          <w:p w14:paraId="26D36224" w14:textId="77777777" w:rsidR="001B186F" w:rsidRPr="00DE4E4F" w:rsidRDefault="0074517F" w:rsidP="00B81D86">
            <w:pPr>
              <w:spacing w:before="120"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- 16688: Promote integration of the refugee population into the labour market </w:t>
            </w:r>
          </w:p>
          <w:p w14:paraId="1668B7A7"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lang w:eastAsia="en-GB"/>
              </w:rPr>
            </w:pPr>
          </w:p>
        </w:tc>
        <w:tc>
          <w:tcPr>
            <w:tcW w:w="1099" w:type="dxa"/>
            <w:shd w:val="clear" w:color="auto" w:fill="C6EFCE"/>
            <w:noWrap/>
          </w:tcPr>
          <w:p w14:paraId="4A5A3A77"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107" w:type="dxa"/>
            <w:shd w:val="clear" w:color="auto" w:fill="C6EFCE"/>
            <w:noWrap/>
          </w:tcPr>
          <w:p w14:paraId="0281B4EF"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Refugee labour market integration</w:t>
            </w:r>
          </w:p>
        </w:tc>
        <w:tc>
          <w:tcPr>
            <w:tcW w:w="1766" w:type="dxa"/>
            <w:shd w:val="clear" w:color="auto" w:fill="C6EFCE"/>
            <w:noWrap/>
          </w:tcPr>
          <w:p w14:paraId="4506F629"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Vocational training programme</w:t>
            </w:r>
          </w:p>
        </w:tc>
        <w:tc>
          <w:tcPr>
            <w:tcW w:w="1404" w:type="dxa"/>
            <w:shd w:val="clear" w:color="auto" w:fill="C6EFCE"/>
            <w:noWrap/>
          </w:tcPr>
          <w:p w14:paraId="371E6BB9"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035" w:type="dxa"/>
            <w:shd w:val="clear" w:color="auto" w:fill="C6EFCE"/>
            <w:noWrap/>
          </w:tcPr>
          <w:p w14:paraId="2517671C"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1097" w:type="dxa"/>
            <w:shd w:val="clear" w:color="auto" w:fill="C6EFCE"/>
            <w:noWrap/>
          </w:tcPr>
          <w:p w14:paraId="0DDB5AEB" w14:textId="77777777" w:rsidR="001B186F" w:rsidRPr="00DE4E4F" w:rsidRDefault="001B186F" w:rsidP="00B81D86">
            <w:pPr>
              <w:spacing w:before="120" w:after="0" w:line="240" w:lineRule="auto"/>
              <w:rPr>
                <w:rFonts w:ascii="Times New Roman" w:eastAsia="Times New Roman" w:hAnsi="Times New Roman" w:cs="Times New Roman"/>
                <w:noProof/>
                <w:color w:val="006100"/>
                <w:sz w:val="18"/>
                <w:szCs w:val="18"/>
              </w:rPr>
            </w:pPr>
          </w:p>
        </w:tc>
        <w:tc>
          <w:tcPr>
            <w:tcW w:w="846" w:type="dxa"/>
            <w:shd w:val="clear" w:color="auto" w:fill="C6EFCE"/>
            <w:noWrap/>
          </w:tcPr>
          <w:p w14:paraId="333B9043"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83" w:type="dxa"/>
            <w:shd w:val="clear" w:color="auto" w:fill="C6EFCE"/>
            <w:noWrap/>
          </w:tcPr>
          <w:p w14:paraId="0F1A183C" w14:textId="77777777" w:rsidR="001B186F" w:rsidRPr="00DE4E4F" w:rsidRDefault="0074517F" w:rsidP="00B81D86">
            <w:pPr>
              <w:spacing w:before="120"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17" w:type="dxa"/>
            <w:shd w:val="clear" w:color="auto" w:fill="C6EFCE"/>
            <w:noWrap/>
          </w:tcPr>
          <w:p w14:paraId="77206A9E" w14:textId="4DA3C334" w:rsidR="001B186F" w:rsidRPr="00DE4E4F" w:rsidRDefault="005A0DF0" w:rsidP="00B81D86">
            <w:pPr>
              <w:spacing w:before="120"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Delivery of 7</w:t>
            </w:r>
            <w:r w:rsidR="0081300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800 v</w:t>
            </w:r>
            <w:r w:rsidR="0074517F" w:rsidRPr="00DE4E4F">
              <w:rPr>
                <w:rFonts w:ascii="Times New Roman" w:hAnsi="Times New Roman" w:cs="Times New Roman"/>
                <w:noProof/>
                <w:color w:val="006100"/>
                <w:sz w:val="18"/>
                <w:szCs w:val="18"/>
              </w:rPr>
              <w:t>ocational</w:t>
            </w:r>
            <w:r w:rsidRPr="00DE4E4F">
              <w:rPr>
                <w:rFonts w:ascii="Times New Roman" w:hAnsi="Times New Roman" w:cs="Times New Roman"/>
                <w:noProof/>
                <w:color w:val="006100"/>
                <w:sz w:val="18"/>
                <w:szCs w:val="18"/>
              </w:rPr>
              <w:t xml:space="preserve"> or linguistic</w:t>
            </w:r>
            <w:r w:rsidR="0074517F" w:rsidRPr="00DE4E4F">
              <w:rPr>
                <w:rFonts w:ascii="Times New Roman" w:hAnsi="Times New Roman" w:cs="Times New Roman"/>
                <w:noProof/>
                <w:color w:val="006100"/>
                <w:sz w:val="18"/>
                <w:szCs w:val="18"/>
              </w:rPr>
              <w:t xml:space="preserve"> training</w:t>
            </w:r>
            <w:r w:rsidRPr="00DE4E4F">
              <w:rPr>
                <w:rFonts w:ascii="Times New Roman" w:hAnsi="Times New Roman" w:cs="Times New Roman"/>
                <w:noProof/>
                <w:color w:val="006100"/>
                <w:sz w:val="18"/>
                <w:szCs w:val="18"/>
              </w:rPr>
              <w:t>s</w:t>
            </w:r>
            <w:r w:rsidR="0074517F" w:rsidRPr="00DE4E4F">
              <w:rPr>
                <w:rFonts w:ascii="Times New Roman" w:hAnsi="Times New Roman" w:cs="Times New Roman"/>
                <w:noProof/>
                <w:color w:val="006100"/>
                <w:sz w:val="18"/>
                <w:szCs w:val="18"/>
              </w:rPr>
              <w:t xml:space="preserve"> for</w:t>
            </w:r>
            <w:r w:rsidR="00DE4C0C"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specified refugees including recognized refugees (beneficiaries of international protection) residing either in accommodation facilities of the Ministry of Migration and Asylum or in the urban area, beneficiaries of temporary protection, legal migrants, and asylum seekers. Out of these beneficiaries,</w:t>
            </w:r>
            <w:r w:rsidR="00DE4C0C" w:rsidRPr="00DE4E4F">
              <w:rPr>
                <w:rFonts w:ascii="Times New Roman" w:hAnsi="Times New Roman" w:cs="Times New Roman"/>
                <w:noProof/>
                <w:color w:val="006100"/>
                <w:sz w:val="18"/>
                <w:szCs w:val="18"/>
              </w:rPr>
              <w:t xml:space="preserve"> </w:t>
            </w:r>
            <w:r w:rsidR="685227E3" w:rsidRPr="00DE4E4F">
              <w:rPr>
                <w:rFonts w:ascii="Times New Roman" w:hAnsi="Times New Roman" w:cs="Times New Roman"/>
                <w:noProof/>
                <w:color w:val="006100"/>
                <w:sz w:val="18"/>
                <w:szCs w:val="18"/>
              </w:rPr>
              <w:t>618</w:t>
            </w:r>
            <w:r w:rsidR="0074517F" w:rsidRPr="00DE4E4F">
              <w:rPr>
                <w:rFonts w:ascii="Times New Roman" w:hAnsi="Times New Roman" w:cs="Times New Roman"/>
                <w:noProof/>
                <w:color w:val="006100"/>
                <w:sz w:val="18"/>
                <w:szCs w:val="18"/>
              </w:rPr>
              <w:t xml:space="preserve"> have signed traineeship contracts.</w:t>
            </w:r>
          </w:p>
        </w:tc>
      </w:tr>
    </w:tbl>
    <w:p w14:paraId="762D54DD" w14:textId="77777777" w:rsidR="001B186F" w:rsidRPr="00DE4E4F" w:rsidRDefault="001B186F">
      <w:pPr>
        <w:tabs>
          <w:tab w:val="left" w:pos="3423"/>
        </w:tabs>
        <w:spacing w:before="120" w:after="120" w:line="240" w:lineRule="auto"/>
        <w:jc w:val="both"/>
        <w:rPr>
          <w:rFonts w:ascii="Times New Roman" w:hAnsi="Times New Roman" w:cs="Times New Roman"/>
          <w:noProof/>
          <w:sz w:val="24"/>
        </w:rPr>
        <w:sectPr w:rsidR="001B186F" w:rsidRPr="00DE4E4F">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441D9D9E" w14:textId="77777777" w:rsidR="001B186F" w:rsidRPr="00DE4E4F" w:rsidRDefault="0074517F">
      <w:pPr>
        <w:spacing w:before="120" w:after="120" w:line="240" w:lineRule="auto"/>
        <w:jc w:val="both"/>
        <w:rPr>
          <w:rFonts w:ascii="Times New Roman" w:hAnsi="Times New Roman" w:cs="Times New Roman"/>
          <w:b/>
          <w:bCs/>
          <w:i/>
          <w:iCs/>
          <w:noProof/>
          <w:color w:val="4F81BD"/>
          <w:sz w:val="24"/>
          <w:szCs w:val="24"/>
        </w:rPr>
      </w:pPr>
      <w:r w:rsidRPr="00DE4E4F">
        <w:rPr>
          <w:rFonts w:ascii="Times New Roman" w:hAnsi="Times New Roman"/>
          <w:b/>
          <w:bCs/>
          <w:noProof/>
          <w:sz w:val="24"/>
          <w:szCs w:val="24"/>
          <w:u w:val="single"/>
        </w:rPr>
        <w:t xml:space="preserve">K.3. Description of the reforms and investments for the loan </w:t>
      </w:r>
    </w:p>
    <w:p w14:paraId="3F348FA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Affordable Housing Programme “My Home II” (measure ID 16400)</w:t>
      </w:r>
    </w:p>
    <w:p w14:paraId="5E7746DD" w14:textId="42354502"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 xml:space="preserve">This measure shall consist of a public </w:t>
      </w:r>
      <w:r w:rsidRPr="00DE4E4F">
        <w:rPr>
          <w:rFonts w:ascii="Times New Roman" w:eastAsia="@MS Mincho" w:hAnsi="Times New Roman" w:cs="Times New Roman"/>
          <w:noProof/>
          <w:sz w:val="24"/>
          <w:szCs w:val="24"/>
        </w:rPr>
        <w:t>investment</w:t>
      </w:r>
      <w:r w:rsidRPr="00DE4E4F">
        <w:rPr>
          <w:rFonts w:ascii="Times New Roman" w:hAnsi="Times New Roman" w:cs="Times New Roman"/>
          <w:noProof/>
          <w:sz w:val="24"/>
          <w:szCs w:val="24"/>
        </w:rPr>
        <w:t xml:space="preserve"> in the “</w:t>
      </w:r>
      <w:r w:rsidRPr="00DE4E4F">
        <w:rPr>
          <w:rFonts w:ascii="Times New Roman" w:hAnsi="Times New Roman"/>
          <w:noProof/>
          <w:sz w:val="24"/>
        </w:rPr>
        <w:t>My Home II</w:t>
      </w:r>
      <w:r w:rsidRPr="00DE4E4F">
        <w:rPr>
          <w:rFonts w:ascii="Times New Roman" w:hAnsi="Times New Roman" w:cs="Times New Roman"/>
          <w:noProof/>
          <w:sz w:val="24"/>
          <w:szCs w:val="24"/>
        </w:rPr>
        <w:t xml:space="preserve">” Facility, </w:t>
      </w:r>
      <w:r w:rsidRPr="00DE4E4F">
        <w:rPr>
          <w:rFonts w:ascii="Times New Roman" w:eastAsia="@MS Mincho" w:hAnsi="Times New Roman" w:cs="Times New Roman"/>
          <w:noProof/>
          <w:sz w:val="24"/>
          <w:szCs w:val="24"/>
        </w:rPr>
        <w:t>in order to incentivise private investment and improve access to finance in Greece’s housing sector. The Facility shall operate by providing loans directly to the private sector</w:t>
      </w:r>
      <w:r w:rsidRPr="00DE4E4F">
        <w:rPr>
          <w:rFonts w:ascii="Times New Roman" w:hAnsi="Times New Roman" w:cs="Times New Roman"/>
          <w:noProof/>
          <w:sz w:val="24"/>
          <w:szCs w:val="24"/>
        </w:rPr>
        <w:t>. On the basis of the RRF Investment, the Facility “</w:t>
      </w:r>
      <w:r w:rsidRPr="00DE4E4F">
        <w:rPr>
          <w:rFonts w:ascii="Times New Roman" w:hAnsi="Times New Roman"/>
          <w:noProof/>
          <w:sz w:val="24"/>
        </w:rPr>
        <w:t>My Home II</w:t>
      </w:r>
      <w:r w:rsidRPr="00DE4E4F">
        <w:rPr>
          <w:rFonts w:ascii="Times New Roman" w:hAnsi="Times New Roman" w:cs="Times New Roman"/>
          <w:noProof/>
          <w:sz w:val="24"/>
          <w:szCs w:val="24"/>
        </w:rPr>
        <w:t>” aims at initially</w:t>
      </w:r>
      <w:r w:rsidRPr="00DE4E4F" w:rsidDel="148B7273">
        <w:rPr>
          <w:rFonts w:ascii="Times New Roman" w:hAnsi="Times New Roman" w:cs="Times New Roman"/>
          <w:noProof/>
          <w:sz w:val="24"/>
          <w:szCs w:val="24"/>
        </w:rPr>
        <w:t xml:space="preserve"> </w:t>
      </w:r>
      <w:r w:rsidRPr="00DE4E4F">
        <w:rPr>
          <w:rFonts w:ascii="Times New Roman" w:hAnsi="Times New Roman" w:cs="Times New Roman"/>
          <w:noProof/>
          <w:sz w:val="24"/>
          <w:szCs w:val="24"/>
        </w:rPr>
        <w:t xml:space="preserve">providing at least EUR </w:t>
      </w:r>
      <w:r w:rsidR="00CF036B" w:rsidRPr="00DE4E4F">
        <w:rPr>
          <w:rFonts w:ascii="Times New Roman" w:hAnsi="Times New Roman" w:cs="Times New Roman"/>
          <w:noProof/>
          <w:sz w:val="24"/>
          <w:szCs w:val="24"/>
        </w:rPr>
        <w:t>760 000 000</w:t>
      </w:r>
      <w:r w:rsidRPr="00DE4E4F">
        <w:rPr>
          <w:rFonts w:ascii="Times New Roman" w:hAnsi="Times New Roman" w:cs="Times New Roman"/>
          <w:noProof/>
          <w:sz w:val="24"/>
          <w:szCs w:val="24"/>
        </w:rPr>
        <w:t xml:space="preserve"> of financing.</w:t>
      </w:r>
    </w:p>
    <w:p w14:paraId="20E686A5" w14:textId="77777777"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Facility “</w:t>
      </w:r>
      <w:r w:rsidRPr="00DE4E4F">
        <w:rPr>
          <w:rFonts w:ascii="Times New Roman" w:hAnsi="Times New Roman"/>
          <w:noProof/>
          <w:sz w:val="24"/>
        </w:rPr>
        <w:t>My Home II</w:t>
      </w:r>
      <w:r w:rsidRPr="00DE4E4F">
        <w:rPr>
          <w:rFonts w:ascii="Times New Roman" w:hAnsi="Times New Roman" w:cs="Times New Roman"/>
          <w:noProof/>
          <w:sz w:val="24"/>
          <w:szCs w:val="24"/>
        </w:rPr>
        <w:t xml:space="preserve">” shall be managed by the Hellenic Development Bank as the implementing partner. The Facility shall include the following product line: </w:t>
      </w:r>
    </w:p>
    <w:p w14:paraId="46C8332B"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Hellenic Development Bank shall select the commercial banks as financial intermediaries to participate in the Facility, in an open, transparent and non-discriminatory manner, through an open call. Commercial banks shall co-finance the loans issued under the Facility. These loans will be provided to individuals for the acquisition of primary residence. The loan structure shall provide for 50% interest-free funding from the “My Home II” Facility, and 50% funding from participating banks at market rates.</w:t>
      </w:r>
    </w:p>
    <w:p w14:paraId="095FE08D" w14:textId="77777777"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In order to implement the investment into the Facility “</w:t>
      </w:r>
      <w:r w:rsidRPr="00DE4E4F">
        <w:rPr>
          <w:rFonts w:ascii="Times New Roman" w:hAnsi="Times New Roman"/>
          <w:noProof/>
          <w:sz w:val="24"/>
        </w:rPr>
        <w:t>My Home II</w:t>
      </w:r>
      <w:r w:rsidRPr="00DE4E4F">
        <w:rPr>
          <w:rFonts w:ascii="Times New Roman" w:hAnsi="Times New Roman" w:cs="Times New Roman"/>
          <w:noProof/>
          <w:sz w:val="24"/>
          <w:szCs w:val="24"/>
        </w:rPr>
        <w:t>”, Greece and the Hellenic Development Bank shall sign an Implementing Agreement. The Implementing Agreement shall include the following content:</w:t>
      </w:r>
    </w:p>
    <w:p w14:paraId="3E36323A" w14:textId="77777777" w:rsidR="001B186F" w:rsidRPr="00DE4E4F" w:rsidRDefault="0074517F">
      <w:pPr>
        <w:pStyle w:val="LegalNumPar"/>
        <w:numPr>
          <w:ilvl w:val="0"/>
          <w:numId w:val="54"/>
        </w:numPr>
        <w:jc w:val="both"/>
        <w:rPr>
          <w:rFonts w:ascii="Times New Roman" w:eastAsia="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Description of the decision-making process of the Facility </w:t>
      </w:r>
      <w:r w:rsidRPr="00DE4E4F" w:rsidDel="1D72F32B">
        <w:rPr>
          <w:rFonts w:ascii="Times New Roman" w:hAnsi="Times New Roman" w:cs="Times New Roman"/>
          <w:noProof/>
          <w:sz w:val="24"/>
          <w:szCs w:val="24"/>
          <w:lang w:val="en-GB"/>
        </w:rPr>
        <w:t>“</w:t>
      </w:r>
      <w:r w:rsidRPr="00DE4E4F" w:rsidDel="1D72F32B">
        <w:rPr>
          <w:rFonts w:ascii="Times New Roman" w:hAnsi="Times New Roman"/>
          <w:noProof/>
          <w:sz w:val="24"/>
          <w:lang w:val="en-GB"/>
        </w:rPr>
        <w:t>My Home</w:t>
      </w:r>
      <w:r w:rsidRPr="00DE4E4F">
        <w:rPr>
          <w:rFonts w:ascii="Times New Roman" w:hAnsi="Times New Roman"/>
          <w:noProof/>
          <w:sz w:val="24"/>
          <w:lang w:val="en-GB"/>
        </w:rPr>
        <w:t xml:space="preserve"> II</w:t>
      </w:r>
      <w:r w:rsidRPr="00DE4E4F" w:rsidDel="1D72F32B">
        <w:rPr>
          <w:rFonts w:ascii="Times New Roman" w:hAnsi="Times New Roman" w:cs="Times New Roman"/>
          <w:noProof/>
          <w:sz w:val="24"/>
          <w:szCs w:val="24"/>
          <w:lang w:val="en-GB"/>
        </w:rPr>
        <w:t>”</w:t>
      </w:r>
      <w:r w:rsidRPr="00DE4E4F">
        <w:rPr>
          <w:rFonts w:ascii="Times New Roman" w:hAnsi="Times New Roman" w:cs="Times New Roman"/>
          <w:noProof/>
          <w:sz w:val="24"/>
          <w:szCs w:val="24"/>
          <w:lang w:val="en-GB"/>
        </w:rPr>
        <w:t>. The final investment decision of the Facility shall be taken by an investment committee or other relevant equivalent governing body and approved by a majority of votes from members who are independent from the government.</w:t>
      </w:r>
    </w:p>
    <w:p w14:paraId="4031ACF8"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Key requirements of the financial products,</w:t>
      </w:r>
      <w:r w:rsidRPr="00DE4E4F">
        <w:rPr>
          <w:rFonts w:ascii="Times New Roman" w:hAnsi="Times New Roman" w:cs="Times New Roman"/>
          <w:b/>
          <w:noProof/>
          <w:sz w:val="24"/>
          <w:szCs w:val="24"/>
          <w:lang w:val="en-GB"/>
        </w:rPr>
        <w:t xml:space="preserve"> </w:t>
      </w:r>
      <w:r w:rsidRPr="00DE4E4F">
        <w:rPr>
          <w:rFonts w:ascii="Times New Roman" w:hAnsi="Times New Roman" w:cs="Times New Roman"/>
          <w:noProof/>
          <w:sz w:val="24"/>
          <w:szCs w:val="24"/>
          <w:lang w:val="en-GB"/>
        </w:rPr>
        <w:t>which shall include:</w:t>
      </w:r>
    </w:p>
    <w:p w14:paraId="4CC56E06"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description of the financial products and eligible final beneficiaries.</w:t>
      </w:r>
    </w:p>
    <w:p w14:paraId="4D1AC468"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requirement that all investments supported are economically viable.</w:t>
      </w:r>
    </w:p>
    <w:p w14:paraId="16ED96A9" w14:textId="77777777" w:rsidR="001B186F" w:rsidRPr="00DE4E4F" w:rsidRDefault="0074517F">
      <w:pPr>
        <w:pStyle w:val="LegalNumPar2"/>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requirement that final beneficiaries of the Facility shall not receive support from other Union instruments to cover the same cost.</w:t>
      </w:r>
    </w:p>
    <w:p w14:paraId="33B992CF"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amount covered by the Implementing Agreement, the fee structure for the implementing partner and financial intermediaries, and </w:t>
      </w:r>
      <w:r w:rsidRPr="00DE4E4F">
        <w:rPr>
          <w:rFonts w:ascii="Times New Roman" w:eastAsia="Times New Roman" w:hAnsi="Times New Roman" w:cs="Times New Roman"/>
          <w:noProof/>
          <w:color w:val="000000" w:themeColor="text1"/>
          <w:sz w:val="24"/>
          <w:szCs w:val="24"/>
          <w:lang w:val="en-GB"/>
        </w:rPr>
        <w:t>the requirement to reinvest any reflows according to the investment policy of the Facility unless they are used to service loan repayments of the Recovery and Resilience Facility</w:t>
      </w:r>
      <w:r w:rsidRPr="00DE4E4F">
        <w:rPr>
          <w:rFonts w:ascii="Times New Roman" w:hAnsi="Times New Roman" w:cs="Times New Roman"/>
          <w:noProof/>
          <w:sz w:val="24"/>
          <w:szCs w:val="24"/>
          <w:lang w:val="en-GB"/>
        </w:rPr>
        <w:t>.</w:t>
      </w:r>
    </w:p>
    <w:p w14:paraId="7141D8A0"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bCs/>
          <w:noProof/>
          <w:sz w:val="24"/>
          <w:szCs w:val="24"/>
          <w:lang w:val="en-GB"/>
        </w:rPr>
        <w:t>Monitoring</w:t>
      </w:r>
      <w:r w:rsidRPr="00DE4E4F">
        <w:rPr>
          <w:rFonts w:ascii="Times New Roman" w:hAnsi="Times New Roman" w:cs="Times New Roman"/>
          <w:noProof/>
          <w:sz w:val="24"/>
          <w:szCs w:val="24"/>
          <w:lang w:val="en-GB"/>
        </w:rPr>
        <w:t>, audit, and control requirements, including the description of the implementing partner’s procedures that shall ensure the prevention, detection and correction of fraud, corruption, and conflicts of interest.</w:t>
      </w:r>
    </w:p>
    <w:p w14:paraId="062072A2" w14:textId="77777777" w:rsidR="001B186F" w:rsidRPr="00DE4E4F" w:rsidRDefault="0074517F">
      <w:pPr>
        <w:pStyle w:val="LegalNumPa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Hellenic Development Bank </w:t>
      </w:r>
      <w:r w:rsidRPr="00DE4E4F">
        <w:rPr>
          <w:rStyle w:val="normaltextrun"/>
          <w:rFonts w:ascii="Times New Roman" w:hAnsi="Times New Roman" w:cs="Times New Roman"/>
          <w:noProof/>
          <w:sz w:val="24"/>
          <w:szCs w:val="24"/>
          <w:lang w:val="en-GB"/>
        </w:rPr>
        <w:t>shall sign Funding Agreements with the financial intermediaries in line with key requirements that shall be provided as an annex of the Implementing Agreement. The key requirements of the Funding Agreements shall include all the requirements under which the Facility operates, including: </w:t>
      </w:r>
    </w:p>
    <w:p w14:paraId="25DA51BF"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final decision on the loans issuances shall be taken by the financial intermediaries in accordance with their policies and procedures, independently from the government.</w:t>
      </w:r>
    </w:p>
    <w:p w14:paraId="437EDC43"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obligation of the financial intermediaries to take its decisions in compliance </w:t>
      </w:r>
      <w:r w:rsidRPr="00DE4E4F">
        <w:rPr>
          <w:rFonts w:ascii="Times New Roman" w:hAnsi="Times New Roman" w:cs="Times New Roman"/>
          <w:i/>
          <w:iCs/>
          <w:noProof/>
          <w:sz w:val="24"/>
          <w:szCs w:val="24"/>
          <w:lang w:val="en-GB"/>
        </w:rPr>
        <w:t>mutatis mutandis</w:t>
      </w:r>
      <w:r w:rsidRPr="00DE4E4F">
        <w:rPr>
          <w:rFonts w:ascii="Times New Roman" w:hAnsi="Times New Roman" w:cs="Times New Roman"/>
          <w:noProof/>
          <w:sz w:val="24"/>
          <w:szCs w:val="24"/>
          <w:lang w:val="en-GB"/>
        </w:rPr>
        <w:t xml:space="preserve"> with the investment policy requirements specified above. </w:t>
      </w:r>
    </w:p>
    <w:p w14:paraId="74D4C1F1" w14:textId="77777777" w:rsidR="001B186F" w:rsidRPr="00DE4E4F" w:rsidRDefault="0074517F">
      <w:pPr>
        <w:pStyle w:val="LegalNumPar2"/>
        <w:numPr>
          <w:ilvl w:val="1"/>
          <w:numId w:val="24"/>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Monitoring, audit, and control requirements for financial intermediaries, including:</w:t>
      </w:r>
    </w:p>
    <w:p w14:paraId="21211EF5" w14:textId="77777777" w:rsidR="001B186F" w:rsidRPr="00DE4E4F" w:rsidRDefault="0074517F" w:rsidP="001A0994">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description of the financial intermediaries’ monitoring system to report on the investment mobilised.</w:t>
      </w:r>
    </w:p>
    <w:p w14:paraId="0EAD5FC5" w14:textId="77777777" w:rsidR="001B186F" w:rsidRPr="00DE4E4F" w:rsidRDefault="0074517F" w:rsidP="001A0994">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description of the financial intermediaries’ procedures that shall ensure the prevention, detection and correction of fraud, corruption, and conflicts of interests. </w:t>
      </w:r>
    </w:p>
    <w:p w14:paraId="2C3FB5F9" w14:textId="77777777" w:rsidR="001B186F" w:rsidRPr="00DE4E4F" w:rsidRDefault="0074517F" w:rsidP="001A0994">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The obligation to verify the eligibility of every operation in accordance with the requirements laid out in the Implementing Agreement before committing to finance an operation.</w:t>
      </w:r>
    </w:p>
    <w:p w14:paraId="2334EE25" w14:textId="77777777" w:rsidR="001B186F" w:rsidRPr="00DE4E4F" w:rsidRDefault="0074517F" w:rsidP="001A0994">
      <w:pPr>
        <w:pStyle w:val="LegalNumPar2"/>
        <w:numPr>
          <w:ilvl w:val="2"/>
          <w:numId w:val="26"/>
        </w:numPr>
        <w:jc w:val="both"/>
        <w:rPr>
          <w:rFonts w:ascii="Times New Roman" w:hAnsi="Times New Roman" w:cs="Times New Roman"/>
          <w:noProof/>
          <w:sz w:val="24"/>
          <w:szCs w:val="24"/>
          <w:lang w:val="en-GB"/>
        </w:rPr>
      </w:pPr>
      <w:r w:rsidRPr="00DE4E4F">
        <w:rPr>
          <w:rFonts w:ascii="Times New Roman" w:hAnsi="Times New Roman" w:cs="Times New Roman"/>
          <w:noProof/>
          <w:sz w:val="24"/>
          <w:szCs w:val="24"/>
          <w:lang w:val="en-GB"/>
        </w:rPr>
        <w:t xml:space="preserve">The obligation of carrying out risk-based ex-post audits in accordance with an audit plan of the financial intermediaries. These audits shall verify: i) that the control systems are effective, including the detection of fraud, corruption, and conflict of interests; and ii) that the requirement that final beneficiaries of the Facility have not received support from other Union instruments to cover the same cost is respected. The audits shall also verify the legality of the transactions and that the conditions of the applicable agreements are being respected. </w:t>
      </w:r>
    </w:p>
    <w:p w14:paraId="40A0CF5E" w14:textId="77777777" w:rsidR="001B186F" w:rsidRPr="00DE4E4F" w:rsidRDefault="001B186F">
      <w:pPr>
        <w:spacing w:before="120" w:after="120" w:line="240" w:lineRule="auto"/>
        <w:jc w:val="both"/>
        <w:rPr>
          <w:rFonts w:ascii="Times New Roman" w:hAnsi="Times New Roman"/>
          <w:b/>
          <w:noProof/>
          <w:sz w:val="24"/>
        </w:rPr>
        <w:sectPr w:rsidR="001B186F" w:rsidRPr="00DE4E4F">
          <w:headerReference w:type="even" r:id="rId240"/>
          <w:headerReference w:type="default" r:id="rId241"/>
          <w:footerReference w:type="even" r:id="rId242"/>
          <w:footerReference w:type="default" r:id="rId243"/>
          <w:headerReference w:type="first" r:id="rId244"/>
          <w:footerReference w:type="first" r:id="rId245"/>
          <w:pgSz w:w="11906" w:h="16838"/>
          <w:pgMar w:top="1134" w:right="1134" w:bottom="1134" w:left="1134" w:header="567" w:footer="567" w:gutter="0"/>
          <w:cols w:space="708"/>
          <w:docGrid w:linePitch="360"/>
        </w:sectPr>
      </w:pPr>
    </w:p>
    <w:p w14:paraId="74401F63" w14:textId="77777777" w:rsidR="001B186F" w:rsidRPr="00DE4E4F" w:rsidRDefault="0074517F">
      <w:pPr>
        <w:keepNext/>
        <w:keepLines/>
        <w:spacing w:before="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Affordable Housing Programme “My Home II” (16400)</w:t>
      </w:r>
    </w:p>
    <w:tbl>
      <w:tblPr>
        <w:tblW w:w="158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701"/>
        <w:gridCol w:w="1197"/>
        <w:gridCol w:w="1320"/>
        <w:gridCol w:w="1560"/>
        <w:gridCol w:w="1320"/>
        <w:gridCol w:w="1200"/>
        <w:gridCol w:w="960"/>
        <w:gridCol w:w="1080"/>
        <w:gridCol w:w="840"/>
        <w:gridCol w:w="4001"/>
      </w:tblGrid>
      <w:tr w:rsidR="00682269" w:rsidRPr="00DE4E4F" w14:paraId="76BDA53C" w14:textId="77777777">
        <w:trPr>
          <w:trHeight w:val="810"/>
          <w:tblHeader/>
          <w:jc w:val="center"/>
        </w:trPr>
        <w:tc>
          <w:tcPr>
            <w:tcW w:w="704" w:type="dxa"/>
            <w:vMerge w:val="restart"/>
            <w:shd w:val="clear" w:color="auto" w:fill="BDD7EE"/>
            <w:vAlign w:val="center"/>
            <w:hideMark/>
          </w:tcPr>
          <w:p w14:paraId="5B011BC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Seq. No.</w:t>
            </w:r>
          </w:p>
        </w:tc>
        <w:tc>
          <w:tcPr>
            <w:tcW w:w="1701" w:type="dxa"/>
            <w:vMerge w:val="restart"/>
            <w:shd w:val="clear" w:color="auto" w:fill="BDD7EE"/>
            <w:vAlign w:val="center"/>
            <w:hideMark/>
          </w:tcPr>
          <w:p w14:paraId="5493F3E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Related Measure (Reform or Investment)</w:t>
            </w:r>
          </w:p>
        </w:tc>
        <w:tc>
          <w:tcPr>
            <w:tcW w:w="1197" w:type="dxa"/>
            <w:vMerge w:val="restart"/>
            <w:shd w:val="clear" w:color="auto" w:fill="BDD7EE"/>
            <w:vAlign w:val="center"/>
            <w:hideMark/>
          </w:tcPr>
          <w:p w14:paraId="4B01488D"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Milestone / Target</w:t>
            </w:r>
          </w:p>
        </w:tc>
        <w:tc>
          <w:tcPr>
            <w:tcW w:w="1320" w:type="dxa"/>
            <w:vMerge w:val="restart"/>
            <w:shd w:val="clear" w:color="auto" w:fill="BDD7EE"/>
            <w:vAlign w:val="center"/>
            <w:hideMark/>
          </w:tcPr>
          <w:p w14:paraId="0B491C5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Name</w:t>
            </w:r>
          </w:p>
        </w:tc>
        <w:tc>
          <w:tcPr>
            <w:tcW w:w="1560" w:type="dxa"/>
            <w:vMerge w:val="restart"/>
            <w:shd w:val="clear" w:color="auto" w:fill="BDD7EE"/>
            <w:vAlign w:val="center"/>
            <w:hideMark/>
          </w:tcPr>
          <w:p w14:paraId="0ED03A2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Qualitative indicators (for milestones)</w:t>
            </w:r>
          </w:p>
        </w:tc>
        <w:tc>
          <w:tcPr>
            <w:tcW w:w="3480" w:type="dxa"/>
            <w:gridSpan w:val="3"/>
            <w:shd w:val="clear" w:color="auto" w:fill="BDD7EE"/>
            <w:vAlign w:val="center"/>
            <w:hideMark/>
          </w:tcPr>
          <w:p w14:paraId="6552AA4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Quantitative indicators (for targets)</w:t>
            </w:r>
          </w:p>
        </w:tc>
        <w:tc>
          <w:tcPr>
            <w:tcW w:w="1920" w:type="dxa"/>
            <w:gridSpan w:val="2"/>
            <w:shd w:val="clear" w:color="auto" w:fill="BDD7EE"/>
            <w:vAlign w:val="center"/>
            <w:hideMark/>
          </w:tcPr>
          <w:p w14:paraId="2F5B38A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Indicative timeline for completion</w:t>
            </w:r>
          </w:p>
        </w:tc>
        <w:tc>
          <w:tcPr>
            <w:tcW w:w="4001" w:type="dxa"/>
            <w:vMerge w:val="restart"/>
            <w:shd w:val="clear" w:color="auto" w:fill="BDD7EE"/>
            <w:vAlign w:val="center"/>
            <w:hideMark/>
          </w:tcPr>
          <w:p w14:paraId="5999A78D"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177C6918" w14:textId="77777777">
        <w:trPr>
          <w:trHeight w:val="581"/>
          <w:tblHeader/>
          <w:jc w:val="center"/>
        </w:trPr>
        <w:tc>
          <w:tcPr>
            <w:tcW w:w="704" w:type="dxa"/>
            <w:vMerge/>
            <w:vAlign w:val="center"/>
            <w:hideMark/>
          </w:tcPr>
          <w:p w14:paraId="6478E6E8"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701" w:type="dxa"/>
            <w:vMerge/>
            <w:vAlign w:val="center"/>
            <w:hideMark/>
          </w:tcPr>
          <w:p w14:paraId="0D3F32B8"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197" w:type="dxa"/>
            <w:vMerge/>
            <w:vAlign w:val="center"/>
            <w:hideMark/>
          </w:tcPr>
          <w:p w14:paraId="4C89678D"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320" w:type="dxa"/>
            <w:vMerge/>
            <w:vAlign w:val="center"/>
            <w:hideMark/>
          </w:tcPr>
          <w:p w14:paraId="4E567A97"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560" w:type="dxa"/>
            <w:vMerge/>
            <w:vAlign w:val="center"/>
            <w:hideMark/>
          </w:tcPr>
          <w:p w14:paraId="66A9E20C"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320" w:type="dxa"/>
            <w:shd w:val="clear" w:color="auto" w:fill="BDD7EE"/>
            <w:vAlign w:val="center"/>
            <w:hideMark/>
          </w:tcPr>
          <w:p w14:paraId="1E51D57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1200" w:type="dxa"/>
            <w:shd w:val="clear" w:color="auto" w:fill="BDD7EE"/>
            <w:vAlign w:val="center"/>
            <w:hideMark/>
          </w:tcPr>
          <w:p w14:paraId="4477917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Baseline</w:t>
            </w:r>
          </w:p>
        </w:tc>
        <w:tc>
          <w:tcPr>
            <w:tcW w:w="960" w:type="dxa"/>
            <w:shd w:val="clear" w:color="auto" w:fill="BDD7EE"/>
            <w:vAlign w:val="center"/>
            <w:hideMark/>
          </w:tcPr>
          <w:p w14:paraId="3A1494D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Goal</w:t>
            </w:r>
          </w:p>
        </w:tc>
        <w:tc>
          <w:tcPr>
            <w:tcW w:w="1080" w:type="dxa"/>
            <w:shd w:val="clear" w:color="auto" w:fill="BDD7EE"/>
            <w:vAlign w:val="center"/>
            <w:hideMark/>
          </w:tcPr>
          <w:p w14:paraId="429FCE2F"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840" w:type="dxa"/>
            <w:shd w:val="clear" w:color="auto" w:fill="BDD7EE"/>
            <w:vAlign w:val="center"/>
            <w:hideMark/>
          </w:tcPr>
          <w:p w14:paraId="07B5AA2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4001" w:type="dxa"/>
            <w:vMerge/>
            <w:vAlign w:val="center"/>
            <w:hideMark/>
          </w:tcPr>
          <w:p w14:paraId="5F4C91A6"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r>
      <w:tr w:rsidR="00682269" w:rsidRPr="00DE4E4F" w14:paraId="6CE4E806" w14:textId="77777777">
        <w:trPr>
          <w:trHeight w:val="314"/>
          <w:jc w:val="center"/>
        </w:trPr>
        <w:tc>
          <w:tcPr>
            <w:tcW w:w="704" w:type="dxa"/>
            <w:shd w:val="clear" w:color="auto" w:fill="C6EFCE"/>
            <w:noWrap/>
          </w:tcPr>
          <w:p w14:paraId="1AD884C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378</w:t>
            </w:r>
          </w:p>
        </w:tc>
        <w:tc>
          <w:tcPr>
            <w:tcW w:w="1701" w:type="dxa"/>
            <w:shd w:val="clear" w:color="auto" w:fill="C6EFCE"/>
            <w:noWrap/>
          </w:tcPr>
          <w:p w14:paraId="7F699B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- 16400_ Affordable Housing Programme “My Home II”</w:t>
            </w:r>
          </w:p>
        </w:tc>
        <w:tc>
          <w:tcPr>
            <w:tcW w:w="1197" w:type="dxa"/>
            <w:shd w:val="clear" w:color="auto" w:fill="C6EFCE"/>
            <w:noWrap/>
          </w:tcPr>
          <w:p w14:paraId="116F4C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0" w:type="dxa"/>
            <w:shd w:val="clear" w:color="auto" w:fill="C6EFCE"/>
            <w:noWrap/>
          </w:tcPr>
          <w:p w14:paraId="75DA46A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My Home II - Implementing Agreement between the Hellenic Development Bank and the Ministry of Finance</w:t>
            </w:r>
          </w:p>
        </w:tc>
        <w:tc>
          <w:tcPr>
            <w:tcW w:w="1560" w:type="dxa"/>
            <w:shd w:val="clear" w:color="auto" w:fill="C6EFCE"/>
            <w:noWrap/>
          </w:tcPr>
          <w:p w14:paraId="51D529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Implementing Agreement</w:t>
            </w:r>
          </w:p>
        </w:tc>
        <w:tc>
          <w:tcPr>
            <w:tcW w:w="1320" w:type="dxa"/>
            <w:shd w:val="clear" w:color="auto" w:fill="C6EFCE"/>
            <w:noWrap/>
          </w:tcPr>
          <w:p w14:paraId="79A882C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00" w:type="dxa"/>
            <w:shd w:val="clear" w:color="auto" w:fill="C6EFCE"/>
            <w:noWrap/>
          </w:tcPr>
          <w:p w14:paraId="50AEFE9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shd w:val="clear" w:color="auto" w:fill="C6EFCE"/>
            <w:noWrap/>
          </w:tcPr>
          <w:p w14:paraId="6469B4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80" w:type="dxa"/>
            <w:shd w:val="clear" w:color="auto" w:fill="C6EFCE"/>
            <w:noWrap/>
          </w:tcPr>
          <w:p w14:paraId="462F54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40" w:type="dxa"/>
            <w:shd w:val="clear" w:color="auto" w:fill="C6EFCE"/>
            <w:noWrap/>
          </w:tcPr>
          <w:p w14:paraId="20B8C5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001" w:type="dxa"/>
            <w:shd w:val="clear" w:color="auto" w:fill="C6EFCE"/>
            <w:noWrap/>
          </w:tcPr>
          <w:p w14:paraId="6B6A6D02"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Entry into force of the Implementing Agreement.</w:t>
            </w:r>
          </w:p>
        </w:tc>
      </w:tr>
      <w:tr w:rsidR="00682269" w:rsidRPr="00DE4E4F" w14:paraId="48FC959A" w14:textId="77777777">
        <w:trPr>
          <w:trHeight w:val="314"/>
          <w:jc w:val="center"/>
        </w:trPr>
        <w:tc>
          <w:tcPr>
            <w:tcW w:w="704" w:type="dxa"/>
            <w:shd w:val="clear" w:color="auto" w:fill="C6EFCE"/>
            <w:noWrap/>
            <w:hideMark/>
          </w:tcPr>
          <w:p w14:paraId="24A6299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379</w:t>
            </w:r>
          </w:p>
        </w:tc>
        <w:tc>
          <w:tcPr>
            <w:tcW w:w="1701" w:type="dxa"/>
            <w:shd w:val="clear" w:color="auto" w:fill="C6EFCE"/>
            <w:noWrap/>
            <w:hideMark/>
          </w:tcPr>
          <w:p w14:paraId="15963F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- 16400_ Affordable Housing Programme “My Home II”</w:t>
            </w:r>
          </w:p>
        </w:tc>
        <w:tc>
          <w:tcPr>
            <w:tcW w:w="1197" w:type="dxa"/>
            <w:shd w:val="clear" w:color="auto" w:fill="C6EFCE"/>
            <w:noWrap/>
          </w:tcPr>
          <w:p w14:paraId="4013B8B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Target</w:t>
            </w:r>
          </w:p>
        </w:tc>
        <w:tc>
          <w:tcPr>
            <w:tcW w:w="1320" w:type="dxa"/>
            <w:shd w:val="clear" w:color="auto" w:fill="C6EFCE"/>
            <w:noWrap/>
          </w:tcPr>
          <w:p w14:paraId="4FA110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My Home II - </w:t>
            </w:r>
            <w:r w:rsidRPr="00DE4E4F">
              <w:rPr>
                <w:rFonts w:ascii="Times New Roman" w:eastAsia="Times New Roman" w:hAnsi="Times New Roman" w:cs="Times New Roman"/>
                <w:noProof/>
                <w:color w:val="006100"/>
                <w:sz w:val="18"/>
                <w:szCs w:val="18"/>
              </w:rPr>
              <w:t>Legal agreements signed with final beneficiaries - 50%</w:t>
            </w:r>
          </w:p>
        </w:tc>
        <w:tc>
          <w:tcPr>
            <w:tcW w:w="1560" w:type="dxa"/>
            <w:shd w:val="clear" w:color="auto" w:fill="C6EFCE"/>
            <w:noWrap/>
          </w:tcPr>
          <w:p w14:paraId="7100134A"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320" w:type="dxa"/>
            <w:shd w:val="clear" w:color="auto" w:fill="C6EFCE"/>
            <w:noWrap/>
          </w:tcPr>
          <w:p w14:paraId="2AF0FB17"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Percentage (%)</w:t>
            </w:r>
          </w:p>
        </w:tc>
        <w:tc>
          <w:tcPr>
            <w:tcW w:w="1200" w:type="dxa"/>
            <w:shd w:val="clear" w:color="auto" w:fill="C6EFCE"/>
            <w:noWrap/>
          </w:tcPr>
          <w:p w14:paraId="79DD68E9"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0%</w:t>
            </w:r>
          </w:p>
        </w:tc>
        <w:tc>
          <w:tcPr>
            <w:tcW w:w="960" w:type="dxa"/>
            <w:shd w:val="clear" w:color="auto" w:fill="C6EFCE"/>
            <w:noWrap/>
          </w:tcPr>
          <w:p w14:paraId="3E0E9E64"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50%</w:t>
            </w:r>
          </w:p>
        </w:tc>
        <w:tc>
          <w:tcPr>
            <w:tcW w:w="1080" w:type="dxa"/>
            <w:shd w:val="clear" w:color="auto" w:fill="C6EFCE"/>
            <w:noWrap/>
          </w:tcPr>
          <w:p w14:paraId="51DF43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40" w:type="dxa"/>
            <w:shd w:val="clear" w:color="auto" w:fill="C6EFCE"/>
            <w:noWrap/>
          </w:tcPr>
          <w:p w14:paraId="7D3F01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001" w:type="dxa"/>
            <w:shd w:val="clear" w:color="auto" w:fill="C6EFCE"/>
            <w:noWrap/>
          </w:tcPr>
          <w:p w14:paraId="75368E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Financial intermediaries shall have entered into legal financing agreements with final beneficiaries for an amount </w:t>
            </w:r>
            <w:r w:rsidRPr="00DE4E4F" w:rsidDel="004223B7">
              <w:rPr>
                <w:rFonts w:ascii="Times New Roman" w:hAnsi="Times New Roman" w:cs="Times New Roman"/>
                <w:noProof/>
                <w:color w:val="006100"/>
                <w:sz w:val="18"/>
                <w:szCs w:val="18"/>
              </w:rPr>
              <w:t>necessary to use</w:t>
            </w:r>
            <w:r w:rsidRPr="00DE4E4F">
              <w:rPr>
                <w:rFonts w:ascii="Times New Roman" w:hAnsi="Times New Roman" w:cs="Times New Roman"/>
                <w:noProof/>
                <w:color w:val="006100"/>
                <w:sz w:val="18"/>
                <w:szCs w:val="18"/>
              </w:rPr>
              <w:t xml:space="preserve"> at least 50% of the RRF investment into the Facility</w:t>
            </w:r>
            <w:r w:rsidRPr="00DE4E4F" w:rsidDel="006451F3">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“My Home II” (taking into account management fees).</w:t>
            </w:r>
          </w:p>
        </w:tc>
      </w:tr>
      <w:tr w:rsidR="00682269" w:rsidRPr="00DE4E4F" w14:paraId="7BE01A7F" w14:textId="77777777">
        <w:trPr>
          <w:trHeight w:val="314"/>
          <w:jc w:val="center"/>
        </w:trPr>
        <w:tc>
          <w:tcPr>
            <w:tcW w:w="704" w:type="dxa"/>
            <w:shd w:val="clear" w:color="auto" w:fill="C6EFCE"/>
            <w:noWrap/>
          </w:tcPr>
          <w:p w14:paraId="1D04192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380</w:t>
            </w:r>
          </w:p>
        </w:tc>
        <w:tc>
          <w:tcPr>
            <w:tcW w:w="1701" w:type="dxa"/>
            <w:shd w:val="clear" w:color="auto" w:fill="C6EFCE"/>
            <w:noWrap/>
          </w:tcPr>
          <w:p w14:paraId="4144B4D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11 - 3.4. Increase access to effective and inclusive social policies - 16400_ Affordable Housing Programme “My Home II”</w:t>
            </w:r>
          </w:p>
        </w:tc>
        <w:tc>
          <w:tcPr>
            <w:tcW w:w="1197" w:type="dxa"/>
            <w:shd w:val="clear" w:color="auto" w:fill="C6EFCE"/>
            <w:noWrap/>
          </w:tcPr>
          <w:p w14:paraId="03DAA2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Target</w:t>
            </w:r>
          </w:p>
        </w:tc>
        <w:tc>
          <w:tcPr>
            <w:tcW w:w="1320" w:type="dxa"/>
            <w:shd w:val="clear" w:color="auto" w:fill="C6EFCE"/>
            <w:noWrap/>
          </w:tcPr>
          <w:p w14:paraId="759CC981" w14:textId="6EE4398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My Home II - </w:t>
            </w:r>
            <w:r w:rsidRPr="00DE4E4F">
              <w:rPr>
                <w:rFonts w:ascii="Times New Roman" w:eastAsia="Times New Roman" w:hAnsi="Times New Roman" w:cs="Times New Roman"/>
                <w:noProof/>
                <w:color w:val="006100"/>
                <w:sz w:val="18"/>
                <w:szCs w:val="18"/>
              </w:rPr>
              <w:t xml:space="preserve">Legal agreements signed with final beneficiaries - </w:t>
            </w:r>
            <w:r w:rsidRPr="00DE4E4F" w:rsidDel="00574114">
              <w:rPr>
                <w:rFonts w:ascii="Times New Roman" w:eastAsia="Times New Roman" w:hAnsi="Times New Roman" w:cs="Times New Roman"/>
                <w:noProof/>
                <w:color w:val="006100"/>
                <w:sz w:val="18"/>
                <w:szCs w:val="18"/>
              </w:rPr>
              <w:t>100%</w:t>
            </w:r>
          </w:p>
        </w:tc>
        <w:tc>
          <w:tcPr>
            <w:tcW w:w="1560" w:type="dxa"/>
            <w:shd w:val="clear" w:color="auto" w:fill="C6EFCE"/>
            <w:noWrap/>
          </w:tcPr>
          <w:p w14:paraId="1AEB58B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20" w:type="dxa"/>
            <w:shd w:val="clear" w:color="auto" w:fill="C6EFCE"/>
            <w:noWrap/>
          </w:tcPr>
          <w:p w14:paraId="51B75240" w14:textId="514555C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sidDel="00273136">
              <w:rPr>
                <w:rFonts w:ascii="Times New Roman" w:hAnsi="Times New Roman" w:cs="Times New Roman"/>
                <w:noProof/>
                <w:color w:val="006100"/>
                <w:sz w:val="18"/>
                <w:szCs w:val="18"/>
              </w:rPr>
              <w:t>Percentage (%)</w:t>
            </w:r>
          </w:p>
        </w:tc>
        <w:tc>
          <w:tcPr>
            <w:tcW w:w="1200" w:type="dxa"/>
            <w:shd w:val="clear" w:color="auto" w:fill="C6EFCE"/>
            <w:noWrap/>
          </w:tcPr>
          <w:p w14:paraId="00DB3F10" w14:textId="264BA82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w:t>
            </w:r>
            <w:r w:rsidRPr="00DE4E4F" w:rsidDel="0007154D">
              <w:rPr>
                <w:rFonts w:ascii="Times New Roman" w:hAnsi="Times New Roman" w:cs="Times New Roman"/>
                <w:noProof/>
                <w:color w:val="006100"/>
                <w:sz w:val="18"/>
                <w:szCs w:val="18"/>
              </w:rPr>
              <w:t>%</w:t>
            </w:r>
          </w:p>
        </w:tc>
        <w:tc>
          <w:tcPr>
            <w:tcW w:w="960" w:type="dxa"/>
            <w:shd w:val="clear" w:color="auto" w:fill="C6EFCE"/>
            <w:noWrap/>
          </w:tcPr>
          <w:p w14:paraId="760F0C2C" w14:textId="19B5C9F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sidDel="00425BD8">
              <w:rPr>
                <w:rFonts w:ascii="Times New Roman" w:hAnsi="Times New Roman" w:cs="Times New Roman"/>
                <w:noProof/>
                <w:color w:val="006100"/>
                <w:sz w:val="18"/>
                <w:szCs w:val="18"/>
              </w:rPr>
              <w:t>100%</w:t>
            </w:r>
          </w:p>
        </w:tc>
        <w:tc>
          <w:tcPr>
            <w:tcW w:w="1080" w:type="dxa"/>
            <w:shd w:val="clear" w:color="auto" w:fill="C6EFCE"/>
            <w:noWrap/>
          </w:tcPr>
          <w:p w14:paraId="3A52D9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40" w:type="dxa"/>
            <w:shd w:val="clear" w:color="auto" w:fill="C6EFCE"/>
            <w:noWrap/>
          </w:tcPr>
          <w:p w14:paraId="176101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001" w:type="dxa"/>
            <w:shd w:val="clear" w:color="auto" w:fill="C6EFCE"/>
            <w:noWrap/>
          </w:tcPr>
          <w:p w14:paraId="7F7D101D" w14:textId="0142C24E"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Financial intermediaries shall have entered into legal financing agreements with final beneficiaries for an amount </w:t>
            </w:r>
            <w:r w:rsidRPr="00DE4E4F" w:rsidDel="004223B7">
              <w:rPr>
                <w:rFonts w:ascii="Times New Roman" w:hAnsi="Times New Roman" w:cs="Times New Roman"/>
                <w:noProof/>
                <w:color w:val="006100"/>
                <w:sz w:val="18"/>
                <w:szCs w:val="18"/>
              </w:rPr>
              <w:t>necessary to use</w:t>
            </w:r>
            <w:r w:rsidRPr="00DE4E4F">
              <w:rPr>
                <w:rFonts w:ascii="Times New Roman" w:hAnsi="Times New Roman" w:cs="Times New Roman"/>
                <w:noProof/>
                <w:color w:val="006100"/>
                <w:sz w:val="18"/>
                <w:szCs w:val="18"/>
              </w:rPr>
              <w:t xml:space="preserve"> </w:t>
            </w:r>
            <w:r w:rsidRPr="00DE4E4F" w:rsidDel="00065928">
              <w:rPr>
                <w:rFonts w:ascii="Times New Roman" w:hAnsi="Times New Roman" w:cs="Times New Roman"/>
                <w:noProof/>
                <w:color w:val="006100"/>
                <w:sz w:val="18"/>
                <w:szCs w:val="18"/>
              </w:rPr>
              <w:t xml:space="preserve">100% </w:t>
            </w:r>
            <w:r w:rsidRPr="00DE4E4F">
              <w:rPr>
                <w:rFonts w:ascii="Times New Roman" w:hAnsi="Times New Roman" w:cs="Times New Roman"/>
                <w:noProof/>
                <w:color w:val="006100"/>
                <w:sz w:val="18"/>
                <w:szCs w:val="18"/>
              </w:rPr>
              <w:t>of the RRF investment into the Facility</w:t>
            </w:r>
            <w:r w:rsidRPr="00DE4E4F" w:rsidDel="006451F3">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“My Home II” (taking into account management fees).</w:t>
            </w:r>
          </w:p>
        </w:tc>
      </w:tr>
      <w:tr w:rsidR="00682269" w:rsidRPr="00DE4E4F" w14:paraId="5E2F5ADA" w14:textId="77777777">
        <w:trPr>
          <w:trHeight w:val="314"/>
          <w:jc w:val="center"/>
        </w:trPr>
        <w:tc>
          <w:tcPr>
            <w:tcW w:w="704" w:type="dxa"/>
            <w:shd w:val="clear" w:color="auto" w:fill="C6EFCE"/>
            <w:noWrap/>
          </w:tcPr>
          <w:p w14:paraId="5F6584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381</w:t>
            </w:r>
          </w:p>
        </w:tc>
        <w:tc>
          <w:tcPr>
            <w:tcW w:w="1701" w:type="dxa"/>
            <w:shd w:val="clear" w:color="auto" w:fill="C6EFCE"/>
            <w:noWrap/>
          </w:tcPr>
          <w:p w14:paraId="54AB5AFD" w14:textId="16C10F3E"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11 - 3.4. Increase access to effective and inclusive social policies </w:t>
            </w:r>
            <w:r w:rsidR="00B81D86"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16</w:t>
            </w:r>
            <w:r w:rsidR="00B81D86"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400_ Affordable Housing Programme “My Home II”</w:t>
            </w:r>
          </w:p>
        </w:tc>
        <w:tc>
          <w:tcPr>
            <w:tcW w:w="1197" w:type="dxa"/>
            <w:shd w:val="clear" w:color="auto" w:fill="C6EFCE"/>
            <w:noWrap/>
          </w:tcPr>
          <w:p w14:paraId="4CCE72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20" w:type="dxa"/>
            <w:shd w:val="clear" w:color="auto" w:fill="C6EFCE"/>
            <w:noWrap/>
          </w:tcPr>
          <w:p w14:paraId="270C7DF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My Home II - The Ministry of Finance has completed the investment</w:t>
            </w:r>
          </w:p>
        </w:tc>
        <w:tc>
          <w:tcPr>
            <w:tcW w:w="1560" w:type="dxa"/>
            <w:shd w:val="clear" w:color="auto" w:fill="C6EFCE"/>
            <w:noWrap/>
          </w:tcPr>
          <w:p w14:paraId="2549F754"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Certificate of transfer </w:t>
            </w:r>
          </w:p>
        </w:tc>
        <w:tc>
          <w:tcPr>
            <w:tcW w:w="1320" w:type="dxa"/>
            <w:shd w:val="clear" w:color="auto" w:fill="C6EFCE"/>
            <w:noWrap/>
          </w:tcPr>
          <w:p w14:paraId="21A20FA2"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200" w:type="dxa"/>
            <w:shd w:val="clear" w:color="auto" w:fill="C6EFCE"/>
            <w:noWrap/>
          </w:tcPr>
          <w:p w14:paraId="613E839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60" w:type="dxa"/>
            <w:shd w:val="clear" w:color="auto" w:fill="C6EFCE"/>
            <w:noWrap/>
          </w:tcPr>
          <w:p w14:paraId="364ABAC7"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1080" w:type="dxa"/>
            <w:shd w:val="clear" w:color="auto" w:fill="C6EFCE"/>
            <w:noWrap/>
          </w:tcPr>
          <w:p w14:paraId="6BEC41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40" w:type="dxa"/>
            <w:shd w:val="clear" w:color="auto" w:fill="C6EFCE"/>
            <w:noWrap/>
          </w:tcPr>
          <w:p w14:paraId="61940A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001" w:type="dxa"/>
            <w:shd w:val="clear" w:color="auto" w:fill="C6EFCE"/>
            <w:noWrap/>
          </w:tcPr>
          <w:p w14:paraId="076238F2" w14:textId="4520DD63"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Greece shall transfer EUR</w:t>
            </w:r>
            <w:r w:rsidR="00B81D86" w:rsidRPr="00DE4E4F">
              <w:rPr>
                <w:rFonts w:ascii="Times New Roman" w:hAnsi="Times New Roman" w:cs="Times New Roman"/>
                <w:noProof/>
                <w:color w:val="006100"/>
                <w:sz w:val="18"/>
                <w:szCs w:val="18"/>
              </w:rPr>
              <w:t> </w:t>
            </w:r>
            <w:r w:rsidR="006C5177" w:rsidRPr="00DE4E4F">
              <w:rPr>
                <w:rFonts w:ascii="Times New Roman" w:hAnsi="Times New Roman" w:cs="Times New Roman"/>
                <w:noProof/>
                <w:color w:val="006100"/>
                <w:sz w:val="18"/>
                <w:szCs w:val="18"/>
              </w:rPr>
              <w:t>760</w:t>
            </w:r>
            <w:r w:rsidR="00B81D86" w:rsidRPr="00DE4E4F">
              <w:rPr>
                <w:rFonts w:ascii="Times New Roman" w:hAnsi="Times New Roman" w:cs="Times New Roman"/>
                <w:noProof/>
                <w:color w:val="006100"/>
                <w:sz w:val="18"/>
                <w:szCs w:val="18"/>
              </w:rPr>
              <w:t> </w:t>
            </w:r>
            <w:r w:rsidR="006C5177" w:rsidRPr="00DE4E4F">
              <w:rPr>
                <w:rFonts w:ascii="Times New Roman" w:hAnsi="Times New Roman" w:cs="Times New Roman"/>
                <w:noProof/>
                <w:color w:val="006100"/>
                <w:sz w:val="18"/>
                <w:szCs w:val="18"/>
              </w:rPr>
              <w:t>000</w:t>
            </w:r>
            <w:r w:rsidR="00B81D86" w:rsidRPr="00DE4E4F">
              <w:rPr>
                <w:rFonts w:ascii="Times New Roman" w:hAnsi="Times New Roman" w:cs="Times New Roman"/>
                <w:noProof/>
                <w:color w:val="006100"/>
                <w:sz w:val="18"/>
                <w:szCs w:val="18"/>
              </w:rPr>
              <w:t> </w:t>
            </w:r>
            <w:r w:rsidR="006C5177" w:rsidRPr="00DE4E4F">
              <w:rPr>
                <w:rFonts w:ascii="Times New Roman" w:hAnsi="Times New Roman" w:cs="Times New Roman"/>
                <w:noProof/>
                <w:color w:val="006100"/>
                <w:sz w:val="18"/>
                <w:szCs w:val="18"/>
              </w:rPr>
              <w:t>000</w:t>
            </w:r>
            <w:r w:rsidR="00B81D86"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to the Hellenic Development Bank for the Facility.</w:t>
            </w:r>
          </w:p>
        </w:tc>
      </w:tr>
    </w:tbl>
    <w:p w14:paraId="59BD4D36"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4E47FFA9" w14:textId="77777777" w:rsidR="001B186F" w:rsidRPr="00DE4E4F" w:rsidRDefault="0074517F">
      <w:pPr>
        <w:spacing w:before="120" w:after="120" w:line="240" w:lineRule="auto"/>
        <w:ind w:firstLine="6"/>
        <w:jc w:val="both"/>
        <w:outlineLvl w:val="3"/>
        <w:rPr>
          <w:rFonts w:ascii="Times New Roman" w:hAnsi="Times New Roman" w:cs="Times New Roman"/>
          <w:b/>
          <w:noProof/>
          <w:sz w:val="24"/>
          <w:szCs w:val="24"/>
        </w:rPr>
      </w:pPr>
      <w:r w:rsidRPr="00DE4E4F">
        <w:rPr>
          <w:rFonts w:ascii="Times New Roman" w:hAnsi="Times New Roman"/>
          <w:b/>
          <w:noProof/>
          <w:sz w:val="24"/>
        </w:rPr>
        <w:t>L. COMPONENT 4.1: MAKING TAXES MORE GROWTH FRIENDLY AND IMPROVING TAX ADMINISTRATION AND TAX COLLECTION</w:t>
      </w:r>
    </w:p>
    <w:p w14:paraId="3B27D79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comprises targeted reforms and investment to continue improving the functioning of the public revenue administration and fight against tax evasion. Firstly, this component includes tax policy reforms, to facilitate the codification of tax legislation, as well as to introduce incentives to enhance electronic transactions, promote green and digital private investments, and increase the size of enterprises. Secondly, the component contains reforms and investments aiming at the transformation of the public revenue administration, through digitalising processes, and introducing legislative initiatives to combat smuggling and promote the acceleration of VAT refunds.</w:t>
      </w:r>
    </w:p>
    <w:p w14:paraId="028612C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component contributes to the digital transition, through the replacement and upgrade of Independent Authority for Public Revenue’s (IAPR) core digital systems, the introduction of automated office and work processes, the digitalisation of audits and controls, as well as the update and improvement of taxpayer e-services.</w:t>
      </w:r>
    </w:p>
    <w:p w14:paraId="6C8BE14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This component supports addressing the country-specific recommendations on public and private investment (Country Specific Recommendation 3 2020), structural reforms to improve the functioning of the economy (Country Specific Recommendation 4 2020), and on tax policy and tax administration (Country Specific Recommendation 1 2022 and Country Specific Recommendation 1 2023).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4D4DE0A5"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L.1. Description of the reforms and investments for non-repayable financial support</w:t>
      </w:r>
    </w:p>
    <w:p w14:paraId="3FAFFCE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Digital transformation of tax audits (measure ID 16611)</w:t>
      </w:r>
    </w:p>
    <w:p w14:paraId="5D86C18D"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investment is to i) facilitate the automatic filling of tax declarations ii) enhance the effectiveness of tax audits and public revenue collection and iii) increase the effectiveness of tax audits and fight smuggling.</w:t>
      </w:r>
      <w:r w:rsidRPr="00DE4E4F">
        <w:rPr>
          <w:rFonts w:asciiTheme="minorHAnsi" w:eastAsiaTheme="minorEastAsia" w:hAnsiTheme="minorHAnsi" w:cstheme="minorBidi"/>
          <w:noProof/>
          <w:sz w:val="24"/>
          <w:szCs w:val="24"/>
        </w:rPr>
        <w:t xml:space="preserve"> </w:t>
      </w:r>
      <w:r w:rsidRPr="00DE4E4F">
        <w:rPr>
          <w:rFonts w:ascii="Times New Roman" w:hAnsi="Times New Roman"/>
          <w:noProof/>
          <w:sz w:val="24"/>
          <w:szCs w:val="24"/>
        </w:rPr>
        <w:t>The measure consists in the delivery of the business intelligence/data analytics system and entry into use of the “ELEGXOSlive” system.</w:t>
      </w:r>
    </w:p>
    <w:p w14:paraId="15BC139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Codification and simplification of tax legislation (measure ID 16643)</w:t>
      </w:r>
    </w:p>
    <w:p w14:paraId="6B47773E"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enhance transparency for tax and customs legislation and ensure legal certainty for the tax administration, taxpayers and businesses. </w:t>
      </w:r>
    </w:p>
    <w:p w14:paraId="2FB66FFF"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measure consists in the codification of primary and secondary tax and customs legislation and its publication in a dedicated taxpayer website.</w:t>
      </w:r>
    </w:p>
    <w:p w14:paraId="04F367D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Promoting the acceleration of VAT refunds (measure ID 16610)</w:t>
      </w:r>
    </w:p>
    <w:p w14:paraId="08E2C97F" w14:textId="77777777" w:rsidR="001B186F" w:rsidRPr="00DE4E4F" w:rsidRDefault="0074517F">
      <w:pPr>
        <w:spacing w:before="120" w:after="120" w:line="240" w:lineRule="auto"/>
        <w:jc w:val="both"/>
        <w:rPr>
          <w:rFonts w:ascii="card" w:hAnsi="card" w:cs="Times New Roman"/>
          <w:noProof/>
          <w:sz w:val="24"/>
          <w:szCs w:val="24"/>
        </w:rPr>
      </w:pPr>
      <w:r w:rsidRPr="00DE4E4F">
        <w:rPr>
          <w:rFonts w:ascii="Times New Roman" w:hAnsi="Times New Roman"/>
          <w:noProof/>
          <w:sz w:val="24"/>
          <w:szCs w:val="24"/>
        </w:rPr>
        <w:t>IAPR shall simplify the VAT refunds’ administrative processes for businesses, through the implementation of automated VAT refund procedures, electronic submission and facilitation of a risk analysis process for refund requests. The new process aims to limit the human intervention through digital transactions and tackle delays in the VAT refunds. The reform must be in line with the VAT refund Directive (Council Directive 2008/9/EC). The implementation of the reform shall be completed by 31 December 2023.</w:t>
      </w:r>
    </w:p>
    <w:p w14:paraId="7F58B75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Adoption of measures and incentives to increase electronic transactions (measure ID 16616)</w:t>
      </w:r>
    </w:p>
    <w:p w14:paraId="097DA8B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 aims to ease the administrative burden for businesses and improve tax compliance by promoting electronic transactions. IAPR shall make use of myDATA facility for electronic book-keeping, electronic invoicing and the connection of all tax cash registers with its IT systems in order to facilitate the automatic filling of tax declarations and enhance the effectiveness of tax audits. The implementation of the tax incentives of the reform shall be completed by 31 December 2023.</w:t>
      </w:r>
    </w:p>
    <w:p w14:paraId="34BF66D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Super–deduction of SME expenses on green economy, energy and digital transition (measure ID 16863)</w:t>
      </w:r>
    </w:p>
    <w:p w14:paraId="2DD98D4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 consists of tax incentives for super-deduction of expenses to strengthen investment by small and medium-sized enterprises, in equipment related to climate change adaptation, the promotion of circular economy, and digitalisation. It shall be fully in line with EU State aid rules. The implementation of the tax incentives of the reform shall be completed by 31 December 2024.</w:t>
      </w:r>
    </w:p>
    <w:p w14:paraId="0E0D3BE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New framework for the fight against smuggling, mainly for products subject to excise duties (tobacco, alcohol and energy) (measure ID 16656)</w:t>
      </w:r>
    </w:p>
    <w:p w14:paraId="2CBFCA5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 aims to support the fight against smuggling, in particular for those products subject to excise duties (tobacco, alcohol, energy) through the modernisation of the Customs’ tracking systems, audit processes, and equipment in order to increase the effectiveness of cargo audits. This also requires the upgrade of IAPR’s IT systems necessary to obtain information from European and national databases. The implementation of the reform shall be completed by 31 December 2025.</w:t>
      </w:r>
    </w:p>
    <w:p w14:paraId="54C30329"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Reform: </w:t>
      </w:r>
      <w:r w:rsidRPr="00DE4E4F">
        <w:rPr>
          <w:rFonts w:ascii="Times New Roman" w:hAnsi="Times New Roman"/>
          <w:noProof/>
          <w:sz w:val="24"/>
          <w:szCs w:val="24"/>
        </w:rPr>
        <w:t>Online cash registers &amp; POS (measure ID 16614)</w:t>
      </w:r>
    </w:p>
    <w:p w14:paraId="585D30A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IAPR shall develop a framework to facilitate the connection of cash registers with Point-of-Sale (POS) terminals and its IT systems. The project includes: (i) the setup of specifications for the interconnection of cash registers with the POS terminals to certify that every POS transaction shall be recorded in the cash register and the data produced shall be transmitted in near real time to IAPR; and (ii) the development of infrastructure and applications for the monitoring of cash register transactions and the support of the control mechanism. Upon its completion, the measure aims to limit the potential for tax evasion and ultimately reducing the VAT gap. The implementation of the reform shall be completed by 30 June 2024.</w:t>
      </w:r>
    </w:p>
    <w:p w14:paraId="0A1F908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the Tax and Customs Administration (measure ID 16291)</w:t>
      </w:r>
    </w:p>
    <w:p w14:paraId="77F8E83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investment aims to achieve the digital transformation of revenue administration and services, with the objective of strengthening the capacity of the IAPR to fulfil its obligations as a fully independent authority (in compliance with the IAPR enabling law 4389/2016) and enhance its overall performance through upgrading the quality of services provided to individuals and enterprises. This investment consolidates digital infrastructure sub-projects to be implemented by IAPR, classified into four intervention areas:</w:t>
      </w:r>
    </w:p>
    <w:p w14:paraId="22F20111" w14:textId="77777777" w:rsidR="001B186F" w:rsidRPr="00DE4E4F" w:rsidDel="0003529A" w:rsidRDefault="0074517F">
      <w:pPr>
        <w:pStyle w:val="ListParagraph"/>
        <w:numPr>
          <w:ilvl w:val="0"/>
          <w:numId w:val="55"/>
        </w:numPr>
        <w:spacing w:before="120" w:after="120" w:line="240" w:lineRule="auto"/>
        <w:ind w:left="426" w:hanging="426"/>
        <w:jc w:val="both"/>
        <w:rPr>
          <w:rFonts w:ascii="Times New Roman" w:hAnsi="Times New Roman" w:cs="Times New Roman"/>
          <w:noProof/>
          <w:sz w:val="24"/>
          <w:szCs w:val="24"/>
        </w:rPr>
      </w:pPr>
      <w:r w:rsidRPr="00DE4E4F">
        <w:rPr>
          <w:rFonts w:ascii="Times New Roman" w:hAnsi="Times New Roman"/>
          <w:noProof/>
          <w:sz w:val="24"/>
          <w:szCs w:val="24"/>
        </w:rPr>
        <w:t>Replacement of core digital systems and expansion of the functionality of service provision including the implementation of interoperability mechanisms of IAPR’s information systems with bank data information systems;</w:t>
      </w:r>
    </w:p>
    <w:p w14:paraId="391FB6BA" w14:textId="77777777" w:rsidR="001B186F" w:rsidRPr="00DE4E4F" w:rsidRDefault="0074517F">
      <w:pPr>
        <w:pStyle w:val="ListParagraph"/>
        <w:numPr>
          <w:ilvl w:val="0"/>
          <w:numId w:val="55"/>
        </w:numPr>
        <w:spacing w:before="120" w:after="120" w:line="240" w:lineRule="auto"/>
        <w:ind w:left="426" w:hanging="426"/>
        <w:jc w:val="both"/>
        <w:rPr>
          <w:rFonts w:ascii="Times New Roman" w:hAnsi="Times New Roman" w:cs="Times New Roman"/>
          <w:noProof/>
          <w:sz w:val="24"/>
          <w:szCs w:val="24"/>
        </w:rPr>
      </w:pPr>
      <w:r w:rsidRPr="00DE4E4F">
        <w:rPr>
          <w:rFonts w:ascii="Times New Roman" w:hAnsi="Times New Roman"/>
          <w:noProof/>
          <w:sz w:val="24"/>
          <w:szCs w:val="24"/>
        </w:rPr>
        <w:t>Automation of office and work processes;</w:t>
      </w:r>
    </w:p>
    <w:p w14:paraId="10B1D756" w14:textId="77777777" w:rsidR="001B186F" w:rsidRPr="00DE4E4F" w:rsidRDefault="0074517F">
      <w:pPr>
        <w:pStyle w:val="ListParagraph"/>
        <w:numPr>
          <w:ilvl w:val="0"/>
          <w:numId w:val="55"/>
        </w:numPr>
        <w:spacing w:before="120" w:after="120" w:line="240" w:lineRule="auto"/>
        <w:ind w:left="426" w:hanging="426"/>
        <w:jc w:val="both"/>
        <w:rPr>
          <w:rFonts w:ascii="Times New Roman" w:hAnsi="Times New Roman" w:cs="Times New Roman"/>
          <w:noProof/>
          <w:sz w:val="24"/>
          <w:szCs w:val="24"/>
        </w:rPr>
      </w:pPr>
      <w:r w:rsidRPr="00DE4E4F">
        <w:rPr>
          <w:rFonts w:ascii="Times New Roman" w:hAnsi="Times New Roman"/>
          <w:noProof/>
          <w:sz w:val="24"/>
          <w:szCs w:val="24"/>
        </w:rPr>
        <w:t>Digitalisation of audits and controls; and</w:t>
      </w:r>
    </w:p>
    <w:p w14:paraId="119EC8F3" w14:textId="77777777" w:rsidR="001B186F" w:rsidRPr="00DE4E4F" w:rsidRDefault="0074517F">
      <w:pPr>
        <w:pStyle w:val="ListParagraph"/>
        <w:numPr>
          <w:ilvl w:val="0"/>
          <w:numId w:val="55"/>
        </w:numPr>
        <w:spacing w:before="120" w:after="120" w:line="240" w:lineRule="auto"/>
        <w:ind w:left="426" w:hanging="426"/>
        <w:jc w:val="both"/>
        <w:rPr>
          <w:rFonts w:ascii="Times New Roman" w:hAnsi="Times New Roman" w:cs="Times New Roman"/>
          <w:noProof/>
          <w:sz w:val="24"/>
          <w:szCs w:val="24"/>
        </w:rPr>
      </w:pPr>
      <w:r w:rsidRPr="00DE4E4F">
        <w:rPr>
          <w:rFonts w:ascii="Times New Roman" w:hAnsi="Times New Roman"/>
          <w:noProof/>
          <w:sz w:val="24"/>
          <w:szCs w:val="24"/>
        </w:rPr>
        <w:t>Upgrade of taxpayer services.</w:t>
      </w:r>
    </w:p>
    <w:p w14:paraId="138FC96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Modifications to Greece’s tax policy framework (measure ID: 16985)</w:t>
      </w:r>
    </w:p>
    <w:p w14:paraId="0E2F287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reform aims to combat tax evasion and improve incentives, through promoting electronic payments and improving the structure of taxes on self-employed, as well as to enhance the operational autonomy of the tax administration. In particular this reform shall: (i) reform the taxation of the self-employed and stamp duty; (ii) combat tax evasion through widening the mandatory acceptance of electronic payments; (iii) establish new reporting requirements on data transmitted to the tax administration and enable the use of this data for VAT and Income Tax purposes; and (iv) strengthen the operational autonomy, resilience and level of customer services of the Independent Authority for Public Revenue (IAPR).</w:t>
      </w:r>
    </w:p>
    <w:p w14:paraId="422F930D" w14:textId="77777777" w:rsidR="001B186F" w:rsidRPr="00DE4E4F" w:rsidDel="001B001B"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implementation of the reform shall be completed by 31 December 2024.</w:t>
      </w:r>
    </w:p>
    <w:p w14:paraId="36293A4E" w14:textId="77777777" w:rsidR="001B186F" w:rsidRPr="00DE4E4F" w:rsidRDefault="001B186F">
      <w:pPr>
        <w:spacing w:before="120" w:after="120" w:line="240" w:lineRule="auto"/>
        <w:ind w:left="709"/>
        <w:jc w:val="both"/>
        <w:rPr>
          <w:rFonts w:ascii="Times New Roman" w:hAnsi="Times New Roman" w:cs="Times New Roman"/>
          <w:noProof/>
          <w:sz w:val="24"/>
        </w:rPr>
      </w:pPr>
    </w:p>
    <w:p w14:paraId="66AEA158"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252"/>
          <w:headerReference w:type="default" r:id="rId253"/>
          <w:footerReference w:type="even" r:id="rId254"/>
          <w:footerReference w:type="default" r:id="rId255"/>
          <w:headerReference w:type="first" r:id="rId256"/>
          <w:footerReference w:type="first" r:id="rId257"/>
          <w:pgSz w:w="11906" w:h="16838"/>
          <w:pgMar w:top="1134" w:right="1134" w:bottom="1134" w:left="1134" w:header="567" w:footer="567" w:gutter="0"/>
          <w:cols w:space="708"/>
          <w:docGrid w:linePitch="360"/>
        </w:sectPr>
      </w:pPr>
    </w:p>
    <w:p w14:paraId="54709318"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L.2. Milestones, targets, indicators, and timetable for monitoring and implementation for non-repayable financial support</w:t>
      </w:r>
    </w:p>
    <w:p w14:paraId="7DC7EFA8" w14:textId="77777777" w:rsidR="001B186F" w:rsidRPr="00DE4E4F" w:rsidRDefault="0074517F">
      <w:pPr>
        <w:keepNext/>
        <w:keepLines/>
        <w:spacing w:before="40" w:after="0" w:line="240" w:lineRule="auto"/>
        <w:jc w:val="both"/>
        <w:outlineLvl w:val="4"/>
        <w:rPr>
          <w:rFonts w:ascii="Cambria" w:hAnsi="Cambria"/>
          <w:noProof/>
          <w:color w:val="365F91"/>
          <w:sz w:val="24"/>
        </w:rPr>
      </w:pPr>
      <w:r w:rsidRPr="00DE4E4F">
        <w:rPr>
          <w:rFonts w:ascii="Cambria" w:hAnsi="Cambria"/>
          <w:noProof/>
          <w:color w:val="365F91"/>
          <w:sz w:val="24"/>
        </w:rPr>
        <w:t>Key reform 8: Online cash registers &amp; POS</w:t>
      </w:r>
    </w:p>
    <w:tbl>
      <w:tblPr>
        <w:tblW w:w="16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1876"/>
        <w:gridCol w:w="1122"/>
        <w:gridCol w:w="1550"/>
        <w:gridCol w:w="2363"/>
        <w:gridCol w:w="1200"/>
        <w:gridCol w:w="1200"/>
        <w:gridCol w:w="960"/>
        <w:gridCol w:w="1080"/>
        <w:gridCol w:w="840"/>
        <w:gridCol w:w="3396"/>
      </w:tblGrid>
      <w:tr w:rsidR="00682269" w:rsidRPr="00DE4E4F" w14:paraId="35B284D3" w14:textId="77777777">
        <w:trPr>
          <w:trHeight w:val="798"/>
          <w:tblHeader/>
          <w:jc w:val="center"/>
        </w:trPr>
        <w:tc>
          <w:tcPr>
            <w:tcW w:w="757" w:type="dxa"/>
            <w:vMerge w:val="restart"/>
            <w:shd w:val="clear" w:color="auto" w:fill="BDD7EE"/>
            <w:vAlign w:val="center"/>
            <w:hideMark/>
          </w:tcPr>
          <w:p w14:paraId="7A420E7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876" w:type="dxa"/>
            <w:vMerge w:val="restart"/>
            <w:shd w:val="clear" w:color="auto" w:fill="BDD7EE"/>
            <w:vAlign w:val="center"/>
            <w:hideMark/>
          </w:tcPr>
          <w:p w14:paraId="5331F6F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22" w:type="dxa"/>
            <w:vMerge w:val="restart"/>
            <w:shd w:val="clear" w:color="auto" w:fill="BDD7EE"/>
            <w:vAlign w:val="center"/>
            <w:hideMark/>
          </w:tcPr>
          <w:p w14:paraId="3EDC7F2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50" w:type="dxa"/>
            <w:vMerge w:val="restart"/>
            <w:shd w:val="clear" w:color="auto" w:fill="BDD7EE"/>
            <w:vAlign w:val="center"/>
            <w:hideMark/>
          </w:tcPr>
          <w:p w14:paraId="2C06ED0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2363" w:type="dxa"/>
            <w:vMerge w:val="restart"/>
            <w:shd w:val="clear" w:color="auto" w:fill="BDD7EE"/>
            <w:vAlign w:val="center"/>
            <w:hideMark/>
          </w:tcPr>
          <w:p w14:paraId="20C135E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360" w:type="dxa"/>
            <w:gridSpan w:val="3"/>
            <w:shd w:val="clear" w:color="auto" w:fill="BDD7EE"/>
            <w:vAlign w:val="center"/>
            <w:hideMark/>
          </w:tcPr>
          <w:p w14:paraId="2F3D0C5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920" w:type="dxa"/>
            <w:gridSpan w:val="2"/>
            <w:shd w:val="clear" w:color="auto" w:fill="BDD7EE"/>
            <w:vAlign w:val="center"/>
            <w:hideMark/>
          </w:tcPr>
          <w:p w14:paraId="540F85B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396" w:type="dxa"/>
            <w:vMerge w:val="restart"/>
            <w:shd w:val="clear" w:color="auto" w:fill="BDD7EE"/>
            <w:vAlign w:val="center"/>
            <w:hideMark/>
          </w:tcPr>
          <w:p w14:paraId="728A10C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13BDA289" w14:textId="77777777">
        <w:trPr>
          <w:trHeight w:val="441"/>
          <w:jc w:val="center"/>
        </w:trPr>
        <w:tc>
          <w:tcPr>
            <w:tcW w:w="757" w:type="dxa"/>
            <w:vMerge/>
            <w:vAlign w:val="center"/>
            <w:hideMark/>
          </w:tcPr>
          <w:p w14:paraId="1C9E6719"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876" w:type="dxa"/>
            <w:vMerge/>
            <w:vAlign w:val="center"/>
            <w:hideMark/>
          </w:tcPr>
          <w:p w14:paraId="03E5F8C3"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122" w:type="dxa"/>
            <w:vMerge/>
            <w:vAlign w:val="center"/>
            <w:hideMark/>
          </w:tcPr>
          <w:p w14:paraId="2884F9AD"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550" w:type="dxa"/>
            <w:vMerge/>
            <w:vAlign w:val="center"/>
            <w:hideMark/>
          </w:tcPr>
          <w:p w14:paraId="106B3B77"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2363" w:type="dxa"/>
            <w:vMerge/>
            <w:vAlign w:val="center"/>
            <w:hideMark/>
          </w:tcPr>
          <w:p w14:paraId="7CD500FE"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200" w:type="dxa"/>
            <w:shd w:val="clear" w:color="auto" w:fill="BDD7EE"/>
            <w:vAlign w:val="center"/>
            <w:hideMark/>
          </w:tcPr>
          <w:p w14:paraId="12941C6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200" w:type="dxa"/>
            <w:shd w:val="clear" w:color="auto" w:fill="BDD7EE"/>
            <w:vAlign w:val="center"/>
            <w:hideMark/>
          </w:tcPr>
          <w:p w14:paraId="5711F59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960" w:type="dxa"/>
            <w:shd w:val="clear" w:color="auto" w:fill="BDD7EE"/>
            <w:vAlign w:val="center"/>
            <w:hideMark/>
          </w:tcPr>
          <w:p w14:paraId="6707130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1080" w:type="dxa"/>
            <w:shd w:val="clear" w:color="auto" w:fill="BDD7EE"/>
            <w:vAlign w:val="center"/>
            <w:hideMark/>
          </w:tcPr>
          <w:p w14:paraId="1571820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40" w:type="dxa"/>
            <w:shd w:val="clear" w:color="auto" w:fill="BDD7EE"/>
            <w:vAlign w:val="center"/>
            <w:hideMark/>
          </w:tcPr>
          <w:p w14:paraId="3E953C6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396" w:type="dxa"/>
            <w:vMerge/>
            <w:vAlign w:val="center"/>
            <w:hideMark/>
          </w:tcPr>
          <w:p w14:paraId="7E3A0ACF"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r>
      <w:tr w:rsidR="00682269" w:rsidRPr="00DE4E4F" w14:paraId="3884ED21" w14:textId="77777777">
        <w:trPr>
          <w:trHeight w:val="309"/>
          <w:jc w:val="center"/>
        </w:trPr>
        <w:tc>
          <w:tcPr>
            <w:tcW w:w="757" w:type="dxa"/>
            <w:shd w:val="clear" w:color="auto" w:fill="C6EFCE"/>
            <w:noWrap/>
          </w:tcPr>
          <w:p w14:paraId="6D1114A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188</w:t>
            </w:r>
          </w:p>
        </w:tc>
        <w:tc>
          <w:tcPr>
            <w:tcW w:w="1876" w:type="dxa"/>
            <w:shd w:val="clear" w:color="auto" w:fill="C6EFCE"/>
            <w:noWrap/>
          </w:tcPr>
          <w:p w14:paraId="4351E4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12 - 4.1. Making taxes more growth friendly and improving tax administration and tax collection - 16614_Online cash registers &amp; POS (reform)</w:t>
            </w:r>
          </w:p>
        </w:tc>
        <w:tc>
          <w:tcPr>
            <w:tcW w:w="1122" w:type="dxa"/>
            <w:shd w:val="clear" w:color="auto" w:fill="C6EFCE"/>
            <w:noWrap/>
          </w:tcPr>
          <w:p w14:paraId="37BB6F5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Milestone</w:t>
            </w:r>
          </w:p>
        </w:tc>
        <w:tc>
          <w:tcPr>
            <w:tcW w:w="1550" w:type="dxa"/>
            <w:shd w:val="clear" w:color="auto" w:fill="C6EFCE"/>
            <w:noWrap/>
          </w:tcPr>
          <w:p w14:paraId="2CAC1B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Independent Authority for Public Revenue (IAPR): Online cash registers &amp; Point-of-Sale (POS) – Entry into force of the legal framework</w:t>
            </w:r>
          </w:p>
        </w:tc>
        <w:tc>
          <w:tcPr>
            <w:tcW w:w="2363" w:type="dxa"/>
            <w:shd w:val="clear" w:color="auto" w:fill="C6EFCE"/>
            <w:noWrap/>
          </w:tcPr>
          <w:p w14:paraId="61B918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Entry into force of the law</w:t>
            </w:r>
          </w:p>
        </w:tc>
        <w:tc>
          <w:tcPr>
            <w:tcW w:w="1200" w:type="dxa"/>
            <w:shd w:val="clear" w:color="auto" w:fill="C6EFCE"/>
            <w:noWrap/>
          </w:tcPr>
          <w:p w14:paraId="14FF6D7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00" w:type="dxa"/>
            <w:shd w:val="clear" w:color="auto" w:fill="C6EFCE"/>
            <w:noWrap/>
          </w:tcPr>
          <w:p w14:paraId="2617F8E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shd w:val="clear" w:color="auto" w:fill="C6EFCE"/>
            <w:noWrap/>
          </w:tcPr>
          <w:p w14:paraId="00B47B0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80" w:type="dxa"/>
            <w:shd w:val="clear" w:color="auto" w:fill="C6EFCE"/>
            <w:noWrap/>
          </w:tcPr>
          <w:p w14:paraId="26DF9A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Q1</w:t>
            </w:r>
          </w:p>
        </w:tc>
        <w:tc>
          <w:tcPr>
            <w:tcW w:w="840" w:type="dxa"/>
            <w:shd w:val="clear" w:color="auto" w:fill="C6EFCE"/>
            <w:noWrap/>
          </w:tcPr>
          <w:p w14:paraId="6B4912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2022</w:t>
            </w:r>
          </w:p>
        </w:tc>
        <w:tc>
          <w:tcPr>
            <w:tcW w:w="3396" w:type="dxa"/>
            <w:shd w:val="clear" w:color="auto" w:fill="C6EFCE"/>
            <w:noWrap/>
          </w:tcPr>
          <w:p w14:paraId="6D56DDB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an Independent Authority for Public Revenue Governor’s decision for technical requirements, (based on article 12, Law 4308/2014) and a Joint Ministerial Decision for electronic data transmission to the Independent Authority for Public Revenue (based on article 15, Law 4174/2013), which shall set out the key features necessary for the interconnection of online cash registers and Point-of-Sale (POS) systems to the Independent Authority for Public Revenue, including revisiting sanctions for cash registers (article 54, Law 4174/2013).</w:t>
            </w:r>
          </w:p>
        </w:tc>
      </w:tr>
      <w:tr w:rsidR="00682269" w:rsidRPr="00DE4E4F" w14:paraId="00616752" w14:textId="77777777">
        <w:trPr>
          <w:trHeight w:val="309"/>
          <w:jc w:val="center"/>
        </w:trPr>
        <w:tc>
          <w:tcPr>
            <w:tcW w:w="757" w:type="dxa"/>
            <w:shd w:val="clear" w:color="auto" w:fill="C6EFCE"/>
            <w:noWrap/>
          </w:tcPr>
          <w:p w14:paraId="5E89EC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189</w:t>
            </w:r>
          </w:p>
        </w:tc>
        <w:tc>
          <w:tcPr>
            <w:tcW w:w="1876" w:type="dxa"/>
            <w:shd w:val="clear" w:color="auto" w:fill="C6EFCE"/>
            <w:noWrap/>
          </w:tcPr>
          <w:p w14:paraId="6C475D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12 - 4.1. Making taxes more growth friendly and improving tax administration and tax collection - 16614_Online cash registers &amp; POS (reform)</w:t>
            </w:r>
          </w:p>
        </w:tc>
        <w:tc>
          <w:tcPr>
            <w:tcW w:w="1122" w:type="dxa"/>
            <w:shd w:val="clear" w:color="auto" w:fill="C6EFCE"/>
            <w:noWrap/>
          </w:tcPr>
          <w:p w14:paraId="08D0BF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550" w:type="dxa"/>
            <w:shd w:val="clear" w:color="auto" w:fill="C6EFCE"/>
            <w:noWrap/>
          </w:tcPr>
          <w:p w14:paraId="4B60E8E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Independent Authority for Public Revenue: Online cash registers &amp; Point-of-Sale (POS) – integration and interconnection </w:t>
            </w:r>
          </w:p>
        </w:tc>
        <w:tc>
          <w:tcPr>
            <w:tcW w:w="2363" w:type="dxa"/>
            <w:shd w:val="clear" w:color="auto" w:fill="C6EFCE"/>
            <w:noWrap/>
          </w:tcPr>
          <w:p w14:paraId="5FD3CA05" w14:textId="77777777" w:rsidR="001B186F" w:rsidRPr="00DE4E4F" w:rsidRDefault="001B186F">
            <w:pPr>
              <w:spacing w:after="0" w:line="240" w:lineRule="auto"/>
              <w:rPr>
                <w:rFonts w:ascii="Times New Roman" w:eastAsia="Times New Roman" w:hAnsi="Times New Roman" w:cs="Times New Roman"/>
                <w:noProof/>
                <w:color w:val="006100"/>
                <w:sz w:val="18"/>
                <w:szCs w:val="18"/>
                <w:highlight w:val="yellow"/>
                <w:lang w:eastAsia="en-GB"/>
              </w:rPr>
            </w:pPr>
          </w:p>
        </w:tc>
        <w:tc>
          <w:tcPr>
            <w:tcW w:w="1200" w:type="dxa"/>
            <w:shd w:val="clear" w:color="auto" w:fill="C6EFCE"/>
            <w:noWrap/>
          </w:tcPr>
          <w:p w14:paraId="5AFA15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Number of cash registers</w:t>
            </w:r>
          </w:p>
        </w:tc>
        <w:tc>
          <w:tcPr>
            <w:tcW w:w="1200" w:type="dxa"/>
            <w:shd w:val="clear" w:color="auto" w:fill="C6EFCE"/>
            <w:noWrap/>
          </w:tcPr>
          <w:p w14:paraId="471501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0</w:t>
            </w:r>
          </w:p>
        </w:tc>
        <w:tc>
          <w:tcPr>
            <w:tcW w:w="960" w:type="dxa"/>
            <w:shd w:val="clear" w:color="auto" w:fill="C6EFCE"/>
            <w:noWrap/>
          </w:tcPr>
          <w:p w14:paraId="0BDC76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400 000</w:t>
            </w:r>
          </w:p>
        </w:tc>
        <w:tc>
          <w:tcPr>
            <w:tcW w:w="1080" w:type="dxa"/>
            <w:shd w:val="clear" w:color="auto" w:fill="C6EFCE"/>
            <w:noWrap/>
          </w:tcPr>
          <w:p w14:paraId="23AE2B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Q2</w:t>
            </w:r>
          </w:p>
        </w:tc>
        <w:tc>
          <w:tcPr>
            <w:tcW w:w="840" w:type="dxa"/>
            <w:shd w:val="clear" w:color="auto" w:fill="C6EFCE"/>
            <w:noWrap/>
          </w:tcPr>
          <w:p w14:paraId="6BCCC1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2024</w:t>
            </w:r>
          </w:p>
        </w:tc>
        <w:tc>
          <w:tcPr>
            <w:tcW w:w="3396" w:type="dxa"/>
            <w:shd w:val="clear" w:color="auto" w:fill="C6EFCE"/>
            <w:noWrap/>
          </w:tcPr>
          <w:p w14:paraId="293337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Integration of the relevant IT system and database within the myDATA platform - all businesses under the legal framework have interconnected their online cash registers with Point-of-Sale systems to the Independent Authority for Public Revenue. </w:t>
            </w:r>
          </w:p>
          <w:p w14:paraId="2CDF50F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0E30C7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report by the Independent Authority for Public Revenue attesting the completion of the reform and indicating the total number of online cash registers that have interconnected their Point-of-Sale systems to the Independent Authority for Public Revenue. The eligible cash registers shall be at least 400 000.</w:t>
            </w:r>
          </w:p>
        </w:tc>
      </w:tr>
    </w:tbl>
    <w:p w14:paraId="33C559A8"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350D4399" w14:textId="77777777" w:rsidR="001B186F" w:rsidRPr="00DE4E4F" w:rsidRDefault="0074517F">
      <w:pPr>
        <w:spacing w:after="0" w:line="240" w:lineRule="auto"/>
        <w:rPr>
          <w:rFonts w:ascii="Times New Roman" w:hAnsi="Times New Roman" w:cs="Times New Roman"/>
          <w:noProof/>
          <w:sz w:val="24"/>
          <w:szCs w:val="24"/>
        </w:rPr>
      </w:pPr>
      <w:r w:rsidRPr="00DE4E4F">
        <w:rPr>
          <w:rFonts w:ascii="Times New Roman" w:hAnsi="Times New Roman" w:cs="Times New Roman"/>
          <w:noProof/>
          <w:sz w:val="24"/>
          <w:szCs w:val="24"/>
        </w:rPr>
        <w:br w:type="page"/>
      </w:r>
    </w:p>
    <w:p w14:paraId="58E703F8"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17: Tax Administration measures</w:t>
      </w:r>
    </w:p>
    <w:p w14:paraId="3190348F" w14:textId="77777777" w:rsidR="001B186F" w:rsidRPr="00DE4E4F" w:rsidRDefault="0074517F">
      <w:pPr>
        <w:numPr>
          <w:ilvl w:val="0"/>
          <w:numId w:val="56"/>
        </w:numPr>
        <w:spacing w:before="120" w:after="0" w:line="240" w:lineRule="auto"/>
        <w:jc w:val="both"/>
        <w:rPr>
          <w:rFonts w:ascii="Times New Roman" w:hAnsi="Times New Roman" w:cs="Times New Roman"/>
          <w:noProof/>
        </w:rPr>
      </w:pPr>
      <w:r w:rsidRPr="00DE4E4F">
        <w:rPr>
          <w:rFonts w:ascii="Times New Roman" w:hAnsi="Times New Roman"/>
          <w:noProof/>
          <w:sz w:val="24"/>
        </w:rPr>
        <w:t>Digital transformation of tax audits (ID: 16611)</w:t>
      </w:r>
    </w:p>
    <w:p w14:paraId="043D2845" w14:textId="77777777" w:rsidR="001B186F" w:rsidRPr="00DE4E4F" w:rsidRDefault="0074517F">
      <w:pPr>
        <w:numPr>
          <w:ilvl w:val="0"/>
          <w:numId w:val="56"/>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Promoting the acceleration of VAT refunds (ID: 16610)</w:t>
      </w:r>
    </w:p>
    <w:p w14:paraId="393E9C22" w14:textId="77777777" w:rsidR="001B186F" w:rsidRPr="00DE4E4F" w:rsidRDefault="0074517F">
      <w:pPr>
        <w:numPr>
          <w:ilvl w:val="0"/>
          <w:numId w:val="56"/>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New framework for the fight against smuggling, mainly for products subject to excise duties (tobacco, alcohol and energy) (ID: 16656)</w:t>
      </w:r>
    </w:p>
    <w:p w14:paraId="31F89F9E" w14:textId="77777777" w:rsidR="001B186F" w:rsidRPr="00DE4E4F" w:rsidRDefault="0074517F">
      <w:pPr>
        <w:numPr>
          <w:ilvl w:val="0"/>
          <w:numId w:val="56"/>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Digital Transformation of the Tax and Customs Administration (ID: 16291)</w:t>
      </w:r>
    </w:p>
    <w:tbl>
      <w:tblPr>
        <w:tblW w:w="16160" w:type="dxa"/>
        <w:jc w:val="center"/>
        <w:tblLayout w:type="fixed"/>
        <w:tblLook w:val="04A0" w:firstRow="1" w:lastRow="0" w:firstColumn="1" w:lastColumn="0" w:noHBand="0" w:noVBand="1"/>
      </w:tblPr>
      <w:tblGrid>
        <w:gridCol w:w="6"/>
        <w:gridCol w:w="669"/>
        <w:gridCol w:w="2410"/>
        <w:gridCol w:w="1134"/>
        <w:gridCol w:w="1409"/>
        <w:gridCol w:w="1803"/>
        <w:gridCol w:w="1065"/>
        <w:gridCol w:w="961"/>
        <w:gridCol w:w="826"/>
        <w:gridCol w:w="1098"/>
        <w:gridCol w:w="1369"/>
        <w:gridCol w:w="3410"/>
      </w:tblGrid>
      <w:tr w:rsidR="00682269" w:rsidRPr="00DE4E4F" w14:paraId="42E0663E" w14:textId="77777777" w:rsidTr="00B81D86">
        <w:trPr>
          <w:trHeight w:val="939"/>
          <w:tblHeader/>
          <w:jc w:val="center"/>
        </w:trPr>
        <w:tc>
          <w:tcPr>
            <w:tcW w:w="67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102D04"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9BCA45"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AB8E68"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4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8327B6"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8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975BBE"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85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BA74DB4"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w:t>
            </w:r>
            <w:r w:rsidRPr="00DE4E4F">
              <w:rPr>
                <w:rFonts w:ascii="Times New Roman" w:hAnsi="Times New Roman" w:cs="Times New Roman"/>
                <w:noProof/>
                <w:sz w:val="18"/>
                <w:szCs w:val="18"/>
              </w:rPr>
              <w:t xml:space="preserve"> </w:t>
            </w:r>
            <w:r w:rsidRPr="00DE4E4F">
              <w:rPr>
                <w:rFonts w:ascii="Times New Roman" w:hAnsi="Times New Roman"/>
                <w:b/>
                <w:noProof/>
                <w:sz w:val="18"/>
              </w:rPr>
              <w:t>(for targets)</w:t>
            </w:r>
          </w:p>
        </w:tc>
        <w:tc>
          <w:tcPr>
            <w:tcW w:w="2467" w:type="dxa"/>
            <w:gridSpan w:val="2"/>
            <w:tcBorders>
              <w:top w:val="single" w:sz="4" w:space="0" w:color="auto"/>
              <w:left w:val="nil"/>
              <w:bottom w:val="single" w:sz="4" w:space="0" w:color="auto"/>
              <w:right w:val="single" w:sz="4" w:space="0" w:color="auto"/>
            </w:tcBorders>
            <w:shd w:val="clear" w:color="auto" w:fill="BDD7EE"/>
            <w:vAlign w:val="center"/>
            <w:hideMark/>
          </w:tcPr>
          <w:p w14:paraId="0C5CEFC0"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6647E1"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35538512" w14:textId="77777777" w:rsidTr="00A70121">
        <w:trPr>
          <w:trHeight w:val="464"/>
          <w:tblHeader/>
          <w:jc w:val="center"/>
        </w:trPr>
        <w:tc>
          <w:tcPr>
            <w:tcW w:w="675" w:type="dxa"/>
            <w:gridSpan w:val="2"/>
            <w:vMerge/>
            <w:tcBorders>
              <w:top w:val="single" w:sz="4" w:space="0" w:color="auto"/>
              <w:left w:val="single" w:sz="4" w:space="0" w:color="auto"/>
              <w:bottom w:val="single" w:sz="4" w:space="0" w:color="auto"/>
              <w:right w:val="single" w:sz="4" w:space="0" w:color="auto"/>
            </w:tcBorders>
            <w:vAlign w:val="center"/>
            <w:hideMark/>
          </w:tcPr>
          <w:p w14:paraId="35BF3AC1"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043DDCFA"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45314A6"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c>
          <w:tcPr>
            <w:tcW w:w="1409" w:type="dxa"/>
            <w:vMerge/>
            <w:tcBorders>
              <w:top w:val="single" w:sz="4" w:space="0" w:color="auto"/>
              <w:left w:val="single" w:sz="4" w:space="0" w:color="auto"/>
              <w:bottom w:val="single" w:sz="4" w:space="0" w:color="auto"/>
              <w:right w:val="single" w:sz="4" w:space="0" w:color="auto"/>
            </w:tcBorders>
            <w:vAlign w:val="center"/>
            <w:hideMark/>
          </w:tcPr>
          <w:p w14:paraId="124BF621"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c>
          <w:tcPr>
            <w:tcW w:w="1803" w:type="dxa"/>
            <w:vMerge/>
            <w:tcBorders>
              <w:top w:val="single" w:sz="4" w:space="0" w:color="auto"/>
              <w:left w:val="single" w:sz="4" w:space="0" w:color="auto"/>
              <w:bottom w:val="single" w:sz="4" w:space="0" w:color="auto"/>
              <w:right w:val="single" w:sz="4" w:space="0" w:color="auto"/>
            </w:tcBorders>
            <w:vAlign w:val="center"/>
            <w:hideMark/>
          </w:tcPr>
          <w:p w14:paraId="072E10F4"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c>
          <w:tcPr>
            <w:tcW w:w="106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4D26A1"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6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CF94A0"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85A96C"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109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BC17244"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136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499955" w14:textId="77777777" w:rsidR="001B186F" w:rsidRPr="00DE4E4F" w:rsidRDefault="0074517F" w:rsidP="00B81D86">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410" w:type="dxa"/>
            <w:vMerge/>
            <w:tcBorders>
              <w:top w:val="single" w:sz="4" w:space="0" w:color="auto"/>
              <w:left w:val="single" w:sz="4" w:space="0" w:color="auto"/>
              <w:bottom w:val="single" w:sz="4" w:space="0" w:color="auto"/>
              <w:right w:val="single" w:sz="4" w:space="0" w:color="auto"/>
            </w:tcBorders>
            <w:vAlign w:val="center"/>
            <w:hideMark/>
          </w:tcPr>
          <w:p w14:paraId="6D8C2AD1" w14:textId="77777777" w:rsidR="001B186F" w:rsidRPr="00DE4E4F" w:rsidRDefault="001B186F" w:rsidP="00B81D86">
            <w:pPr>
              <w:spacing w:after="0" w:line="240" w:lineRule="auto"/>
              <w:rPr>
                <w:rFonts w:ascii="Times New Roman" w:eastAsia="Times New Roman" w:hAnsi="Times New Roman" w:cs="Times New Roman"/>
                <w:b/>
                <w:bCs/>
                <w:noProof/>
                <w:sz w:val="18"/>
                <w:szCs w:val="18"/>
                <w:lang w:eastAsia="en-GB"/>
              </w:rPr>
            </w:pPr>
          </w:p>
        </w:tc>
      </w:tr>
      <w:tr w:rsidR="00682269" w:rsidRPr="00DE4E4F" w14:paraId="6C49D787" w14:textId="77777777" w:rsidTr="00A70121">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6024C1CE"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190</w:t>
            </w:r>
          </w:p>
        </w:tc>
        <w:tc>
          <w:tcPr>
            <w:tcW w:w="2410" w:type="dxa"/>
            <w:tcBorders>
              <w:top w:val="single" w:sz="4" w:space="0" w:color="auto"/>
              <w:left w:val="nil"/>
              <w:bottom w:val="single" w:sz="4" w:space="0" w:color="auto"/>
              <w:right w:val="single" w:sz="4" w:space="0" w:color="auto"/>
            </w:tcBorders>
            <w:shd w:val="clear" w:color="auto" w:fill="C6EFCE"/>
            <w:noWrap/>
          </w:tcPr>
          <w:p w14:paraId="7D2BD380"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- 16656_New framework for the fight against smuggling, mainly for products subject to excise duties (tobacco, alcohol and energy)</w:t>
            </w:r>
          </w:p>
        </w:tc>
        <w:tc>
          <w:tcPr>
            <w:tcW w:w="1134" w:type="dxa"/>
            <w:tcBorders>
              <w:top w:val="single" w:sz="4" w:space="0" w:color="auto"/>
              <w:left w:val="nil"/>
              <w:bottom w:val="single" w:sz="4" w:space="0" w:color="auto"/>
              <w:right w:val="single" w:sz="4" w:space="0" w:color="auto"/>
            </w:tcBorders>
            <w:shd w:val="clear" w:color="auto" w:fill="C6EFCE"/>
            <w:noWrap/>
          </w:tcPr>
          <w:p w14:paraId="155DC34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single" w:sz="4" w:space="0" w:color="auto"/>
              <w:left w:val="nil"/>
              <w:bottom w:val="single" w:sz="4" w:space="0" w:color="auto"/>
              <w:right w:val="single" w:sz="4" w:space="0" w:color="auto"/>
            </w:tcBorders>
            <w:shd w:val="clear" w:color="auto" w:fill="C6EFCE"/>
            <w:noWrap/>
          </w:tcPr>
          <w:p w14:paraId="49190BF4"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Fight against smuggling – regulatory decisions roadmap</w:t>
            </w:r>
          </w:p>
        </w:tc>
        <w:tc>
          <w:tcPr>
            <w:tcW w:w="1803" w:type="dxa"/>
            <w:tcBorders>
              <w:top w:val="single" w:sz="4" w:space="0" w:color="auto"/>
              <w:left w:val="nil"/>
              <w:bottom w:val="single" w:sz="4" w:space="0" w:color="auto"/>
              <w:right w:val="single" w:sz="4" w:space="0" w:color="auto"/>
            </w:tcBorders>
            <w:shd w:val="clear" w:color="auto" w:fill="C6EFCE"/>
            <w:noWrap/>
          </w:tcPr>
          <w:p w14:paraId="60EC59F8"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Independent Authority for Public Revenue containing the roadmap for the decisions /circulars related to the fight against smuggling.</w:t>
            </w:r>
          </w:p>
        </w:tc>
        <w:tc>
          <w:tcPr>
            <w:tcW w:w="1065" w:type="dxa"/>
            <w:tcBorders>
              <w:top w:val="single" w:sz="4" w:space="0" w:color="auto"/>
              <w:left w:val="nil"/>
              <w:bottom w:val="single" w:sz="4" w:space="0" w:color="auto"/>
              <w:right w:val="single" w:sz="4" w:space="0" w:color="auto"/>
            </w:tcBorders>
            <w:shd w:val="clear" w:color="auto" w:fill="C6EFCE"/>
            <w:noWrap/>
          </w:tcPr>
          <w:p w14:paraId="66446020"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single" w:sz="4" w:space="0" w:color="auto"/>
              <w:left w:val="nil"/>
              <w:bottom w:val="single" w:sz="4" w:space="0" w:color="auto"/>
              <w:right w:val="single" w:sz="4" w:space="0" w:color="auto"/>
            </w:tcBorders>
            <w:shd w:val="clear" w:color="auto" w:fill="C6EFCE"/>
            <w:noWrap/>
          </w:tcPr>
          <w:p w14:paraId="68288E14"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single" w:sz="4" w:space="0" w:color="auto"/>
              <w:left w:val="nil"/>
              <w:bottom w:val="single" w:sz="4" w:space="0" w:color="auto"/>
              <w:right w:val="single" w:sz="4" w:space="0" w:color="auto"/>
            </w:tcBorders>
            <w:shd w:val="clear" w:color="auto" w:fill="C6EFCE"/>
            <w:noWrap/>
          </w:tcPr>
          <w:p w14:paraId="76DF8907"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single" w:sz="4" w:space="0" w:color="auto"/>
              <w:left w:val="nil"/>
              <w:bottom w:val="single" w:sz="4" w:space="0" w:color="auto"/>
              <w:right w:val="single" w:sz="4" w:space="0" w:color="auto"/>
            </w:tcBorders>
            <w:shd w:val="clear" w:color="auto" w:fill="C6EFCE"/>
            <w:noWrap/>
          </w:tcPr>
          <w:p w14:paraId="7898C3B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1369" w:type="dxa"/>
            <w:tcBorders>
              <w:top w:val="single" w:sz="4" w:space="0" w:color="auto"/>
              <w:left w:val="nil"/>
              <w:bottom w:val="single" w:sz="4" w:space="0" w:color="auto"/>
              <w:right w:val="single" w:sz="4" w:space="0" w:color="auto"/>
            </w:tcBorders>
            <w:shd w:val="clear" w:color="auto" w:fill="C6EFCE"/>
            <w:noWrap/>
          </w:tcPr>
          <w:p w14:paraId="1799D63F"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410" w:type="dxa"/>
            <w:tcBorders>
              <w:top w:val="single" w:sz="4" w:space="0" w:color="auto"/>
              <w:left w:val="single" w:sz="4" w:space="0" w:color="auto"/>
              <w:bottom w:val="single" w:sz="4" w:space="0" w:color="auto"/>
              <w:right w:val="single" w:sz="4" w:space="0" w:color="auto"/>
            </w:tcBorders>
            <w:shd w:val="clear" w:color="auto" w:fill="C6EFCE"/>
            <w:noWrap/>
          </w:tcPr>
          <w:p w14:paraId="03BCE55D"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Independent Authority for Public Revenue shall adopt a roadmap (including timeline) for the issuance of the decisions /circulars related to the reform of the legal framework on the fight against smuggling.</w:t>
            </w:r>
          </w:p>
          <w:p w14:paraId="00B7D64A"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27A47C8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Independent Authority for Public Revenue shall issue a report on the roadmap for the issuance of the decisions /circulars, detailing the steps needed for the redesign of the ICISNET and ELENXIS operational information systems, with the aim to effectively prioritise non-compliance risks and generate the best possible audit profiles, utilising information from the European Union and national databases.</w:t>
            </w:r>
          </w:p>
        </w:tc>
      </w:tr>
      <w:tr w:rsidR="00682269" w:rsidRPr="00DE4E4F" w14:paraId="3298A682" w14:textId="77777777" w:rsidTr="00B81D86">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67DE39E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191</w:t>
            </w:r>
          </w:p>
        </w:tc>
        <w:tc>
          <w:tcPr>
            <w:tcW w:w="2410" w:type="dxa"/>
            <w:tcBorders>
              <w:top w:val="nil"/>
              <w:left w:val="nil"/>
              <w:bottom w:val="single" w:sz="4" w:space="0" w:color="auto"/>
              <w:right w:val="single" w:sz="4" w:space="0" w:color="auto"/>
            </w:tcBorders>
            <w:shd w:val="clear" w:color="auto" w:fill="C6EFCE"/>
            <w:noWrap/>
          </w:tcPr>
          <w:p w14:paraId="535F819F"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- 16656_New framework for the fight against smuggling, mainly for products subject to excise duties (tobacco, alcohol and energy)</w:t>
            </w:r>
          </w:p>
        </w:tc>
        <w:tc>
          <w:tcPr>
            <w:tcW w:w="1134" w:type="dxa"/>
            <w:tcBorders>
              <w:top w:val="nil"/>
              <w:left w:val="nil"/>
              <w:bottom w:val="single" w:sz="4" w:space="0" w:color="auto"/>
              <w:right w:val="single" w:sz="4" w:space="0" w:color="auto"/>
            </w:tcBorders>
            <w:shd w:val="clear" w:color="auto" w:fill="C6EFCE"/>
            <w:noWrap/>
          </w:tcPr>
          <w:p w14:paraId="11FC8788"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nil"/>
              <w:left w:val="nil"/>
              <w:bottom w:val="single" w:sz="4" w:space="0" w:color="auto"/>
              <w:right w:val="single" w:sz="4" w:space="0" w:color="auto"/>
            </w:tcBorders>
            <w:shd w:val="clear" w:color="auto" w:fill="C6EFCE"/>
            <w:noWrap/>
          </w:tcPr>
          <w:p w14:paraId="1FE82CEC"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Fight against smuggling – entry into force of regulatory decisions</w:t>
            </w:r>
          </w:p>
        </w:tc>
        <w:tc>
          <w:tcPr>
            <w:tcW w:w="1803" w:type="dxa"/>
            <w:tcBorders>
              <w:top w:val="nil"/>
              <w:left w:val="nil"/>
              <w:bottom w:val="single" w:sz="4" w:space="0" w:color="auto"/>
              <w:right w:val="single" w:sz="4" w:space="0" w:color="auto"/>
            </w:tcBorders>
            <w:shd w:val="clear" w:color="auto" w:fill="C6EFCE"/>
            <w:noWrap/>
          </w:tcPr>
          <w:p w14:paraId="29101C4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Regulatory decisions / circulars entered into force.</w:t>
            </w:r>
          </w:p>
        </w:tc>
        <w:tc>
          <w:tcPr>
            <w:tcW w:w="1065" w:type="dxa"/>
            <w:tcBorders>
              <w:top w:val="nil"/>
              <w:left w:val="nil"/>
              <w:bottom w:val="single" w:sz="4" w:space="0" w:color="auto"/>
              <w:right w:val="single" w:sz="4" w:space="0" w:color="auto"/>
            </w:tcBorders>
            <w:shd w:val="clear" w:color="auto" w:fill="C6EFCE"/>
            <w:noWrap/>
          </w:tcPr>
          <w:p w14:paraId="6A19684B"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nil"/>
              <w:left w:val="nil"/>
              <w:bottom w:val="single" w:sz="4" w:space="0" w:color="auto"/>
              <w:right w:val="single" w:sz="4" w:space="0" w:color="auto"/>
            </w:tcBorders>
            <w:shd w:val="clear" w:color="auto" w:fill="C6EFCE"/>
            <w:noWrap/>
          </w:tcPr>
          <w:p w14:paraId="6BC2EE4B"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nil"/>
              <w:left w:val="nil"/>
              <w:bottom w:val="single" w:sz="4" w:space="0" w:color="auto"/>
              <w:right w:val="single" w:sz="4" w:space="0" w:color="auto"/>
            </w:tcBorders>
            <w:shd w:val="clear" w:color="auto" w:fill="C6EFCE"/>
            <w:noWrap/>
          </w:tcPr>
          <w:p w14:paraId="303CA66A"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nil"/>
              <w:left w:val="nil"/>
              <w:bottom w:val="single" w:sz="4" w:space="0" w:color="auto"/>
              <w:right w:val="single" w:sz="4" w:space="0" w:color="auto"/>
            </w:tcBorders>
            <w:shd w:val="clear" w:color="auto" w:fill="C6EFCE"/>
            <w:noWrap/>
          </w:tcPr>
          <w:p w14:paraId="21C8EB07"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1369" w:type="dxa"/>
            <w:tcBorders>
              <w:top w:val="nil"/>
              <w:left w:val="nil"/>
              <w:bottom w:val="single" w:sz="4" w:space="0" w:color="auto"/>
              <w:right w:val="single" w:sz="4" w:space="0" w:color="auto"/>
            </w:tcBorders>
            <w:shd w:val="clear" w:color="auto" w:fill="C6EFCE"/>
            <w:noWrap/>
          </w:tcPr>
          <w:p w14:paraId="33ED4010"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410" w:type="dxa"/>
            <w:tcBorders>
              <w:top w:val="single" w:sz="4" w:space="0" w:color="auto"/>
              <w:left w:val="nil"/>
              <w:bottom w:val="single" w:sz="4" w:space="0" w:color="auto"/>
              <w:right w:val="single" w:sz="4" w:space="0" w:color="auto"/>
            </w:tcBorders>
            <w:shd w:val="clear" w:color="auto" w:fill="C6EFCE"/>
            <w:noWrap/>
          </w:tcPr>
          <w:p w14:paraId="2FBF7B75"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15 regulatory decisions / circulars adopted by the Independent Authority for Public Revenue on the design of a new integrated system for the fight against smuggling.</w:t>
            </w:r>
          </w:p>
          <w:p w14:paraId="5FF00295"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159FE81F"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 accordance with the roadmap set by 31 March 2022, the decision / circulars entered into force shall concern the preparation of a new integrated system which shall support the audit process by monitoring customs transactions and procedures in real time. This system shall operate by aiming at better and faster targeting of the prosecuting custom services with central supervision and at the points of high interest.</w:t>
            </w:r>
          </w:p>
        </w:tc>
      </w:tr>
      <w:tr w:rsidR="00682269" w:rsidRPr="00DE4E4F" w14:paraId="06581D34" w14:textId="77777777" w:rsidTr="00B81D86">
        <w:trPr>
          <w:gridBefore w:val="1"/>
          <w:wBefore w:w="6" w:type="dxa"/>
          <w:trHeight w:val="313"/>
          <w:jc w:val="center"/>
        </w:trPr>
        <w:tc>
          <w:tcPr>
            <w:tcW w:w="669" w:type="dxa"/>
            <w:tcBorders>
              <w:top w:val="nil"/>
              <w:left w:val="single" w:sz="4" w:space="0" w:color="auto"/>
              <w:bottom w:val="single" w:sz="4" w:space="0" w:color="auto"/>
              <w:right w:val="single" w:sz="4" w:space="0" w:color="auto"/>
            </w:tcBorders>
            <w:shd w:val="clear" w:color="auto" w:fill="C6EFCE"/>
            <w:noWrap/>
          </w:tcPr>
          <w:p w14:paraId="25389A60"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192</w:t>
            </w:r>
          </w:p>
        </w:tc>
        <w:tc>
          <w:tcPr>
            <w:tcW w:w="2410" w:type="dxa"/>
            <w:tcBorders>
              <w:top w:val="nil"/>
              <w:left w:val="nil"/>
              <w:bottom w:val="single" w:sz="4" w:space="0" w:color="auto"/>
              <w:right w:val="single" w:sz="4" w:space="0" w:color="auto"/>
            </w:tcBorders>
            <w:shd w:val="clear" w:color="auto" w:fill="C6EFCE"/>
            <w:noWrap/>
          </w:tcPr>
          <w:p w14:paraId="078723DA"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12 - 4.1. Making taxes more growth friendly and improving tax administration and tax collection - 16611_Digital transformation of tax audits</w:t>
            </w:r>
          </w:p>
        </w:tc>
        <w:tc>
          <w:tcPr>
            <w:tcW w:w="1134" w:type="dxa"/>
            <w:tcBorders>
              <w:top w:val="nil"/>
              <w:left w:val="nil"/>
              <w:bottom w:val="single" w:sz="4" w:space="0" w:color="auto"/>
              <w:right w:val="single" w:sz="4" w:space="0" w:color="auto"/>
            </w:tcBorders>
            <w:shd w:val="clear" w:color="auto" w:fill="C6EFCE"/>
            <w:noWrap/>
          </w:tcPr>
          <w:p w14:paraId="667726E7"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nil"/>
              <w:left w:val="nil"/>
              <w:bottom w:val="single" w:sz="4" w:space="0" w:color="auto"/>
              <w:right w:val="single" w:sz="4" w:space="0" w:color="auto"/>
            </w:tcBorders>
            <w:shd w:val="clear" w:color="auto" w:fill="C6EFCE"/>
            <w:noWrap/>
          </w:tcPr>
          <w:p w14:paraId="041C5B6A"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Tax audits – Mydata and bank information</w:t>
            </w:r>
          </w:p>
        </w:tc>
        <w:tc>
          <w:tcPr>
            <w:tcW w:w="1803" w:type="dxa"/>
            <w:tcBorders>
              <w:top w:val="nil"/>
              <w:left w:val="nil"/>
              <w:bottom w:val="single" w:sz="4" w:space="0" w:color="auto"/>
              <w:right w:val="single" w:sz="4" w:space="0" w:color="auto"/>
            </w:tcBorders>
            <w:shd w:val="clear" w:color="auto" w:fill="C6EFCE"/>
            <w:noWrap/>
          </w:tcPr>
          <w:p w14:paraId="4EEBAFC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Independent Authority for Public Revenue attesting the:</w:t>
            </w:r>
          </w:p>
          <w:p w14:paraId="42C31699"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Full activation of Mydata system.</w:t>
            </w:r>
          </w:p>
          <w:p w14:paraId="5146B2FD"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Completion of the project for the interconnection and use of third party bank information by the Independent Authority for Public Revenue.</w:t>
            </w:r>
          </w:p>
        </w:tc>
        <w:tc>
          <w:tcPr>
            <w:tcW w:w="1065" w:type="dxa"/>
            <w:tcBorders>
              <w:top w:val="nil"/>
              <w:left w:val="nil"/>
              <w:bottom w:val="single" w:sz="4" w:space="0" w:color="auto"/>
              <w:right w:val="single" w:sz="4" w:space="0" w:color="auto"/>
            </w:tcBorders>
            <w:shd w:val="clear" w:color="auto" w:fill="C6EFCE"/>
            <w:noWrap/>
          </w:tcPr>
          <w:p w14:paraId="204D71B9"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nil"/>
              <w:left w:val="nil"/>
              <w:bottom w:val="single" w:sz="4" w:space="0" w:color="auto"/>
              <w:right w:val="single" w:sz="4" w:space="0" w:color="auto"/>
            </w:tcBorders>
            <w:shd w:val="clear" w:color="auto" w:fill="C6EFCE"/>
            <w:noWrap/>
          </w:tcPr>
          <w:p w14:paraId="56108991"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nil"/>
              <w:left w:val="nil"/>
              <w:bottom w:val="single" w:sz="4" w:space="0" w:color="auto"/>
              <w:right w:val="single" w:sz="4" w:space="0" w:color="auto"/>
            </w:tcBorders>
            <w:shd w:val="clear" w:color="auto" w:fill="C6EFCE"/>
            <w:noWrap/>
          </w:tcPr>
          <w:p w14:paraId="537A64D4"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nil"/>
              <w:left w:val="nil"/>
              <w:bottom w:val="single" w:sz="4" w:space="0" w:color="auto"/>
              <w:right w:val="single" w:sz="4" w:space="0" w:color="auto"/>
            </w:tcBorders>
            <w:shd w:val="clear" w:color="auto" w:fill="C6EFCE"/>
            <w:noWrap/>
          </w:tcPr>
          <w:p w14:paraId="197AFB19"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369" w:type="dxa"/>
            <w:tcBorders>
              <w:top w:val="nil"/>
              <w:left w:val="nil"/>
              <w:bottom w:val="single" w:sz="4" w:space="0" w:color="auto"/>
              <w:right w:val="single" w:sz="4" w:space="0" w:color="auto"/>
            </w:tcBorders>
            <w:shd w:val="clear" w:color="auto" w:fill="C6EFCE"/>
            <w:noWrap/>
          </w:tcPr>
          <w:p w14:paraId="1DFFBF0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410" w:type="dxa"/>
            <w:tcBorders>
              <w:top w:val="nil"/>
              <w:left w:val="nil"/>
              <w:bottom w:val="single" w:sz="4" w:space="0" w:color="auto"/>
              <w:right w:val="single" w:sz="4" w:space="0" w:color="auto"/>
            </w:tcBorders>
            <w:shd w:val="clear" w:color="auto" w:fill="C6EFCE"/>
            <w:noWrap/>
          </w:tcPr>
          <w:p w14:paraId="774F69CB"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Activation of </w:t>
            </w:r>
          </w:p>
          <w:p w14:paraId="3C9A882F" w14:textId="77777777" w:rsidR="001B186F" w:rsidRPr="00DE4E4F" w:rsidRDefault="0074517F" w:rsidP="00B81D86">
            <w:pPr>
              <w:pStyle w:val="ListParagraph"/>
              <w:numPr>
                <w:ilvl w:val="0"/>
                <w:numId w:val="57"/>
              </w:numPr>
              <w:spacing w:after="0" w:line="240" w:lineRule="auto"/>
              <w:ind w:left="169" w:hanging="142"/>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myDATA system and its interconnection and use of third party bank information, with the objective to improve the compliance of businesses with tax rules, to facilitate the automatic filling of tax declarations and enhance the effectiveness of tax audits. </w:t>
            </w:r>
          </w:p>
          <w:p w14:paraId="0F673B3C" w14:textId="77777777" w:rsidR="001B186F" w:rsidRPr="00DE4E4F" w:rsidRDefault="0074517F" w:rsidP="00B81D86">
            <w:pPr>
              <w:pStyle w:val="ListParagraph"/>
              <w:numPr>
                <w:ilvl w:val="0"/>
                <w:numId w:val="57"/>
              </w:numPr>
              <w:spacing w:after="0" w:line="240" w:lineRule="auto"/>
              <w:ind w:left="169" w:hanging="16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myDATA facility for electronic book-keeping, electronic invoicing and the connection of all tax cash registers with its IT systems.</w:t>
            </w:r>
          </w:p>
        </w:tc>
      </w:tr>
      <w:tr w:rsidR="00682269" w:rsidRPr="00DE4E4F" w14:paraId="7CEDBF71" w14:textId="77777777" w:rsidTr="00B81D86">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7D651467"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193</w:t>
            </w:r>
          </w:p>
        </w:tc>
        <w:tc>
          <w:tcPr>
            <w:tcW w:w="2410" w:type="dxa"/>
            <w:tcBorders>
              <w:top w:val="single" w:sz="4" w:space="0" w:color="auto"/>
              <w:left w:val="nil"/>
              <w:bottom w:val="single" w:sz="4" w:space="0" w:color="auto"/>
              <w:right w:val="single" w:sz="4" w:space="0" w:color="auto"/>
            </w:tcBorders>
            <w:shd w:val="clear" w:color="auto" w:fill="C6EFCE"/>
            <w:noWrap/>
          </w:tcPr>
          <w:p w14:paraId="29CC9C5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- 16610_Promoting the acceleration of VAT refunds</w:t>
            </w:r>
          </w:p>
        </w:tc>
        <w:tc>
          <w:tcPr>
            <w:tcW w:w="1134" w:type="dxa"/>
            <w:tcBorders>
              <w:top w:val="single" w:sz="4" w:space="0" w:color="auto"/>
              <w:left w:val="nil"/>
              <w:bottom w:val="single" w:sz="4" w:space="0" w:color="auto"/>
              <w:right w:val="single" w:sz="4" w:space="0" w:color="auto"/>
            </w:tcBorders>
            <w:shd w:val="clear" w:color="auto" w:fill="C6EFCE"/>
            <w:noWrap/>
          </w:tcPr>
          <w:p w14:paraId="2995B4A8"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single" w:sz="4" w:space="0" w:color="auto"/>
              <w:left w:val="nil"/>
              <w:bottom w:val="single" w:sz="4" w:space="0" w:color="auto"/>
              <w:right w:val="single" w:sz="4" w:space="0" w:color="auto"/>
            </w:tcBorders>
            <w:shd w:val="clear" w:color="auto" w:fill="C6EFCE"/>
            <w:noWrap/>
          </w:tcPr>
          <w:p w14:paraId="6F4053B7"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Fully automated VAT refunds – launch of IT system</w:t>
            </w:r>
          </w:p>
        </w:tc>
        <w:tc>
          <w:tcPr>
            <w:tcW w:w="1803" w:type="dxa"/>
            <w:tcBorders>
              <w:top w:val="single" w:sz="4" w:space="0" w:color="auto"/>
              <w:left w:val="nil"/>
              <w:bottom w:val="single" w:sz="4" w:space="0" w:color="auto"/>
              <w:right w:val="single" w:sz="4" w:space="0" w:color="auto"/>
            </w:tcBorders>
            <w:shd w:val="clear" w:color="auto" w:fill="C6EFCE"/>
            <w:noWrap/>
          </w:tcPr>
          <w:p w14:paraId="11D886A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Independent Authority for Public Revenue attesting the launch of the new IT system.</w:t>
            </w:r>
          </w:p>
        </w:tc>
        <w:tc>
          <w:tcPr>
            <w:tcW w:w="1065" w:type="dxa"/>
            <w:tcBorders>
              <w:top w:val="single" w:sz="4" w:space="0" w:color="auto"/>
              <w:left w:val="nil"/>
              <w:bottom w:val="single" w:sz="4" w:space="0" w:color="auto"/>
              <w:right w:val="single" w:sz="4" w:space="0" w:color="auto"/>
            </w:tcBorders>
            <w:shd w:val="clear" w:color="auto" w:fill="C6EFCE"/>
            <w:noWrap/>
          </w:tcPr>
          <w:p w14:paraId="3AB248D3"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single" w:sz="4" w:space="0" w:color="auto"/>
              <w:left w:val="nil"/>
              <w:bottom w:val="single" w:sz="4" w:space="0" w:color="auto"/>
              <w:right w:val="single" w:sz="4" w:space="0" w:color="auto"/>
            </w:tcBorders>
            <w:shd w:val="clear" w:color="auto" w:fill="C6EFCE"/>
            <w:noWrap/>
          </w:tcPr>
          <w:p w14:paraId="64A09B2B"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single" w:sz="4" w:space="0" w:color="auto"/>
              <w:left w:val="nil"/>
              <w:bottom w:val="single" w:sz="4" w:space="0" w:color="auto"/>
              <w:right w:val="single" w:sz="4" w:space="0" w:color="auto"/>
            </w:tcBorders>
            <w:shd w:val="clear" w:color="auto" w:fill="C6EFCE"/>
            <w:noWrap/>
          </w:tcPr>
          <w:p w14:paraId="006DBCA2"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single" w:sz="4" w:space="0" w:color="auto"/>
              <w:left w:val="nil"/>
              <w:bottom w:val="single" w:sz="4" w:space="0" w:color="auto"/>
              <w:right w:val="single" w:sz="4" w:space="0" w:color="auto"/>
            </w:tcBorders>
            <w:shd w:val="clear" w:color="auto" w:fill="C6EFCE"/>
            <w:noWrap/>
          </w:tcPr>
          <w:p w14:paraId="0CEA379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369" w:type="dxa"/>
            <w:tcBorders>
              <w:top w:val="single" w:sz="4" w:space="0" w:color="auto"/>
              <w:left w:val="nil"/>
              <w:bottom w:val="single" w:sz="4" w:space="0" w:color="auto"/>
              <w:right w:val="single" w:sz="4" w:space="0" w:color="auto"/>
            </w:tcBorders>
            <w:shd w:val="clear" w:color="auto" w:fill="C6EFCE"/>
            <w:noWrap/>
          </w:tcPr>
          <w:p w14:paraId="10628FA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410" w:type="dxa"/>
            <w:tcBorders>
              <w:top w:val="single" w:sz="4" w:space="0" w:color="auto"/>
              <w:left w:val="nil"/>
              <w:bottom w:val="single" w:sz="4" w:space="0" w:color="auto"/>
              <w:right w:val="single" w:sz="4" w:space="0" w:color="auto"/>
            </w:tcBorders>
            <w:shd w:val="clear" w:color="auto" w:fill="C6EFCE"/>
            <w:noWrap/>
          </w:tcPr>
          <w:p w14:paraId="302E57DE"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Implementation of the fully automated VAT refund procedure and IT platform that shall allow for all refund requests to be completed electronically, when they do not fall under the audit sample through the risk analysis process (at least 90% of all requests annually).</w:t>
            </w:r>
          </w:p>
        </w:tc>
      </w:tr>
      <w:tr w:rsidR="00682269" w:rsidRPr="00DE4E4F" w14:paraId="10DA9280" w14:textId="77777777" w:rsidTr="00B81D86">
        <w:trPr>
          <w:gridBefore w:val="1"/>
          <w:wBefore w:w="6" w:type="dxa"/>
          <w:trHeight w:val="608"/>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7D647CD"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195a</w:t>
            </w:r>
          </w:p>
        </w:tc>
        <w:tc>
          <w:tcPr>
            <w:tcW w:w="2410" w:type="dxa"/>
            <w:tcBorders>
              <w:top w:val="single" w:sz="4" w:space="0" w:color="auto"/>
              <w:left w:val="nil"/>
              <w:bottom w:val="single" w:sz="4" w:space="0" w:color="auto"/>
              <w:right w:val="single" w:sz="4" w:space="0" w:color="auto"/>
            </w:tcBorders>
            <w:shd w:val="clear" w:color="auto" w:fill="C6EFCE"/>
            <w:noWrap/>
          </w:tcPr>
          <w:p w14:paraId="028D5B5E"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12 - 4.1. Making taxes more growth friendly and improving tax administration and tax collection </w:t>
            </w:r>
          </w:p>
          <w:p w14:paraId="03F6DB1A"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- 16291_Digital Transformation of the Tax and Customs Administration</w:t>
            </w:r>
          </w:p>
        </w:tc>
        <w:tc>
          <w:tcPr>
            <w:tcW w:w="1134" w:type="dxa"/>
            <w:tcBorders>
              <w:top w:val="single" w:sz="4" w:space="0" w:color="auto"/>
              <w:left w:val="nil"/>
              <w:bottom w:val="single" w:sz="4" w:space="0" w:color="auto"/>
              <w:right w:val="single" w:sz="4" w:space="0" w:color="auto"/>
            </w:tcBorders>
            <w:shd w:val="clear" w:color="auto" w:fill="C6EFCE"/>
            <w:noWrap/>
          </w:tcPr>
          <w:p w14:paraId="30401F88"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single" w:sz="4" w:space="0" w:color="auto"/>
              <w:left w:val="nil"/>
              <w:bottom w:val="single" w:sz="4" w:space="0" w:color="auto"/>
              <w:right w:val="single" w:sz="4" w:space="0" w:color="auto"/>
            </w:tcBorders>
            <w:shd w:val="clear" w:color="auto" w:fill="C6EFCE"/>
            <w:noWrap/>
          </w:tcPr>
          <w:p w14:paraId="27067FE3"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i) an integrated information system for IAPR’s General Directorate for Financial Services and ii) office hardware and portable IT equipment for IAPR</w:t>
            </w:r>
          </w:p>
        </w:tc>
        <w:tc>
          <w:tcPr>
            <w:tcW w:w="1803" w:type="dxa"/>
            <w:tcBorders>
              <w:top w:val="single" w:sz="4" w:space="0" w:color="auto"/>
              <w:left w:val="nil"/>
              <w:bottom w:val="single" w:sz="4" w:space="0" w:color="auto"/>
              <w:right w:val="single" w:sz="4" w:space="0" w:color="auto"/>
            </w:tcBorders>
            <w:shd w:val="clear" w:color="auto" w:fill="C6EFCE"/>
            <w:noWrap/>
          </w:tcPr>
          <w:p w14:paraId="3F64E9BD"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two sub-projects</w:t>
            </w:r>
          </w:p>
        </w:tc>
        <w:tc>
          <w:tcPr>
            <w:tcW w:w="1065" w:type="dxa"/>
            <w:tcBorders>
              <w:top w:val="single" w:sz="4" w:space="0" w:color="auto"/>
              <w:left w:val="nil"/>
              <w:bottom w:val="single" w:sz="4" w:space="0" w:color="auto"/>
              <w:right w:val="single" w:sz="4" w:space="0" w:color="auto"/>
            </w:tcBorders>
            <w:shd w:val="clear" w:color="auto" w:fill="C6EFCE"/>
            <w:noWrap/>
          </w:tcPr>
          <w:p w14:paraId="1D67D7AF"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single" w:sz="4" w:space="0" w:color="auto"/>
              <w:left w:val="nil"/>
              <w:bottom w:val="single" w:sz="4" w:space="0" w:color="auto"/>
              <w:right w:val="single" w:sz="4" w:space="0" w:color="auto"/>
            </w:tcBorders>
            <w:shd w:val="clear" w:color="auto" w:fill="C6EFCE"/>
            <w:noWrap/>
          </w:tcPr>
          <w:p w14:paraId="33CA1277"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single" w:sz="4" w:space="0" w:color="auto"/>
              <w:left w:val="nil"/>
              <w:bottom w:val="single" w:sz="4" w:space="0" w:color="auto"/>
              <w:right w:val="single" w:sz="4" w:space="0" w:color="auto"/>
            </w:tcBorders>
            <w:shd w:val="clear" w:color="auto" w:fill="C6EFCE"/>
            <w:noWrap/>
          </w:tcPr>
          <w:p w14:paraId="6A333A6A"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single" w:sz="4" w:space="0" w:color="auto"/>
              <w:left w:val="nil"/>
              <w:bottom w:val="single" w:sz="4" w:space="0" w:color="auto"/>
              <w:right w:val="single" w:sz="4" w:space="0" w:color="auto"/>
            </w:tcBorders>
            <w:shd w:val="clear" w:color="auto" w:fill="C6EFCE"/>
            <w:noWrap/>
          </w:tcPr>
          <w:p w14:paraId="4A54F6E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369" w:type="dxa"/>
            <w:tcBorders>
              <w:top w:val="single" w:sz="4" w:space="0" w:color="auto"/>
              <w:left w:val="nil"/>
              <w:bottom w:val="single" w:sz="4" w:space="0" w:color="auto"/>
              <w:right w:val="single" w:sz="4" w:space="0" w:color="auto"/>
            </w:tcBorders>
            <w:shd w:val="clear" w:color="auto" w:fill="C6EFCE"/>
            <w:noWrap/>
          </w:tcPr>
          <w:p w14:paraId="3890180A"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10" w:type="dxa"/>
            <w:tcBorders>
              <w:top w:val="single" w:sz="4" w:space="0" w:color="auto"/>
              <w:left w:val="nil"/>
              <w:bottom w:val="single" w:sz="4" w:space="0" w:color="auto"/>
              <w:right w:val="single" w:sz="4" w:space="0" w:color="auto"/>
            </w:tcBorders>
            <w:shd w:val="clear" w:color="auto" w:fill="C6EFCE"/>
            <w:noWrap/>
          </w:tcPr>
          <w:p w14:paraId="0AF70C9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following sub-projects shall be delivered:</w:t>
            </w:r>
          </w:p>
          <w:p w14:paraId="42AB4909"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401DB6FC" w14:textId="77777777" w:rsidR="001B186F" w:rsidRPr="00DE4E4F" w:rsidRDefault="0074517F" w:rsidP="00B81D86">
            <w:pPr>
              <w:pStyle w:val="ListParagraph"/>
              <w:numPr>
                <w:ilvl w:val="0"/>
                <w:numId w:val="5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Under the intervention area “Replacement of core digital systems, renewing obsolete infrastructure and expanding functionality of service provision”: Integrated information system for IAPR’s General Directorate for Financial Services.</w:t>
            </w:r>
          </w:p>
          <w:p w14:paraId="4F01BDC8" w14:textId="77777777" w:rsidR="001B186F" w:rsidRPr="00DE4E4F" w:rsidRDefault="0074517F" w:rsidP="00B81D86">
            <w:pPr>
              <w:pStyle w:val="ListParagraph"/>
              <w:numPr>
                <w:ilvl w:val="0"/>
                <w:numId w:val="58"/>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Under intervention area “Automation of office and work processes”: Equipment supply for IAPR.</w:t>
            </w:r>
          </w:p>
        </w:tc>
      </w:tr>
      <w:tr w:rsidR="00682269" w:rsidRPr="00DE4E4F" w14:paraId="39565989" w14:textId="77777777" w:rsidTr="00B81D86">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2C33011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194</w:t>
            </w:r>
          </w:p>
        </w:tc>
        <w:tc>
          <w:tcPr>
            <w:tcW w:w="2410" w:type="dxa"/>
            <w:tcBorders>
              <w:top w:val="single" w:sz="4" w:space="0" w:color="auto"/>
              <w:left w:val="nil"/>
              <w:bottom w:val="single" w:sz="4" w:space="0" w:color="auto"/>
              <w:right w:val="single" w:sz="4" w:space="0" w:color="auto"/>
            </w:tcBorders>
            <w:shd w:val="clear" w:color="auto" w:fill="C6EFCE"/>
            <w:noWrap/>
          </w:tcPr>
          <w:p w14:paraId="3BBE430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- 16611_Digital transformation of tax audits</w:t>
            </w:r>
          </w:p>
        </w:tc>
        <w:tc>
          <w:tcPr>
            <w:tcW w:w="1134" w:type="dxa"/>
            <w:tcBorders>
              <w:top w:val="single" w:sz="4" w:space="0" w:color="auto"/>
              <w:left w:val="nil"/>
              <w:bottom w:val="single" w:sz="4" w:space="0" w:color="auto"/>
              <w:right w:val="single" w:sz="4" w:space="0" w:color="auto"/>
            </w:tcBorders>
            <w:shd w:val="clear" w:color="auto" w:fill="C6EFCE"/>
            <w:noWrap/>
          </w:tcPr>
          <w:p w14:paraId="0D1E0B55"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single" w:sz="4" w:space="0" w:color="auto"/>
              <w:left w:val="nil"/>
              <w:bottom w:val="single" w:sz="4" w:space="0" w:color="auto"/>
              <w:right w:val="single" w:sz="4" w:space="0" w:color="auto"/>
            </w:tcBorders>
            <w:shd w:val="clear" w:color="auto" w:fill="C6EFCE"/>
            <w:noWrap/>
          </w:tcPr>
          <w:p w14:paraId="54A580AA"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and entry into use of systems relating to the digital transformation of tax audits</w:t>
            </w:r>
          </w:p>
        </w:tc>
        <w:tc>
          <w:tcPr>
            <w:tcW w:w="1803" w:type="dxa"/>
            <w:tcBorders>
              <w:top w:val="single" w:sz="4" w:space="0" w:color="auto"/>
              <w:left w:val="nil"/>
              <w:bottom w:val="single" w:sz="4" w:space="0" w:color="auto"/>
              <w:right w:val="single" w:sz="4" w:space="0" w:color="auto"/>
            </w:tcBorders>
            <w:shd w:val="clear" w:color="auto" w:fill="C6EFCE"/>
            <w:noWrap/>
          </w:tcPr>
          <w:p w14:paraId="6C45C9DB" w14:textId="1DFE36A8"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business intelligence/data analytics system</w:t>
            </w:r>
            <w:r w:rsidR="005A5C5C" w:rsidRPr="00DE4E4F">
              <w:rPr>
                <w:rFonts w:ascii="Times New Roman" w:hAnsi="Times New Roman" w:cs="Times New Roman"/>
                <w:noProof/>
                <w:color w:val="006100"/>
                <w:sz w:val="18"/>
                <w:szCs w:val="18"/>
              </w:rPr>
              <w:t>, including 13 use cases</w:t>
            </w:r>
          </w:p>
          <w:p w14:paraId="4C5DB711" w14:textId="77777777" w:rsidR="001B186F" w:rsidRPr="00DE4E4F" w:rsidRDefault="001B186F" w:rsidP="00B81D86">
            <w:pPr>
              <w:spacing w:after="0" w:line="240" w:lineRule="auto"/>
              <w:rPr>
                <w:rFonts w:ascii="Times New Roman" w:hAnsi="Times New Roman" w:cs="Times New Roman"/>
                <w:noProof/>
                <w:color w:val="006100"/>
                <w:sz w:val="18"/>
                <w:szCs w:val="18"/>
              </w:rPr>
            </w:pPr>
          </w:p>
          <w:p w14:paraId="4244DF37"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Independent Authority for Public Revenue attesting the entry into use of “ELEGXOSlive” system</w:t>
            </w:r>
          </w:p>
        </w:tc>
        <w:tc>
          <w:tcPr>
            <w:tcW w:w="1065" w:type="dxa"/>
            <w:tcBorders>
              <w:top w:val="single" w:sz="4" w:space="0" w:color="auto"/>
              <w:left w:val="nil"/>
              <w:bottom w:val="single" w:sz="4" w:space="0" w:color="auto"/>
              <w:right w:val="single" w:sz="4" w:space="0" w:color="auto"/>
            </w:tcBorders>
            <w:shd w:val="clear" w:color="auto" w:fill="C6EFCE"/>
            <w:noWrap/>
          </w:tcPr>
          <w:p w14:paraId="67342B3A"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single" w:sz="4" w:space="0" w:color="auto"/>
              <w:left w:val="nil"/>
              <w:bottom w:val="single" w:sz="4" w:space="0" w:color="auto"/>
              <w:right w:val="single" w:sz="4" w:space="0" w:color="auto"/>
            </w:tcBorders>
            <w:shd w:val="clear" w:color="auto" w:fill="C6EFCE"/>
            <w:noWrap/>
          </w:tcPr>
          <w:p w14:paraId="576B3FA3"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single" w:sz="4" w:space="0" w:color="auto"/>
              <w:left w:val="nil"/>
              <w:bottom w:val="single" w:sz="4" w:space="0" w:color="auto"/>
              <w:right w:val="single" w:sz="4" w:space="0" w:color="auto"/>
            </w:tcBorders>
            <w:shd w:val="clear" w:color="auto" w:fill="C6EFCE"/>
            <w:noWrap/>
          </w:tcPr>
          <w:p w14:paraId="48753BD0"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single" w:sz="4" w:space="0" w:color="auto"/>
              <w:left w:val="nil"/>
              <w:bottom w:val="single" w:sz="4" w:space="0" w:color="auto"/>
              <w:right w:val="single" w:sz="4" w:space="0" w:color="auto"/>
            </w:tcBorders>
            <w:shd w:val="clear" w:color="auto" w:fill="C6EFCE"/>
            <w:noWrap/>
          </w:tcPr>
          <w:p w14:paraId="54846E1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369" w:type="dxa"/>
            <w:tcBorders>
              <w:top w:val="single" w:sz="4" w:space="0" w:color="auto"/>
              <w:left w:val="nil"/>
              <w:bottom w:val="single" w:sz="4" w:space="0" w:color="auto"/>
              <w:right w:val="single" w:sz="4" w:space="0" w:color="auto"/>
            </w:tcBorders>
            <w:shd w:val="clear" w:color="auto" w:fill="C6EFCE"/>
            <w:noWrap/>
          </w:tcPr>
          <w:p w14:paraId="7780EFF3"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28823DEE" w14:textId="5DAEE76C"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Delivery of the business intelligence/data analytics system</w:t>
            </w:r>
            <w:r w:rsidR="00636642" w:rsidRPr="00DE4E4F">
              <w:rPr>
                <w:rFonts w:ascii="Times New Roman" w:hAnsi="Times New Roman" w:cs="Times New Roman"/>
                <w:noProof/>
                <w:color w:val="006100"/>
                <w:sz w:val="18"/>
                <w:szCs w:val="18"/>
              </w:rPr>
              <w:t>, including 13 use cases</w:t>
            </w:r>
            <w:r w:rsidRPr="00DE4E4F">
              <w:rPr>
                <w:rFonts w:ascii="Times New Roman" w:hAnsi="Times New Roman" w:cs="Times New Roman"/>
                <w:noProof/>
                <w:color w:val="006100"/>
                <w:sz w:val="18"/>
                <w:szCs w:val="18"/>
              </w:rPr>
              <w:t>.</w:t>
            </w:r>
          </w:p>
          <w:p w14:paraId="278EA8A8"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26E8FCAA"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(b) Entry into use of the Elenxis Live (“ELEGXOSlive”) system. </w:t>
            </w:r>
          </w:p>
          <w:p w14:paraId="5331D21C"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r>
      <w:tr w:rsidR="00682269" w:rsidRPr="00DE4E4F" w14:paraId="1D15D2A1" w14:textId="77777777" w:rsidTr="00B81D86">
        <w:trPr>
          <w:gridBefore w:val="1"/>
          <w:wBefore w:w="6" w:type="dxa"/>
          <w:trHeight w:val="313"/>
          <w:jc w:val="center"/>
        </w:trPr>
        <w:tc>
          <w:tcPr>
            <w:tcW w:w="669" w:type="dxa"/>
            <w:tcBorders>
              <w:top w:val="single" w:sz="4" w:space="0" w:color="auto"/>
              <w:left w:val="single" w:sz="4" w:space="0" w:color="auto"/>
              <w:bottom w:val="single" w:sz="4" w:space="0" w:color="auto"/>
              <w:right w:val="single" w:sz="4" w:space="0" w:color="auto"/>
            </w:tcBorders>
            <w:shd w:val="clear" w:color="auto" w:fill="C6EFCE"/>
            <w:noWrap/>
          </w:tcPr>
          <w:p w14:paraId="40B59CAF"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195</w:t>
            </w:r>
          </w:p>
        </w:tc>
        <w:tc>
          <w:tcPr>
            <w:tcW w:w="2410" w:type="dxa"/>
            <w:tcBorders>
              <w:top w:val="single" w:sz="4" w:space="0" w:color="auto"/>
              <w:left w:val="nil"/>
              <w:bottom w:val="single" w:sz="4" w:space="0" w:color="auto"/>
              <w:right w:val="single" w:sz="4" w:space="0" w:color="auto"/>
            </w:tcBorders>
            <w:shd w:val="clear" w:color="auto" w:fill="C6EFCE"/>
            <w:noWrap/>
          </w:tcPr>
          <w:p w14:paraId="1248BD18"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12 - 4.1. Making taxes more growth friendly and improving tax administration and tax collection </w:t>
            </w:r>
          </w:p>
          <w:p w14:paraId="0B8AFB31"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- 16291_Digital Transformation of the Tax and Customs Administration</w:t>
            </w:r>
          </w:p>
        </w:tc>
        <w:tc>
          <w:tcPr>
            <w:tcW w:w="1134" w:type="dxa"/>
            <w:tcBorders>
              <w:top w:val="single" w:sz="4" w:space="0" w:color="auto"/>
              <w:left w:val="nil"/>
              <w:bottom w:val="single" w:sz="4" w:space="0" w:color="auto"/>
              <w:right w:val="single" w:sz="4" w:space="0" w:color="auto"/>
            </w:tcBorders>
            <w:shd w:val="clear" w:color="auto" w:fill="C6EFCE"/>
            <w:noWrap/>
          </w:tcPr>
          <w:p w14:paraId="6DD3467D"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09" w:type="dxa"/>
            <w:tcBorders>
              <w:top w:val="single" w:sz="4" w:space="0" w:color="auto"/>
              <w:left w:val="nil"/>
              <w:bottom w:val="single" w:sz="4" w:space="0" w:color="auto"/>
              <w:right w:val="single" w:sz="4" w:space="0" w:color="auto"/>
            </w:tcBorders>
            <w:shd w:val="clear" w:color="auto" w:fill="C6EFCE"/>
            <w:noWrap/>
          </w:tcPr>
          <w:p w14:paraId="5D441262" w14:textId="1E847D9B" w:rsidR="001B186F" w:rsidRPr="00DE4E4F" w:rsidRDefault="00FC67EE" w:rsidP="00B81D8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first phase of the integrated IT environment of the Independent Authority for Public Revenue</w:t>
            </w:r>
          </w:p>
          <w:p w14:paraId="178225E0"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76F3C7E8"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sub-projects as part of IAPR’s digital transformation</w:t>
            </w:r>
          </w:p>
        </w:tc>
        <w:tc>
          <w:tcPr>
            <w:tcW w:w="1803" w:type="dxa"/>
            <w:tcBorders>
              <w:top w:val="single" w:sz="4" w:space="0" w:color="auto"/>
              <w:left w:val="nil"/>
              <w:bottom w:val="single" w:sz="4" w:space="0" w:color="auto"/>
              <w:right w:val="single" w:sz="4" w:space="0" w:color="auto"/>
            </w:tcBorders>
            <w:shd w:val="clear" w:color="auto" w:fill="C6EFCE"/>
            <w:noWrap/>
          </w:tcPr>
          <w:p w14:paraId="0148FEB4" w14:textId="6B4AE37E"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i) the first phase of the integrated IT environment ii) subprojects as part of IAPR’s digital transformation</w:t>
            </w:r>
          </w:p>
        </w:tc>
        <w:tc>
          <w:tcPr>
            <w:tcW w:w="1065" w:type="dxa"/>
            <w:tcBorders>
              <w:top w:val="single" w:sz="4" w:space="0" w:color="auto"/>
              <w:left w:val="nil"/>
              <w:bottom w:val="single" w:sz="4" w:space="0" w:color="auto"/>
              <w:right w:val="single" w:sz="4" w:space="0" w:color="auto"/>
            </w:tcBorders>
            <w:shd w:val="clear" w:color="auto" w:fill="C6EFCE"/>
            <w:noWrap/>
          </w:tcPr>
          <w:p w14:paraId="685FF6C3"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961" w:type="dxa"/>
            <w:tcBorders>
              <w:top w:val="single" w:sz="4" w:space="0" w:color="auto"/>
              <w:left w:val="nil"/>
              <w:bottom w:val="single" w:sz="4" w:space="0" w:color="auto"/>
              <w:right w:val="single" w:sz="4" w:space="0" w:color="auto"/>
            </w:tcBorders>
            <w:shd w:val="clear" w:color="auto" w:fill="C6EFCE"/>
            <w:noWrap/>
          </w:tcPr>
          <w:p w14:paraId="448A7999"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826" w:type="dxa"/>
            <w:tcBorders>
              <w:top w:val="single" w:sz="4" w:space="0" w:color="auto"/>
              <w:left w:val="nil"/>
              <w:bottom w:val="single" w:sz="4" w:space="0" w:color="auto"/>
              <w:right w:val="single" w:sz="4" w:space="0" w:color="auto"/>
            </w:tcBorders>
            <w:shd w:val="clear" w:color="auto" w:fill="C6EFCE"/>
            <w:noWrap/>
          </w:tcPr>
          <w:p w14:paraId="0F67B0F6"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tc>
        <w:tc>
          <w:tcPr>
            <w:tcW w:w="1098" w:type="dxa"/>
            <w:tcBorders>
              <w:top w:val="single" w:sz="4" w:space="0" w:color="auto"/>
              <w:left w:val="nil"/>
              <w:bottom w:val="single" w:sz="4" w:space="0" w:color="auto"/>
              <w:right w:val="single" w:sz="4" w:space="0" w:color="auto"/>
            </w:tcBorders>
            <w:shd w:val="clear" w:color="auto" w:fill="C6EFCE"/>
            <w:noWrap/>
          </w:tcPr>
          <w:p w14:paraId="17FC80B2"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369" w:type="dxa"/>
            <w:tcBorders>
              <w:top w:val="single" w:sz="4" w:space="0" w:color="auto"/>
              <w:left w:val="nil"/>
              <w:bottom w:val="single" w:sz="4" w:space="0" w:color="auto"/>
              <w:right w:val="single" w:sz="4" w:space="0" w:color="auto"/>
            </w:tcBorders>
            <w:shd w:val="clear" w:color="auto" w:fill="C6EFCE"/>
            <w:noWrap/>
          </w:tcPr>
          <w:p w14:paraId="4CE1F066"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10" w:type="dxa"/>
            <w:tcBorders>
              <w:top w:val="single" w:sz="4" w:space="0" w:color="auto"/>
              <w:left w:val="nil"/>
              <w:bottom w:val="single" w:sz="4" w:space="0" w:color="auto"/>
              <w:right w:val="single" w:sz="4" w:space="0" w:color="auto"/>
            </w:tcBorders>
            <w:shd w:val="clear" w:color="auto" w:fill="C6EFCE"/>
            <w:noWrap/>
          </w:tcPr>
          <w:p w14:paraId="12D05AB0" w14:textId="628D714F" w:rsidR="001B186F" w:rsidRPr="00DE4E4F" w:rsidRDefault="00B07AD1" w:rsidP="00B81D8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Delivery </w:t>
            </w:r>
            <w:r w:rsidR="0074517F" w:rsidRPr="00DE4E4F">
              <w:rPr>
                <w:rFonts w:ascii="Times New Roman" w:hAnsi="Times New Roman" w:cs="Times New Roman"/>
                <w:noProof/>
                <w:color w:val="006100"/>
                <w:sz w:val="18"/>
                <w:szCs w:val="18"/>
              </w:rPr>
              <w:t xml:space="preserve">of the first phase of the integrated IT environment (replacing TAXIS, TAXISnet, and Elenxis). These deliverables shall consist of all required project studies, full database redesign and implementation, provision of data interfaces and the </w:t>
            </w:r>
            <w:r w:rsidR="00D639CC" w:rsidRPr="00DE4E4F">
              <w:rPr>
                <w:rFonts w:ascii="Times New Roman" w:hAnsi="Times New Roman" w:cs="Times New Roman"/>
                <w:noProof/>
                <w:color w:val="006100"/>
                <w:sz w:val="18"/>
                <w:szCs w:val="18"/>
              </w:rPr>
              <w:t>design of the</w:t>
            </w:r>
            <w:r w:rsidR="00102608"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 xml:space="preserve">first phase subsystems (including tax registry, accounting). </w:t>
            </w:r>
          </w:p>
          <w:p w14:paraId="5E33DF69" w14:textId="77777777" w:rsidR="001B186F" w:rsidRPr="00DE4E4F" w:rsidRDefault="001B186F" w:rsidP="00B81D86">
            <w:pPr>
              <w:spacing w:after="0" w:line="240" w:lineRule="auto"/>
              <w:rPr>
                <w:rFonts w:ascii="Times New Roman" w:hAnsi="Times New Roman" w:cs="Times New Roman"/>
                <w:noProof/>
                <w:color w:val="006100"/>
                <w:sz w:val="18"/>
                <w:szCs w:val="18"/>
              </w:rPr>
            </w:pPr>
          </w:p>
          <w:p w14:paraId="070EB84F" w14:textId="47B4C7BA" w:rsidR="001B186F" w:rsidRPr="00DE4E4F" w:rsidRDefault="28E6B14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w:t>
            </w:r>
            <w:r w:rsidR="5C3276FE" w:rsidRPr="00DE4E4F">
              <w:rPr>
                <w:rFonts w:ascii="Times New Roman" w:hAnsi="Times New Roman" w:cs="Times New Roman"/>
                <w:noProof/>
                <w:color w:val="006100"/>
                <w:sz w:val="18"/>
                <w:szCs w:val="18"/>
              </w:rPr>
              <w:t xml:space="preserve">elivery of the </w:t>
            </w:r>
            <w:r w:rsidR="6EAD73B7" w:rsidRPr="00DE4E4F">
              <w:rPr>
                <w:rFonts w:ascii="Times New Roman" w:hAnsi="Times New Roman" w:cs="Times New Roman"/>
                <w:noProof/>
                <w:color w:val="006100"/>
                <w:sz w:val="18"/>
                <w:szCs w:val="18"/>
              </w:rPr>
              <w:t xml:space="preserve">surveillance system </w:t>
            </w:r>
            <w:r w:rsidR="2E4E4C21" w:rsidRPr="00DE4E4F">
              <w:rPr>
                <w:rFonts w:ascii="Times New Roman" w:hAnsi="Times New Roman" w:cs="Times New Roman"/>
                <w:noProof/>
                <w:color w:val="006100"/>
                <w:sz w:val="18"/>
                <w:szCs w:val="18"/>
              </w:rPr>
              <w:t xml:space="preserve">for </w:t>
            </w:r>
            <w:r w:rsidR="5C3276FE" w:rsidRPr="00DE4E4F">
              <w:rPr>
                <w:rFonts w:ascii="Times New Roman" w:hAnsi="Times New Roman" w:cs="Times New Roman"/>
                <w:noProof/>
                <w:color w:val="006100"/>
                <w:sz w:val="18"/>
                <w:szCs w:val="18"/>
              </w:rPr>
              <w:t xml:space="preserve">commercial vehicles and containers </w:t>
            </w:r>
            <w:r w:rsidR="2E4E4C21" w:rsidRPr="00DE4E4F">
              <w:rPr>
                <w:rFonts w:ascii="Times New Roman" w:hAnsi="Times New Roman" w:cs="Times New Roman"/>
                <w:noProof/>
                <w:color w:val="006100"/>
                <w:sz w:val="18"/>
                <w:szCs w:val="18"/>
              </w:rPr>
              <w:t>including</w:t>
            </w:r>
            <w:r w:rsidR="7DB2F0C6" w:rsidRPr="00DE4E4F">
              <w:rPr>
                <w:rFonts w:ascii="Times New Roman" w:hAnsi="Times New Roman" w:cs="Times New Roman"/>
                <w:noProof/>
                <w:color w:val="006100"/>
                <w:sz w:val="18"/>
                <w:szCs w:val="18"/>
              </w:rPr>
              <w:t>:</w:t>
            </w:r>
          </w:p>
          <w:p w14:paraId="6664A89A" w14:textId="6D34F130" w:rsidR="00386334" w:rsidRPr="00DE4E4F" w:rsidRDefault="00386334" w:rsidP="0038633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 The Integrated Digital System and equipment</w:t>
            </w:r>
          </w:p>
          <w:p w14:paraId="5AC15729" w14:textId="6E97AA36" w:rsidR="001B186F" w:rsidRPr="00DE4E4F" w:rsidRDefault="00386334"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Installation of equipment for the Operations Room, for the Infrastructure Monitoring Centre and for eight (8) customs offices.</w:t>
            </w:r>
          </w:p>
          <w:p w14:paraId="46399D08" w14:textId="77777777" w:rsidR="001B186F" w:rsidRPr="00DE4E4F" w:rsidRDefault="0074517F" w:rsidP="00B81D86">
            <w:pPr>
              <w:spacing w:after="0" w:line="240" w:lineRule="auto"/>
              <w:rPr>
                <w:rFonts w:ascii="Times New Roman" w:hAnsi="Times New Roman" w:cs="Times New Roman"/>
                <w:noProof/>
                <w:color w:val="8764B8"/>
                <w:sz w:val="18"/>
                <w:szCs w:val="18"/>
                <w:u w:val="single"/>
              </w:rPr>
            </w:pPr>
            <w:r w:rsidRPr="00DE4E4F">
              <w:rPr>
                <w:rFonts w:ascii="Times New Roman" w:hAnsi="Times New Roman" w:cs="Times New Roman"/>
                <w:noProof/>
                <w:color w:val="006100"/>
                <w:sz w:val="18"/>
                <w:szCs w:val="18"/>
              </w:rPr>
              <w:t>The following sub-projects shall also be delivered:</w:t>
            </w:r>
          </w:p>
          <w:p w14:paraId="2B4A0D48"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52EC40AC"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Under the intervention area “Replacement of core digital systems, renewing obsolete infrastructure and expanding functionality of service provision”:</w:t>
            </w:r>
          </w:p>
          <w:p w14:paraId="4C79E531"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New Integrated Information System for the Chemical State Laboratory of Greece; </w:t>
            </w:r>
          </w:p>
          <w:p w14:paraId="7B5A796A" w14:textId="1CDAA33F"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-Human Resources Management System for IAPR; and </w:t>
            </w:r>
            <w:r w:rsidR="00DE4C0C" w:rsidRPr="00DE4E4F">
              <w:rPr>
                <w:rFonts w:ascii="Times New Roman" w:eastAsia="Times New Roman" w:hAnsi="Times New Roman" w:cs="Times New Roman"/>
                <w:noProof/>
                <w:color w:val="006100"/>
                <w:sz w:val="18"/>
                <w:szCs w:val="18"/>
              </w:rPr>
              <w:t xml:space="preserve"> </w:t>
            </w:r>
          </w:p>
          <w:p w14:paraId="2A98D28D" w14:textId="5AB2DDB5" w:rsidR="001B186F" w:rsidRPr="00DE4E4F" w:rsidRDefault="001B186F" w:rsidP="00B81D86">
            <w:pPr>
              <w:spacing w:after="0" w:line="240" w:lineRule="auto"/>
              <w:rPr>
                <w:rFonts w:ascii="Times New Roman" w:eastAsia="Times New Roman" w:hAnsi="Times New Roman" w:cs="Times New Roman"/>
                <w:noProof/>
                <w:color w:val="006100"/>
                <w:sz w:val="18"/>
                <w:szCs w:val="18"/>
              </w:rPr>
            </w:pPr>
          </w:p>
          <w:p w14:paraId="43D24630"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Under the “Automation of office and work processes”:</w:t>
            </w:r>
          </w:p>
          <w:p w14:paraId="74DB668B" w14:textId="77777777" w:rsidR="001B186F" w:rsidRPr="00DE4E4F" w:rsidRDefault="0074517F" w:rsidP="00B81D86">
            <w:pPr>
              <w:spacing w:after="0" w:line="240" w:lineRule="auto"/>
              <w:rPr>
                <w:rFonts w:ascii="Times New Roman" w:eastAsia="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 Office Management services &amp; software for IAPR; </w:t>
            </w:r>
          </w:p>
          <w:p w14:paraId="1FF9CACC"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 IT Service Management Tools; and </w:t>
            </w:r>
          </w:p>
          <w:p w14:paraId="4CE5C7F4" w14:textId="77777777" w:rsidR="001B186F" w:rsidRPr="00DE4E4F" w:rsidRDefault="0074517F" w:rsidP="00B81D86">
            <w:pPr>
              <w:spacing w:after="0" w:line="240" w:lineRule="auto"/>
              <w:textAlignment w:val="baseline"/>
              <w:rPr>
                <w:rFonts w:ascii="Times New Roman" w:eastAsia="Times New Roman" w:hAnsi="Times New Roman" w:cs="Times New Roman"/>
                <w:noProof/>
                <w:sz w:val="18"/>
                <w:szCs w:val="18"/>
                <w:lang w:eastAsia="en-IE"/>
              </w:rPr>
            </w:pPr>
            <w:r w:rsidRPr="00DE4E4F">
              <w:rPr>
                <w:rFonts w:ascii="Times New Roman" w:eastAsiaTheme="minorEastAsia" w:hAnsi="Times New Roman" w:cs="Times New Roman"/>
                <w:noProof/>
                <w:color w:val="006100"/>
                <w:sz w:val="18"/>
                <w:szCs w:val="18"/>
              </w:rPr>
              <w:t xml:space="preserve">- </w:t>
            </w:r>
            <w:r w:rsidRPr="00DE4E4F">
              <w:rPr>
                <w:rFonts w:ascii="Times New Roman" w:eastAsia="Times New Roman" w:hAnsi="Times New Roman" w:cs="Times New Roman"/>
                <w:noProof/>
                <w:color w:val="006100"/>
                <w:sz w:val="18"/>
                <w:szCs w:val="18"/>
                <w:lang w:eastAsia="en-IE"/>
              </w:rPr>
              <w:t>New Integrated Information System to support the Directorate of Public Asset Management of the Independent Authority for Public Revenue</w:t>
            </w:r>
          </w:p>
          <w:p w14:paraId="2634BF4C" w14:textId="77777777" w:rsidR="001B186F" w:rsidRPr="00DE4E4F" w:rsidRDefault="001B186F" w:rsidP="00B81D86">
            <w:pPr>
              <w:spacing w:after="0" w:line="240" w:lineRule="auto"/>
              <w:rPr>
                <w:rFonts w:ascii="Times New Roman" w:eastAsia="Times New Roman" w:hAnsi="Times New Roman" w:cs="Times New Roman"/>
                <w:noProof/>
                <w:color w:val="006100"/>
                <w:sz w:val="18"/>
                <w:szCs w:val="18"/>
                <w:lang w:eastAsia="en-GB"/>
              </w:rPr>
            </w:pPr>
          </w:p>
          <w:p w14:paraId="509B906A"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Under the intervention area “Upgrading taxpayer services”: </w:t>
            </w:r>
          </w:p>
          <w:p w14:paraId="7B00091F"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Expansion-Upgrade of Taxpayers Service Center &amp; Call Center Services; and </w:t>
            </w:r>
          </w:p>
          <w:p w14:paraId="4B6AE991" w14:textId="3BD0907E"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Data Security</w:t>
            </w:r>
            <w:r w:rsidR="00102608" w:rsidRPr="00DE4E4F">
              <w:rPr>
                <w:rFonts w:ascii="Times New Roman" w:hAnsi="Times New Roman" w:cs="Times New Roman"/>
                <w:noProof/>
                <w:color w:val="006100"/>
                <w:sz w:val="18"/>
                <w:szCs w:val="18"/>
              </w:rPr>
              <w:t xml:space="preserve"> </w:t>
            </w:r>
            <w:r w:rsidR="004F6092" w:rsidRPr="00DE4E4F">
              <w:rPr>
                <w:rFonts w:ascii="Times New Roman" w:hAnsi="Times New Roman" w:cs="Times New Roman"/>
                <w:noProof/>
                <w:color w:val="006100"/>
                <w:sz w:val="18"/>
                <w:szCs w:val="18"/>
              </w:rPr>
              <w:t>Framework</w:t>
            </w:r>
          </w:p>
          <w:p w14:paraId="5F8F2A87" w14:textId="77777777" w:rsidR="001B186F" w:rsidRPr="00DE4E4F" w:rsidRDefault="001B186F" w:rsidP="00B81D86">
            <w:pPr>
              <w:spacing w:after="0" w:line="240" w:lineRule="auto"/>
              <w:rPr>
                <w:rFonts w:ascii="Times New Roman" w:hAnsi="Times New Roman" w:cs="Times New Roman"/>
                <w:noProof/>
                <w:color w:val="006100"/>
                <w:sz w:val="18"/>
                <w:szCs w:val="18"/>
              </w:rPr>
            </w:pPr>
          </w:p>
          <w:p w14:paraId="125F687E"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 Under the intervention area “Digitalising audits and controls”:</w:t>
            </w:r>
          </w:p>
          <w:p w14:paraId="71386F61" w14:textId="77777777" w:rsidR="001B186F" w:rsidRPr="00DE4E4F" w:rsidRDefault="0074517F" w:rsidP="00B81D8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Enterprise Risk Management System &amp; Business Continuity Plan for IAPR.</w:t>
            </w:r>
          </w:p>
        </w:tc>
      </w:tr>
    </w:tbl>
    <w:p w14:paraId="693E1DAA" w14:textId="77777777" w:rsidR="001B186F" w:rsidRPr="00DE4E4F" w:rsidRDefault="0074517F">
      <w:pPr>
        <w:rPr>
          <w:noProof/>
        </w:rPr>
        <w:sectPr w:rsidR="001B186F" w:rsidRPr="00DE4E4F">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sidRPr="00DE4E4F">
        <w:rPr>
          <w:noProof/>
        </w:rPr>
        <w:br w:type="textWrapping" w:clear="all"/>
      </w:r>
    </w:p>
    <w:p w14:paraId="0F04DEEC"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18: Tax Policy</w:t>
      </w:r>
    </w:p>
    <w:p w14:paraId="48E8C73F" w14:textId="77777777" w:rsidR="001B186F" w:rsidRPr="00DE4E4F" w:rsidRDefault="0074517F">
      <w:pPr>
        <w:numPr>
          <w:ilvl w:val="0"/>
          <w:numId w:val="59"/>
        </w:numPr>
        <w:spacing w:before="120" w:after="0" w:line="240" w:lineRule="auto"/>
        <w:jc w:val="both"/>
        <w:rPr>
          <w:rFonts w:ascii="Times New Roman" w:hAnsi="Times New Roman" w:cs="Times New Roman"/>
          <w:noProof/>
        </w:rPr>
      </w:pPr>
      <w:r w:rsidRPr="00DE4E4F">
        <w:rPr>
          <w:rFonts w:ascii="Times New Roman" w:hAnsi="Times New Roman"/>
          <w:noProof/>
          <w:sz w:val="24"/>
          <w:szCs w:val="24"/>
        </w:rPr>
        <w:t>Codification and simplification of tax legislation, rules and procedures (ID: 16643)</w:t>
      </w:r>
    </w:p>
    <w:p w14:paraId="2530889E" w14:textId="77777777" w:rsidR="001B186F" w:rsidRPr="00DE4E4F" w:rsidRDefault="0074517F">
      <w:pPr>
        <w:numPr>
          <w:ilvl w:val="0"/>
          <w:numId w:val="59"/>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Adoption of measures and incentives to increase electronic transactions (ID: 16616)</w:t>
      </w:r>
    </w:p>
    <w:p w14:paraId="51F5C8E0" w14:textId="77777777" w:rsidR="001B186F" w:rsidRPr="00DE4E4F" w:rsidRDefault="0074517F">
      <w:pPr>
        <w:numPr>
          <w:ilvl w:val="0"/>
          <w:numId w:val="59"/>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Super – deduction of SME expenses on green economy, energy and digitisation (ID: 16863)</w:t>
      </w:r>
    </w:p>
    <w:p w14:paraId="5D280B0C" w14:textId="77777777" w:rsidR="001B186F" w:rsidRPr="00DE4E4F" w:rsidRDefault="0074517F">
      <w:pPr>
        <w:numPr>
          <w:ilvl w:val="0"/>
          <w:numId w:val="59"/>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Incentivisation regime for productivity and extroversion of enterprises (increasing the size of enterprises) (ID: 16598)</w:t>
      </w:r>
    </w:p>
    <w:p w14:paraId="643CA4BF" w14:textId="77777777" w:rsidR="001B186F" w:rsidRPr="00DE4E4F" w:rsidRDefault="0074517F">
      <w:pPr>
        <w:numPr>
          <w:ilvl w:val="0"/>
          <w:numId w:val="59"/>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Modifications to Greece’s tax policy framework (measure ID: 16985</w:t>
      </w:r>
    </w:p>
    <w:tbl>
      <w:tblPr>
        <w:tblW w:w="15910" w:type="dxa"/>
        <w:jc w:val="center"/>
        <w:tblLook w:val="04A0" w:firstRow="1" w:lastRow="0" w:firstColumn="1" w:lastColumn="0" w:noHBand="0" w:noVBand="1"/>
      </w:tblPr>
      <w:tblGrid>
        <w:gridCol w:w="682"/>
        <w:gridCol w:w="1974"/>
        <w:gridCol w:w="1172"/>
        <w:gridCol w:w="1176"/>
        <w:gridCol w:w="1984"/>
        <w:gridCol w:w="866"/>
        <w:gridCol w:w="857"/>
        <w:gridCol w:w="668"/>
        <w:gridCol w:w="993"/>
        <w:gridCol w:w="708"/>
        <w:gridCol w:w="4830"/>
      </w:tblGrid>
      <w:tr w:rsidR="00682269" w:rsidRPr="00DE4E4F" w14:paraId="4A923EAA" w14:textId="77777777">
        <w:trPr>
          <w:trHeight w:val="773"/>
          <w:tblHeader/>
          <w:jc w:val="center"/>
        </w:trPr>
        <w:tc>
          <w:tcPr>
            <w:tcW w:w="6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58927F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97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F6D9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7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AB6C6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69A64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1C878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w:t>
            </w:r>
            <w:r w:rsidRPr="00DE4E4F">
              <w:rPr>
                <w:rFonts w:ascii="Times New Roman" w:hAnsi="Times New Roman" w:cs="Times New Roman"/>
                <w:noProof/>
                <w:sz w:val="18"/>
                <w:szCs w:val="18"/>
              </w:rPr>
              <w:t xml:space="preserve"> </w:t>
            </w:r>
            <w:r w:rsidRPr="00DE4E4F">
              <w:rPr>
                <w:rFonts w:ascii="Times New Roman" w:hAnsi="Times New Roman"/>
                <w:b/>
                <w:noProof/>
                <w:sz w:val="18"/>
              </w:rPr>
              <w:t>(for milestones)</w:t>
            </w:r>
          </w:p>
        </w:tc>
        <w:tc>
          <w:tcPr>
            <w:tcW w:w="239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D87ED1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29F0A7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8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60FD73" w14:textId="77777777" w:rsidR="001B186F" w:rsidRPr="00DE4E4F" w:rsidRDefault="001B186F">
            <w:pPr>
              <w:spacing w:after="0" w:line="240" w:lineRule="auto"/>
              <w:jc w:val="center"/>
              <w:rPr>
                <w:rFonts w:ascii="Times New Roman" w:hAnsi="Times New Roman"/>
                <w:b/>
                <w:noProof/>
                <w:sz w:val="18"/>
              </w:rPr>
            </w:pPr>
          </w:p>
          <w:p w14:paraId="35E8018A" w14:textId="77777777" w:rsidR="001B186F" w:rsidRPr="00DE4E4F" w:rsidRDefault="0074517F">
            <w:pPr>
              <w:spacing w:after="0" w:line="240" w:lineRule="auto"/>
              <w:jc w:val="center"/>
              <w:rPr>
                <w:rFonts w:ascii="Times New Roman" w:hAnsi="Times New Roman"/>
                <w:b/>
                <w:noProof/>
                <w:sz w:val="18"/>
              </w:rPr>
            </w:pPr>
            <w:r w:rsidRPr="00DE4E4F">
              <w:rPr>
                <w:rFonts w:ascii="Times New Roman" w:hAnsi="Times New Roman"/>
                <w:b/>
                <w:noProof/>
                <w:sz w:val="18"/>
              </w:rPr>
              <w:t>Description of each milestone and target</w:t>
            </w:r>
          </w:p>
          <w:p w14:paraId="208FE007" w14:textId="77777777" w:rsidR="001B186F" w:rsidRPr="00DE4E4F" w:rsidRDefault="001B186F">
            <w:pPr>
              <w:rPr>
                <w:rFonts w:ascii="Times New Roman" w:eastAsia="Times New Roman" w:hAnsi="Times New Roman" w:cs="Times New Roman"/>
                <w:noProof/>
                <w:sz w:val="18"/>
                <w:szCs w:val="18"/>
              </w:rPr>
            </w:pPr>
          </w:p>
        </w:tc>
      </w:tr>
      <w:tr w:rsidR="00682269" w:rsidRPr="00DE4E4F" w14:paraId="42298BD3" w14:textId="77777777">
        <w:trPr>
          <w:trHeight w:val="532"/>
          <w:tblHeader/>
          <w:jc w:val="center"/>
        </w:trPr>
        <w:tc>
          <w:tcPr>
            <w:tcW w:w="682" w:type="dxa"/>
            <w:vMerge/>
            <w:tcBorders>
              <w:top w:val="single" w:sz="4" w:space="0" w:color="auto"/>
              <w:left w:val="single" w:sz="4" w:space="0" w:color="auto"/>
              <w:bottom w:val="single" w:sz="4" w:space="0" w:color="auto"/>
              <w:right w:val="single" w:sz="4" w:space="0" w:color="auto"/>
            </w:tcBorders>
            <w:vAlign w:val="center"/>
            <w:hideMark/>
          </w:tcPr>
          <w:p w14:paraId="677ADC9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74" w:type="dxa"/>
            <w:vMerge/>
            <w:tcBorders>
              <w:top w:val="single" w:sz="4" w:space="0" w:color="auto"/>
              <w:left w:val="single" w:sz="4" w:space="0" w:color="auto"/>
              <w:bottom w:val="single" w:sz="4" w:space="0" w:color="auto"/>
              <w:right w:val="single" w:sz="4" w:space="0" w:color="auto"/>
            </w:tcBorders>
            <w:vAlign w:val="center"/>
            <w:hideMark/>
          </w:tcPr>
          <w:p w14:paraId="6F6D8F1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72" w:type="dxa"/>
            <w:vMerge/>
            <w:tcBorders>
              <w:top w:val="single" w:sz="4" w:space="0" w:color="auto"/>
              <w:left w:val="single" w:sz="4" w:space="0" w:color="auto"/>
              <w:bottom w:val="single" w:sz="4" w:space="0" w:color="auto"/>
              <w:right w:val="single" w:sz="4" w:space="0" w:color="auto"/>
            </w:tcBorders>
            <w:vAlign w:val="center"/>
            <w:hideMark/>
          </w:tcPr>
          <w:p w14:paraId="5916E6A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5E9A8BC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69F10A3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86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22A1C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A5EE9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6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EBE1A4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E01E07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0D1F8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830" w:type="dxa"/>
            <w:vMerge/>
            <w:tcBorders>
              <w:top w:val="single" w:sz="4" w:space="0" w:color="auto"/>
              <w:left w:val="single" w:sz="4" w:space="0" w:color="auto"/>
              <w:bottom w:val="single" w:sz="4" w:space="0" w:color="auto"/>
              <w:right w:val="single" w:sz="4" w:space="0" w:color="auto"/>
            </w:tcBorders>
            <w:vAlign w:val="center"/>
            <w:hideMark/>
          </w:tcPr>
          <w:p w14:paraId="67805AD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4AA5C5C9"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EE5ED73"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197</w:t>
            </w:r>
          </w:p>
        </w:tc>
        <w:tc>
          <w:tcPr>
            <w:tcW w:w="1974" w:type="dxa"/>
            <w:tcBorders>
              <w:top w:val="single" w:sz="4" w:space="0" w:color="auto"/>
              <w:left w:val="nil"/>
              <w:bottom w:val="single" w:sz="4" w:space="0" w:color="auto"/>
              <w:right w:val="single" w:sz="4" w:space="0" w:color="auto"/>
            </w:tcBorders>
            <w:shd w:val="clear" w:color="auto" w:fill="C6EFCE"/>
            <w:noWrap/>
          </w:tcPr>
          <w:p w14:paraId="65D33F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- 16863_Super – deduction of expenses on green economy, energy and digital transition</w:t>
            </w:r>
          </w:p>
        </w:tc>
        <w:tc>
          <w:tcPr>
            <w:tcW w:w="1172" w:type="dxa"/>
            <w:tcBorders>
              <w:top w:val="single" w:sz="4" w:space="0" w:color="auto"/>
              <w:left w:val="nil"/>
              <w:bottom w:val="single" w:sz="4" w:space="0" w:color="auto"/>
              <w:right w:val="single" w:sz="4" w:space="0" w:color="auto"/>
            </w:tcBorders>
            <w:shd w:val="clear" w:color="auto" w:fill="C6EFCE"/>
            <w:noWrap/>
          </w:tcPr>
          <w:p w14:paraId="744277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34ED85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Super-deduction for SME green and digital investments</w:t>
            </w:r>
          </w:p>
        </w:tc>
        <w:tc>
          <w:tcPr>
            <w:tcW w:w="1984" w:type="dxa"/>
            <w:tcBorders>
              <w:top w:val="single" w:sz="4" w:space="0" w:color="auto"/>
              <w:left w:val="nil"/>
              <w:bottom w:val="single" w:sz="4" w:space="0" w:color="auto"/>
              <w:right w:val="single" w:sz="4" w:space="0" w:color="auto"/>
            </w:tcBorders>
            <w:shd w:val="clear" w:color="auto" w:fill="C6EFCE"/>
            <w:noWrap/>
          </w:tcPr>
          <w:p w14:paraId="173653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for Super-deduction for SME green and digital investments</w:t>
            </w:r>
          </w:p>
        </w:tc>
        <w:tc>
          <w:tcPr>
            <w:tcW w:w="866" w:type="dxa"/>
            <w:tcBorders>
              <w:top w:val="single" w:sz="4" w:space="0" w:color="auto"/>
              <w:left w:val="nil"/>
              <w:bottom w:val="single" w:sz="4" w:space="0" w:color="auto"/>
              <w:right w:val="single" w:sz="4" w:space="0" w:color="auto"/>
            </w:tcBorders>
            <w:shd w:val="clear" w:color="auto" w:fill="C6EFCE"/>
            <w:noWrap/>
          </w:tcPr>
          <w:p w14:paraId="1A2556E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2584D2A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7391797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2EED207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single" w:sz="4" w:space="0" w:color="auto"/>
              <w:left w:val="nil"/>
              <w:bottom w:val="single" w:sz="4" w:space="0" w:color="auto"/>
              <w:right w:val="single" w:sz="4" w:space="0" w:color="auto"/>
            </w:tcBorders>
            <w:shd w:val="clear" w:color="auto" w:fill="C6EFCE"/>
            <w:noWrap/>
          </w:tcPr>
          <w:p w14:paraId="5A047B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830" w:type="dxa"/>
            <w:tcBorders>
              <w:top w:val="single" w:sz="4" w:space="0" w:color="auto"/>
              <w:left w:val="nil"/>
              <w:bottom w:val="single" w:sz="4" w:space="0" w:color="auto"/>
              <w:right w:val="single" w:sz="4" w:space="0" w:color="auto"/>
            </w:tcBorders>
            <w:shd w:val="clear" w:color="auto" w:fill="C6EFCE"/>
            <w:noWrap/>
          </w:tcPr>
          <w:p w14:paraId="78FE30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legislation and secondary legislation for the introduction of super-deduction for tax purposes of qualifying SME expenses for green economy and digitisation investments </w:t>
            </w:r>
          </w:p>
        </w:tc>
      </w:tr>
      <w:tr w:rsidR="00682269" w:rsidRPr="00DE4E4F" w14:paraId="6370C821"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54A183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198</w:t>
            </w:r>
          </w:p>
        </w:tc>
        <w:tc>
          <w:tcPr>
            <w:tcW w:w="1974" w:type="dxa"/>
            <w:tcBorders>
              <w:top w:val="nil"/>
              <w:left w:val="nil"/>
              <w:bottom w:val="single" w:sz="4" w:space="0" w:color="auto"/>
              <w:right w:val="single" w:sz="4" w:space="0" w:color="auto"/>
            </w:tcBorders>
            <w:shd w:val="clear" w:color="auto" w:fill="C6EFCE"/>
            <w:noWrap/>
          </w:tcPr>
          <w:p w14:paraId="5346D93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- 16616_Adoption of measures and incentives to increase electronic transactions</w:t>
            </w:r>
          </w:p>
        </w:tc>
        <w:tc>
          <w:tcPr>
            <w:tcW w:w="1172" w:type="dxa"/>
            <w:tcBorders>
              <w:top w:val="nil"/>
              <w:left w:val="nil"/>
              <w:bottom w:val="single" w:sz="4" w:space="0" w:color="auto"/>
              <w:right w:val="single" w:sz="4" w:space="0" w:color="auto"/>
            </w:tcBorders>
            <w:shd w:val="clear" w:color="auto" w:fill="C6EFCE"/>
            <w:noWrap/>
          </w:tcPr>
          <w:p w14:paraId="60074B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nil"/>
              <w:left w:val="nil"/>
              <w:bottom w:val="single" w:sz="4" w:space="0" w:color="auto"/>
              <w:right w:val="single" w:sz="4" w:space="0" w:color="auto"/>
            </w:tcBorders>
            <w:shd w:val="clear" w:color="auto" w:fill="C6EFCE"/>
            <w:noWrap/>
          </w:tcPr>
          <w:p w14:paraId="12EB1C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Legislation to encourage electronic transactions</w:t>
            </w:r>
          </w:p>
        </w:tc>
        <w:tc>
          <w:tcPr>
            <w:tcW w:w="1984" w:type="dxa"/>
            <w:tcBorders>
              <w:top w:val="nil"/>
              <w:left w:val="nil"/>
              <w:bottom w:val="single" w:sz="4" w:space="0" w:color="auto"/>
              <w:right w:val="single" w:sz="4" w:space="0" w:color="auto"/>
            </w:tcBorders>
            <w:shd w:val="clear" w:color="auto" w:fill="C6EFCE"/>
            <w:noWrap/>
          </w:tcPr>
          <w:p w14:paraId="60A8630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providing incentives for the enhancement of electronic transactions </w:t>
            </w:r>
          </w:p>
        </w:tc>
        <w:tc>
          <w:tcPr>
            <w:tcW w:w="866" w:type="dxa"/>
            <w:tcBorders>
              <w:top w:val="nil"/>
              <w:left w:val="nil"/>
              <w:bottom w:val="single" w:sz="4" w:space="0" w:color="auto"/>
              <w:right w:val="single" w:sz="4" w:space="0" w:color="auto"/>
            </w:tcBorders>
            <w:shd w:val="clear" w:color="auto" w:fill="C6EFCE"/>
            <w:noWrap/>
          </w:tcPr>
          <w:p w14:paraId="36ECB75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3242B21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nil"/>
              <w:left w:val="nil"/>
              <w:bottom w:val="single" w:sz="4" w:space="0" w:color="auto"/>
              <w:right w:val="single" w:sz="4" w:space="0" w:color="auto"/>
            </w:tcBorders>
            <w:shd w:val="clear" w:color="auto" w:fill="C6EFCE"/>
            <w:noWrap/>
          </w:tcPr>
          <w:p w14:paraId="43B5FCC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nil"/>
              <w:left w:val="nil"/>
              <w:bottom w:val="single" w:sz="4" w:space="0" w:color="auto"/>
              <w:right w:val="single" w:sz="4" w:space="0" w:color="auto"/>
            </w:tcBorders>
            <w:shd w:val="clear" w:color="auto" w:fill="C6EFCE"/>
            <w:noWrap/>
          </w:tcPr>
          <w:p w14:paraId="37AE7C5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nil"/>
              <w:left w:val="nil"/>
              <w:bottom w:val="single" w:sz="4" w:space="0" w:color="auto"/>
              <w:right w:val="single" w:sz="4" w:space="0" w:color="auto"/>
            </w:tcBorders>
            <w:shd w:val="clear" w:color="auto" w:fill="C6EFCE"/>
            <w:noWrap/>
          </w:tcPr>
          <w:p w14:paraId="3BE5C6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830" w:type="dxa"/>
            <w:tcBorders>
              <w:top w:val="nil"/>
              <w:left w:val="nil"/>
              <w:bottom w:val="single" w:sz="4" w:space="0" w:color="auto"/>
              <w:right w:val="single" w:sz="4" w:space="0" w:color="auto"/>
            </w:tcBorders>
            <w:shd w:val="clear" w:color="auto" w:fill="C6EFCE"/>
            <w:noWrap/>
          </w:tcPr>
          <w:p w14:paraId="78EE27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amendment of the primary and secondary legal framework providing specific incentives for the enhancement of electronic transactions </w:t>
            </w:r>
          </w:p>
        </w:tc>
      </w:tr>
      <w:tr w:rsidR="00682269" w:rsidRPr="00DE4E4F" w14:paraId="2EB2D0C2"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78BA8D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199</w:t>
            </w:r>
          </w:p>
        </w:tc>
        <w:tc>
          <w:tcPr>
            <w:tcW w:w="1974" w:type="dxa"/>
            <w:tcBorders>
              <w:top w:val="nil"/>
              <w:left w:val="nil"/>
              <w:bottom w:val="single" w:sz="4" w:space="0" w:color="auto"/>
              <w:right w:val="single" w:sz="4" w:space="0" w:color="auto"/>
            </w:tcBorders>
            <w:shd w:val="clear" w:color="auto" w:fill="C6EFCE"/>
            <w:noWrap/>
          </w:tcPr>
          <w:p w14:paraId="27E2B0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- 16643_Codification and simplification of tax legislation</w:t>
            </w:r>
          </w:p>
        </w:tc>
        <w:tc>
          <w:tcPr>
            <w:tcW w:w="1172" w:type="dxa"/>
            <w:tcBorders>
              <w:top w:val="nil"/>
              <w:left w:val="nil"/>
              <w:bottom w:val="single" w:sz="4" w:space="0" w:color="auto"/>
              <w:right w:val="single" w:sz="4" w:space="0" w:color="auto"/>
            </w:tcBorders>
            <w:shd w:val="clear" w:color="auto" w:fill="C6EFCE"/>
            <w:noWrap/>
          </w:tcPr>
          <w:p w14:paraId="3EA0F4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nil"/>
              <w:left w:val="nil"/>
              <w:bottom w:val="single" w:sz="4" w:space="0" w:color="auto"/>
              <w:right w:val="single" w:sz="4" w:space="0" w:color="auto"/>
            </w:tcBorders>
            <w:shd w:val="clear" w:color="auto" w:fill="C6EFCE"/>
            <w:noWrap/>
          </w:tcPr>
          <w:p w14:paraId="3FCDE50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Schedule for Tax Codification</w:t>
            </w:r>
          </w:p>
        </w:tc>
        <w:tc>
          <w:tcPr>
            <w:tcW w:w="1984" w:type="dxa"/>
            <w:tcBorders>
              <w:top w:val="nil"/>
              <w:left w:val="nil"/>
              <w:bottom w:val="single" w:sz="4" w:space="0" w:color="auto"/>
              <w:right w:val="single" w:sz="4" w:space="0" w:color="auto"/>
            </w:tcBorders>
            <w:shd w:val="clear" w:color="auto" w:fill="C6EFCE"/>
            <w:noWrap/>
          </w:tcPr>
          <w:p w14:paraId="58D8C2F7"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Publication of secondary legislation with set up of committees and timetable for Tax codification.</w:t>
            </w:r>
          </w:p>
        </w:tc>
        <w:tc>
          <w:tcPr>
            <w:tcW w:w="866" w:type="dxa"/>
            <w:tcBorders>
              <w:top w:val="nil"/>
              <w:left w:val="nil"/>
              <w:bottom w:val="single" w:sz="4" w:space="0" w:color="auto"/>
              <w:right w:val="single" w:sz="4" w:space="0" w:color="auto"/>
            </w:tcBorders>
            <w:shd w:val="clear" w:color="auto" w:fill="C6EFCE"/>
            <w:noWrap/>
          </w:tcPr>
          <w:p w14:paraId="0EBC741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6EBF7C6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nil"/>
              <w:left w:val="nil"/>
              <w:bottom w:val="single" w:sz="4" w:space="0" w:color="auto"/>
              <w:right w:val="single" w:sz="4" w:space="0" w:color="auto"/>
            </w:tcBorders>
            <w:shd w:val="clear" w:color="auto" w:fill="C6EFCE"/>
            <w:noWrap/>
          </w:tcPr>
          <w:p w14:paraId="4315B0D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nil"/>
              <w:left w:val="nil"/>
              <w:bottom w:val="single" w:sz="4" w:space="0" w:color="auto"/>
              <w:right w:val="single" w:sz="4" w:space="0" w:color="auto"/>
            </w:tcBorders>
            <w:shd w:val="clear" w:color="auto" w:fill="C6EFCE"/>
            <w:noWrap/>
          </w:tcPr>
          <w:p w14:paraId="322E5E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8" w:type="dxa"/>
            <w:tcBorders>
              <w:top w:val="nil"/>
              <w:left w:val="nil"/>
              <w:bottom w:val="single" w:sz="4" w:space="0" w:color="auto"/>
              <w:right w:val="single" w:sz="4" w:space="0" w:color="auto"/>
            </w:tcBorders>
            <w:shd w:val="clear" w:color="auto" w:fill="C6EFCE"/>
            <w:noWrap/>
          </w:tcPr>
          <w:p w14:paraId="37F9D2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830" w:type="dxa"/>
            <w:tcBorders>
              <w:top w:val="nil"/>
              <w:left w:val="nil"/>
              <w:bottom w:val="single" w:sz="4" w:space="0" w:color="auto"/>
              <w:right w:val="single" w:sz="4" w:space="0" w:color="auto"/>
            </w:tcBorders>
            <w:shd w:val="clear" w:color="auto" w:fill="C6EFCE"/>
            <w:noWrap/>
          </w:tcPr>
          <w:p w14:paraId="0602A6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Comprehensive Schedule for Deliverables on Tax Codification, including set up of the relevant committees, detailed timetable from Ministry of Finance and IAPR for codification of tax legislation and consultation arrangements. </w:t>
            </w:r>
          </w:p>
        </w:tc>
      </w:tr>
      <w:tr w:rsidR="00682269" w:rsidRPr="00DE4E4F" w14:paraId="19B6BA7D" w14:textId="77777777">
        <w:trPr>
          <w:trHeight w:val="313"/>
          <w:jc w:val="center"/>
        </w:trPr>
        <w:tc>
          <w:tcPr>
            <w:tcW w:w="682" w:type="dxa"/>
            <w:tcBorders>
              <w:top w:val="nil"/>
              <w:left w:val="single" w:sz="4" w:space="0" w:color="auto"/>
              <w:bottom w:val="single" w:sz="4" w:space="0" w:color="auto"/>
              <w:right w:val="single" w:sz="4" w:space="0" w:color="auto"/>
            </w:tcBorders>
            <w:shd w:val="clear" w:color="auto" w:fill="C6EFCE"/>
            <w:noWrap/>
          </w:tcPr>
          <w:p w14:paraId="1CFF74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200</w:t>
            </w:r>
          </w:p>
        </w:tc>
        <w:tc>
          <w:tcPr>
            <w:tcW w:w="1974" w:type="dxa"/>
            <w:tcBorders>
              <w:top w:val="nil"/>
              <w:left w:val="nil"/>
              <w:bottom w:val="single" w:sz="4" w:space="0" w:color="auto"/>
              <w:right w:val="single" w:sz="4" w:space="0" w:color="auto"/>
            </w:tcBorders>
            <w:shd w:val="clear" w:color="auto" w:fill="C6EFCE"/>
            <w:noWrap/>
          </w:tcPr>
          <w:p w14:paraId="0F318E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18 - 4.7. Improve competitiveness and promote private investments and trade - 16598_Incentivisation regime for productivity and extroversion of enterprises (increasing the size of enterprises)</w:t>
            </w:r>
          </w:p>
        </w:tc>
        <w:tc>
          <w:tcPr>
            <w:tcW w:w="1172" w:type="dxa"/>
            <w:tcBorders>
              <w:top w:val="nil"/>
              <w:left w:val="nil"/>
              <w:bottom w:val="single" w:sz="4" w:space="0" w:color="auto"/>
              <w:right w:val="single" w:sz="4" w:space="0" w:color="auto"/>
            </w:tcBorders>
            <w:shd w:val="clear" w:color="auto" w:fill="C6EFCE"/>
            <w:noWrap/>
          </w:tcPr>
          <w:p w14:paraId="7B2298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nil"/>
              <w:left w:val="nil"/>
              <w:bottom w:val="single" w:sz="4" w:space="0" w:color="auto"/>
              <w:right w:val="single" w:sz="4" w:space="0" w:color="auto"/>
            </w:tcBorders>
            <w:shd w:val="clear" w:color="auto" w:fill="C6EFCE"/>
            <w:noWrap/>
          </w:tcPr>
          <w:p w14:paraId="793D9CE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Draft legislation to encourage business extroversion</w:t>
            </w:r>
          </w:p>
        </w:tc>
        <w:tc>
          <w:tcPr>
            <w:tcW w:w="1984" w:type="dxa"/>
            <w:tcBorders>
              <w:top w:val="nil"/>
              <w:left w:val="nil"/>
              <w:bottom w:val="single" w:sz="4" w:space="0" w:color="auto"/>
              <w:right w:val="single" w:sz="4" w:space="0" w:color="auto"/>
            </w:tcBorders>
            <w:shd w:val="clear" w:color="auto" w:fill="C6EFCE"/>
            <w:noWrap/>
          </w:tcPr>
          <w:p w14:paraId="4BB942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Drafts of primary and secondary legislation to encourage business extroversion. </w:t>
            </w:r>
          </w:p>
        </w:tc>
        <w:tc>
          <w:tcPr>
            <w:tcW w:w="866" w:type="dxa"/>
            <w:tcBorders>
              <w:top w:val="nil"/>
              <w:left w:val="nil"/>
              <w:bottom w:val="single" w:sz="4" w:space="0" w:color="auto"/>
              <w:right w:val="single" w:sz="4" w:space="0" w:color="auto"/>
            </w:tcBorders>
            <w:shd w:val="clear" w:color="auto" w:fill="C6EFCE"/>
            <w:noWrap/>
          </w:tcPr>
          <w:p w14:paraId="1D49656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23C4CC9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nil"/>
              <w:left w:val="nil"/>
              <w:bottom w:val="single" w:sz="4" w:space="0" w:color="auto"/>
              <w:right w:val="single" w:sz="4" w:space="0" w:color="auto"/>
            </w:tcBorders>
            <w:shd w:val="clear" w:color="auto" w:fill="C6EFCE"/>
            <w:noWrap/>
          </w:tcPr>
          <w:p w14:paraId="4FE93CA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nil"/>
              <w:left w:val="nil"/>
              <w:bottom w:val="single" w:sz="4" w:space="0" w:color="auto"/>
              <w:right w:val="single" w:sz="4" w:space="0" w:color="auto"/>
            </w:tcBorders>
            <w:shd w:val="clear" w:color="auto" w:fill="C6EFCE"/>
            <w:noWrap/>
          </w:tcPr>
          <w:p w14:paraId="41C7D7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8" w:type="dxa"/>
            <w:tcBorders>
              <w:top w:val="nil"/>
              <w:left w:val="nil"/>
              <w:bottom w:val="single" w:sz="4" w:space="0" w:color="auto"/>
              <w:right w:val="single" w:sz="4" w:space="0" w:color="auto"/>
            </w:tcBorders>
            <w:shd w:val="clear" w:color="auto" w:fill="C6EFCE"/>
            <w:noWrap/>
          </w:tcPr>
          <w:p w14:paraId="2AAE18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830" w:type="dxa"/>
            <w:tcBorders>
              <w:top w:val="nil"/>
              <w:left w:val="nil"/>
              <w:bottom w:val="single" w:sz="4" w:space="0" w:color="auto"/>
              <w:right w:val="single" w:sz="4" w:space="0" w:color="auto"/>
            </w:tcBorders>
            <w:shd w:val="clear" w:color="auto" w:fill="C6EFCE"/>
            <w:noWrap/>
          </w:tcPr>
          <w:p w14:paraId="73DDA95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Drafts for consultation purposes of primary and secondary legislation providing improvements of legal framework of tax, financial and licensing and incentives for mergers, conversions and acquisitions</w:t>
            </w:r>
          </w:p>
        </w:tc>
      </w:tr>
      <w:tr w:rsidR="00682269" w:rsidRPr="00DE4E4F" w14:paraId="553B5922"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21D0A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201</w:t>
            </w:r>
          </w:p>
        </w:tc>
        <w:tc>
          <w:tcPr>
            <w:tcW w:w="1974" w:type="dxa"/>
            <w:tcBorders>
              <w:top w:val="single" w:sz="4" w:space="0" w:color="auto"/>
              <w:left w:val="nil"/>
              <w:bottom w:val="single" w:sz="4" w:space="0" w:color="auto"/>
              <w:right w:val="single" w:sz="4" w:space="0" w:color="auto"/>
            </w:tcBorders>
            <w:shd w:val="clear" w:color="auto" w:fill="C6EFCE"/>
            <w:noWrap/>
          </w:tcPr>
          <w:p w14:paraId="7F2205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18 - 4.7. Improve competitiveness and promote private investments and trade - 16598_Incentivisation regime for productivity and extroversion of enterprises (increasing the size of enterprises)</w:t>
            </w:r>
          </w:p>
        </w:tc>
        <w:tc>
          <w:tcPr>
            <w:tcW w:w="1172" w:type="dxa"/>
            <w:tcBorders>
              <w:top w:val="single" w:sz="4" w:space="0" w:color="auto"/>
              <w:left w:val="nil"/>
              <w:bottom w:val="single" w:sz="4" w:space="0" w:color="auto"/>
              <w:right w:val="single" w:sz="4" w:space="0" w:color="auto"/>
            </w:tcBorders>
            <w:shd w:val="clear" w:color="auto" w:fill="C6EFCE"/>
            <w:noWrap/>
          </w:tcPr>
          <w:p w14:paraId="5746F4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581811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Legislation to encourage business extroversion</w:t>
            </w:r>
          </w:p>
        </w:tc>
        <w:tc>
          <w:tcPr>
            <w:tcW w:w="1984" w:type="dxa"/>
            <w:tcBorders>
              <w:top w:val="single" w:sz="4" w:space="0" w:color="auto"/>
              <w:left w:val="nil"/>
              <w:bottom w:val="single" w:sz="4" w:space="0" w:color="auto"/>
              <w:right w:val="single" w:sz="4" w:space="0" w:color="auto"/>
            </w:tcBorders>
            <w:shd w:val="clear" w:color="auto" w:fill="C6EFCE"/>
            <w:noWrap/>
          </w:tcPr>
          <w:p w14:paraId="2E6A3D6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legislation to encourage business extroversion</w:t>
            </w:r>
          </w:p>
        </w:tc>
        <w:tc>
          <w:tcPr>
            <w:tcW w:w="866" w:type="dxa"/>
            <w:tcBorders>
              <w:top w:val="single" w:sz="4" w:space="0" w:color="auto"/>
              <w:left w:val="nil"/>
              <w:bottom w:val="single" w:sz="4" w:space="0" w:color="auto"/>
              <w:right w:val="single" w:sz="4" w:space="0" w:color="auto"/>
            </w:tcBorders>
            <w:shd w:val="clear" w:color="auto" w:fill="C6EFCE"/>
            <w:noWrap/>
          </w:tcPr>
          <w:p w14:paraId="3CC1D34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72D2721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0E6F40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5D1238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8" w:type="dxa"/>
            <w:tcBorders>
              <w:top w:val="single" w:sz="4" w:space="0" w:color="auto"/>
              <w:left w:val="nil"/>
              <w:bottom w:val="single" w:sz="4" w:space="0" w:color="auto"/>
              <w:right w:val="single" w:sz="4" w:space="0" w:color="auto"/>
            </w:tcBorders>
            <w:shd w:val="clear" w:color="auto" w:fill="C6EFCE"/>
            <w:noWrap/>
          </w:tcPr>
          <w:p w14:paraId="1F15CF7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22C406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relative amendments providing improvements in the legal framework of tax, financial and licensing and incentives for mergers, conversions and acquisitions</w:t>
            </w:r>
          </w:p>
        </w:tc>
      </w:tr>
      <w:tr w:rsidR="00682269" w:rsidRPr="00DE4E4F" w14:paraId="5E36697C"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D7635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w:t>
            </w:r>
          </w:p>
        </w:tc>
        <w:tc>
          <w:tcPr>
            <w:tcW w:w="1974" w:type="dxa"/>
            <w:tcBorders>
              <w:top w:val="single" w:sz="4" w:space="0" w:color="auto"/>
              <w:left w:val="nil"/>
              <w:bottom w:val="single" w:sz="4" w:space="0" w:color="auto"/>
              <w:right w:val="single" w:sz="4" w:space="0" w:color="auto"/>
            </w:tcBorders>
            <w:shd w:val="clear" w:color="auto" w:fill="C6EFCE"/>
            <w:noWrap/>
          </w:tcPr>
          <w:p w14:paraId="420BC3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4.1. Making taxes more growth friendly and improving tax administration and tax collection - 16643_Codification and simplification of tax legislation</w:t>
            </w:r>
          </w:p>
        </w:tc>
        <w:tc>
          <w:tcPr>
            <w:tcW w:w="1172" w:type="dxa"/>
            <w:tcBorders>
              <w:top w:val="single" w:sz="4" w:space="0" w:color="auto"/>
              <w:left w:val="nil"/>
              <w:bottom w:val="single" w:sz="4" w:space="0" w:color="auto"/>
              <w:right w:val="single" w:sz="4" w:space="0" w:color="auto"/>
            </w:tcBorders>
            <w:shd w:val="clear" w:color="auto" w:fill="C6EFCE"/>
            <w:noWrap/>
          </w:tcPr>
          <w:p w14:paraId="586526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3B78B3C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Raising capacity for tax codification</w:t>
            </w:r>
          </w:p>
        </w:tc>
        <w:tc>
          <w:tcPr>
            <w:tcW w:w="1984" w:type="dxa"/>
            <w:tcBorders>
              <w:top w:val="single" w:sz="4" w:space="0" w:color="auto"/>
              <w:left w:val="nil"/>
              <w:bottom w:val="single" w:sz="4" w:space="0" w:color="auto"/>
              <w:right w:val="single" w:sz="4" w:space="0" w:color="auto"/>
            </w:tcBorders>
            <w:shd w:val="clear" w:color="auto" w:fill="C6EFCE"/>
            <w:noWrap/>
          </w:tcPr>
          <w:p w14:paraId="2096777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secondary legislation for set up of Tax Codification unit in Ministry of Finance and Service Provision Directorate in IAPR.</w:t>
            </w:r>
          </w:p>
        </w:tc>
        <w:tc>
          <w:tcPr>
            <w:tcW w:w="866" w:type="dxa"/>
            <w:tcBorders>
              <w:top w:val="single" w:sz="4" w:space="0" w:color="auto"/>
              <w:left w:val="nil"/>
              <w:bottom w:val="single" w:sz="4" w:space="0" w:color="auto"/>
              <w:right w:val="single" w:sz="4" w:space="0" w:color="auto"/>
            </w:tcBorders>
            <w:shd w:val="clear" w:color="auto" w:fill="C6EFCE"/>
            <w:noWrap/>
          </w:tcPr>
          <w:p w14:paraId="47711E3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59A006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6B171E8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70FA66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513082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30" w:type="dxa"/>
            <w:tcBorders>
              <w:top w:val="single" w:sz="4" w:space="0" w:color="auto"/>
              <w:left w:val="nil"/>
              <w:bottom w:val="single" w:sz="4" w:space="0" w:color="auto"/>
              <w:right w:val="single" w:sz="4" w:space="0" w:color="auto"/>
            </w:tcBorders>
            <w:shd w:val="clear" w:color="auto" w:fill="C6EFCE"/>
            <w:noWrap/>
          </w:tcPr>
          <w:p w14:paraId="4D089B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 up of dedicated tax unit at the Ministry of Finance responsible for the consolidation and consistency of primary tax legislation and ministerial decisions.; Set up of a Service Provision Directorate at IAPR inter alia responsible for consolidating secondary legislation, coordinating the IAPR’s competences regarding Code of Tax Procedure, and updating and maintaining the public tax database</w:t>
            </w:r>
          </w:p>
        </w:tc>
      </w:tr>
      <w:tr w:rsidR="00682269" w:rsidRPr="00DE4E4F" w14:paraId="7E48133D"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879AD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203</w:t>
            </w:r>
          </w:p>
        </w:tc>
        <w:tc>
          <w:tcPr>
            <w:tcW w:w="1974" w:type="dxa"/>
            <w:tcBorders>
              <w:top w:val="single" w:sz="4" w:space="0" w:color="auto"/>
              <w:left w:val="nil"/>
              <w:bottom w:val="single" w:sz="4" w:space="0" w:color="auto"/>
              <w:right w:val="single" w:sz="4" w:space="0" w:color="auto"/>
            </w:tcBorders>
            <w:shd w:val="clear" w:color="auto" w:fill="C6EFCE"/>
            <w:noWrap/>
          </w:tcPr>
          <w:p w14:paraId="1EF6D1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- 16643_Codification and simplification of tax legislation</w:t>
            </w:r>
          </w:p>
        </w:tc>
        <w:tc>
          <w:tcPr>
            <w:tcW w:w="1172" w:type="dxa"/>
            <w:tcBorders>
              <w:top w:val="single" w:sz="4" w:space="0" w:color="auto"/>
              <w:left w:val="nil"/>
              <w:bottom w:val="single" w:sz="4" w:space="0" w:color="auto"/>
              <w:right w:val="single" w:sz="4" w:space="0" w:color="auto"/>
            </w:tcBorders>
            <w:shd w:val="clear" w:color="auto" w:fill="C6EFCE"/>
            <w:noWrap/>
          </w:tcPr>
          <w:p w14:paraId="7DCD10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3EF15B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Recodifying income tax and tax procedure codes</w:t>
            </w:r>
          </w:p>
        </w:tc>
        <w:tc>
          <w:tcPr>
            <w:tcW w:w="1984" w:type="dxa"/>
            <w:tcBorders>
              <w:top w:val="single" w:sz="4" w:space="0" w:color="auto"/>
              <w:left w:val="nil"/>
              <w:bottom w:val="single" w:sz="4" w:space="0" w:color="auto"/>
              <w:right w:val="single" w:sz="4" w:space="0" w:color="auto"/>
            </w:tcBorders>
            <w:shd w:val="clear" w:color="auto" w:fill="C6EFCE"/>
            <w:noWrap/>
          </w:tcPr>
          <w:p w14:paraId="4C52BA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codified primary and secondary tax legislation for Income Tax Code and Tax Administration Code</w:t>
            </w:r>
          </w:p>
        </w:tc>
        <w:tc>
          <w:tcPr>
            <w:tcW w:w="866" w:type="dxa"/>
            <w:tcBorders>
              <w:top w:val="single" w:sz="4" w:space="0" w:color="auto"/>
              <w:left w:val="nil"/>
              <w:bottom w:val="single" w:sz="4" w:space="0" w:color="auto"/>
              <w:right w:val="single" w:sz="4" w:space="0" w:color="auto"/>
            </w:tcBorders>
            <w:shd w:val="clear" w:color="auto" w:fill="C6EFCE"/>
            <w:noWrap/>
          </w:tcPr>
          <w:p w14:paraId="1CD8A84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3EBC716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5E574C7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561C64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1A4BD10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699E70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codified Income Tax Code and Code of Tax Administration (primary and secondary legislation) to simplify and update the legislation in the light of digitalisation and EU best practices</w:t>
            </w:r>
          </w:p>
        </w:tc>
      </w:tr>
      <w:tr w:rsidR="00682269" w:rsidRPr="00DE4E4F" w14:paraId="21875A0A"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2E170B5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204</w:t>
            </w:r>
          </w:p>
        </w:tc>
        <w:tc>
          <w:tcPr>
            <w:tcW w:w="1974" w:type="dxa"/>
            <w:tcBorders>
              <w:top w:val="single" w:sz="4" w:space="0" w:color="auto"/>
              <w:left w:val="nil"/>
              <w:bottom w:val="single" w:sz="4" w:space="0" w:color="auto"/>
              <w:right w:val="single" w:sz="4" w:space="0" w:color="auto"/>
            </w:tcBorders>
            <w:shd w:val="clear" w:color="auto" w:fill="C6EFCE"/>
            <w:noWrap/>
          </w:tcPr>
          <w:p w14:paraId="451BC0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- 16643_Codification and simplification of tax legislation</w:t>
            </w:r>
          </w:p>
        </w:tc>
        <w:tc>
          <w:tcPr>
            <w:tcW w:w="1172" w:type="dxa"/>
            <w:tcBorders>
              <w:top w:val="single" w:sz="4" w:space="0" w:color="auto"/>
              <w:left w:val="nil"/>
              <w:bottom w:val="single" w:sz="4" w:space="0" w:color="auto"/>
              <w:right w:val="single" w:sz="4" w:space="0" w:color="auto"/>
            </w:tcBorders>
            <w:shd w:val="clear" w:color="auto" w:fill="C6EFCE"/>
            <w:noWrap/>
          </w:tcPr>
          <w:p w14:paraId="54B601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656E864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initial tax codification and taxpayer information system</w:t>
            </w:r>
          </w:p>
        </w:tc>
        <w:tc>
          <w:tcPr>
            <w:tcW w:w="1984" w:type="dxa"/>
            <w:tcBorders>
              <w:top w:val="single" w:sz="4" w:space="0" w:color="auto"/>
              <w:left w:val="nil"/>
              <w:bottom w:val="single" w:sz="4" w:space="0" w:color="auto"/>
              <w:right w:val="single" w:sz="4" w:space="0" w:color="auto"/>
            </w:tcBorders>
            <w:shd w:val="clear" w:color="auto" w:fill="C6EFCE"/>
            <w:noWrap/>
          </w:tcPr>
          <w:p w14:paraId="5C2350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t>
            </w:r>
            <w:r w:rsidRPr="00DE4E4F">
              <w:rPr>
                <w:rFonts w:ascii="Times New Roman" w:hAnsi="Times New Roman" w:cs="Times New Roman"/>
                <w:i/>
                <w:noProof/>
                <w:color w:val="006100"/>
                <w:sz w:val="18"/>
                <w:szCs w:val="18"/>
              </w:rPr>
              <w:t>:</w:t>
            </w:r>
            <w:r w:rsidRPr="00DE4E4F">
              <w:rPr>
                <w:rFonts w:ascii="Times New Roman" w:hAnsi="Times New Roman" w:cs="Times New Roman"/>
                <w:noProof/>
                <w:color w:val="006100"/>
                <w:sz w:val="18"/>
                <w:szCs w:val="18"/>
              </w:rPr>
              <w:t xml:space="preserve"> Entry into force of codified primary and secondary tax legislation</w:t>
            </w:r>
          </w:p>
          <w:p w14:paraId="51E09D7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3105F7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Proofs of acceptance of deliverables about the setup of Content management system and dedicated website for taxpayer information.</w:t>
            </w:r>
          </w:p>
        </w:tc>
        <w:tc>
          <w:tcPr>
            <w:tcW w:w="866" w:type="dxa"/>
            <w:tcBorders>
              <w:top w:val="single" w:sz="4" w:space="0" w:color="auto"/>
              <w:left w:val="nil"/>
              <w:bottom w:val="single" w:sz="4" w:space="0" w:color="auto"/>
              <w:right w:val="single" w:sz="4" w:space="0" w:color="auto"/>
            </w:tcBorders>
            <w:shd w:val="clear" w:color="auto" w:fill="C6EFCE"/>
            <w:noWrap/>
          </w:tcPr>
          <w:p w14:paraId="4CEA8F3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5D840ED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2E39FEE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01F407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09CEE7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619F64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Entry into force of Codification of the primary and secondary legislation to simplify and update the legislation in the light of digitisation and EU best practices including:</w:t>
            </w:r>
          </w:p>
          <w:p w14:paraId="3AD45A0E" w14:textId="77777777" w:rsidR="001B186F" w:rsidRPr="00DE4E4F" w:rsidRDefault="0074517F">
            <w:pPr>
              <w:numPr>
                <w:ilvl w:val="0"/>
                <w:numId w:val="60"/>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VAT code</w:t>
            </w:r>
          </w:p>
          <w:p w14:paraId="7F8F8B98" w14:textId="77777777" w:rsidR="001B186F" w:rsidRPr="00DE4E4F" w:rsidRDefault="0074517F">
            <w:pPr>
              <w:numPr>
                <w:ilvl w:val="0"/>
                <w:numId w:val="60"/>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Stamp duty</w:t>
            </w:r>
          </w:p>
          <w:p w14:paraId="40EB557B" w14:textId="77777777" w:rsidR="001B186F" w:rsidRPr="00DE4E4F" w:rsidRDefault="0074517F">
            <w:pPr>
              <w:numPr>
                <w:ilvl w:val="0"/>
                <w:numId w:val="60"/>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Property taxes</w:t>
            </w:r>
          </w:p>
          <w:p w14:paraId="1F3B34EA" w14:textId="77777777" w:rsidR="001B186F" w:rsidRPr="00DE4E4F" w:rsidRDefault="0074517F">
            <w:pPr>
              <w:numPr>
                <w:ilvl w:val="0"/>
                <w:numId w:val="60"/>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State Debt Collection (KEDE)</w:t>
            </w:r>
          </w:p>
          <w:p w14:paraId="3D69B7B2" w14:textId="77777777" w:rsidR="001B186F" w:rsidRPr="00DE4E4F" w:rsidRDefault="0074517F">
            <w:pPr>
              <w:numPr>
                <w:ilvl w:val="0"/>
                <w:numId w:val="60"/>
              </w:numPr>
              <w:spacing w:before="120" w:after="0" w:line="259" w:lineRule="auto"/>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National Customs Code</w:t>
            </w:r>
          </w:p>
          <w:p w14:paraId="1BB8F4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Set up of Content management system and dedicated website for taxpayer information.</w:t>
            </w:r>
          </w:p>
        </w:tc>
      </w:tr>
      <w:tr w:rsidR="00682269" w:rsidRPr="00DE4E4F" w14:paraId="01DAB4C2"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095FF2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204a</w:t>
            </w:r>
          </w:p>
        </w:tc>
        <w:tc>
          <w:tcPr>
            <w:tcW w:w="1974" w:type="dxa"/>
            <w:tcBorders>
              <w:top w:val="single" w:sz="4" w:space="0" w:color="auto"/>
              <w:left w:val="nil"/>
              <w:bottom w:val="single" w:sz="4" w:space="0" w:color="auto"/>
              <w:right w:val="single" w:sz="4" w:space="0" w:color="auto"/>
            </w:tcBorders>
            <w:shd w:val="clear" w:color="auto" w:fill="C6EFCE"/>
            <w:noWrap/>
          </w:tcPr>
          <w:p w14:paraId="756B87D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16643 _Codification and simplification of tax legislation</w:t>
            </w:r>
          </w:p>
        </w:tc>
        <w:tc>
          <w:tcPr>
            <w:tcW w:w="1172" w:type="dxa"/>
            <w:tcBorders>
              <w:top w:val="single" w:sz="4" w:space="0" w:color="auto"/>
              <w:left w:val="nil"/>
              <w:bottom w:val="single" w:sz="4" w:space="0" w:color="auto"/>
              <w:right w:val="single" w:sz="4" w:space="0" w:color="auto"/>
            </w:tcBorders>
            <w:shd w:val="clear" w:color="auto" w:fill="C6EFCE"/>
            <w:noWrap/>
          </w:tcPr>
          <w:p w14:paraId="39470DC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75E99BC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primary and secondary legislation in taxpayer website</w:t>
            </w:r>
          </w:p>
        </w:tc>
        <w:tc>
          <w:tcPr>
            <w:tcW w:w="1984" w:type="dxa"/>
            <w:tcBorders>
              <w:top w:val="single" w:sz="4" w:space="0" w:color="auto"/>
              <w:left w:val="nil"/>
              <w:bottom w:val="single" w:sz="4" w:space="0" w:color="auto"/>
              <w:right w:val="single" w:sz="4" w:space="0" w:color="auto"/>
            </w:tcBorders>
            <w:shd w:val="clear" w:color="auto" w:fill="C6EFCE"/>
            <w:noWrap/>
          </w:tcPr>
          <w:p w14:paraId="1E0A42D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primary and secondary tax and customs legislation.</w:t>
            </w:r>
          </w:p>
        </w:tc>
        <w:tc>
          <w:tcPr>
            <w:tcW w:w="866" w:type="dxa"/>
            <w:tcBorders>
              <w:top w:val="single" w:sz="4" w:space="0" w:color="auto"/>
              <w:left w:val="nil"/>
              <w:bottom w:val="single" w:sz="4" w:space="0" w:color="auto"/>
              <w:right w:val="single" w:sz="4" w:space="0" w:color="auto"/>
            </w:tcBorders>
            <w:shd w:val="clear" w:color="auto" w:fill="C6EFCE"/>
            <w:noWrap/>
          </w:tcPr>
          <w:p w14:paraId="0AB2FD4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0FAAADF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21DF855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170A1F9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single" w:sz="4" w:space="0" w:color="auto"/>
              <w:left w:val="nil"/>
              <w:bottom w:val="single" w:sz="4" w:space="0" w:color="auto"/>
              <w:right w:val="single" w:sz="4" w:space="0" w:color="auto"/>
            </w:tcBorders>
            <w:shd w:val="clear" w:color="auto" w:fill="C6EFCE"/>
            <w:noWrap/>
          </w:tcPr>
          <w:p w14:paraId="7A6A88F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830" w:type="dxa"/>
            <w:tcBorders>
              <w:top w:val="single" w:sz="4" w:space="0" w:color="auto"/>
              <w:left w:val="nil"/>
              <w:bottom w:val="single" w:sz="4" w:space="0" w:color="auto"/>
              <w:right w:val="single" w:sz="4" w:space="0" w:color="auto"/>
            </w:tcBorders>
            <w:shd w:val="clear" w:color="auto" w:fill="C6EFCE"/>
            <w:noWrap/>
          </w:tcPr>
          <w:p w14:paraId="6414826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Publication of primary and secondary tax and customs legislation assessed in milestone 204 on the dedicated website for taxpayer information. </w:t>
            </w:r>
          </w:p>
        </w:tc>
      </w:tr>
      <w:tr w:rsidR="00682269" w:rsidRPr="00DE4E4F" w14:paraId="7475CAC0"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3E5531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337</w:t>
            </w:r>
          </w:p>
        </w:tc>
        <w:tc>
          <w:tcPr>
            <w:tcW w:w="1974" w:type="dxa"/>
            <w:tcBorders>
              <w:top w:val="single" w:sz="4" w:space="0" w:color="auto"/>
              <w:left w:val="nil"/>
              <w:bottom w:val="single" w:sz="4" w:space="0" w:color="auto"/>
              <w:right w:val="single" w:sz="4" w:space="0" w:color="auto"/>
            </w:tcBorders>
            <w:shd w:val="clear" w:color="auto" w:fill="C6EFCE"/>
            <w:noWrap/>
          </w:tcPr>
          <w:p w14:paraId="65485B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16985_Modifications to Greece’s tax policy framework</w:t>
            </w:r>
          </w:p>
        </w:tc>
        <w:tc>
          <w:tcPr>
            <w:tcW w:w="1172" w:type="dxa"/>
            <w:tcBorders>
              <w:top w:val="single" w:sz="4" w:space="0" w:color="auto"/>
              <w:left w:val="nil"/>
              <w:bottom w:val="single" w:sz="4" w:space="0" w:color="auto"/>
              <w:right w:val="single" w:sz="4" w:space="0" w:color="auto"/>
            </w:tcBorders>
            <w:shd w:val="clear" w:color="auto" w:fill="C6EFCE"/>
            <w:noWrap/>
          </w:tcPr>
          <w:p w14:paraId="23D904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577DE8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Combat tax evasion and promote electronic payments.</w:t>
            </w:r>
          </w:p>
        </w:tc>
        <w:tc>
          <w:tcPr>
            <w:tcW w:w="1984" w:type="dxa"/>
            <w:tcBorders>
              <w:top w:val="single" w:sz="4" w:space="0" w:color="auto"/>
              <w:left w:val="nil"/>
              <w:bottom w:val="single" w:sz="4" w:space="0" w:color="auto"/>
              <w:right w:val="single" w:sz="4" w:space="0" w:color="auto"/>
            </w:tcBorders>
            <w:shd w:val="clear" w:color="auto" w:fill="C6EFCE"/>
            <w:noWrap/>
          </w:tcPr>
          <w:p w14:paraId="145DA3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Revised legal framework adopted to promote electronic payments, strengthening and set new myDATA reporting requirements, and enabling use of myDATA for VAT purposes. </w:t>
            </w:r>
          </w:p>
          <w:p w14:paraId="6751FE4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Copy of report on options for the reform of self-employed taxation.</w:t>
            </w:r>
          </w:p>
        </w:tc>
        <w:tc>
          <w:tcPr>
            <w:tcW w:w="866" w:type="dxa"/>
            <w:tcBorders>
              <w:top w:val="single" w:sz="4" w:space="0" w:color="auto"/>
              <w:left w:val="nil"/>
              <w:bottom w:val="single" w:sz="4" w:space="0" w:color="auto"/>
              <w:right w:val="single" w:sz="4" w:space="0" w:color="auto"/>
            </w:tcBorders>
            <w:shd w:val="clear" w:color="auto" w:fill="C6EFCE"/>
            <w:noWrap/>
          </w:tcPr>
          <w:p w14:paraId="4F93F60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7A52526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432FBD1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1975F1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single" w:sz="4" w:space="0" w:color="auto"/>
              <w:left w:val="nil"/>
              <w:bottom w:val="single" w:sz="4" w:space="0" w:color="auto"/>
              <w:right w:val="single" w:sz="4" w:space="0" w:color="auto"/>
            </w:tcBorders>
            <w:shd w:val="clear" w:color="auto" w:fill="C6EFCE"/>
            <w:noWrap/>
          </w:tcPr>
          <w:p w14:paraId="5CBC97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30" w:type="dxa"/>
            <w:tcBorders>
              <w:top w:val="single" w:sz="4" w:space="0" w:color="auto"/>
              <w:left w:val="nil"/>
              <w:bottom w:val="single" w:sz="4" w:space="0" w:color="auto"/>
              <w:right w:val="single" w:sz="4" w:space="0" w:color="auto"/>
            </w:tcBorders>
            <w:shd w:val="clear" w:color="auto" w:fill="C6EFCE"/>
            <w:noWrap/>
          </w:tcPr>
          <w:p w14:paraId="4A054C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to </w:t>
            </w:r>
          </w:p>
          <w:p w14:paraId="48586B70"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(i) widely extend the mandatory acceptance of direct electronic payments in the retail market;</w:t>
            </w:r>
          </w:p>
          <w:p w14:paraId="031E8A13"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 xml:space="preserve">(ii) align the information sharing requirements for payment service providers with the Bank of Greece definitions; </w:t>
            </w:r>
          </w:p>
          <w:p w14:paraId="45A39AF9"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(iii) establish new myDATA reporting obligations for businesses (incl. self-employed) to be applied for VAT returns; and</w:t>
            </w:r>
          </w:p>
          <w:p w14:paraId="307D1269"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(iv) Completion of report on options for the reform of self-employed taxation.</w:t>
            </w:r>
          </w:p>
          <w:p w14:paraId="4938095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05CBBF4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r>
      <w:tr w:rsidR="00682269" w:rsidRPr="00DE4E4F" w14:paraId="62C0E78E"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65F01E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338</w:t>
            </w:r>
          </w:p>
        </w:tc>
        <w:tc>
          <w:tcPr>
            <w:tcW w:w="1974" w:type="dxa"/>
            <w:tcBorders>
              <w:top w:val="single" w:sz="4" w:space="0" w:color="auto"/>
              <w:left w:val="nil"/>
              <w:bottom w:val="single" w:sz="4" w:space="0" w:color="auto"/>
              <w:right w:val="single" w:sz="4" w:space="0" w:color="auto"/>
            </w:tcBorders>
            <w:shd w:val="clear" w:color="auto" w:fill="C6EFCE"/>
            <w:noWrap/>
          </w:tcPr>
          <w:p w14:paraId="47C6BE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16985_Modifications to Greece’s tax policy framework</w:t>
            </w:r>
          </w:p>
        </w:tc>
        <w:tc>
          <w:tcPr>
            <w:tcW w:w="1172" w:type="dxa"/>
            <w:tcBorders>
              <w:top w:val="single" w:sz="4" w:space="0" w:color="auto"/>
              <w:left w:val="nil"/>
              <w:bottom w:val="single" w:sz="4" w:space="0" w:color="auto"/>
              <w:right w:val="single" w:sz="4" w:space="0" w:color="auto"/>
            </w:tcBorders>
            <w:shd w:val="clear" w:color="auto" w:fill="C6EFCE"/>
            <w:noWrap/>
          </w:tcPr>
          <w:p w14:paraId="2E7973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04490C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Reform the taxation of the self-employed and stamp duty.</w:t>
            </w:r>
          </w:p>
        </w:tc>
        <w:tc>
          <w:tcPr>
            <w:tcW w:w="1984" w:type="dxa"/>
            <w:tcBorders>
              <w:top w:val="single" w:sz="4" w:space="0" w:color="auto"/>
              <w:left w:val="nil"/>
              <w:bottom w:val="single" w:sz="4" w:space="0" w:color="auto"/>
              <w:right w:val="single" w:sz="4" w:space="0" w:color="auto"/>
            </w:tcBorders>
            <w:shd w:val="clear" w:color="auto" w:fill="C6EFCE"/>
            <w:noWrap/>
          </w:tcPr>
          <w:p w14:paraId="018432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Revised legal framework adopted on the self-employed taxation and replacing the stamp duty with a digital tax.</w:t>
            </w:r>
          </w:p>
        </w:tc>
        <w:tc>
          <w:tcPr>
            <w:tcW w:w="866" w:type="dxa"/>
            <w:tcBorders>
              <w:top w:val="single" w:sz="4" w:space="0" w:color="auto"/>
              <w:left w:val="nil"/>
              <w:bottom w:val="single" w:sz="4" w:space="0" w:color="auto"/>
              <w:right w:val="single" w:sz="4" w:space="0" w:color="auto"/>
            </w:tcBorders>
            <w:shd w:val="clear" w:color="auto" w:fill="C6EFCE"/>
            <w:noWrap/>
          </w:tcPr>
          <w:p w14:paraId="479A19B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7DD8E0F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043B291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6CA51F2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15A982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2F0CC0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to reform the taxation of the self-employed and enable the progressive reduction of the self-employed overhead tax (τέλος επιτηδεύματος). This shall include setting new obligatory reporting requirements on how expenses and revenues are declared through myDATA.</w:t>
            </w:r>
          </w:p>
          <w:p w14:paraId="0AD0054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696856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to replace the existing stamp duty with a new digital tax.</w:t>
            </w:r>
          </w:p>
        </w:tc>
      </w:tr>
      <w:tr w:rsidR="00682269" w:rsidRPr="00DE4E4F" w14:paraId="7AC3B276"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1D800F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339</w:t>
            </w:r>
          </w:p>
        </w:tc>
        <w:tc>
          <w:tcPr>
            <w:tcW w:w="1974" w:type="dxa"/>
            <w:tcBorders>
              <w:top w:val="single" w:sz="4" w:space="0" w:color="auto"/>
              <w:left w:val="nil"/>
              <w:bottom w:val="single" w:sz="4" w:space="0" w:color="auto"/>
              <w:right w:val="single" w:sz="4" w:space="0" w:color="auto"/>
            </w:tcBorders>
            <w:shd w:val="clear" w:color="auto" w:fill="C6EFCE"/>
            <w:noWrap/>
          </w:tcPr>
          <w:p w14:paraId="54DC7E1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16985_Modifications to Greece’s tax policy framework</w:t>
            </w:r>
          </w:p>
        </w:tc>
        <w:tc>
          <w:tcPr>
            <w:tcW w:w="1172" w:type="dxa"/>
            <w:tcBorders>
              <w:top w:val="single" w:sz="4" w:space="0" w:color="auto"/>
              <w:left w:val="nil"/>
              <w:bottom w:val="single" w:sz="4" w:space="0" w:color="auto"/>
              <w:right w:val="single" w:sz="4" w:space="0" w:color="auto"/>
            </w:tcBorders>
            <w:shd w:val="clear" w:color="auto" w:fill="C6EFCE"/>
            <w:noWrap/>
          </w:tcPr>
          <w:p w14:paraId="29DE531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512629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Strengthen the operational autonomy of the Independent Authority for Public Revenue (IAPR)</w:t>
            </w:r>
          </w:p>
        </w:tc>
        <w:tc>
          <w:tcPr>
            <w:tcW w:w="1984" w:type="dxa"/>
            <w:tcBorders>
              <w:top w:val="single" w:sz="4" w:space="0" w:color="auto"/>
              <w:left w:val="nil"/>
              <w:bottom w:val="single" w:sz="4" w:space="0" w:color="auto"/>
              <w:right w:val="single" w:sz="4" w:space="0" w:color="auto"/>
            </w:tcBorders>
            <w:shd w:val="clear" w:color="auto" w:fill="C6EFCE"/>
            <w:noWrap/>
          </w:tcPr>
          <w:p w14:paraId="401FF57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Revised legal framework to clarify competencies of IAPR and the Ministry of Digital Governance.</w:t>
            </w:r>
          </w:p>
          <w:p w14:paraId="2517F62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234BD5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IAPR decision defining new key performance indicators for IAPR.</w:t>
            </w:r>
          </w:p>
          <w:p w14:paraId="2F39DA4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597774E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Signature of the Service Level Agreement, including the obligation for an annual implementation report, beginning the following year. </w:t>
            </w:r>
          </w:p>
        </w:tc>
        <w:tc>
          <w:tcPr>
            <w:tcW w:w="866" w:type="dxa"/>
            <w:tcBorders>
              <w:top w:val="single" w:sz="4" w:space="0" w:color="auto"/>
              <w:left w:val="nil"/>
              <w:bottom w:val="single" w:sz="4" w:space="0" w:color="auto"/>
              <w:right w:val="single" w:sz="4" w:space="0" w:color="auto"/>
            </w:tcBorders>
            <w:shd w:val="clear" w:color="auto" w:fill="C6EFCE"/>
            <w:noWrap/>
          </w:tcPr>
          <w:p w14:paraId="56CC10E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6DB1C2C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578A9AC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7B614EA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5F139F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0ED4562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enabling legislation and signing of a comprehensive service-level agreement that confirm the responsibilities and resource allocation between IAPR and the Ministry of Digital Governance concerning computing and storage software licenses, web services, and database management. The service-level agreement shall include a provision for both Authorities to cooperatively produce an annual implementation report, beginning the following year.</w:t>
            </w:r>
          </w:p>
          <w:p w14:paraId="02F8BFB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1BDFFB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IAPR decision defining new key performance indicators, including on audit effectiveness, for IAPR; and (ii) introduce annual customers’ satisfaction survey(s).</w:t>
            </w:r>
          </w:p>
        </w:tc>
      </w:tr>
      <w:tr w:rsidR="00682269" w:rsidRPr="00DE4E4F" w14:paraId="4A85CB2F" w14:textId="77777777">
        <w:trPr>
          <w:trHeight w:val="313"/>
          <w:jc w:val="center"/>
        </w:trPr>
        <w:tc>
          <w:tcPr>
            <w:tcW w:w="682" w:type="dxa"/>
            <w:tcBorders>
              <w:top w:val="single" w:sz="4" w:space="0" w:color="auto"/>
              <w:left w:val="single" w:sz="4" w:space="0" w:color="auto"/>
              <w:bottom w:val="single" w:sz="4" w:space="0" w:color="auto"/>
              <w:right w:val="single" w:sz="4" w:space="0" w:color="auto"/>
            </w:tcBorders>
            <w:shd w:val="clear" w:color="auto" w:fill="C6EFCE"/>
            <w:noWrap/>
          </w:tcPr>
          <w:p w14:paraId="40A24B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340</w:t>
            </w:r>
          </w:p>
        </w:tc>
        <w:tc>
          <w:tcPr>
            <w:tcW w:w="1974" w:type="dxa"/>
            <w:tcBorders>
              <w:top w:val="single" w:sz="4" w:space="0" w:color="auto"/>
              <w:left w:val="nil"/>
              <w:bottom w:val="single" w:sz="4" w:space="0" w:color="auto"/>
              <w:right w:val="single" w:sz="4" w:space="0" w:color="auto"/>
            </w:tcBorders>
            <w:shd w:val="clear" w:color="auto" w:fill="C6EFCE"/>
            <w:noWrap/>
          </w:tcPr>
          <w:p w14:paraId="2D2C114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12 - 4.1. Making taxes more growth friendly and improving tax administration and tax collection – 16985_Modifications to Greece’s tax policy framework</w:t>
            </w:r>
          </w:p>
        </w:tc>
        <w:tc>
          <w:tcPr>
            <w:tcW w:w="1172" w:type="dxa"/>
            <w:tcBorders>
              <w:top w:val="single" w:sz="4" w:space="0" w:color="auto"/>
              <w:left w:val="nil"/>
              <w:bottom w:val="single" w:sz="4" w:space="0" w:color="auto"/>
              <w:right w:val="single" w:sz="4" w:space="0" w:color="auto"/>
            </w:tcBorders>
            <w:shd w:val="clear" w:color="auto" w:fill="C6EFCE"/>
            <w:noWrap/>
          </w:tcPr>
          <w:p w14:paraId="0E9FFF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76" w:type="dxa"/>
            <w:tcBorders>
              <w:top w:val="single" w:sz="4" w:space="0" w:color="auto"/>
              <w:left w:val="nil"/>
              <w:bottom w:val="single" w:sz="4" w:space="0" w:color="auto"/>
              <w:right w:val="single" w:sz="4" w:space="0" w:color="auto"/>
            </w:tcBorders>
            <w:shd w:val="clear" w:color="auto" w:fill="C6EFCE"/>
            <w:noWrap/>
          </w:tcPr>
          <w:p w14:paraId="2B2BE7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Combat tax evasion through using myDATA for income tax purposes. </w:t>
            </w:r>
          </w:p>
        </w:tc>
        <w:tc>
          <w:tcPr>
            <w:tcW w:w="1984" w:type="dxa"/>
            <w:tcBorders>
              <w:top w:val="single" w:sz="4" w:space="0" w:color="auto"/>
              <w:left w:val="nil"/>
              <w:bottom w:val="single" w:sz="4" w:space="0" w:color="auto"/>
              <w:right w:val="single" w:sz="4" w:space="0" w:color="auto"/>
            </w:tcBorders>
            <w:shd w:val="clear" w:color="auto" w:fill="C6EFCE"/>
            <w:noWrap/>
          </w:tcPr>
          <w:p w14:paraId="4E5241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Revised legal framework adopted to set new myDATA reporting requirements, and allowing use of myDATA for income tax purposes.</w:t>
            </w:r>
          </w:p>
        </w:tc>
        <w:tc>
          <w:tcPr>
            <w:tcW w:w="866" w:type="dxa"/>
            <w:tcBorders>
              <w:top w:val="single" w:sz="4" w:space="0" w:color="auto"/>
              <w:left w:val="nil"/>
              <w:bottom w:val="single" w:sz="4" w:space="0" w:color="auto"/>
              <w:right w:val="single" w:sz="4" w:space="0" w:color="auto"/>
            </w:tcBorders>
            <w:shd w:val="clear" w:color="auto" w:fill="C6EFCE"/>
            <w:noWrap/>
          </w:tcPr>
          <w:p w14:paraId="44A8F7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2134043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68" w:type="dxa"/>
            <w:tcBorders>
              <w:top w:val="single" w:sz="4" w:space="0" w:color="auto"/>
              <w:left w:val="nil"/>
              <w:bottom w:val="single" w:sz="4" w:space="0" w:color="auto"/>
              <w:right w:val="single" w:sz="4" w:space="0" w:color="auto"/>
            </w:tcBorders>
            <w:shd w:val="clear" w:color="auto" w:fill="C6EFCE"/>
            <w:noWrap/>
          </w:tcPr>
          <w:p w14:paraId="6393936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2F8B41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single" w:sz="4" w:space="0" w:color="auto"/>
              <w:left w:val="nil"/>
              <w:bottom w:val="single" w:sz="4" w:space="0" w:color="auto"/>
              <w:right w:val="single" w:sz="4" w:space="0" w:color="auto"/>
            </w:tcBorders>
            <w:shd w:val="clear" w:color="auto" w:fill="C6EFCE"/>
            <w:noWrap/>
          </w:tcPr>
          <w:p w14:paraId="0C6F8A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30" w:type="dxa"/>
            <w:tcBorders>
              <w:top w:val="single" w:sz="4" w:space="0" w:color="auto"/>
              <w:left w:val="nil"/>
              <w:bottom w:val="single" w:sz="4" w:space="0" w:color="auto"/>
              <w:right w:val="single" w:sz="4" w:space="0" w:color="auto"/>
            </w:tcBorders>
            <w:shd w:val="clear" w:color="auto" w:fill="C6EFCE"/>
            <w:noWrap/>
          </w:tcPr>
          <w:p w14:paraId="2E1230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w:t>
            </w:r>
          </w:p>
          <w:p w14:paraId="0AC997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enabling the use of myDATA reporting on businesses (incl. self-employed) for income tax returns. </w:t>
            </w:r>
          </w:p>
          <w:p w14:paraId="72BD0F46" w14:textId="3AEC8E6E" w:rsidR="001B186F" w:rsidRPr="00DE4E4F" w:rsidRDefault="001B186F">
            <w:pPr>
              <w:spacing w:after="0" w:line="240" w:lineRule="auto"/>
              <w:rPr>
                <w:rFonts w:ascii="Times New Roman" w:eastAsia="Times New Roman" w:hAnsi="Times New Roman" w:cs="Times New Roman"/>
                <w:noProof/>
                <w:color w:val="006100"/>
                <w:sz w:val="18"/>
                <w:szCs w:val="18"/>
              </w:rPr>
            </w:pPr>
          </w:p>
          <w:p w14:paraId="59FFEF2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r>
    </w:tbl>
    <w:p w14:paraId="09D0B021"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2601A49A"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szCs w:val="24"/>
        </w:rPr>
      </w:pPr>
      <w:r w:rsidRPr="00DE4E4F">
        <w:rPr>
          <w:rFonts w:ascii="Times New Roman" w:hAnsi="Times New Roman"/>
          <w:b/>
          <w:bCs/>
          <w:noProof/>
          <w:sz w:val="24"/>
          <w:szCs w:val="24"/>
        </w:rPr>
        <w:t>M. COMPONENT 4.2: MODERNISE THE PUBLIC ADMINISTRATION, INCLUDING THROUGH SPEEDING UP THE IMPLEMENTATION OF PUBLIC INVESTMENTS, IMPROVING THE PUBLIC PROCUREMENT FRAMEWORK, CAPACITY BUILDING MEASURES AND FIGHTING CORRUPTION</w:t>
      </w:r>
    </w:p>
    <w:p w14:paraId="28146DC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includes a set of wide-ranging reforms as well as investments in the functioning of the public administration with a view to improving policy design and implementation. The component includes measures to modernise the public administration through specific actions to strengthen the policy planning and coordination and human resources management, and also to complete the national cadastre, which is expected to provide for an efficient land registry system and provide legal certainty for property rights. Other measures aim at addressing the lack of project preparation for public investments (including corruption) and at further enhancing the area of public financial management. These reforms and investments support addressing challenges linked to a) Digital Public Administration. This component supports addressing the country-specific recommendations on public and private investment (Country Specific Recommendation 3 2020), structural reforms to improve the functioning of the economy (Country Specific Recommendation 4 2020), and to complete the outstanding reform on cadastre that has been pursued under enhanced surveillance (Country Specific Recommendation 3 of 2022 and Country Specific Recommendation 3 of 2023).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2C45039"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M.1. Description of the reforms and investments for non-repayable financial support</w:t>
      </w:r>
    </w:p>
    <w:p w14:paraId="304667E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Reforming Public Administration (measure ID 16972)</w:t>
      </w:r>
    </w:p>
    <w:p w14:paraId="180C266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This reform aims to continue the efforts to modernise the public administration and invest in its human resources. The reform consists in actions that will set up information systems to support the strategic workforce planning framework and the selection procedures of the Supreme Council for Civil Personnel Selection (ASEP) and complete a large-scale training programme for civil servants.</w:t>
      </w:r>
    </w:p>
    <w:p w14:paraId="2529834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Combating illegal trade and protecting intellectual property (measure ID 16703)</w:t>
      </w:r>
    </w:p>
    <w:p w14:paraId="449DF01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objective of this reform is to improve the response against illegal trade. The reform consists in</w:t>
      </w:r>
      <w:r w:rsidRPr="00DE4E4F">
        <w:rPr>
          <w:noProof/>
        </w:rPr>
        <w:t xml:space="preserve"> </w:t>
      </w:r>
      <w:r w:rsidRPr="00DE4E4F">
        <w:rPr>
          <w:rFonts w:ascii="Times New Roman" w:hAnsi="Times New Roman"/>
          <w:noProof/>
          <w:sz w:val="24"/>
        </w:rPr>
        <w:t xml:space="preserve">an information system, control stations, and training. </w:t>
      </w:r>
    </w:p>
    <w:p w14:paraId="7A0F9BA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Strengthening the national anti-corruption framework (measure ID 16952)</w:t>
      </w:r>
    </w:p>
    <w:p w14:paraId="43D27F6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objective of this reform is to contribute to detecting and preventing corruption. The reform consists in projects to support the National Transparency Authority’s digital and infrastructure capacities.</w:t>
      </w:r>
    </w:p>
    <w:p w14:paraId="7D6F4FE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Enhance State-aid network (measure ID 16701)</w:t>
      </w:r>
    </w:p>
    <w:p w14:paraId="3258A8C2"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reform is to strengthen the capacity of the network of state aid units across Ministries and to increase the digitalisation of the Central State Aid Unit by upgrading its technological capabilities and operational functionality. The reform consists of a revision of the State aid legal framework for the operation of the Central State Aid Network (CESANET), to strengthen the competencies of the Central State Aid Unit and the Decentralised State Aid Units.</w:t>
      </w:r>
    </w:p>
    <w:p w14:paraId="0E4EE688" w14:textId="2020DEC4" w:rsidR="001B186F" w:rsidRPr="00DE4E4F" w:rsidRDefault="001410D7">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br w:type="page"/>
      </w:r>
      <w:r w:rsidR="0074517F" w:rsidRPr="00DE4E4F">
        <w:rPr>
          <w:rFonts w:ascii="Times New Roman" w:hAnsi="Times New Roman"/>
          <w:b/>
          <w:noProof/>
          <w:sz w:val="24"/>
        </w:rPr>
        <w:t>Reform:</w:t>
      </w:r>
      <w:r w:rsidR="0074517F" w:rsidRPr="00DE4E4F">
        <w:rPr>
          <w:rFonts w:ascii="Times New Roman" w:hAnsi="Times New Roman"/>
          <w:noProof/>
          <w:sz w:val="24"/>
        </w:rPr>
        <w:t xml:space="preserve"> Enhancing the AML/CFT Framework (measure ID 16702)</w:t>
      </w:r>
    </w:p>
    <w:p w14:paraId="03EEB0E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concerns the set-up of a digital platform for the collection of statistical data held by judicial, supervisory and law enforcement authorities, and the improvement of the Central Register of Beneficial Owners to facilitate the direct access of the competent authorities to beneficial ownership information.</w:t>
      </w:r>
      <w:r w:rsidRPr="00DE4E4F" w:rsidDel="005B214D">
        <w:rPr>
          <w:rFonts w:ascii="Times New Roman" w:hAnsi="Times New Roman"/>
          <w:noProof/>
          <w:sz w:val="24"/>
          <w:szCs w:val="24"/>
        </w:rPr>
        <w:t xml:space="preserve"> The implementation of the reform shall be completed by 30 June 2024.</w:t>
      </w:r>
    </w:p>
    <w:p w14:paraId="7705119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Accounting Reform (measure ID 16974)</w:t>
      </w:r>
    </w:p>
    <w:p w14:paraId="1880A3E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reform is to enhance Greece’s capacity to produce financial reporting in line with international accounting standards and accrual accounting policies. This measure consists of the gradual transition from modified cash to accrual accounting and consolidated financial reporting within the general government.</w:t>
      </w:r>
    </w:p>
    <w:p w14:paraId="1A1B8FE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Modern institutional framework for State Owned Enterprises (measure ID 16657)</w:t>
      </w:r>
    </w:p>
    <w:p w14:paraId="2E6D893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This reform puts in place a modern legal framework for the operation and management of public enterprises and organisations. It shall define corporate governance guidelines and specific rules for the management of state-owned enterprises, such as the appointment of the chairman, CEOs and executive directors by the board, and provisions for the establishment of internal audit committees to ensure transparency. The reform shall also establish a digital registry to record all enterprises, organizations and any other legal entities in which the state participates, promoting the effective monitoring and control the state’s participation. The implementation of the reform shall be completed by 31 December 2022.</w:t>
      </w:r>
    </w:p>
    <w:p w14:paraId="3B3597B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Efficient Combating of Corruption (measure ID 16978)</w:t>
      </w:r>
    </w:p>
    <w:p w14:paraId="120AED3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reform shall undertake a series of amendments in the legal framework of Greece, in order to improve the legal response to corruption. More specifically, it shall cover four areas: (i) asset declarations; (ii) protection of persons who report breaches of Union Law; (iii) Criminal Code and Code of Criminal Procedure; and (iv) </w:t>
      </w:r>
      <w:r w:rsidRPr="00DE4E4F">
        <w:rPr>
          <w:rFonts w:ascii="Times New Roman" w:hAnsi="Times New Roman"/>
          <w:noProof/>
          <w:color w:val="000000" w:themeColor="text1"/>
          <w:sz w:val="24"/>
          <w:szCs w:val="24"/>
        </w:rPr>
        <w:t>the codification of the legislation related to political parties</w:t>
      </w:r>
      <w:r w:rsidRPr="00DE4E4F">
        <w:rPr>
          <w:rFonts w:ascii="Times New Roman" w:hAnsi="Times New Roman"/>
          <w:noProof/>
          <w:sz w:val="24"/>
          <w:szCs w:val="24"/>
        </w:rPr>
        <w:t>.</w:t>
      </w:r>
      <w:r w:rsidRPr="00DE4E4F" w:rsidDel="005B214D">
        <w:rPr>
          <w:rFonts w:ascii="Times New Roman" w:hAnsi="Times New Roman"/>
          <w:noProof/>
          <w:sz w:val="24"/>
          <w:szCs w:val="24"/>
        </w:rPr>
        <w:t xml:space="preserve"> The implementation of the reform shall be completed by 30 September 2022.</w:t>
      </w:r>
    </w:p>
    <w:p w14:paraId="483A989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Transformation of Fiscal Management and Supervision in Governance (measure ID 16705)</w:t>
      </w:r>
    </w:p>
    <w:p w14:paraId="0AFBC0C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investment is to improve the efficiency of public financial management. This measure consists in the delivery of a Government Enterprise Resource Planning System (ERP) for the Central Administration.</w:t>
      </w:r>
    </w:p>
    <w:p w14:paraId="771E69ED" w14:textId="77777777" w:rsidR="001B186F" w:rsidRPr="00DE4E4F" w:rsidRDefault="0074517F">
      <w:pPr>
        <w:spacing w:before="120" w:after="120" w:line="240" w:lineRule="auto"/>
        <w:jc w:val="both"/>
        <w:rPr>
          <w:rFonts w:ascii="Times New Roman" w:hAnsi="Times New Roman"/>
          <w:b/>
          <w:noProof/>
          <w:sz w:val="24"/>
        </w:rPr>
      </w:pPr>
      <w:r w:rsidRPr="00DE4E4F">
        <w:rPr>
          <w:rFonts w:ascii="Times New Roman" w:hAnsi="Times New Roman"/>
          <w:b/>
          <w:noProof/>
          <w:sz w:val="24"/>
        </w:rPr>
        <w:t>Investment:</w:t>
      </w:r>
      <w:r w:rsidRPr="00DE4E4F">
        <w:rPr>
          <w:rFonts w:ascii="Times New Roman" w:hAnsi="Times New Roman"/>
          <w:noProof/>
          <w:sz w:val="24"/>
        </w:rPr>
        <w:t xml:space="preserve"> Modernise the Hellenic Consignment Deposit and Loans Fund (measure ID 16940)</w:t>
      </w:r>
    </w:p>
    <w:p w14:paraId="64D2A3A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objective of this investment is to increase the efficiency of the Hellenic Consignment Deposit and Loans Fund. The investment consists in an archive digitalisation and document management system, and an integrated information system for the Hellenic Consignment Deposit and Loans Fund.</w:t>
      </w:r>
    </w:p>
    <w:p w14:paraId="7FDE2A5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Professionalisation of the Public Procurement domain (measure ID 16711)</w:t>
      </w:r>
    </w:p>
    <w:p w14:paraId="090B4D89" w14:textId="7C591CA6"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aims to improve the public procurement framework in Greece and address its current weaknesses. The reform consists of certification</w:t>
      </w:r>
      <w:r w:rsidR="00DE4C0C" w:rsidRPr="00DE4E4F">
        <w:rPr>
          <w:rFonts w:ascii="Times New Roman" w:hAnsi="Times New Roman"/>
          <w:noProof/>
          <w:sz w:val="24"/>
          <w:szCs w:val="24"/>
        </w:rPr>
        <w:t xml:space="preserve"> </w:t>
      </w:r>
      <w:r w:rsidRPr="00DE4E4F">
        <w:rPr>
          <w:rFonts w:ascii="Times New Roman" w:hAnsi="Times New Roman"/>
          <w:noProof/>
          <w:sz w:val="24"/>
          <w:szCs w:val="24"/>
        </w:rPr>
        <w:t xml:space="preserve">upon participation in dedicated </w:t>
      </w:r>
      <w:r w:rsidR="008B28B7" w:rsidRPr="00DE4E4F">
        <w:rPr>
          <w:rFonts w:ascii="Times New Roman" w:hAnsi="Times New Roman"/>
          <w:noProof/>
          <w:sz w:val="24"/>
          <w:szCs w:val="24"/>
        </w:rPr>
        <w:t>training</w:t>
      </w:r>
      <w:r w:rsidRPr="00DE4E4F">
        <w:rPr>
          <w:rFonts w:ascii="Times New Roman" w:hAnsi="Times New Roman"/>
          <w:noProof/>
          <w:sz w:val="24"/>
          <w:szCs w:val="24"/>
        </w:rPr>
        <w:t xml:space="preserve"> programme </w:t>
      </w:r>
      <w:r w:rsidR="008B28B7" w:rsidRPr="00DE4E4F">
        <w:rPr>
          <w:rFonts w:ascii="Times New Roman" w:hAnsi="Times New Roman"/>
          <w:noProof/>
          <w:sz w:val="24"/>
          <w:szCs w:val="24"/>
        </w:rPr>
        <w:t>entitled: “Certification of public procurement professionals”</w:t>
      </w:r>
      <w:r w:rsidRPr="00DE4E4F">
        <w:rPr>
          <w:rFonts w:ascii="Times New Roman" w:hAnsi="Times New Roman"/>
          <w:noProof/>
          <w:sz w:val="24"/>
          <w:szCs w:val="24"/>
        </w:rPr>
        <w:t xml:space="preserve">. </w:t>
      </w:r>
    </w:p>
    <w:p w14:paraId="11AA330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Enhancement of policy planning and coordination (measure ID 16981)</w:t>
      </w:r>
    </w:p>
    <w:p w14:paraId="497528A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reform shall strengthen the policy coordination, planning and policy development of the central administration. Specific actions that shall be implemented are (i) establishment of a monitoring mechanism to track progress whether secondary legislation has been adopted as set out in primary legislation; (ii) establishment of an electronic platform to facilitate completion of the impact assessment complementing each draft law; and (iii) launch of a training programme and associated accreditation procedure targeting civil servants aiming to improve the quality of the impact assessments prepared. The training programme shall have enrolled, at least, 100 civil servants for its launch that shall take place in Q4 2022. The implementation of the reform shall be completed by 30 June 2023.</w:t>
      </w:r>
    </w:p>
    <w:p w14:paraId="2EA4771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Completion of the </w:t>
      </w:r>
      <w:r w:rsidRPr="00DE4E4F" w:rsidDel="005B214D">
        <w:rPr>
          <w:rFonts w:ascii="Times New Roman" w:hAnsi="Times New Roman"/>
          <w:noProof/>
          <w:sz w:val="24"/>
          <w:szCs w:val="24"/>
        </w:rPr>
        <w:t>n</w:t>
      </w:r>
      <w:r w:rsidRPr="00DE4E4F">
        <w:rPr>
          <w:rFonts w:ascii="Times New Roman" w:hAnsi="Times New Roman"/>
          <w:noProof/>
          <w:sz w:val="24"/>
          <w:szCs w:val="24"/>
        </w:rPr>
        <w:t>ational cadastre (measure ID: 16986)</w:t>
      </w:r>
    </w:p>
    <w:p w14:paraId="76797595" w14:textId="77777777" w:rsidR="001B186F" w:rsidRPr="00DE4E4F" w:rsidRDefault="0074517F">
      <w:pPr>
        <w:spacing w:before="120" w:after="120" w:line="240" w:lineRule="auto"/>
        <w:jc w:val="both"/>
        <w:rPr>
          <w:rFonts w:ascii="Times New Roman" w:hAnsi="Times New Roman" w:cs="Times New Roman"/>
          <w:i/>
          <w:iCs/>
          <w:noProof/>
          <w:color w:val="4F81BD"/>
          <w:sz w:val="24"/>
        </w:rPr>
      </w:pPr>
      <w:r w:rsidRPr="00DE4E4F">
        <w:rPr>
          <w:rFonts w:ascii="Times New Roman" w:hAnsi="Times New Roman"/>
          <w:noProof/>
          <w:sz w:val="24"/>
          <w:szCs w:val="24"/>
        </w:rPr>
        <w:t xml:space="preserve">The objective of the reform is to complete a) </w:t>
      </w:r>
      <w:r w:rsidRPr="00DE4E4F">
        <w:rPr>
          <w:rFonts w:asciiTheme="minorHAnsi" w:eastAsiaTheme="minorEastAsia" w:hAnsiTheme="minorHAnsi" w:cstheme="minorBidi"/>
          <w:noProof/>
          <w:sz w:val="24"/>
          <w:szCs w:val="24"/>
        </w:rPr>
        <w:t>c</w:t>
      </w:r>
      <w:r w:rsidRPr="00DE4E4F">
        <w:rPr>
          <w:rFonts w:ascii="Times New Roman" w:hAnsi="Times New Roman"/>
          <w:noProof/>
          <w:sz w:val="24"/>
          <w:szCs w:val="24"/>
        </w:rPr>
        <w:t>adastral mapping across Greece and b) the full transition from the old system of registering property via the old structure of mortgage offices, to the new agency ‘Hellenic Cadastre’. It consists of the mapping of all property rights in Greece, and the opening and start of operation of all 17 regional cadastral offices and 75 branches in Greece, in line with Law 4512/2018, and the closing of all 388 old mortgage offices.</w:t>
      </w:r>
    </w:p>
    <w:p w14:paraId="2CA0D93B" w14:textId="77777777" w:rsidR="001B186F" w:rsidRPr="00DE4E4F" w:rsidRDefault="001B186F">
      <w:pPr>
        <w:spacing w:before="120" w:after="120" w:line="240" w:lineRule="auto"/>
        <w:ind w:left="709"/>
        <w:jc w:val="both"/>
        <w:rPr>
          <w:rFonts w:ascii="Times New Roman" w:hAnsi="Times New Roman" w:cs="Times New Roman"/>
          <w:noProof/>
          <w:sz w:val="24"/>
        </w:rPr>
      </w:pPr>
    </w:p>
    <w:p w14:paraId="31BA68E7"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270"/>
          <w:headerReference w:type="default" r:id="rId271"/>
          <w:footerReference w:type="even" r:id="rId272"/>
          <w:footerReference w:type="default" r:id="rId273"/>
          <w:headerReference w:type="first" r:id="rId274"/>
          <w:footerReference w:type="first" r:id="rId275"/>
          <w:pgSz w:w="11906" w:h="16838"/>
          <w:pgMar w:top="1134" w:right="1134" w:bottom="1134" w:left="1134" w:header="567" w:footer="567" w:gutter="0"/>
          <w:cols w:space="708"/>
          <w:docGrid w:linePitch="360"/>
        </w:sectPr>
      </w:pPr>
    </w:p>
    <w:p w14:paraId="57572FCC" w14:textId="77777777" w:rsidR="001B186F" w:rsidRPr="00DE4E4F" w:rsidRDefault="0074517F">
      <w:pPr>
        <w:spacing w:before="120" w:after="120" w:line="240" w:lineRule="auto"/>
        <w:ind w:left="709"/>
        <w:jc w:val="both"/>
        <w:rPr>
          <w:rFonts w:ascii="Times New Roman" w:hAnsi="Times New Roman" w:cs="Times New Roman"/>
          <w:b/>
          <w:bCs/>
          <w:noProof/>
          <w:sz w:val="24"/>
          <w:u w:val="single"/>
        </w:rPr>
      </w:pPr>
      <w:r w:rsidRPr="00DE4E4F">
        <w:rPr>
          <w:rFonts w:ascii="Times New Roman" w:hAnsi="Times New Roman"/>
          <w:b/>
          <w:noProof/>
          <w:sz w:val="24"/>
          <w:u w:val="single"/>
        </w:rPr>
        <w:t>M.2. Milestones, targets, indicators, and timetable for monitoring and implementation for non-repayable financial support</w:t>
      </w:r>
    </w:p>
    <w:p w14:paraId="46D182B2" w14:textId="77777777" w:rsidR="001B186F" w:rsidRPr="00DE4E4F" w:rsidRDefault="0074517F">
      <w:pPr>
        <w:keepNext/>
        <w:keepLines/>
        <w:spacing w:before="40" w:after="0" w:line="240" w:lineRule="auto"/>
        <w:jc w:val="both"/>
        <w:outlineLvl w:val="4"/>
        <w:rPr>
          <w:rFonts w:ascii="Cambria" w:hAnsi="Cambria"/>
          <w:noProof/>
          <w:color w:val="365F91"/>
          <w:sz w:val="24"/>
        </w:rPr>
      </w:pPr>
      <w:r w:rsidRPr="00DE4E4F">
        <w:rPr>
          <w:rFonts w:ascii="Cambria" w:hAnsi="Cambria"/>
          <w:noProof/>
          <w:color w:val="365F91"/>
          <w:sz w:val="24"/>
        </w:rPr>
        <w:t xml:space="preserve">Key reform 9: Reforming Public Administration </w:t>
      </w:r>
    </w:p>
    <w:tbl>
      <w:tblPr>
        <w:tblW w:w="15897" w:type="dxa"/>
        <w:jc w:val="center"/>
        <w:tblLook w:val="04A0" w:firstRow="1" w:lastRow="0" w:firstColumn="1" w:lastColumn="0" w:noHBand="0" w:noVBand="1"/>
      </w:tblPr>
      <w:tblGrid>
        <w:gridCol w:w="542"/>
        <w:gridCol w:w="2038"/>
        <w:gridCol w:w="1107"/>
        <w:gridCol w:w="1482"/>
        <w:gridCol w:w="1520"/>
        <w:gridCol w:w="1054"/>
        <w:gridCol w:w="857"/>
        <w:gridCol w:w="805"/>
        <w:gridCol w:w="846"/>
        <w:gridCol w:w="827"/>
        <w:gridCol w:w="4819"/>
      </w:tblGrid>
      <w:tr w:rsidR="00682269" w:rsidRPr="00DE4E4F" w14:paraId="6780291F" w14:textId="77777777">
        <w:trPr>
          <w:trHeight w:val="648"/>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8FBB7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0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184F3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A3389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6BDA86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5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F26B2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71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306B5E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7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7D31D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EEC81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62A83692" w14:textId="77777777">
        <w:trPr>
          <w:trHeight w:val="562"/>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3AB67EA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038" w:type="dxa"/>
            <w:vMerge/>
            <w:tcBorders>
              <w:top w:val="single" w:sz="4" w:space="0" w:color="auto"/>
              <w:left w:val="single" w:sz="4" w:space="0" w:color="auto"/>
              <w:bottom w:val="single" w:sz="4" w:space="0" w:color="auto"/>
              <w:right w:val="single" w:sz="4" w:space="0" w:color="auto"/>
            </w:tcBorders>
            <w:vAlign w:val="center"/>
            <w:hideMark/>
          </w:tcPr>
          <w:p w14:paraId="06249D5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07" w:type="dxa"/>
            <w:vMerge/>
            <w:tcBorders>
              <w:top w:val="single" w:sz="4" w:space="0" w:color="auto"/>
              <w:left w:val="single" w:sz="4" w:space="0" w:color="auto"/>
              <w:bottom w:val="single" w:sz="4" w:space="0" w:color="auto"/>
              <w:right w:val="single" w:sz="4" w:space="0" w:color="auto"/>
            </w:tcBorders>
            <w:vAlign w:val="center"/>
            <w:hideMark/>
          </w:tcPr>
          <w:p w14:paraId="45B4C49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2E667E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20" w:type="dxa"/>
            <w:vMerge/>
            <w:tcBorders>
              <w:top w:val="single" w:sz="4" w:space="0" w:color="auto"/>
              <w:left w:val="single" w:sz="4" w:space="0" w:color="auto"/>
              <w:bottom w:val="single" w:sz="4" w:space="0" w:color="auto"/>
              <w:right w:val="single" w:sz="4" w:space="0" w:color="auto"/>
            </w:tcBorders>
            <w:vAlign w:val="center"/>
            <w:hideMark/>
          </w:tcPr>
          <w:p w14:paraId="1C2C4E8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5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CE3DF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52BA57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0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677886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B84D1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71CFB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819" w:type="dxa"/>
            <w:vMerge/>
            <w:tcBorders>
              <w:top w:val="single" w:sz="4" w:space="0" w:color="auto"/>
              <w:left w:val="single" w:sz="4" w:space="0" w:color="auto"/>
              <w:bottom w:val="single" w:sz="4" w:space="0" w:color="auto"/>
              <w:right w:val="single" w:sz="4" w:space="0" w:color="auto"/>
            </w:tcBorders>
            <w:vAlign w:val="center"/>
            <w:hideMark/>
          </w:tcPr>
          <w:p w14:paraId="503A2B9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5EA67A04"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6A4267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205</w:t>
            </w:r>
          </w:p>
        </w:tc>
        <w:tc>
          <w:tcPr>
            <w:tcW w:w="2038" w:type="dxa"/>
            <w:tcBorders>
              <w:top w:val="single" w:sz="4" w:space="0" w:color="auto"/>
              <w:left w:val="nil"/>
              <w:bottom w:val="single" w:sz="4" w:space="0" w:color="auto"/>
              <w:right w:val="single" w:sz="4" w:space="0" w:color="auto"/>
            </w:tcBorders>
            <w:shd w:val="clear" w:color="auto" w:fill="C6EFCE"/>
            <w:noWrap/>
          </w:tcPr>
          <w:p w14:paraId="108EC7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107" w:type="dxa"/>
            <w:tcBorders>
              <w:top w:val="single" w:sz="4" w:space="0" w:color="auto"/>
              <w:left w:val="nil"/>
              <w:bottom w:val="single" w:sz="4" w:space="0" w:color="auto"/>
              <w:right w:val="single" w:sz="4" w:space="0" w:color="auto"/>
            </w:tcBorders>
            <w:shd w:val="clear" w:color="auto" w:fill="C6EFCE"/>
            <w:noWrap/>
          </w:tcPr>
          <w:p w14:paraId="5098EE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82" w:type="dxa"/>
            <w:tcBorders>
              <w:top w:val="single" w:sz="4" w:space="0" w:color="auto"/>
              <w:left w:val="nil"/>
              <w:bottom w:val="single" w:sz="4" w:space="0" w:color="auto"/>
              <w:right w:val="single" w:sz="4" w:space="0" w:color="auto"/>
            </w:tcBorders>
            <w:shd w:val="clear" w:color="auto" w:fill="C6EFCE"/>
            <w:noWrap/>
          </w:tcPr>
          <w:p w14:paraId="161577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administration – launch of performance-pay system</w:t>
            </w:r>
          </w:p>
          <w:p w14:paraId="50A7211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20" w:type="dxa"/>
            <w:tcBorders>
              <w:top w:val="single" w:sz="4" w:space="0" w:color="auto"/>
              <w:left w:val="nil"/>
              <w:bottom w:val="single" w:sz="4" w:space="0" w:color="auto"/>
              <w:right w:val="single" w:sz="4" w:space="0" w:color="auto"/>
            </w:tcBorders>
            <w:shd w:val="clear" w:color="auto" w:fill="C6EFCE"/>
            <w:noWrap/>
          </w:tcPr>
          <w:p w14:paraId="36ACF5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legislation setting up a pilot rewarding system. </w:t>
            </w:r>
          </w:p>
        </w:tc>
        <w:tc>
          <w:tcPr>
            <w:tcW w:w="1054" w:type="dxa"/>
            <w:tcBorders>
              <w:top w:val="single" w:sz="4" w:space="0" w:color="auto"/>
              <w:left w:val="nil"/>
              <w:bottom w:val="single" w:sz="4" w:space="0" w:color="auto"/>
              <w:right w:val="single" w:sz="4" w:space="0" w:color="auto"/>
            </w:tcBorders>
            <w:shd w:val="clear" w:color="auto" w:fill="C6EFCE"/>
            <w:noWrap/>
          </w:tcPr>
          <w:p w14:paraId="246164A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475EF8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05" w:type="dxa"/>
            <w:tcBorders>
              <w:top w:val="single" w:sz="4" w:space="0" w:color="auto"/>
              <w:left w:val="nil"/>
              <w:bottom w:val="single" w:sz="4" w:space="0" w:color="auto"/>
              <w:right w:val="single" w:sz="4" w:space="0" w:color="auto"/>
            </w:tcBorders>
            <w:shd w:val="clear" w:color="auto" w:fill="C6EFCE"/>
            <w:noWrap/>
          </w:tcPr>
          <w:p w14:paraId="217858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20D8AC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27" w:type="dxa"/>
            <w:tcBorders>
              <w:top w:val="single" w:sz="4" w:space="0" w:color="auto"/>
              <w:left w:val="nil"/>
              <w:bottom w:val="single" w:sz="4" w:space="0" w:color="auto"/>
              <w:right w:val="single" w:sz="4" w:space="0" w:color="auto"/>
            </w:tcBorders>
            <w:shd w:val="clear" w:color="auto" w:fill="C6EFCE"/>
            <w:noWrap/>
          </w:tcPr>
          <w:p w14:paraId="3352D0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19" w:type="dxa"/>
            <w:tcBorders>
              <w:top w:val="single" w:sz="4" w:space="0" w:color="auto"/>
              <w:left w:val="nil"/>
              <w:bottom w:val="single" w:sz="4" w:space="0" w:color="auto"/>
              <w:right w:val="single" w:sz="4" w:space="0" w:color="auto"/>
            </w:tcBorders>
            <w:shd w:val="clear" w:color="auto" w:fill="C6EFCE"/>
            <w:noWrap/>
          </w:tcPr>
          <w:p w14:paraId="0B0F22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legislation for the launch of a performance-pay system for a set number of pilot entities and up to 6 000 civil servants that shall feed into the wider reform introducing a goal-setting management system (see Milestone Q4 2023). The pilot shall cover civil servants involved in the implementation of the Recovery and Resilience Plan. Key features of the system shall be consistent with the unified wage grid (Law 4354/2015).</w:t>
            </w:r>
          </w:p>
        </w:tc>
      </w:tr>
      <w:tr w:rsidR="00682269" w:rsidRPr="00DE4E4F" w14:paraId="12918B8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3A3CD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206</w:t>
            </w:r>
          </w:p>
        </w:tc>
        <w:tc>
          <w:tcPr>
            <w:tcW w:w="2038" w:type="dxa"/>
            <w:tcBorders>
              <w:top w:val="nil"/>
              <w:left w:val="nil"/>
              <w:bottom w:val="single" w:sz="4" w:space="0" w:color="auto"/>
              <w:right w:val="single" w:sz="4" w:space="0" w:color="auto"/>
            </w:tcBorders>
            <w:shd w:val="clear" w:color="auto" w:fill="C6EFCE"/>
            <w:noWrap/>
          </w:tcPr>
          <w:p w14:paraId="2E1691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32D627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82" w:type="dxa"/>
            <w:tcBorders>
              <w:top w:val="nil"/>
              <w:left w:val="nil"/>
              <w:bottom w:val="single" w:sz="4" w:space="0" w:color="auto"/>
              <w:right w:val="single" w:sz="4" w:space="0" w:color="auto"/>
            </w:tcBorders>
            <w:shd w:val="clear" w:color="auto" w:fill="C6EFCE"/>
            <w:noWrap/>
          </w:tcPr>
          <w:p w14:paraId="5CB6C4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administration – legislative framework to clarify mandates</w:t>
            </w:r>
          </w:p>
        </w:tc>
        <w:tc>
          <w:tcPr>
            <w:tcW w:w="1520" w:type="dxa"/>
            <w:tcBorders>
              <w:top w:val="nil"/>
              <w:left w:val="nil"/>
              <w:bottom w:val="single" w:sz="4" w:space="0" w:color="auto"/>
              <w:right w:val="single" w:sz="4" w:space="0" w:color="auto"/>
            </w:tcBorders>
            <w:shd w:val="clear" w:color="auto" w:fill="C6EFCE"/>
            <w:noWrap/>
          </w:tcPr>
          <w:p w14:paraId="6AA7C74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provisions modifying the legislative framework of the general government entities at central, regional and local level. </w:t>
            </w:r>
          </w:p>
        </w:tc>
        <w:tc>
          <w:tcPr>
            <w:tcW w:w="1054" w:type="dxa"/>
            <w:tcBorders>
              <w:top w:val="nil"/>
              <w:left w:val="nil"/>
              <w:bottom w:val="single" w:sz="4" w:space="0" w:color="auto"/>
              <w:right w:val="single" w:sz="4" w:space="0" w:color="auto"/>
            </w:tcBorders>
            <w:shd w:val="clear" w:color="auto" w:fill="C6EFCE"/>
            <w:noWrap/>
          </w:tcPr>
          <w:p w14:paraId="4193F4F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64294DD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05" w:type="dxa"/>
            <w:tcBorders>
              <w:top w:val="nil"/>
              <w:left w:val="nil"/>
              <w:bottom w:val="single" w:sz="4" w:space="0" w:color="auto"/>
              <w:right w:val="single" w:sz="4" w:space="0" w:color="auto"/>
            </w:tcBorders>
            <w:shd w:val="clear" w:color="auto" w:fill="C6EFCE"/>
            <w:noWrap/>
          </w:tcPr>
          <w:p w14:paraId="1F9D28F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6B38A9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827" w:type="dxa"/>
            <w:tcBorders>
              <w:top w:val="nil"/>
              <w:left w:val="nil"/>
              <w:bottom w:val="single" w:sz="4" w:space="0" w:color="auto"/>
              <w:right w:val="single" w:sz="4" w:space="0" w:color="auto"/>
            </w:tcBorders>
            <w:shd w:val="clear" w:color="auto" w:fill="C6EFCE"/>
            <w:noWrap/>
          </w:tcPr>
          <w:p w14:paraId="77DCA7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19" w:type="dxa"/>
            <w:tcBorders>
              <w:top w:val="nil"/>
              <w:left w:val="nil"/>
              <w:bottom w:val="single" w:sz="4" w:space="0" w:color="auto"/>
              <w:right w:val="single" w:sz="4" w:space="0" w:color="auto"/>
            </w:tcBorders>
            <w:shd w:val="clear" w:color="auto" w:fill="C6EFCE"/>
            <w:noWrap/>
          </w:tcPr>
          <w:p w14:paraId="671458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revised primary and secondary legislation to establish a multilevel governance allocation system aiming to clarify responsibilities between all public administration levels and address overlaps. The revised legal framework shall set out the responsibility areas for each entity relating to planning and implementation, including on functions such as resource assurance and monitoring and evaluation responsibilities.</w:t>
            </w:r>
          </w:p>
        </w:tc>
      </w:tr>
      <w:tr w:rsidR="00682269" w:rsidRPr="00DE4E4F" w14:paraId="34B594B5"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74A318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207</w:t>
            </w:r>
          </w:p>
        </w:tc>
        <w:tc>
          <w:tcPr>
            <w:tcW w:w="2038" w:type="dxa"/>
            <w:tcBorders>
              <w:top w:val="nil"/>
              <w:left w:val="nil"/>
              <w:bottom w:val="single" w:sz="4" w:space="0" w:color="auto"/>
              <w:right w:val="single" w:sz="4" w:space="0" w:color="auto"/>
            </w:tcBorders>
            <w:shd w:val="clear" w:color="auto" w:fill="C6EFCE"/>
            <w:noWrap/>
          </w:tcPr>
          <w:p w14:paraId="2FF2D1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11650F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82" w:type="dxa"/>
            <w:tcBorders>
              <w:top w:val="nil"/>
              <w:left w:val="nil"/>
              <w:bottom w:val="single" w:sz="4" w:space="0" w:color="auto"/>
              <w:right w:val="single" w:sz="4" w:space="0" w:color="auto"/>
            </w:tcBorders>
            <w:shd w:val="clear" w:color="auto" w:fill="C6EFCE"/>
            <w:noWrap/>
          </w:tcPr>
          <w:p w14:paraId="6D1A65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 administration – new rewarding system</w:t>
            </w:r>
          </w:p>
        </w:tc>
        <w:tc>
          <w:tcPr>
            <w:tcW w:w="1520" w:type="dxa"/>
            <w:tcBorders>
              <w:top w:val="nil"/>
              <w:left w:val="nil"/>
              <w:bottom w:val="single" w:sz="4" w:space="0" w:color="auto"/>
              <w:right w:val="single" w:sz="4" w:space="0" w:color="auto"/>
            </w:tcBorders>
            <w:shd w:val="clear" w:color="auto" w:fill="C6EFCE"/>
            <w:noWrap/>
          </w:tcPr>
          <w:p w14:paraId="28C74C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primary legislation establishing the rewarding system.</w:t>
            </w:r>
          </w:p>
        </w:tc>
        <w:tc>
          <w:tcPr>
            <w:tcW w:w="1054" w:type="dxa"/>
            <w:tcBorders>
              <w:top w:val="nil"/>
              <w:left w:val="nil"/>
              <w:bottom w:val="single" w:sz="4" w:space="0" w:color="auto"/>
              <w:right w:val="single" w:sz="4" w:space="0" w:color="auto"/>
            </w:tcBorders>
            <w:shd w:val="clear" w:color="auto" w:fill="C6EFCE"/>
            <w:noWrap/>
          </w:tcPr>
          <w:p w14:paraId="00D200D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137622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05" w:type="dxa"/>
            <w:tcBorders>
              <w:top w:val="nil"/>
              <w:left w:val="nil"/>
              <w:bottom w:val="single" w:sz="4" w:space="0" w:color="auto"/>
              <w:right w:val="single" w:sz="4" w:space="0" w:color="auto"/>
            </w:tcBorders>
            <w:shd w:val="clear" w:color="auto" w:fill="C6EFCE"/>
            <w:noWrap/>
          </w:tcPr>
          <w:p w14:paraId="3607008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45AD4D5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7" w:type="dxa"/>
            <w:tcBorders>
              <w:top w:val="nil"/>
              <w:left w:val="nil"/>
              <w:bottom w:val="single" w:sz="4" w:space="0" w:color="auto"/>
              <w:right w:val="single" w:sz="4" w:space="0" w:color="auto"/>
            </w:tcBorders>
            <w:shd w:val="clear" w:color="auto" w:fill="C6EFCE"/>
            <w:noWrap/>
          </w:tcPr>
          <w:p w14:paraId="247E08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19" w:type="dxa"/>
            <w:tcBorders>
              <w:top w:val="nil"/>
              <w:left w:val="nil"/>
              <w:bottom w:val="single" w:sz="4" w:space="0" w:color="auto"/>
              <w:right w:val="single" w:sz="4" w:space="0" w:color="auto"/>
            </w:tcBorders>
            <w:shd w:val="clear" w:color="auto" w:fill="C6EFCE"/>
            <w:noWrap/>
          </w:tcPr>
          <w:p w14:paraId="12146D6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legislation introducing a goal-setting management system aiming to reward public organisations equitably and consistently following the achievement of pre-set objectives. Key features of the system shall be consistent with the unified wage grid (Law 4354/2015).</w:t>
            </w:r>
          </w:p>
        </w:tc>
      </w:tr>
      <w:tr w:rsidR="00682269" w:rsidRPr="00DE4E4F" w14:paraId="61563E32"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tcPr>
          <w:p w14:paraId="3516B5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208</w:t>
            </w:r>
          </w:p>
        </w:tc>
        <w:tc>
          <w:tcPr>
            <w:tcW w:w="2038" w:type="dxa"/>
            <w:tcBorders>
              <w:top w:val="nil"/>
              <w:left w:val="nil"/>
              <w:bottom w:val="single" w:sz="4" w:space="0" w:color="auto"/>
              <w:right w:val="single" w:sz="4" w:space="0" w:color="auto"/>
            </w:tcBorders>
            <w:shd w:val="clear" w:color="auto" w:fill="C6EFCE"/>
            <w:noWrap/>
          </w:tcPr>
          <w:p w14:paraId="433DCFD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107" w:type="dxa"/>
            <w:tcBorders>
              <w:top w:val="nil"/>
              <w:left w:val="nil"/>
              <w:bottom w:val="single" w:sz="4" w:space="0" w:color="auto"/>
              <w:right w:val="single" w:sz="4" w:space="0" w:color="auto"/>
            </w:tcBorders>
            <w:shd w:val="clear" w:color="auto" w:fill="C6EFCE"/>
            <w:noWrap/>
          </w:tcPr>
          <w:p w14:paraId="355BF5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482" w:type="dxa"/>
            <w:tcBorders>
              <w:top w:val="nil"/>
              <w:left w:val="nil"/>
              <w:bottom w:val="single" w:sz="4" w:space="0" w:color="auto"/>
              <w:right w:val="single" w:sz="4" w:space="0" w:color="auto"/>
            </w:tcBorders>
            <w:shd w:val="clear" w:color="auto" w:fill="C6EFCE"/>
            <w:noWrap/>
          </w:tcPr>
          <w:p w14:paraId="23D3D9AC" w14:textId="509E1252"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Trainings for </w:t>
            </w:r>
            <w:r w:rsidR="00533568" w:rsidRPr="00DE4E4F">
              <w:rPr>
                <w:rFonts w:ascii="Times New Roman" w:eastAsia="Times New Roman" w:hAnsi="Times New Roman" w:cs="Times New Roman"/>
                <w:noProof/>
                <w:color w:val="006100"/>
                <w:sz w:val="18"/>
                <w:szCs w:val="18"/>
                <w:lang w:eastAsia="en-GB"/>
              </w:rPr>
              <w:t>public sector employees</w:t>
            </w:r>
            <w:r w:rsidRPr="00DE4E4F">
              <w:rPr>
                <w:rFonts w:ascii="Times New Roman" w:eastAsia="Times New Roman" w:hAnsi="Times New Roman" w:cs="Times New Roman"/>
                <w:noProof/>
                <w:color w:val="006100"/>
                <w:sz w:val="18"/>
                <w:szCs w:val="18"/>
                <w:lang w:eastAsia="en-GB"/>
              </w:rPr>
              <w:t>,</w:t>
            </w:r>
          </w:p>
          <w:p w14:paraId="115263F1"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entry into force of legal acts,</w:t>
            </w:r>
          </w:p>
          <w:p w14:paraId="20D0E0D4"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entry into use of information systems </w:t>
            </w:r>
          </w:p>
        </w:tc>
        <w:tc>
          <w:tcPr>
            <w:tcW w:w="1520" w:type="dxa"/>
            <w:tcBorders>
              <w:top w:val="nil"/>
              <w:left w:val="nil"/>
              <w:bottom w:val="single" w:sz="4" w:space="0" w:color="auto"/>
              <w:right w:val="single" w:sz="4" w:space="0" w:color="auto"/>
            </w:tcBorders>
            <w:shd w:val="clear" w:color="auto" w:fill="C6EFCE"/>
            <w:noWrap/>
          </w:tcPr>
          <w:p w14:paraId="084DFB69" w14:textId="5CE2641D"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Trainings for </w:t>
            </w:r>
            <w:r w:rsidR="00533568" w:rsidRPr="00DE4E4F">
              <w:rPr>
                <w:rFonts w:ascii="Times New Roman" w:eastAsia="Times New Roman" w:hAnsi="Times New Roman" w:cs="Times New Roman"/>
                <w:noProof/>
                <w:color w:val="006100"/>
                <w:sz w:val="18"/>
                <w:szCs w:val="18"/>
                <w:lang w:eastAsia="en-GB"/>
              </w:rPr>
              <w:t>public sector employees</w:t>
            </w:r>
            <w:r w:rsidRPr="00DE4E4F">
              <w:rPr>
                <w:rFonts w:ascii="Times New Roman" w:eastAsia="Times New Roman" w:hAnsi="Times New Roman" w:cs="Times New Roman"/>
                <w:noProof/>
                <w:color w:val="006100"/>
                <w:sz w:val="18"/>
                <w:szCs w:val="18"/>
                <w:lang w:eastAsia="en-GB"/>
              </w:rPr>
              <w:t>,</w:t>
            </w:r>
          </w:p>
          <w:p w14:paraId="32B2AF2E"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entry into force of legal acts</w:t>
            </w:r>
          </w:p>
          <w:p w14:paraId="0BF74EDB"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entry into use of information systems </w:t>
            </w:r>
          </w:p>
          <w:p w14:paraId="2998E48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54" w:type="dxa"/>
            <w:tcBorders>
              <w:top w:val="nil"/>
              <w:left w:val="nil"/>
              <w:bottom w:val="single" w:sz="4" w:space="0" w:color="auto"/>
              <w:right w:val="single" w:sz="4" w:space="0" w:color="auto"/>
            </w:tcBorders>
            <w:shd w:val="clear" w:color="auto" w:fill="C6EFCE"/>
            <w:noWrap/>
          </w:tcPr>
          <w:p w14:paraId="6984C98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57" w:type="dxa"/>
            <w:tcBorders>
              <w:top w:val="nil"/>
              <w:left w:val="nil"/>
              <w:bottom w:val="single" w:sz="4" w:space="0" w:color="auto"/>
              <w:right w:val="single" w:sz="4" w:space="0" w:color="auto"/>
            </w:tcBorders>
            <w:shd w:val="clear" w:color="auto" w:fill="C6EFCE"/>
            <w:noWrap/>
          </w:tcPr>
          <w:p w14:paraId="2633B40E"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05" w:type="dxa"/>
            <w:tcBorders>
              <w:top w:val="nil"/>
              <w:left w:val="nil"/>
              <w:bottom w:val="single" w:sz="4" w:space="0" w:color="auto"/>
              <w:right w:val="single" w:sz="4" w:space="0" w:color="auto"/>
            </w:tcBorders>
            <w:shd w:val="clear" w:color="auto" w:fill="C6EFCE"/>
            <w:noWrap/>
          </w:tcPr>
          <w:p w14:paraId="288F5487"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46" w:type="dxa"/>
            <w:tcBorders>
              <w:top w:val="nil"/>
              <w:left w:val="nil"/>
              <w:bottom w:val="single" w:sz="4" w:space="0" w:color="auto"/>
              <w:right w:val="single" w:sz="4" w:space="0" w:color="auto"/>
            </w:tcBorders>
            <w:shd w:val="clear" w:color="auto" w:fill="C6EFCE"/>
            <w:noWrap/>
          </w:tcPr>
          <w:p w14:paraId="1DAA97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27" w:type="dxa"/>
            <w:tcBorders>
              <w:top w:val="nil"/>
              <w:left w:val="nil"/>
              <w:bottom w:val="single" w:sz="4" w:space="0" w:color="auto"/>
              <w:right w:val="single" w:sz="4" w:space="0" w:color="auto"/>
            </w:tcBorders>
            <w:shd w:val="clear" w:color="auto" w:fill="C6EFCE"/>
            <w:noWrap/>
          </w:tcPr>
          <w:p w14:paraId="3492897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819" w:type="dxa"/>
            <w:tcBorders>
              <w:top w:val="nil"/>
              <w:left w:val="nil"/>
              <w:bottom w:val="single" w:sz="4" w:space="0" w:color="auto"/>
              <w:right w:val="single" w:sz="4" w:space="0" w:color="auto"/>
            </w:tcBorders>
            <w:shd w:val="clear" w:color="auto" w:fill="C6EFCE"/>
            <w:noWrap/>
          </w:tcPr>
          <w:p w14:paraId="74B00FBD" w14:textId="0EA33519"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 Delivery of 225</w:t>
            </w:r>
            <w:r w:rsidR="001410D7"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000 certified trainings of </w:t>
            </w:r>
            <w:r w:rsidR="00533568" w:rsidRPr="00DE4E4F">
              <w:rPr>
                <w:rFonts w:ascii="Times New Roman" w:hAnsi="Times New Roman" w:cs="Times New Roman"/>
                <w:noProof/>
                <w:color w:val="006100"/>
                <w:sz w:val="18"/>
                <w:szCs w:val="18"/>
              </w:rPr>
              <w:t>public sector employe</w:t>
            </w:r>
            <w:r w:rsidR="002C3BF2" w:rsidRPr="00DE4E4F">
              <w:rPr>
                <w:rFonts w:ascii="Times New Roman" w:hAnsi="Times New Roman" w:cs="Times New Roman"/>
                <w:noProof/>
                <w:color w:val="006100"/>
                <w:sz w:val="18"/>
                <w:szCs w:val="18"/>
              </w:rPr>
              <w:t>e</w:t>
            </w:r>
            <w:r w:rsidR="00533568" w:rsidRPr="00DE4E4F">
              <w:rPr>
                <w:rFonts w:ascii="Times New Roman" w:hAnsi="Times New Roman" w:cs="Times New Roman"/>
                <w:noProof/>
                <w:color w:val="006100"/>
                <w:sz w:val="18"/>
                <w:szCs w:val="18"/>
              </w:rPr>
              <w:t>s</w:t>
            </w:r>
            <w:r w:rsidRPr="00DE4E4F">
              <w:rPr>
                <w:rFonts w:ascii="Times New Roman" w:hAnsi="Times New Roman" w:cs="Times New Roman"/>
                <w:noProof/>
                <w:color w:val="006100"/>
                <w:sz w:val="18"/>
                <w:szCs w:val="18"/>
              </w:rPr>
              <w:t xml:space="preserve">. </w:t>
            </w:r>
          </w:p>
          <w:p w14:paraId="2158B56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(ii) Entry into force of legal acts for the acceleration of hiring procedures in the public sector.</w:t>
            </w:r>
          </w:p>
          <w:p w14:paraId="63331D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(iii) Entry into use of an information system for the Supreme Council for Civil Personnel Selection (ASEP); </w:t>
            </w:r>
          </w:p>
          <w:p w14:paraId="3AFEF05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(iv) Entry into use of the information system which supports the strategic workforce planning framework utilising artificial intelligence.</w:t>
            </w:r>
          </w:p>
        </w:tc>
      </w:tr>
    </w:tbl>
    <w:p w14:paraId="449CFE26" w14:textId="77777777" w:rsidR="001B186F" w:rsidRPr="00DE4E4F" w:rsidRDefault="001B186F">
      <w:pPr>
        <w:spacing w:before="120" w:after="120" w:line="240" w:lineRule="auto"/>
        <w:jc w:val="both"/>
        <w:rPr>
          <w:rFonts w:ascii="Times New Roman" w:hAnsi="Times New Roman" w:cs="Times New Roman"/>
          <w:noProof/>
          <w:sz w:val="24"/>
          <w:szCs w:val="24"/>
        </w:rPr>
      </w:pPr>
    </w:p>
    <w:p w14:paraId="55CEC68E"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78A40BC0"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19: Combating money laundering and corruption</w:t>
      </w:r>
    </w:p>
    <w:p w14:paraId="4863C09B"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Enhancing the AML/CFT Framework (ID: 16702)</w:t>
      </w:r>
    </w:p>
    <w:p w14:paraId="35E0DDE4"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Combating illegal trade and protecting intellectual property (ID: 16703)</w:t>
      </w:r>
    </w:p>
    <w:p w14:paraId="0EAD36AB"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Strengthening the national anti-corruption framework (ID: 16952)</w:t>
      </w:r>
    </w:p>
    <w:p w14:paraId="2616F27F" w14:textId="77777777" w:rsidR="001B186F" w:rsidRPr="00DE4E4F" w:rsidRDefault="0074517F">
      <w:pPr>
        <w:numPr>
          <w:ilvl w:val="0"/>
          <w:numId w:val="61"/>
        </w:num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Efficient Combating of Corruption (ID: 16978)</w:t>
      </w:r>
    </w:p>
    <w:tbl>
      <w:tblPr>
        <w:tblW w:w="15878" w:type="dxa"/>
        <w:jc w:val="center"/>
        <w:tblLook w:val="04A0" w:firstRow="1" w:lastRow="0" w:firstColumn="1" w:lastColumn="0" w:noHBand="0" w:noVBand="1"/>
      </w:tblPr>
      <w:tblGrid>
        <w:gridCol w:w="666"/>
        <w:gridCol w:w="1974"/>
        <w:gridCol w:w="1150"/>
        <w:gridCol w:w="1393"/>
        <w:gridCol w:w="1534"/>
        <w:gridCol w:w="933"/>
        <w:gridCol w:w="857"/>
        <w:gridCol w:w="702"/>
        <w:gridCol w:w="851"/>
        <w:gridCol w:w="708"/>
        <w:gridCol w:w="5110"/>
      </w:tblGrid>
      <w:tr w:rsidR="00682269" w:rsidRPr="00DE4E4F" w14:paraId="1D93653E" w14:textId="77777777" w:rsidTr="00B116A1">
        <w:trPr>
          <w:trHeight w:val="774"/>
          <w:tblHeader/>
          <w:jc w:val="center"/>
        </w:trPr>
        <w:tc>
          <w:tcPr>
            <w:tcW w:w="66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961CAB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9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7AA29B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Related Measure (Reform or Investment)</w:t>
            </w:r>
          </w:p>
        </w:tc>
        <w:tc>
          <w:tcPr>
            <w:tcW w:w="115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60E3E0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Milestone / Target</w:t>
            </w:r>
          </w:p>
        </w:tc>
        <w:tc>
          <w:tcPr>
            <w:tcW w:w="1393"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B6E340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Name</w:t>
            </w:r>
          </w:p>
        </w:tc>
        <w:tc>
          <w:tcPr>
            <w:tcW w:w="153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DCF1E9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Qualitative indicators (for milestones)</w:t>
            </w:r>
          </w:p>
        </w:tc>
        <w:tc>
          <w:tcPr>
            <w:tcW w:w="2492"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DD5D1E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Quantitative indicators (for targets)</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E2BB1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Indicative timeline for completion </w:t>
            </w:r>
          </w:p>
        </w:tc>
        <w:tc>
          <w:tcPr>
            <w:tcW w:w="5110"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B2FA32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Description of each milestone and target</w:t>
            </w:r>
          </w:p>
        </w:tc>
      </w:tr>
      <w:tr w:rsidR="00682269" w:rsidRPr="00DE4E4F" w14:paraId="1DBC3379" w14:textId="77777777" w:rsidTr="00B116A1">
        <w:trPr>
          <w:trHeight w:val="532"/>
          <w:tblHeader/>
          <w:jc w:val="center"/>
        </w:trPr>
        <w:tc>
          <w:tcPr>
            <w:tcW w:w="666" w:type="dxa"/>
            <w:vMerge/>
            <w:tcBorders>
              <w:top w:val="single" w:sz="2" w:space="0" w:color="000000"/>
              <w:left w:val="single" w:sz="2" w:space="0" w:color="000000"/>
              <w:bottom w:val="single" w:sz="2" w:space="0" w:color="000000"/>
              <w:right w:val="single" w:sz="2" w:space="0" w:color="000000"/>
            </w:tcBorders>
            <w:vAlign w:val="center"/>
            <w:hideMark/>
          </w:tcPr>
          <w:p w14:paraId="3A9FAD0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74" w:type="dxa"/>
            <w:vMerge/>
            <w:tcBorders>
              <w:top w:val="single" w:sz="2" w:space="0" w:color="000000"/>
              <w:left w:val="single" w:sz="2" w:space="0" w:color="000000"/>
              <w:bottom w:val="single" w:sz="2" w:space="0" w:color="000000"/>
              <w:right w:val="single" w:sz="2" w:space="0" w:color="000000"/>
            </w:tcBorders>
            <w:vAlign w:val="center"/>
            <w:hideMark/>
          </w:tcPr>
          <w:p w14:paraId="1ABEA80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50" w:type="dxa"/>
            <w:vMerge/>
            <w:tcBorders>
              <w:top w:val="single" w:sz="2" w:space="0" w:color="000000"/>
              <w:left w:val="single" w:sz="2" w:space="0" w:color="000000"/>
              <w:bottom w:val="single" w:sz="2" w:space="0" w:color="000000"/>
              <w:right w:val="single" w:sz="2" w:space="0" w:color="000000"/>
            </w:tcBorders>
            <w:vAlign w:val="center"/>
            <w:hideMark/>
          </w:tcPr>
          <w:p w14:paraId="1F4132B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93" w:type="dxa"/>
            <w:vMerge/>
            <w:tcBorders>
              <w:top w:val="single" w:sz="2" w:space="0" w:color="000000"/>
              <w:left w:val="single" w:sz="2" w:space="0" w:color="000000"/>
              <w:bottom w:val="single" w:sz="2" w:space="0" w:color="000000"/>
              <w:right w:val="single" w:sz="2" w:space="0" w:color="000000"/>
            </w:tcBorders>
            <w:vAlign w:val="center"/>
            <w:hideMark/>
          </w:tcPr>
          <w:p w14:paraId="2343815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34" w:type="dxa"/>
            <w:vMerge/>
            <w:tcBorders>
              <w:top w:val="single" w:sz="2" w:space="0" w:color="000000"/>
              <w:left w:val="single" w:sz="2" w:space="0" w:color="000000"/>
              <w:bottom w:val="single" w:sz="2" w:space="0" w:color="000000"/>
              <w:right w:val="single" w:sz="2" w:space="0" w:color="000000"/>
            </w:tcBorders>
            <w:vAlign w:val="center"/>
            <w:hideMark/>
          </w:tcPr>
          <w:p w14:paraId="6FC54E1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33"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522C6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Unit of measure</w:t>
            </w:r>
          </w:p>
        </w:tc>
        <w:tc>
          <w:tcPr>
            <w:tcW w:w="85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E7F9B3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Baseline </w:t>
            </w:r>
          </w:p>
        </w:tc>
        <w:tc>
          <w:tcPr>
            <w:tcW w:w="70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072F87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 xml:space="preserve">Goal </w:t>
            </w:r>
          </w:p>
        </w:tc>
        <w:tc>
          <w:tcPr>
            <w:tcW w:w="851"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5B35C8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Quarter</w:t>
            </w:r>
          </w:p>
        </w:tc>
        <w:tc>
          <w:tcPr>
            <w:tcW w:w="70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CF26D3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Year</w:t>
            </w:r>
          </w:p>
        </w:tc>
        <w:tc>
          <w:tcPr>
            <w:tcW w:w="5110" w:type="dxa"/>
            <w:vMerge/>
            <w:tcBorders>
              <w:top w:val="single" w:sz="2" w:space="0" w:color="000000"/>
              <w:left w:val="single" w:sz="2" w:space="0" w:color="000000"/>
              <w:bottom w:val="single" w:sz="2" w:space="0" w:color="000000"/>
              <w:right w:val="single" w:sz="2" w:space="0" w:color="000000"/>
            </w:tcBorders>
            <w:vAlign w:val="center"/>
            <w:hideMark/>
          </w:tcPr>
          <w:p w14:paraId="6B5457E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7C52C8A7" w14:textId="77777777" w:rsidTr="001410D7">
        <w:trPr>
          <w:trHeight w:val="313"/>
          <w:jc w:val="center"/>
        </w:trPr>
        <w:tc>
          <w:tcPr>
            <w:tcW w:w="666" w:type="dxa"/>
            <w:tcBorders>
              <w:top w:val="single" w:sz="2" w:space="0" w:color="000000"/>
              <w:left w:val="single" w:sz="2" w:space="0" w:color="000000"/>
              <w:bottom w:val="single" w:sz="2" w:space="0" w:color="000000"/>
              <w:right w:val="single" w:sz="2" w:space="0" w:color="000000"/>
            </w:tcBorders>
            <w:shd w:val="clear" w:color="auto" w:fill="C6EFCE"/>
            <w:noWrap/>
          </w:tcPr>
          <w:p w14:paraId="580F6F9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209</w:t>
            </w:r>
          </w:p>
        </w:tc>
        <w:tc>
          <w:tcPr>
            <w:tcW w:w="1974" w:type="dxa"/>
            <w:tcBorders>
              <w:top w:val="single" w:sz="2" w:space="0" w:color="000000"/>
              <w:left w:val="single" w:sz="2" w:space="0" w:color="000000"/>
              <w:bottom w:val="single" w:sz="2" w:space="0" w:color="000000"/>
              <w:right w:val="single" w:sz="2" w:space="0" w:color="000000"/>
            </w:tcBorders>
            <w:shd w:val="clear" w:color="auto" w:fill="C6EFCE"/>
            <w:noWrap/>
          </w:tcPr>
          <w:p w14:paraId="6339BEE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- 16978_Efficient Combating of Corruption</w:t>
            </w:r>
          </w:p>
        </w:tc>
        <w:tc>
          <w:tcPr>
            <w:tcW w:w="1150" w:type="dxa"/>
            <w:tcBorders>
              <w:top w:val="single" w:sz="2" w:space="0" w:color="000000"/>
              <w:left w:val="single" w:sz="2" w:space="0" w:color="000000"/>
              <w:bottom w:val="single" w:sz="2" w:space="0" w:color="000000"/>
              <w:right w:val="single" w:sz="2" w:space="0" w:color="000000"/>
            </w:tcBorders>
            <w:shd w:val="clear" w:color="auto" w:fill="C6EFCE"/>
            <w:noWrap/>
          </w:tcPr>
          <w:p w14:paraId="395CF7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single" w:sz="2" w:space="0" w:color="000000"/>
              <w:left w:val="single" w:sz="2" w:space="0" w:color="000000"/>
              <w:bottom w:val="single" w:sz="2" w:space="0" w:color="000000"/>
              <w:right w:val="single" w:sz="2" w:space="0" w:color="000000"/>
            </w:tcBorders>
            <w:shd w:val="clear" w:color="auto" w:fill="C6EFCE"/>
            <w:noWrap/>
          </w:tcPr>
          <w:p w14:paraId="3E7DF5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Asset declarations and political parties</w:t>
            </w:r>
          </w:p>
        </w:tc>
        <w:tc>
          <w:tcPr>
            <w:tcW w:w="1534" w:type="dxa"/>
            <w:tcBorders>
              <w:top w:val="single" w:sz="2" w:space="0" w:color="000000"/>
              <w:left w:val="single" w:sz="2" w:space="0" w:color="000000"/>
              <w:bottom w:val="single" w:sz="2" w:space="0" w:color="000000"/>
              <w:right w:val="single" w:sz="2" w:space="0" w:color="000000"/>
            </w:tcBorders>
            <w:shd w:val="clear" w:color="auto" w:fill="C6EFCE"/>
            <w:noWrap/>
          </w:tcPr>
          <w:p w14:paraId="0146CCC9"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Entry into force of new legislation</w:t>
            </w:r>
          </w:p>
        </w:tc>
        <w:tc>
          <w:tcPr>
            <w:tcW w:w="933" w:type="dxa"/>
            <w:tcBorders>
              <w:top w:val="single" w:sz="2" w:space="0" w:color="000000"/>
              <w:left w:val="single" w:sz="2" w:space="0" w:color="000000"/>
              <w:bottom w:val="single" w:sz="2" w:space="0" w:color="000000"/>
              <w:right w:val="single" w:sz="2" w:space="0" w:color="000000"/>
            </w:tcBorders>
            <w:shd w:val="clear" w:color="auto" w:fill="C6EFCE"/>
            <w:noWrap/>
          </w:tcPr>
          <w:p w14:paraId="142AF3D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2" w:space="0" w:color="000000"/>
              <w:left w:val="single" w:sz="2" w:space="0" w:color="000000"/>
              <w:bottom w:val="single" w:sz="2" w:space="0" w:color="000000"/>
              <w:right w:val="single" w:sz="2" w:space="0" w:color="000000"/>
            </w:tcBorders>
            <w:shd w:val="clear" w:color="auto" w:fill="C6EFCE"/>
            <w:noWrap/>
          </w:tcPr>
          <w:p w14:paraId="4ED866A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2" w:type="dxa"/>
            <w:tcBorders>
              <w:top w:val="single" w:sz="2" w:space="0" w:color="000000"/>
              <w:left w:val="single" w:sz="2" w:space="0" w:color="000000"/>
              <w:bottom w:val="single" w:sz="2" w:space="0" w:color="000000"/>
              <w:right w:val="single" w:sz="2" w:space="0" w:color="000000"/>
            </w:tcBorders>
            <w:shd w:val="clear" w:color="auto" w:fill="C6EFCE"/>
            <w:noWrap/>
          </w:tcPr>
          <w:p w14:paraId="5EE5FB5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single" w:sz="2" w:space="0" w:color="000000"/>
              <w:left w:val="single" w:sz="2" w:space="0" w:color="000000"/>
              <w:bottom w:val="single" w:sz="2" w:space="0" w:color="000000"/>
              <w:right w:val="single" w:sz="2" w:space="0" w:color="000000"/>
            </w:tcBorders>
            <w:shd w:val="clear" w:color="auto" w:fill="C6EFCE"/>
            <w:noWrap/>
          </w:tcPr>
          <w:p w14:paraId="37E796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8" w:type="dxa"/>
            <w:tcBorders>
              <w:top w:val="single" w:sz="2" w:space="0" w:color="000000"/>
              <w:left w:val="single" w:sz="2" w:space="0" w:color="000000"/>
              <w:bottom w:val="single" w:sz="2" w:space="0" w:color="000000"/>
              <w:right w:val="single" w:sz="2" w:space="0" w:color="000000"/>
            </w:tcBorders>
            <w:shd w:val="clear" w:color="auto" w:fill="C6EFCE"/>
            <w:noWrap/>
          </w:tcPr>
          <w:p w14:paraId="4A88E6D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5110" w:type="dxa"/>
            <w:tcBorders>
              <w:top w:val="single" w:sz="2" w:space="0" w:color="000000"/>
              <w:left w:val="single" w:sz="2" w:space="0" w:color="000000"/>
              <w:bottom w:val="single" w:sz="2" w:space="0" w:color="000000"/>
              <w:right w:val="single" w:sz="2" w:space="0" w:color="000000"/>
            </w:tcBorders>
            <w:shd w:val="clear" w:color="auto" w:fill="C6EFCE"/>
            <w:noWrap/>
          </w:tcPr>
          <w:p w14:paraId="010D751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the new legislation regarding: (i) Asset Declarations; (ii) and the codification of legislation on political parties. </w:t>
            </w:r>
          </w:p>
        </w:tc>
      </w:tr>
      <w:tr w:rsidR="00682269" w:rsidRPr="00DE4E4F" w14:paraId="66D9C4C6" w14:textId="77777777" w:rsidTr="001410D7">
        <w:trPr>
          <w:trHeight w:val="313"/>
          <w:jc w:val="center"/>
        </w:trPr>
        <w:tc>
          <w:tcPr>
            <w:tcW w:w="666" w:type="dxa"/>
            <w:tcBorders>
              <w:top w:val="single" w:sz="2" w:space="0" w:color="000000"/>
              <w:left w:val="single" w:sz="4" w:space="0" w:color="auto"/>
              <w:bottom w:val="single" w:sz="4" w:space="0" w:color="auto"/>
              <w:right w:val="single" w:sz="4" w:space="0" w:color="auto"/>
            </w:tcBorders>
            <w:shd w:val="clear" w:color="auto" w:fill="C6EFCE"/>
            <w:noWrap/>
          </w:tcPr>
          <w:p w14:paraId="0EE896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210</w:t>
            </w:r>
          </w:p>
        </w:tc>
        <w:tc>
          <w:tcPr>
            <w:tcW w:w="1974" w:type="dxa"/>
            <w:tcBorders>
              <w:top w:val="single" w:sz="2" w:space="0" w:color="000000"/>
              <w:left w:val="nil"/>
              <w:bottom w:val="single" w:sz="4" w:space="0" w:color="auto"/>
              <w:right w:val="single" w:sz="4" w:space="0" w:color="auto"/>
            </w:tcBorders>
            <w:shd w:val="clear" w:color="auto" w:fill="C6EFCE"/>
            <w:noWrap/>
          </w:tcPr>
          <w:p w14:paraId="0BEEC7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150" w:type="dxa"/>
            <w:tcBorders>
              <w:top w:val="single" w:sz="2" w:space="0" w:color="000000"/>
              <w:left w:val="nil"/>
              <w:bottom w:val="single" w:sz="4" w:space="0" w:color="auto"/>
              <w:right w:val="single" w:sz="4" w:space="0" w:color="auto"/>
            </w:tcBorders>
            <w:shd w:val="clear" w:color="auto" w:fill="C6EFCE"/>
            <w:noWrap/>
          </w:tcPr>
          <w:p w14:paraId="627162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single" w:sz="2" w:space="0" w:color="000000"/>
              <w:left w:val="nil"/>
              <w:bottom w:val="single" w:sz="4" w:space="0" w:color="auto"/>
              <w:right w:val="single" w:sz="4" w:space="0" w:color="auto"/>
            </w:tcBorders>
            <w:shd w:val="clear" w:color="auto" w:fill="C6EFCE"/>
            <w:noWrap/>
          </w:tcPr>
          <w:p w14:paraId="32CF000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National anti-corruption action plan</w:t>
            </w:r>
          </w:p>
        </w:tc>
        <w:tc>
          <w:tcPr>
            <w:tcW w:w="1534" w:type="dxa"/>
            <w:tcBorders>
              <w:top w:val="single" w:sz="2" w:space="0" w:color="000000"/>
              <w:left w:val="nil"/>
              <w:bottom w:val="single" w:sz="4" w:space="0" w:color="auto"/>
              <w:right w:val="single" w:sz="4" w:space="0" w:color="auto"/>
            </w:tcBorders>
            <w:shd w:val="clear" w:color="auto" w:fill="C6EFCE"/>
            <w:noWrap/>
          </w:tcPr>
          <w:p w14:paraId="4A40FD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by the National Transparency Authority of National Anti-Corruption Action Plan for the period 2022-2025</w:t>
            </w:r>
          </w:p>
        </w:tc>
        <w:tc>
          <w:tcPr>
            <w:tcW w:w="933" w:type="dxa"/>
            <w:tcBorders>
              <w:top w:val="single" w:sz="2" w:space="0" w:color="000000"/>
              <w:left w:val="nil"/>
              <w:bottom w:val="single" w:sz="4" w:space="0" w:color="auto"/>
              <w:right w:val="single" w:sz="4" w:space="0" w:color="auto"/>
            </w:tcBorders>
            <w:shd w:val="clear" w:color="auto" w:fill="C6EFCE"/>
            <w:noWrap/>
          </w:tcPr>
          <w:p w14:paraId="3A4B475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2" w:space="0" w:color="000000"/>
              <w:left w:val="nil"/>
              <w:bottom w:val="single" w:sz="4" w:space="0" w:color="auto"/>
              <w:right w:val="single" w:sz="4" w:space="0" w:color="auto"/>
            </w:tcBorders>
            <w:shd w:val="clear" w:color="auto" w:fill="C6EFCE"/>
            <w:noWrap/>
          </w:tcPr>
          <w:p w14:paraId="74FB9A0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2" w:type="dxa"/>
            <w:tcBorders>
              <w:top w:val="single" w:sz="2" w:space="0" w:color="000000"/>
              <w:left w:val="nil"/>
              <w:bottom w:val="single" w:sz="4" w:space="0" w:color="auto"/>
              <w:right w:val="single" w:sz="4" w:space="0" w:color="auto"/>
            </w:tcBorders>
            <w:shd w:val="clear" w:color="auto" w:fill="C6EFCE"/>
            <w:noWrap/>
          </w:tcPr>
          <w:p w14:paraId="73511A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single" w:sz="2" w:space="0" w:color="000000"/>
              <w:left w:val="nil"/>
              <w:bottom w:val="single" w:sz="4" w:space="0" w:color="auto"/>
              <w:right w:val="single" w:sz="4" w:space="0" w:color="auto"/>
            </w:tcBorders>
            <w:shd w:val="clear" w:color="auto" w:fill="C6EFCE"/>
            <w:noWrap/>
          </w:tcPr>
          <w:p w14:paraId="0965C7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8" w:type="dxa"/>
            <w:tcBorders>
              <w:top w:val="single" w:sz="2" w:space="0" w:color="000000"/>
              <w:left w:val="nil"/>
              <w:bottom w:val="single" w:sz="4" w:space="0" w:color="auto"/>
              <w:right w:val="single" w:sz="4" w:space="0" w:color="auto"/>
            </w:tcBorders>
            <w:shd w:val="clear" w:color="auto" w:fill="C6EFCE"/>
            <w:noWrap/>
          </w:tcPr>
          <w:p w14:paraId="20AED7C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5110" w:type="dxa"/>
            <w:tcBorders>
              <w:top w:val="single" w:sz="2" w:space="0" w:color="000000"/>
              <w:left w:val="nil"/>
              <w:bottom w:val="single" w:sz="4" w:space="0" w:color="auto"/>
              <w:right w:val="single" w:sz="4" w:space="0" w:color="auto"/>
            </w:tcBorders>
            <w:shd w:val="clear" w:color="auto" w:fill="C6EFCE"/>
            <w:noWrap/>
          </w:tcPr>
          <w:p w14:paraId="6E9861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by the National Transparency Authority of the National Anti-Corruption Action Plan for the period 2022-2025, including the specification of: (i) actions to enhance transparency and accountability across public administration; (ii) targeted interventions to detect and prevent corruption in high-risk areas (including, for example, health, public finances, investments); (iii) necessary regulatory interventions in selected policy fields.</w:t>
            </w:r>
          </w:p>
        </w:tc>
      </w:tr>
      <w:tr w:rsidR="00682269" w:rsidRPr="00DE4E4F" w14:paraId="2D12F9AB"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B5EDF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211</w:t>
            </w:r>
          </w:p>
        </w:tc>
        <w:tc>
          <w:tcPr>
            <w:tcW w:w="1974" w:type="dxa"/>
            <w:tcBorders>
              <w:top w:val="nil"/>
              <w:left w:val="nil"/>
              <w:bottom w:val="single" w:sz="4" w:space="0" w:color="auto"/>
              <w:right w:val="single" w:sz="4" w:space="0" w:color="auto"/>
            </w:tcBorders>
            <w:shd w:val="clear" w:color="auto" w:fill="C6EFCE"/>
            <w:noWrap/>
          </w:tcPr>
          <w:p w14:paraId="11A6CB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150" w:type="dxa"/>
            <w:tcBorders>
              <w:top w:val="nil"/>
              <w:left w:val="nil"/>
              <w:bottom w:val="single" w:sz="4" w:space="0" w:color="auto"/>
              <w:right w:val="single" w:sz="4" w:space="0" w:color="auto"/>
            </w:tcBorders>
            <w:shd w:val="clear" w:color="auto" w:fill="C6EFCE"/>
            <w:noWrap/>
          </w:tcPr>
          <w:p w14:paraId="46DCAAE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nil"/>
              <w:left w:val="nil"/>
              <w:bottom w:val="single" w:sz="4" w:space="0" w:color="auto"/>
              <w:right w:val="single" w:sz="4" w:space="0" w:color="auto"/>
            </w:tcBorders>
            <w:shd w:val="clear" w:color="auto" w:fill="C6EFCE"/>
            <w:noWrap/>
          </w:tcPr>
          <w:p w14:paraId="1A9469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Internal Controls law implementation</w:t>
            </w:r>
          </w:p>
        </w:tc>
        <w:tc>
          <w:tcPr>
            <w:tcW w:w="1534" w:type="dxa"/>
            <w:tcBorders>
              <w:top w:val="nil"/>
              <w:left w:val="nil"/>
              <w:bottom w:val="single" w:sz="4" w:space="0" w:color="auto"/>
              <w:right w:val="single" w:sz="4" w:space="0" w:color="auto"/>
            </w:tcBorders>
            <w:shd w:val="clear" w:color="auto" w:fill="C6EFCE"/>
            <w:noWrap/>
          </w:tcPr>
          <w:p w14:paraId="4AACE0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Report by the National Transparency Authority on internal control systems established</w:t>
            </w:r>
          </w:p>
          <w:p w14:paraId="651B499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Regulatory acts issued</w:t>
            </w:r>
          </w:p>
          <w:p w14:paraId="62E389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Joint Ministerial Decision issued </w:t>
            </w:r>
          </w:p>
        </w:tc>
        <w:tc>
          <w:tcPr>
            <w:tcW w:w="933" w:type="dxa"/>
            <w:tcBorders>
              <w:top w:val="nil"/>
              <w:left w:val="nil"/>
              <w:bottom w:val="single" w:sz="4" w:space="0" w:color="auto"/>
              <w:right w:val="single" w:sz="4" w:space="0" w:color="auto"/>
            </w:tcBorders>
            <w:shd w:val="clear" w:color="auto" w:fill="C6EFCE"/>
            <w:noWrap/>
          </w:tcPr>
          <w:p w14:paraId="4E26F31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4749A4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2" w:type="dxa"/>
            <w:tcBorders>
              <w:top w:val="nil"/>
              <w:left w:val="nil"/>
              <w:bottom w:val="single" w:sz="4" w:space="0" w:color="auto"/>
              <w:right w:val="single" w:sz="4" w:space="0" w:color="auto"/>
            </w:tcBorders>
            <w:shd w:val="clear" w:color="auto" w:fill="C6EFCE"/>
            <w:noWrap/>
          </w:tcPr>
          <w:p w14:paraId="6F2E5F9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nil"/>
              <w:left w:val="nil"/>
              <w:bottom w:val="single" w:sz="4" w:space="0" w:color="auto"/>
              <w:right w:val="single" w:sz="4" w:space="0" w:color="auto"/>
            </w:tcBorders>
            <w:shd w:val="clear" w:color="auto" w:fill="C6EFCE"/>
            <w:noWrap/>
          </w:tcPr>
          <w:p w14:paraId="611552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nil"/>
              <w:left w:val="nil"/>
              <w:bottom w:val="single" w:sz="4" w:space="0" w:color="auto"/>
              <w:right w:val="single" w:sz="4" w:space="0" w:color="auto"/>
            </w:tcBorders>
            <w:shd w:val="clear" w:color="auto" w:fill="C6EFCE"/>
            <w:noWrap/>
          </w:tcPr>
          <w:p w14:paraId="0A12CE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5110" w:type="dxa"/>
            <w:tcBorders>
              <w:top w:val="nil"/>
              <w:left w:val="nil"/>
              <w:bottom w:val="single" w:sz="4" w:space="0" w:color="auto"/>
              <w:right w:val="single" w:sz="4" w:space="0" w:color="auto"/>
            </w:tcBorders>
            <w:shd w:val="clear" w:color="auto" w:fill="C6EFCE"/>
            <w:noWrap/>
          </w:tcPr>
          <w:p w14:paraId="0E8A1D0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Implementation of the new law on Internal Controls in public administration, including: (i) the establishment of internal audit units in line Ministries; (ii) the issuance of the regulatory acts for the establishment of internal audit units and audit committees in local government entities (1</w:t>
            </w:r>
            <w:r w:rsidRPr="00DE4E4F">
              <w:rPr>
                <w:rFonts w:ascii="Times New Roman" w:hAnsi="Times New Roman" w:cs="Times New Roman"/>
                <w:noProof/>
                <w:color w:val="006100"/>
                <w:sz w:val="18"/>
                <w:szCs w:val="18"/>
                <w:vertAlign w:val="superscript"/>
              </w:rPr>
              <w:t>st</w:t>
            </w:r>
            <w:r w:rsidRPr="00DE4E4F">
              <w:rPr>
                <w:rFonts w:ascii="Times New Roman" w:hAnsi="Times New Roman" w:cs="Times New Roman"/>
                <w:noProof/>
                <w:color w:val="006100"/>
                <w:sz w:val="18"/>
                <w:szCs w:val="18"/>
              </w:rPr>
              <w:t xml:space="preserve"> and 2</w:t>
            </w:r>
            <w:r w:rsidRPr="00DE4E4F">
              <w:rPr>
                <w:rFonts w:ascii="Times New Roman" w:hAnsi="Times New Roman" w:cs="Times New Roman"/>
                <w:noProof/>
                <w:color w:val="006100"/>
                <w:sz w:val="18"/>
                <w:szCs w:val="18"/>
                <w:vertAlign w:val="superscript"/>
              </w:rPr>
              <w:t>nd</w:t>
            </w:r>
            <w:r w:rsidRPr="00DE4E4F">
              <w:rPr>
                <w:rFonts w:ascii="Times New Roman" w:hAnsi="Times New Roman" w:cs="Times New Roman"/>
                <w:noProof/>
                <w:color w:val="006100"/>
                <w:sz w:val="18"/>
                <w:szCs w:val="18"/>
              </w:rPr>
              <w:t xml:space="preserve"> degree), universities, hospitals - health units, independent authorities, and legal entities of local government entities; (iii) the issuance of a Joint Ministerial Decision to set the criteria for the cooperation of internal audit units with external experts.</w:t>
            </w:r>
          </w:p>
          <w:p w14:paraId="6387BB4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69278B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National Transparency Authority in cooperation with the Ministry of Interior shall provide oversight and guidance to general government entities to put in place a coherent and functioning Internal Control system. The National Transparency Authority shall facilitate a pilot self-assessment regarding the basic elements of the internal control system. The Hellenic Court of Auditors has included in its annual work plan, audits for the assessment of internal control arrangements across general government entities. </w:t>
            </w:r>
          </w:p>
        </w:tc>
      </w:tr>
      <w:tr w:rsidR="00682269" w:rsidRPr="00DE4E4F" w14:paraId="3DD4258E"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4C00D11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211a</w:t>
            </w:r>
          </w:p>
        </w:tc>
        <w:tc>
          <w:tcPr>
            <w:tcW w:w="1974" w:type="dxa"/>
            <w:tcBorders>
              <w:top w:val="nil"/>
              <w:left w:val="nil"/>
              <w:bottom w:val="single" w:sz="4" w:space="0" w:color="auto"/>
              <w:right w:val="single" w:sz="4" w:space="0" w:color="auto"/>
            </w:tcBorders>
            <w:shd w:val="clear" w:color="auto" w:fill="C6EFCE"/>
            <w:noWrap/>
          </w:tcPr>
          <w:p w14:paraId="566138A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150" w:type="dxa"/>
            <w:tcBorders>
              <w:top w:val="nil"/>
              <w:left w:val="nil"/>
              <w:bottom w:val="single" w:sz="4" w:space="0" w:color="auto"/>
              <w:right w:val="single" w:sz="4" w:space="0" w:color="auto"/>
            </w:tcBorders>
            <w:shd w:val="clear" w:color="auto" w:fill="C6EFCE"/>
            <w:noWrap/>
          </w:tcPr>
          <w:p w14:paraId="6AC6BFA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nil"/>
              <w:left w:val="nil"/>
              <w:bottom w:val="single" w:sz="4" w:space="0" w:color="auto"/>
              <w:right w:val="single" w:sz="4" w:space="0" w:color="auto"/>
            </w:tcBorders>
            <w:shd w:val="clear" w:color="auto" w:fill="C6EFCE"/>
            <w:noWrap/>
          </w:tcPr>
          <w:p w14:paraId="65B31580" w14:textId="6A8D6B25" w:rsidR="001B186F" w:rsidRPr="00DE4E4F" w:rsidRDefault="0034281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investment projects to support the digital and infrastructure capacities of the National Transparency Authority</w:t>
            </w:r>
          </w:p>
        </w:tc>
        <w:tc>
          <w:tcPr>
            <w:tcW w:w="1534" w:type="dxa"/>
            <w:tcBorders>
              <w:top w:val="nil"/>
              <w:left w:val="nil"/>
              <w:bottom w:val="single" w:sz="4" w:space="0" w:color="auto"/>
              <w:right w:val="single" w:sz="4" w:space="0" w:color="auto"/>
            </w:tcBorders>
            <w:shd w:val="clear" w:color="auto" w:fill="C6EFCE"/>
            <w:noWrap/>
          </w:tcPr>
          <w:p w14:paraId="224CB362" w14:textId="473417ED" w:rsidR="001B186F" w:rsidRPr="00DE4E4F" w:rsidRDefault="00342818">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562794"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of investment projects to support the digital and infrastructure capacities of the National Transparency Authority</w:t>
            </w:r>
          </w:p>
        </w:tc>
        <w:tc>
          <w:tcPr>
            <w:tcW w:w="933" w:type="dxa"/>
            <w:tcBorders>
              <w:top w:val="nil"/>
              <w:left w:val="nil"/>
              <w:bottom w:val="single" w:sz="4" w:space="0" w:color="auto"/>
              <w:right w:val="single" w:sz="4" w:space="0" w:color="auto"/>
            </w:tcBorders>
            <w:shd w:val="clear" w:color="auto" w:fill="C6EFCE"/>
            <w:noWrap/>
          </w:tcPr>
          <w:p w14:paraId="738A6EF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20CF2A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2" w:type="dxa"/>
            <w:tcBorders>
              <w:top w:val="nil"/>
              <w:left w:val="nil"/>
              <w:bottom w:val="single" w:sz="4" w:space="0" w:color="auto"/>
              <w:right w:val="single" w:sz="4" w:space="0" w:color="auto"/>
            </w:tcBorders>
            <w:shd w:val="clear" w:color="auto" w:fill="C6EFCE"/>
            <w:noWrap/>
          </w:tcPr>
          <w:p w14:paraId="469F7D8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nil"/>
              <w:left w:val="nil"/>
              <w:bottom w:val="single" w:sz="4" w:space="0" w:color="auto"/>
              <w:right w:val="single" w:sz="4" w:space="0" w:color="auto"/>
            </w:tcBorders>
            <w:shd w:val="clear" w:color="auto" w:fill="C6EFCE"/>
            <w:noWrap/>
          </w:tcPr>
          <w:p w14:paraId="6FA02B0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8" w:type="dxa"/>
            <w:tcBorders>
              <w:top w:val="nil"/>
              <w:left w:val="nil"/>
              <w:bottom w:val="single" w:sz="4" w:space="0" w:color="auto"/>
              <w:right w:val="single" w:sz="4" w:space="0" w:color="auto"/>
            </w:tcBorders>
            <w:shd w:val="clear" w:color="auto" w:fill="C6EFCE"/>
            <w:noWrap/>
          </w:tcPr>
          <w:p w14:paraId="6EA00DE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110" w:type="dxa"/>
            <w:tcBorders>
              <w:top w:val="nil"/>
              <w:left w:val="nil"/>
              <w:bottom w:val="single" w:sz="4" w:space="0" w:color="auto"/>
              <w:right w:val="single" w:sz="4" w:space="0" w:color="auto"/>
            </w:tcBorders>
            <w:shd w:val="clear" w:color="auto" w:fill="C6EFCE"/>
            <w:noWrap/>
          </w:tcPr>
          <w:p w14:paraId="1FEBBBDF" w14:textId="666B7709" w:rsidR="001B186F" w:rsidRPr="00DE4E4F" w:rsidRDefault="0014102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w:t>
            </w:r>
            <w:r w:rsidR="00C95F52" w:rsidRPr="00DE4E4F">
              <w:rPr>
                <w:rFonts w:ascii="Times New Roman" w:hAnsi="Times New Roman" w:cs="Times New Roman"/>
                <w:noProof/>
                <w:color w:val="006100"/>
                <w:sz w:val="18"/>
                <w:szCs w:val="18"/>
              </w:rPr>
              <w:t xml:space="preserve">the following </w:t>
            </w:r>
            <w:r w:rsidR="0074517F" w:rsidRPr="00DE4E4F">
              <w:rPr>
                <w:rFonts w:ascii="Times New Roman" w:hAnsi="Times New Roman" w:cs="Times New Roman"/>
                <w:noProof/>
                <w:color w:val="006100"/>
                <w:sz w:val="18"/>
                <w:szCs w:val="18"/>
              </w:rPr>
              <w:t>investment projects to support the National Transparency Authority</w:t>
            </w:r>
            <w:r w:rsidR="00DC28F1" w:rsidRPr="00DE4E4F">
              <w:rPr>
                <w:rFonts w:ascii="Times New Roman" w:hAnsi="Times New Roman" w:cs="Times New Roman"/>
                <w:noProof/>
                <w:color w:val="006100"/>
                <w:sz w:val="18"/>
                <w:szCs w:val="18"/>
              </w:rPr>
              <w:t>:</w:t>
            </w:r>
          </w:p>
          <w:p w14:paraId="4CC0E330" w14:textId="382E4B3A" w:rsidR="0014102F" w:rsidRPr="00DE4E4F" w:rsidRDefault="00562794" w:rsidP="0056279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w:t>
            </w:r>
            <w:r w:rsidR="0014102F" w:rsidRPr="00DE4E4F">
              <w:rPr>
                <w:rFonts w:ascii="Times New Roman" w:hAnsi="Times New Roman" w:cs="Times New Roman"/>
                <w:noProof/>
                <w:color w:val="006100"/>
                <w:sz w:val="18"/>
                <w:szCs w:val="18"/>
              </w:rPr>
              <w:t>Equipment and software for the digital forensics laboratory</w:t>
            </w:r>
            <w:r w:rsidRPr="00DE4E4F">
              <w:rPr>
                <w:rFonts w:ascii="Times New Roman" w:hAnsi="Times New Roman" w:cs="Times New Roman"/>
                <w:noProof/>
                <w:color w:val="006100"/>
                <w:sz w:val="18"/>
                <w:szCs w:val="18"/>
              </w:rPr>
              <w:t>.</w:t>
            </w:r>
          </w:p>
          <w:p w14:paraId="1ED88F77" w14:textId="60905FD6" w:rsidR="0014102F" w:rsidRPr="00DE4E4F" w:rsidRDefault="00562794" w:rsidP="0056279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w:t>
            </w:r>
            <w:r w:rsidR="0014102F" w:rsidRPr="00DE4E4F">
              <w:rPr>
                <w:rFonts w:ascii="Times New Roman" w:hAnsi="Times New Roman" w:cs="Times New Roman"/>
                <w:noProof/>
                <w:color w:val="006100"/>
                <w:sz w:val="18"/>
                <w:szCs w:val="18"/>
              </w:rPr>
              <w:t>An Integrated Information System for the Management of Audits and Inspections including an Artificial Intelligence tool</w:t>
            </w:r>
            <w:r w:rsidRPr="00DE4E4F">
              <w:rPr>
                <w:rFonts w:ascii="Times New Roman" w:hAnsi="Times New Roman" w:cs="Times New Roman"/>
                <w:noProof/>
                <w:color w:val="006100"/>
                <w:sz w:val="18"/>
                <w:szCs w:val="18"/>
              </w:rPr>
              <w:t>.</w:t>
            </w:r>
          </w:p>
          <w:p w14:paraId="750498B3" w14:textId="1DB97B9F" w:rsidR="0014102F" w:rsidRPr="00DE4E4F" w:rsidRDefault="00562794" w:rsidP="00562794">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w:t>
            </w:r>
            <w:r w:rsidR="0014102F" w:rsidRPr="00DE4E4F">
              <w:rPr>
                <w:rFonts w:ascii="Times New Roman" w:hAnsi="Times New Roman" w:cs="Times New Roman"/>
                <w:noProof/>
                <w:color w:val="006100"/>
                <w:sz w:val="18"/>
                <w:szCs w:val="18"/>
              </w:rPr>
              <w:t>Communication plan, material and creative content</w:t>
            </w:r>
            <w:r w:rsidRPr="00DE4E4F">
              <w:rPr>
                <w:rFonts w:ascii="Times New Roman" w:hAnsi="Times New Roman" w:cs="Times New Roman"/>
                <w:noProof/>
                <w:color w:val="006100"/>
                <w:sz w:val="18"/>
                <w:szCs w:val="18"/>
              </w:rPr>
              <w:t>.</w:t>
            </w:r>
          </w:p>
          <w:p w14:paraId="0D4226B8" w14:textId="2D69498F" w:rsidR="00DC28F1" w:rsidRPr="00DE4E4F" w:rsidRDefault="00DC28F1">
            <w:pPr>
              <w:spacing w:after="0" w:line="240" w:lineRule="auto"/>
              <w:rPr>
                <w:rFonts w:ascii="Times New Roman" w:hAnsi="Times New Roman" w:cs="Times New Roman"/>
                <w:noProof/>
                <w:color w:val="006100"/>
                <w:sz w:val="18"/>
                <w:szCs w:val="18"/>
              </w:rPr>
            </w:pPr>
          </w:p>
        </w:tc>
      </w:tr>
      <w:tr w:rsidR="00682269" w:rsidRPr="00DE4E4F" w14:paraId="46E8356A"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0EB181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212</w:t>
            </w:r>
          </w:p>
        </w:tc>
        <w:tc>
          <w:tcPr>
            <w:tcW w:w="1974" w:type="dxa"/>
            <w:tcBorders>
              <w:top w:val="nil"/>
              <w:left w:val="nil"/>
              <w:bottom w:val="single" w:sz="4" w:space="0" w:color="auto"/>
              <w:right w:val="single" w:sz="4" w:space="0" w:color="auto"/>
            </w:tcBorders>
            <w:shd w:val="clear" w:color="auto" w:fill="C6EFCE"/>
            <w:noWrap/>
          </w:tcPr>
          <w:p w14:paraId="4ACA2E1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- 16702_Enhancing the AML/CFT Framework</w:t>
            </w:r>
          </w:p>
        </w:tc>
        <w:tc>
          <w:tcPr>
            <w:tcW w:w="1150" w:type="dxa"/>
            <w:tcBorders>
              <w:top w:val="nil"/>
              <w:left w:val="nil"/>
              <w:bottom w:val="single" w:sz="4" w:space="0" w:color="auto"/>
              <w:right w:val="single" w:sz="4" w:space="0" w:color="auto"/>
            </w:tcBorders>
            <w:shd w:val="clear" w:color="auto" w:fill="C6EFCE"/>
            <w:noWrap/>
          </w:tcPr>
          <w:p w14:paraId="4957BFD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nil"/>
              <w:left w:val="nil"/>
              <w:bottom w:val="single" w:sz="4" w:space="0" w:color="auto"/>
              <w:right w:val="single" w:sz="4" w:space="0" w:color="auto"/>
            </w:tcBorders>
            <w:shd w:val="clear" w:color="auto" w:fill="C6EFCE"/>
            <w:noWrap/>
          </w:tcPr>
          <w:p w14:paraId="466762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Enhanced Anti-Money Laundering (AML) and Combating the Financing of Terrorism (CFT) Framework</w:t>
            </w:r>
          </w:p>
        </w:tc>
        <w:tc>
          <w:tcPr>
            <w:tcW w:w="1534" w:type="dxa"/>
            <w:tcBorders>
              <w:top w:val="nil"/>
              <w:left w:val="nil"/>
              <w:bottom w:val="single" w:sz="4" w:space="0" w:color="auto"/>
              <w:right w:val="single" w:sz="4" w:space="0" w:color="auto"/>
            </w:tcBorders>
            <w:shd w:val="clear" w:color="auto" w:fill="C6EFCE"/>
            <w:noWrap/>
          </w:tcPr>
          <w:p w14:paraId="073B19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Platform for the collection of statistical data launched; improvements in beneficial ownership special registry completed</w:t>
            </w:r>
          </w:p>
        </w:tc>
        <w:tc>
          <w:tcPr>
            <w:tcW w:w="933" w:type="dxa"/>
            <w:tcBorders>
              <w:top w:val="nil"/>
              <w:left w:val="nil"/>
              <w:bottom w:val="single" w:sz="4" w:space="0" w:color="auto"/>
              <w:right w:val="single" w:sz="4" w:space="0" w:color="auto"/>
            </w:tcBorders>
            <w:shd w:val="clear" w:color="auto" w:fill="C6EFCE"/>
            <w:noWrap/>
          </w:tcPr>
          <w:p w14:paraId="014A47C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sz w:val="18"/>
                <w:szCs w:val="18"/>
              </w:rPr>
              <w:t xml:space="preserve"> </w:t>
            </w:r>
          </w:p>
        </w:tc>
        <w:tc>
          <w:tcPr>
            <w:tcW w:w="857" w:type="dxa"/>
            <w:tcBorders>
              <w:top w:val="nil"/>
              <w:left w:val="nil"/>
              <w:bottom w:val="single" w:sz="4" w:space="0" w:color="auto"/>
              <w:right w:val="single" w:sz="4" w:space="0" w:color="auto"/>
            </w:tcBorders>
            <w:shd w:val="clear" w:color="auto" w:fill="C6EFCE"/>
            <w:noWrap/>
          </w:tcPr>
          <w:p w14:paraId="19B082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sz w:val="18"/>
                <w:szCs w:val="18"/>
              </w:rPr>
              <w:t xml:space="preserve"> </w:t>
            </w:r>
          </w:p>
        </w:tc>
        <w:tc>
          <w:tcPr>
            <w:tcW w:w="702" w:type="dxa"/>
            <w:tcBorders>
              <w:top w:val="nil"/>
              <w:left w:val="nil"/>
              <w:bottom w:val="single" w:sz="4" w:space="0" w:color="auto"/>
              <w:right w:val="single" w:sz="4" w:space="0" w:color="auto"/>
            </w:tcBorders>
            <w:shd w:val="clear" w:color="auto" w:fill="C6EFCE"/>
            <w:noWrap/>
          </w:tcPr>
          <w:p w14:paraId="2389318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nil"/>
              <w:left w:val="nil"/>
              <w:bottom w:val="single" w:sz="4" w:space="0" w:color="auto"/>
              <w:right w:val="single" w:sz="4" w:space="0" w:color="auto"/>
            </w:tcBorders>
            <w:shd w:val="clear" w:color="auto" w:fill="C6EFCE"/>
            <w:noWrap/>
          </w:tcPr>
          <w:p w14:paraId="613CB1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nil"/>
              <w:left w:val="nil"/>
              <w:bottom w:val="single" w:sz="4" w:space="0" w:color="auto"/>
              <w:right w:val="single" w:sz="4" w:space="0" w:color="auto"/>
            </w:tcBorders>
            <w:shd w:val="clear" w:color="auto" w:fill="C6EFCE"/>
            <w:noWrap/>
          </w:tcPr>
          <w:p w14:paraId="7074AA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5110" w:type="dxa"/>
            <w:tcBorders>
              <w:top w:val="nil"/>
              <w:left w:val="nil"/>
              <w:bottom w:val="single" w:sz="4" w:space="0" w:color="auto"/>
              <w:right w:val="single" w:sz="4" w:space="0" w:color="auto"/>
            </w:tcBorders>
            <w:shd w:val="clear" w:color="auto" w:fill="C6EFCE"/>
            <w:noWrap/>
          </w:tcPr>
          <w:p w14:paraId="46ABC6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 Launch of the platform for the collection of statistical data held by national competent authorities (i.e. judicial, supervisory and law enforcement); (ii) Improvement of the Central Register of Beneficial Owners to facilitate the direct access of the competent authorities to such information; (iii) Interconnection of the Central Register of Beneficial Owners with the respective registers of EU Member States through the relevant EU platform.</w:t>
            </w:r>
          </w:p>
        </w:tc>
      </w:tr>
      <w:tr w:rsidR="00682269" w:rsidRPr="00DE4E4F" w14:paraId="5A5A65B0" w14:textId="77777777">
        <w:trPr>
          <w:trHeight w:val="313"/>
          <w:jc w:val="center"/>
        </w:trPr>
        <w:tc>
          <w:tcPr>
            <w:tcW w:w="666" w:type="dxa"/>
            <w:tcBorders>
              <w:top w:val="nil"/>
              <w:left w:val="single" w:sz="4" w:space="0" w:color="auto"/>
              <w:bottom w:val="single" w:sz="4" w:space="0" w:color="auto"/>
              <w:right w:val="single" w:sz="4" w:space="0" w:color="auto"/>
            </w:tcBorders>
            <w:shd w:val="clear" w:color="auto" w:fill="C6EFCE"/>
            <w:noWrap/>
          </w:tcPr>
          <w:p w14:paraId="5555F9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213</w:t>
            </w:r>
          </w:p>
        </w:tc>
        <w:tc>
          <w:tcPr>
            <w:tcW w:w="1974" w:type="dxa"/>
            <w:tcBorders>
              <w:top w:val="nil"/>
              <w:left w:val="nil"/>
              <w:bottom w:val="single" w:sz="4" w:space="0" w:color="auto"/>
              <w:right w:val="single" w:sz="4" w:space="0" w:color="auto"/>
            </w:tcBorders>
            <w:shd w:val="clear" w:color="auto" w:fill="C6EFCE"/>
            <w:noWrap/>
          </w:tcPr>
          <w:p w14:paraId="5E63B6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- 16703_Combating illegal trade and protecting intellectual property</w:t>
            </w:r>
          </w:p>
        </w:tc>
        <w:tc>
          <w:tcPr>
            <w:tcW w:w="1150" w:type="dxa"/>
            <w:tcBorders>
              <w:top w:val="nil"/>
              <w:left w:val="nil"/>
              <w:bottom w:val="single" w:sz="4" w:space="0" w:color="auto"/>
              <w:right w:val="single" w:sz="4" w:space="0" w:color="auto"/>
            </w:tcBorders>
            <w:shd w:val="clear" w:color="auto" w:fill="C6EFCE"/>
            <w:noWrap/>
          </w:tcPr>
          <w:p w14:paraId="32698F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3" w:type="dxa"/>
            <w:tcBorders>
              <w:top w:val="nil"/>
              <w:left w:val="nil"/>
              <w:bottom w:val="single" w:sz="4" w:space="0" w:color="auto"/>
              <w:right w:val="single" w:sz="4" w:space="0" w:color="auto"/>
            </w:tcBorders>
            <w:shd w:val="clear" w:color="auto" w:fill="C6EFCE"/>
            <w:noWrap/>
          </w:tcPr>
          <w:p w14:paraId="16B99D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an information system, and delivery of control stations and training for combating illegal trade</w:t>
            </w:r>
          </w:p>
        </w:tc>
        <w:tc>
          <w:tcPr>
            <w:tcW w:w="1534" w:type="dxa"/>
            <w:tcBorders>
              <w:top w:val="nil"/>
              <w:left w:val="nil"/>
              <w:bottom w:val="single" w:sz="4" w:space="0" w:color="auto"/>
              <w:right w:val="single" w:sz="4" w:space="0" w:color="auto"/>
            </w:tcBorders>
            <w:shd w:val="clear" w:color="auto" w:fill="C6EFCE"/>
            <w:noWrap/>
          </w:tcPr>
          <w:p w14:paraId="69D117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an information system, and delivery of control stations and training for combating illegal trade</w:t>
            </w:r>
          </w:p>
        </w:tc>
        <w:tc>
          <w:tcPr>
            <w:tcW w:w="933" w:type="dxa"/>
            <w:tcBorders>
              <w:top w:val="nil"/>
              <w:left w:val="nil"/>
              <w:bottom w:val="single" w:sz="4" w:space="0" w:color="auto"/>
              <w:right w:val="single" w:sz="4" w:space="0" w:color="auto"/>
            </w:tcBorders>
            <w:shd w:val="clear" w:color="auto" w:fill="C6EFCE"/>
            <w:noWrap/>
          </w:tcPr>
          <w:p w14:paraId="1589199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47A84EF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2" w:type="dxa"/>
            <w:tcBorders>
              <w:top w:val="nil"/>
              <w:left w:val="nil"/>
              <w:bottom w:val="single" w:sz="4" w:space="0" w:color="auto"/>
              <w:right w:val="single" w:sz="4" w:space="0" w:color="auto"/>
            </w:tcBorders>
            <w:shd w:val="clear" w:color="auto" w:fill="C6EFCE"/>
            <w:noWrap/>
          </w:tcPr>
          <w:p w14:paraId="1EEB07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nil"/>
              <w:left w:val="nil"/>
              <w:bottom w:val="single" w:sz="4" w:space="0" w:color="auto"/>
              <w:right w:val="single" w:sz="4" w:space="0" w:color="auto"/>
            </w:tcBorders>
            <w:shd w:val="clear" w:color="auto" w:fill="C6EFCE"/>
            <w:noWrap/>
          </w:tcPr>
          <w:p w14:paraId="397ECC7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8" w:type="dxa"/>
            <w:tcBorders>
              <w:top w:val="nil"/>
              <w:left w:val="nil"/>
              <w:bottom w:val="single" w:sz="4" w:space="0" w:color="auto"/>
              <w:right w:val="single" w:sz="4" w:space="0" w:color="auto"/>
            </w:tcBorders>
            <w:shd w:val="clear" w:color="auto" w:fill="C6EFCE"/>
            <w:noWrap/>
          </w:tcPr>
          <w:p w14:paraId="5077EF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110" w:type="dxa"/>
            <w:tcBorders>
              <w:top w:val="nil"/>
              <w:left w:val="nil"/>
              <w:bottom w:val="single" w:sz="4" w:space="0" w:color="auto"/>
              <w:right w:val="single" w:sz="4" w:space="0" w:color="auto"/>
            </w:tcBorders>
            <w:shd w:val="clear" w:color="auto" w:fill="C6EFCE"/>
            <w:noWrap/>
          </w:tcPr>
          <w:p w14:paraId="24350A1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Creation of an information system for controls to combat illegal trade and control the movement of goods and services.</w:t>
            </w:r>
          </w:p>
          <w:p w14:paraId="21CFF0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Delivery of control stations (10 ISOBOX prefabricated buildings).</w:t>
            </w:r>
          </w:p>
          <w:p w14:paraId="415AFA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Delivery of training for audit staff and</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citizens.</w:t>
            </w:r>
          </w:p>
        </w:tc>
      </w:tr>
    </w:tbl>
    <w:p w14:paraId="58FC053A" w14:textId="77777777" w:rsidR="001B186F" w:rsidRPr="00DE4E4F" w:rsidRDefault="001B186F">
      <w:pPr>
        <w:spacing w:before="120" w:after="120" w:line="240" w:lineRule="auto"/>
        <w:jc w:val="both"/>
        <w:rPr>
          <w:rFonts w:ascii="Times New Roman" w:hAnsi="Times New Roman" w:cs="Times New Roman"/>
          <w:noProof/>
          <w:sz w:val="24"/>
          <w:szCs w:val="24"/>
        </w:rPr>
      </w:pPr>
    </w:p>
    <w:p w14:paraId="57615850" w14:textId="77777777" w:rsidR="001B186F" w:rsidRPr="00DE4E4F" w:rsidRDefault="001B186F">
      <w:pPr>
        <w:keepNext/>
        <w:keepLines/>
        <w:spacing w:before="40" w:after="0" w:line="240" w:lineRule="auto"/>
        <w:jc w:val="both"/>
        <w:outlineLvl w:val="4"/>
        <w:rPr>
          <w:rFonts w:ascii="Cambria" w:hAnsi="Cambria"/>
          <w:noProof/>
          <w:color w:val="365F91"/>
          <w:sz w:val="24"/>
        </w:rPr>
        <w:sectPr w:rsidR="001B186F" w:rsidRPr="00DE4E4F">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p w14:paraId="4C85D186"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20: Enhancing the public administration</w:t>
      </w:r>
    </w:p>
    <w:p w14:paraId="44C3E110"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govERP (ID: 16705)</w:t>
      </w:r>
    </w:p>
    <w:p w14:paraId="299E056B"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Accounting reform (ID: 16974)</w:t>
      </w:r>
    </w:p>
    <w:p w14:paraId="2E42B536"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Modern institutional framework for State Owned Enterprises (ID: 16657)</w:t>
      </w:r>
    </w:p>
    <w:p w14:paraId="502E9C34"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Enhance State-aid network (ID: 16701)</w:t>
      </w:r>
    </w:p>
    <w:p w14:paraId="272B4A96"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Modernise the Hellenic Consignment Deposit and Loans Fund (ID: 16940)</w:t>
      </w:r>
    </w:p>
    <w:p w14:paraId="42D93236"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Professionalization of the Public Procurement domain (ID: 16711)</w:t>
      </w:r>
    </w:p>
    <w:p w14:paraId="216813AA" w14:textId="77777777" w:rsidR="001B186F" w:rsidRPr="00DE4E4F" w:rsidRDefault="0074517F">
      <w:pPr>
        <w:numPr>
          <w:ilvl w:val="0"/>
          <w:numId w:val="61"/>
        </w:numPr>
        <w:spacing w:before="120" w:after="0" w:line="240" w:lineRule="auto"/>
        <w:jc w:val="both"/>
        <w:rPr>
          <w:rFonts w:ascii="Times New Roman" w:hAnsi="Times New Roman" w:cs="Times New Roman"/>
          <w:noProof/>
          <w:sz w:val="24"/>
        </w:rPr>
      </w:pPr>
      <w:r w:rsidRPr="00DE4E4F">
        <w:rPr>
          <w:rFonts w:ascii="Times New Roman" w:hAnsi="Times New Roman"/>
          <w:noProof/>
          <w:sz w:val="24"/>
          <w:szCs w:val="24"/>
        </w:rPr>
        <w:t xml:space="preserve">Completion of the </w:t>
      </w:r>
      <w:r w:rsidRPr="00DE4E4F" w:rsidDel="005B214D">
        <w:rPr>
          <w:rFonts w:ascii="Times New Roman" w:hAnsi="Times New Roman"/>
          <w:noProof/>
          <w:sz w:val="24"/>
          <w:szCs w:val="24"/>
        </w:rPr>
        <w:t>n</w:t>
      </w:r>
      <w:r w:rsidRPr="00DE4E4F">
        <w:rPr>
          <w:rFonts w:ascii="Times New Roman" w:hAnsi="Times New Roman"/>
          <w:noProof/>
          <w:sz w:val="24"/>
          <w:szCs w:val="24"/>
        </w:rPr>
        <w:t>ational cadastre (ID: 16986)</w:t>
      </w:r>
    </w:p>
    <w:tbl>
      <w:tblPr>
        <w:tblW w:w="16385" w:type="dxa"/>
        <w:jc w:val="center"/>
        <w:tblLook w:val="04A0" w:firstRow="1" w:lastRow="0" w:firstColumn="1" w:lastColumn="0" w:noHBand="0" w:noVBand="1"/>
      </w:tblPr>
      <w:tblGrid>
        <w:gridCol w:w="613"/>
        <w:gridCol w:w="2560"/>
        <w:gridCol w:w="1063"/>
        <w:gridCol w:w="2034"/>
        <w:gridCol w:w="1975"/>
        <w:gridCol w:w="1777"/>
        <w:gridCol w:w="1003"/>
        <w:gridCol w:w="876"/>
        <w:gridCol w:w="846"/>
        <w:gridCol w:w="673"/>
        <w:gridCol w:w="2965"/>
      </w:tblGrid>
      <w:tr w:rsidR="00682269" w:rsidRPr="00DE4E4F" w14:paraId="0FBD235E" w14:textId="77777777" w:rsidTr="00A70121">
        <w:trPr>
          <w:trHeight w:val="640"/>
          <w:tblHeader/>
          <w:jc w:val="center"/>
        </w:trPr>
        <w:tc>
          <w:tcPr>
            <w:tcW w:w="6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C736A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7781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1797C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20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274DD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9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E21E0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365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4A7B69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15490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29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E660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2FCF6198" w14:textId="77777777" w:rsidTr="00A70121">
        <w:trPr>
          <w:trHeight w:val="400"/>
          <w:tblHeader/>
          <w:jc w:val="center"/>
        </w:trPr>
        <w:tc>
          <w:tcPr>
            <w:tcW w:w="613" w:type="dxa"/>
            <w:vMerge/>
            <w:tcBorders>
              <w:top w:val="single" w:sz="4" w:space="0" w:color="auto"/>
              <w:left w:val="single" w:sz="4" w:space="0" w:color="auto"/>
              <w:bottom w:val="single" w:sz="4" w:space="0" w:color="auto"/>
              <w:right w:val="single" w:sz="4" w:space="0" w:color="auto"/>
            </w:tcBorders>
            <w:vAlign w:val="center"/>
            <w:hideMark/>
          </w:tcPr>
          <w:p w14:paraId="6602742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14:paraId="0730214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14:paraId="5C7900A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034" w:type="dxa"/>
            <w:vMerge/>
            <w:tcBorders>
              <w:top w:val="single" w:sz="4" w:space="0" w:color="auto"/>
              <w:left w:val="single" w:sz="4" w:space="0" w:color="auto"/>
              <w:bottom w:val="single" w:sz="4" w:space="0" w:color="auto"/>
              <w:right w:val="single" w:sz="4" w:space="0" w:color="auto"/>
            </w:tcBorders>
            <w:vAlign w:val="center"/>
            <w:hideMark/>
          </w:tcPr>
          <w:p w14:paraId="291ABD1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75" w:type="dxa"/>
            <w:vMerge/>
            <w:tcBorders>
              <w:top w:val="single" w:sz="4" w:space="0" w:color="auto"/>
              <w:left w:val="single" w:sz="4" w:space="0" w:color="auto"/>
              <w:bottom w:val="single" w:sz="4" w:space="0" w:color="auto"/>
              <w:right w:val="single" w:sz="4" w:space="0" w:color="auto"/>
            </w:tcBorders>
            <w:vAlign w:val="center"/>
            <w:hideMark/>
          </w:tcPr>
          <w:p w14:paraId="01D40A1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9326A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0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EFE3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AC104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FA1EE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80885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2965" w:type="dxa"/>
            <w:vMerge/>
            <w:tcBorders>
              <w:top w:val="single" w:sz="4" w:space="0" w:color="auto"/>
              <w:left w:val="single" w:sz="4" w:space="0" w:color="auto"/>
              <w:bottom w:val="single" w:sz="4" w:space="0" w:color="auto"/>
              <w:right w:val="single" w:sz="4" w:space="0" w:color="auto"/>
            </w:tcBorders>
            <w:vAlign w:val="center"/>
            <w:hideMark/>
          </w:tcPr>
          <w:p w14:paraId="5BFA63B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4C1CABDC" w14:textId="77777777" w:rsidTr="00A70121">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41DFCF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214</w:t>
            </w:r>
          </w:p>
        </w:tc>
        <w:tc>
          <w:tcPr>
            <w:tcW w:w="2560" w:type="dxa"/>
            <w:tcBorders>
              <w:top w:val="single" w:sz="4" w:space="0" w:color="auto"/>
              <w:left w:val="single" w:sz="4" w:space="0" w:color="auto"/>
              <w:bottom w:val="single" w:sz="4" w:space="0" w:color="auto"/>
              <w:right w:val="single" w:sz="4" w:space="0" w:color="auto"/>
            </w:tcBorders>
            <w:shd w:val="clear" w:color="auto" w:fill="C6EFCE"/>
            <w:noWrap/>
          </w:tcPr>
          <w:p w14:paraId="4231AF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- 16701_Enhance State-aid network</w:t>
            </w:r>
          </w:p>
        </w:tc>
        <w:tc>
          <w:tcPr>
            <w:tcW w:w="1063" w:type="dxa"/>
            <w:tcBorders>
              <w:top w:val="single" w:sz="4" w:space="0" w:color="auto"/>
              <w:left w:val="single" w:sz="4" w:space="0" w:color="auto"/>
              <w:bottom w:val="single" w:sz="4" w:space="0" w:color="auto"/>
              <w:right w:val="single" w:sz="4" w:space="0" w:color="auto"/>
            </w:tcBorders>
            <w:shd w:val="clear" w:color="auto" w:fill="C6EFCE"/>
            <w:noWrap/>
          </w:tcPr>
          <w:p w14:paraId="0732F8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single" w:sz="4" w:space="0" w:color="auto"/>
              <w:left w:val="single" w:sz="4" w:space="0" w:color="auto"/>
              <w:bottom w:val="single" w:sz="4" w:space="0" w:color="auto"/>
              <w:right w:val="single" w:sz="4" w:space="0" w:color="auto"/>
            </w:tcBorders>
            <w:shd w:val="clear" w:color="auto" w:fill="C6EFCE"/>
            <w:noWrap/>
          </w:tcPr>
          <w:p w14:paraId="4975732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Enhanced State-aid network</w:t>
            </w:r>
          </w:p>
        </w:tc>
        <w:tc>
          <w:tcPr>
            <w:tcW w:w="1975" w:type="dxa"/>
            <w:tcBorders>
              <w:top w:val="single" w:sz="4" w:space="0" w:color="auto"/>
              <w:left w:val="single" w:sz="4" w:space="0" w:color="auto"/>
              <w:bottom w:val="single" w:sz="4" w:space="0" w:color="auto"/>
              <w:right w:val="single" w:sz="4" w:space="0" w:color="auto"/>
            </w:tcBorders>
            <w:shd w:val="clear" w:color="auto" w:fill="C6EFCE"/>
            <w:noWrap/>
          </w:tcPr>
          <w:p w14:paraId="39CFF27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enhanced state-aid framework</w:t>
            </w:r>
          </w:p>
        </w:tc>
        <w:tc>
          <w:tcPr>
            <w:tcW w:w="1777" w:type="dxa"/>
            <w:tcBorders>
              <w:top w:val="single" w:sz="4" w:space="0" w:color="auto"/>
              <w:left w:val="single" w:sz="4" w:space="0" w:color="auto"/>
              <w:bottom w:val="single" w:sz="4" w:space="0" w:color="auto"/>
              <w:right w:val="single" w:sz="4" w:space="0" w:color="auto"/>
            </w:tcBorders>
            <w:shd w:val="clear" w:color="auto" w:fill="C6EFCE"/>
            <w:noWrap/>
          </w:tcPr>
          <w:p w14:paraId="7995A1C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single" w:sz="4" w:space="0" w:color="auto"/>
              <w:left w:val="single" w:sz="4" w:space="0" w:color="auto"/>
              <w:bottom w:val="single" w:sz="4" w:space="0" w:color="auto"/>
              <w:right w:val="single" w:sz="4" w:space="0" w:color="auto"/>
            </w:tcBorders>
            <w:shd w:val="clear" w:color="auto" w:fill="C6EFCE"/>
            <w:noWrap/>
          </w:tcPr>
          <w:p w14:paraId="7C6B8A3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6" w:type="dxa"/>
            <w:tcBorders>
              <w:top w:val="single" w:sz="4" w:space="0" w:color="auto"/>
              <w:left w:val="single" w:sz="4" w:space="0" w:color="auto"/>
              <w:bottom w:val="single" w:sz="4" w:space="0" w:color="auto"/>
              <w:right w:val="single" w:sz="4" w:space="0" w:color="auto"/>
            </w:tcBorders>
            <w:shd w:val="clear" w:color="auto" w:fill="C6EFCE"/>
            <w:noWrap/>
          </w:tcPr>
          <w:p w14:paraId="44A2017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61F60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4CBDCE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2965" w:type="dxa"/>
            <w:tcBorders>
              <w:top w:val="single" w:sz="4" w:space="0" w:color="auto"/>
              <w:left w:val="single" w:sz="4" w:space="0" w:color="auto"/>
              <w:bottom w:val="single" w:sz="4" w:space="0" w:color="auto"/>
              <w:right w:val="single" w:sz="4" w:space="0" w:color="auto"/>
            </w:tcBorders>
            <w:shd w:val="clear" w:color="auto" w:fill="C6EFCE"/>
            <w:noWrap/>
          </w:tcPr>
          <w:p w14:paraId="28B53E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amendments to the state aid legal framework for the operation of Central State Aid Network (CESANET), to strengthen the competencies of the Central State Aid Unit and the Decentralised State Aid Units</w:t>
            </w:r>
          </w:p>
        </w:tc>
      </w:tr>
      <w:tr w:rsidR="00682269" w:rsidRPr="00DE4E4F" w14:paraId="13A72A96" w14:textId="77777777" w:rsidTr="00A70121">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FA022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215</w:t>
            </w:r>
          </w:p>
        </w:tc>
        <w:tc>
          <w:tcPr>
            <w:tcW w:w="2560" w:type="dxa"/>
            <w:tcBorders>
              <w:top w:val="single" w:sz="4" w:space="0" w:color="auto"/>
              <w:left w:val="nil"/>
              <w:bottom w:val="single" w:sz="4" w:space="0" w:color="auto"/>
              <w:right w:val="single" w:sz="4" w:space="0" w:color="auto"/>
            </w:tcBorders>
            <w:shd w:val="clear" w:color="auto" w:fill="C6EFCE"/>
            <w:noWrap/>
          </w:tcPr>
          <w:p w14:paraId="4C311C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- 16981_Enhancement of policy planning and coordination</w:t>
            </w:r>
          </w:p>
        </w:tc>
        <w:tc>
          <w:tcPr>
            <w:tcW w:w="1063" w:type="dxa"/>
            <w:tcBorders>
              <w:top w:val="single" w:sz="4" w:space="0" w:color="auto"/>
              <w:left w:val="nil"/>
              <w:bottom w:val="single" w:sz="4" w:space="0" w:color="auto"/>
              <w:right w:val="single" w:sz="4" w:space="0" w:color="auto"/>
            </w:tcBorders>
            <w:shd w:val="clear" w:color="auto" w:fill="C6EFCE"/>
            <w:noWrap/>
          </w:tcPr>
          <w:p w14:paraId="131F83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single" w:sz="4" w:space="0" w:color="auto"/>
              <w:left w:val="nil"/>
              <w:bottom w:val="single" w:sz="4" w:space="0" w:color="auto"/>
              <w:right w:val="single" w:sz="4" w:space="0" w:color="auto"/>
            </w:tcBorders>
            <w:shd w:val="clear" w:color="auto" w:fill="C6EFCE"/>
            <w:noWrap/>
          </w:tcPr>
          <w:p w14:paraId="3B090D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Policy planning and coordination – impact assessment</w:t>
            </w:r>
          </w:p>
        </w:tc>
        <w:tc>
          <w:tcPr>
            <w:tcW w:w="1975" w:type="dxa"/>
            <w:tcBorders>
              <w:top w:val="single" w:sz="4" w:space="0" w:color="auto"/>
              <w:left w:val="nil"/>
              <w:bottom w:val="single" w:sz="4" w:space="0" w:color="auto"/>
              <w:right w:val="single" w:sz="4" w:space="0" w:color="auto"/>
            </w:tcBorders>
            <w:shd w:val="clear" w:color="auto" w:fill="C6EFCE"/>
            <w:noWrap/>
          </w:tcPr>
          <w:p w14:paraId="6555F8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programme launched with 100 civil servants selected to attend.</w:t>
            </w:r>
          </w:p>
        </w:tc>
        <w:tc>
          <w:tcPr>
            <w:tcW w:w="1777" w:type="dxa"/>
            <w:tcBorders>
              <w:top w:val="single" w:sz="4" w:space="0" w:color="auto"/>
              <w:left w:val="nil"/>
              <w:bottom w:val="single" w:sz="4" w:space="0" w:color="auto"/>
              <w:right w:val="single" w:sz="4" w:space="0" w:color="auto"/>
            </w:tcBorders>
            <w:shd w:val="clear" w:color="auto" w:fill="C6EFCE"/>
            <w:noWrap/>
          </w:tcPr>
          <w:p w14:paraId="2E36AC4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single" w:sz="4" w:space="0" w:color="auto"/>
              <w:left w:val="nil"/>
              <w:bottom w:val="single" w:sz="4" w:space="0" w:color="auto"/>
              <w:right w:val="single" w:sz="4" w:space="0" w:color="auto"/>
            </w:tcBorders>
            <w:shd w:val="clear" w:color="auto" w:fill="C6EFCE"/>
            <w:noWrap/>
          </w:tcPr>
          <w:p w14:paraId="027B4D6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6" w:type="dxa"/>
            <w:tcBorders>
              <w:top w:val="single" w:sz="4" w:space="0" w:color="auto"/>
              <w:left w:val="nil"/>
              <w:bottom w:val="single" w:sz="4" w:space="0" w:color="auto"/>
              <w:right w:val="single" w:sz="4" w:space="0" w:color="auto"/>
            </w:tcBorders>
            <w:shd w:val="clear" w:color="auto" w:fill="C6EFCE"/>
            <w:noWrap/>
          </w:tcPr>
          <w:p w14:paraId="4F5416D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67FD34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77D180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2965" w:type="dxa"/>
            <w:tcBorders>
              <w:top w:val="single" w:sz="4" w:space="0" w:color="auto"/>
              <w:left w:val="nil"/>
              <w:bottom w:val="single" w:sz="4" w:space="0" w:color="auto"/>
              <w:right w:val="single" w:sz="4" w:space="0" w:color="auto"/>
            </w:tcBorders>
            <w:shd w:val="clear" w:color="auto" w:fill="C6EFCE"/>
            <w:noWrap/>
          </w:tcPr>
          <w:p w14:paraId="3B3FA4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Following the launch of the electronic platform for impact assessment, a training programme and associated accreditation procedure shall be launched with at least 100 civil servants enrolled, including civil servants selected for the “executive branches” (Law 4622/2019, Article 104) aiming to improve the quality of the impact assessments prepared and facilitate the use of the electronic platform. </w:t>
            </w:r>
          </w:p>
        </w:tc>
      </w:tr>
      <w:tr w:rsidR="00682269" w:rsidRPr="00DE4E4F" w14:paraId="188222A6"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tcPr>
          <w:p w14:paraId="0F197418"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216a</w:t>
            </w:r>
          </w:p>
        </w:tc>
        <w:tc>
          <w:tcPr>
            <w:tcW w:w="2560" w:type="dxa"/>
            <w:tcBorders>
              <w:top w:val="nil"/>
              <w:left w:val="nil"/>
              <w:bottom w:val="single" w:sz="4" w:space="0" w:color="auto"/>
              <w:right w:val="single" w:sz="4" w:space="0" w:color="auto"/>
            </w:tcBorders>
            <w:shd w:val="clear" w:color="auto" w:fill="C6EFCE"/>
            <w:noWrap/>
          </w:tcPr>
          <w:p w14:paraId="5E8767A7" w14:textId="63E5CA14"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r w:rsidR="00DE4C0C" w:rsidRPr="00DE4E4F">
              <w:rPr>
                <w:rFonts w:ascii="Times New Roman" w:hAnsi="Times New Roman" w:cs="Times New Roman"/>
                <w:noProof/>
                <w:color w:val="006100"/>
                <w:sz w:val="18"/>
                <w:szCs w:val="18"/>
              </w:rPr>
              <w:t xml:space="preserve"> </w:t>
            </w:r>
          </w:p>
        </w:tc>
        <w:tc>
          <w:tcPr>
            <w:tcW w:w="1063" w:type="dxa"/>
            <w:tcBorders>
              <w:top w:val="nil"/>
              <w:left w:val="nil"/>
              <w:bottom w:val="single" w:sz="4" w:space="0" w:color="auto"/>
              <w:right w:val="single" w:sz="4" w:space="0" w:color="auto"/>
            </w:tcBorders>
            <w:shd w:val="clear" w:color="auto" w:fill="C6EFCE"/>
            <w:noWrap/>
          </w:tcPr>
          <w:p w14:paraId="0BA04E95"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nil"/>
              <w:left w:val="nil"/>
              <w:bottom w:val="single" w:sz="4" w:space="0" w:color="auto"/>
              <w:right w:val="single" w:sz="4" w:space="0" w:color="auto"/>
            </w:tcBorders>
            <w:shd w:val="clear" w:color="auto" w:fill="C6EFCE"/>
            <w:noWrap/>
          </w:tcPr>
          <w:p w14:paraId="1FF36699"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Amendment of the National Strategy on Public Procurement 2021-2025</w:t>
            </w:r>
          </w:p>
        </w:tc>
        <w:tc>
          <w:tcPr>
            <w:tcW w:w="1975" w:type="dxa"/>
            <w:tcBorders>
              <w:top w:val="nil"/>
              <w:left w:val="nil"/>
              <w:bottom w:val="single" w:sz="4" w:space="0" w:color="auto"/>
              <w:right w:val="single" w:sz="4" w:space="0" w:color="auto"/>
            </w:tcBorders>
            <w:shd w:val="clear" w:color="auto" w:fill="C6EFCE"/>
            <w:noWrap/>
          </w:tcPr>
          <w:p w14:paraId="57B3C576" w14:textId="77777777" w:rsidR="001B186F" w:rsidRPr="00DE4E4F" w:rsidRDefault="0074517F">
            <w:pPr>
              <w:spacing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Amendment to National Strategy on public procurement is entered into force through secondary legislative act</w:t>
            </w:r>
          </w:p>
        </w:tc>
        <w:tc>
          <w:tcPr>
            <w:tcW w:w="1777" w:type="dxa"/>
            <w:tcBorders>
              <w:top w:val="nil"/>
              <w:left w:val="nil"/>
              <w:bottom w:val="single" w:sz="4" w:space="0" w:color="auto"/>
              <w:right w:val="single" w:sz="4" w:space="0" w:color="auto"/>
            </w:tcBorders>
            <w:shd w:val="clear" w:color="auto" w:fill="C6EFCE"/>
            <w:noWrap/>
          </w:tcPr>
          <w:p w14:paraId="26AB1D74"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1003" w:type="dxa"/>
            <w:tcBorders>
              <w:top w:val="nil"/>
              <w:left w:val="nil"/>
              <w:bottom w:val="single" w:sz="4" w:space="0" w:color="auto"/>
              <w:right w:val="single" w:sz="4" w:space="0" w:color="auto"/>
            </w:tcBorders>
            <w:shd w:val="clear" w:color="auto" w:fill="C6EFCE"/>
            <w:noWrap/>
          </w:tcPr>
          <w:p w14:paraId="0D95BFF6"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76" w:type="dxa"/>
            <w:tcBorders>
              <w:top w:val="nil"/>
              <w:left w:val="nil"/>
              <w:bottom w:val="single" w:sz="4" w:space="0" w:color="auto"/>
              <w:right w:val="single" w:sz="4" w:space="0" w:color="auto"/>
            </w:tcBorders>
            <w:shd w:val="clear" w:color="auto" w:fill="C6EFCE"/>
            <w:noWrap/>
          </w:tcPr>
          <w:p w14:paraId="44F20B85"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14B0CE47"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nil"/>
              <w:left w:val="nil"/>
              <w:bottom w:val="single" w:sz="4" w:space="0" w:color="auto"/>
              <w:right w:val="single" w:sz="4" w:space="0" w:color="auto"/>
            </w:tcBorders>
            <w:shd w:val="clear" w:color="auto" w:fill="C6EFCE"/>
            <w:noWrap/>
          </w:tcPr>
          <w:p w14:paraId="5DE62EEA"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2965" w:type="dxa"/>
            <w:tcBorders>
              <w:top w:val="nil"/>
              <w:left w:val="nil"/>
              <w:bottom w:val="single" w:sz="4" w:space="0" w:color="auto"/>
              <w:right w:val="single" w:sz="4" w:space="0" w:color="auto"/>
            </w:tcBorders>
            <w:shd w:val="clear" w:color="auto" w:fill="C6EFCE"/>
            <w:noWrap/>
          </w:tcPr>
          <w:p w14:paraId="62A2BEE4"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through secondary legislation of the amended National Strategy on Public Procurement 2021-2025</w:t>
            </w:r>
          </w:p>
        </w:tc>
      </w:tr>
      <w:tr w:rsidR="00682269" w:rsidRPr="00DE4E4F" w14:paraId="1FE07E71"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5377EA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216</w:t>
            </w:r>
          </w:p>
        </w:tc>
        <w:tc>
          <w:tcPr>
            <w:tcW w:w="2560" w:type="dxa"/>
            <w:tcBorders>
              <w:top w:val="nil"/>
              <w:left w:val="nil"/>
              <w:bottom w:val="single" w:sz="4" w:space="0" w:color="auto"/>
              <w:right w:val="single" w:sz="4" w:space="0" w:color="auto"/>
            </w:tcBorders>
            <w:shd w:val="clear" w:color="auto" w:fill="C6EFCE"/>
            <w:noWrap/>
            <w:hideMark/>
          </w:tcPr>
          <w:p w14:paraId="3A68892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p>
        </w:tc>
        <w:tc>
          <w:tcPr>
            <w:tcW w:w="1063" w:type="dxa"/>
            <w:tcBorders>
              <w:top w:val="nil"/>
              <w:left w:val="nil"/>
              <w:bottom w:val="single" w:sz="4" w:space="0" w:color="auto"/>
              <w:right w:val="single" w:sz="4" w:space="0" w:color="auto"/>
            </w:tcBorders>
            <w:shd w:val="clear" w:color="auto" w:fill="C6EFCE"/>
            <w:noWrap/>
            <w:hideMark/>
          </w:tcPr>
          <w:p w14:paraId="576249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nil"/>
              <w:left w:val="nil"/>
              <w:bottom w:val="single" w:sz="4" w:space="0" w:color="auto"/>
              <w:right w:val="single" w:sz="4" w:space="0" w:color="auto"/>
            </w:tcBorders>
            <w:shd w:val="clear" w:color="auto" w:fill="C6EFCE"/>
            <w:noWrap/>
            <w:hideMark/>
          </w:tcPr>
          <w:p w14:paraId="70B707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Professionalisation of Public Procurement domain - new legislation</w:t>
            </w:r>
          </w:p>
        </w:tc>
        <w:tc>
          <w:tcPr>
            <w:tcW w:w="1975" w:type="dxa"/>
            <w:tcBorders>
              <w:top w:val="nil"/>
              <w:left w:val="nil"/>
              <w:bottom w:val="single" w:sz="4" w:space="0" w:color="auto"/>
              <w:right w:val="single" w:sz="4" w:space="0" w:color="auto"/>
            </w:tcBorders>
            <w:shd w:val="clear" w:color="auto" w:fill="C6EFCE"/>
            <w:noWrap/>
            <w:hideMark/>
          </w:tcPr>
          <w:p w14:paraId="38A30B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New legislation entered into force; in-depth study completed</w:t>
            </w:r>
          </w:p>
        </w:tc>
        <w:tc>
          <w:tcPr>
            <w:tcW w:w="1777" w:type="dxa"/>
            <w:tcBorders>
              <w:top w:val="nil"/>
              <w:left w:val="nil"/>
              <w:bottom w:val="single" w:sz="4" w:space="0" w:color="auto"/>
              <w:right w:val="single" w:sz="4" w:space="0" w:color="auto"/>
            </w:tcBorders>
            <w:shd w:val="clear" w:color="auto" w:fill="C6EFCE"/>
            <w:noWrap/>
            <w:hideMark/>
          </w:tcPr>
          <w:p w14:paraId="61F834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003" w:type="dxa"/>
            <w:tcBorders>
              <w:top w:val="nil"/>
              <w:left w:val="nil"/>
              <w:bottom w:val="single" w:sz="4" w:space="0" w:color="auto"/>
              <w:right w:val="single" w:sz="4" w:space="0" w:color="auto"/>
            </w:tcBorders>
            <w:shd w:val="clear" w:color="auto" w:fill="C6EFCE"/>
            <w:noWrap/>
            <w:hideMark/>
          </w:tcPr>
          <w:p w14:paraId="0A03B9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76" w:type="dxa"/>
            <w:tcBorders>
              <w:top w:val="nil"/>
              <w:left w:val="nil"/>
              <w:bottom w:val="single" w:sz="4" w:space="0" w:color="auto"/>
              <w:right w:val="single" w:sz="4" w:space="0" w:color="auto"/>
            </w:tcBorders>
            <w:shd w:val="clear" w:color="auto" w:fill="C6EFCE"/>
            <w:noWrap/>
            <w:hideMark/>
          </w:tcPr>
          <w:p w14:paraId="4BF2D5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46" w:type="dxa"/>
            <w:tcBorders>
              <w:top w:val="nil"/>
              <w:left w:val="nil"/>
              <w:bottom w:val="single" w:sz="4" w:space="0" w:color="auto"/>
              <w:right w:val="single" w:sz="4" w:space="0" w:color="auto"/>
            </w:tcBorders>
            <w:shd w:val="clear" w:color="auto" w:fill="C6EFCE"/>
            <w:noWrap/>
            <w:hideMark/>
          </w:tcPr>
          <w:p w14:paraId="3DE44A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nil"/>
              <w:left w:val="nil"/>
              <w:bottom w:val="single" w:sz="4" w:space="0" w:color="auto"/>
              <w:right w:val="single" w:sz="4" w:space="0" w:color="auto"/>
            </w:tcBorders>
            <w:shd w:val="clear" w:color="auto" w:fill="C6EFCE"/>
            <w:noWrap/>
            <w:hideMark/>
          </w:tcPr>
          <w:p w14:paraId="7A12EC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2965" w:type="dxa"/>
            <w:tcBorders>
              <w:top w:val="nil"/>
              <w:left w:val="nil"/>
              <w:bottom w:val="single" w:sz="4" w:space="0" w:color="auto"/>
              <w:right w:val="single" w:sz="4" w:space="0" w:color="auto"/>
            </w:tcBorders>
            <w:shd w:val="clear" w:color="auto" w:fill="C6EFCE"/>
            <w:noWrap/>
            <w:hideMark/>
          </w:tcPr>
          <w:p w14:paraId="430E8A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 Entry into force of new legislation providing for professional work streams for staff dealing with public procurement, specific skills’ groups and the adoption of financial and non-financial incentives in full consistency with the unified wage grid (Law 4354/2015) without setting any exemption. Adoption of financial and non-financial incentives may have a delayed entry into force; (ii) Completion of the in-depth study to re-organize the structure and the responsibilities of the General Directorate for Public Procurement of the Ministry of Development competent for carrying out centralised procurement procedures at national level.</w:t>
            </w:r>
          </w:p>
        </w:tc>
      </w:tr>
      <w:tr w:rsidR="00682269" w:rsidRPr="00DE4E4F" w14:paraId="6CE07399" w14:textId="77777777">
        <w:trPr>
          <w:trHeight w:val="309"/>
          <w:jc w:val="center"/>
        </w:trPr>
        <w:tc>
          <w:tcPr>
            <w:tcW w:w="613" w:type="dxa"/>
            <w:tcBorders>
              <w:top w:val="nil"/>
              <w:left w:val="single" w:sz="4" w:space="0" w:color="auto"/>
              <w:bottom w:val="single" w:sz="4" w:space="0" w:color="auto"/>
              <w:right w:val="single" w:sz="4" w:space="0" w:color="auto"/>
            </w:tcBorders>
            <w:shd w:val="clear" w:color="auto" w:fill="C6EFCE"/>
            <w:noWrap/>
            <w:hideMark/>
          </w:tcPr>
          <w:p w14:paraId="025F738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217</w:t>
            </w:r>
          </w:p>
        </w:tc>
        <w:tc>
          <w:tcPr>
            <w:tcW w:w="2560" w:type="dxa"/>
            <w:tcBorders>
              <w:top w:val="nil"/>
              <w:left w:val="nil"/>
              <w:bottom w:val="single" w:sz="4" w:space="0" w:color="auto"/>
              <w:right w:val="single" w:sz="4" w:space="0" w:color="auto"/>
            </w:tcBorders>
            <w:shd w:val="clear" w:color="auto" w:fill="C6EFCE"/>
            <w:noWrap/>
            <w:hideMark/>
          </w:tcPr>
          <w:p w14:paraId="22E061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- 16940_Modernise the Hellenic Consignment Deposit and Loans Fund </w:t>
            </w:r>
          </w:p>
        </w:tc>
        <w:tc>
          <w:tcPr>
            <w:tcW w:w="1063" w:type="dxa"/>
            <w:tcBorders>
              <w:top w:val="nil"/>
              <w:left w:val="nil"/>
              <w:bottom w:val="single" w:sz="4" w:space="0" w:color="auto"/>
              <w:right w:val="single" w:sz="4" w:space="0" w:color="auto"/>
            </w:tcBorders>
            <w:shd w:val="clear" w:color="auto" w:fill="C6EFCE"/>
            <w:noWrap/>
            <w:hideMark/>
          </w:tcPr>
          <w:p w14:paraId="151117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nil"/>
              <w:left w:val="nil"/>
              <w:bottom w:val="single" w:sz="4" w:space="0" w:color="auto"/>
              <w:right w:val="single" w:sz="4" w:space="0" w:color="auto"/>
            </w:tcBorders>
            <w:shd w:val="clear" w:color="auto" w:fill="C6EFCE"/>
            <w:noWrap/>
            <w:hideMark/>
          </w:tcPr>
          <w:p w14:paraId="4BCAE30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an archive digitalisation and document management system, and an integrated information system for the Hellenic Consignment Deposit and Loans Fund</w:t>
            </w:r>
          </w:p>
        </w:tc>
        <w:tc>
          <w:tcPr>
            <w:tcW w:w="1975" w:type="dxa"/>
            <w:tcBorders>
              <w:top w:val="nil"/>
              <w:left w:val="nil"/>
              <w:bottom w:val="single" w:sz="4" w:space="0" w:color="auto"/>
              <w:right w:val="single" w:sz="4" w:space="0" w:color="auto"/>
            </w:tcBorders>
            <w:shd w:val="clear" w:color="auto" w:fill="C6EFCE"/>
            <w:noWrap/>
            <w:hideMark/>
          </w:tcPr>
          <w:p w14:paraId="417519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an archive digitalisation and document management system, and an integrated information system for the Hellenic Consignment Deposit and Loans Fund</w:t>
            </w:r>
          </w:p>
        </w:tc>
        <w:tc>
          <w:tcPr>
            <w:tcW w:w="1777" w:type="dxa"/>
            <w:tcBorders>
              <w:top w:val="nil"/>
              <w:left w:val="nil"/>
              <w:bottom w:val="single" w:sz="4" w:space="0" w:color="auto"/>
              <w:right w:val="single" w:sz="4" w:space="0" w:color="auto"/>
            </w:tcBorders>
            <w:shd w:val="clear" w:color="auto" w:fill="C6EFCE"/>
            <w:noWrap/>
            <w:hideMark/>
          </w:tcPr>
          <w:p w14:paraId="445E45A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nil"/>
              <w:left w:val="nil"/>
              <w:bottom w:val="single" w:sz="4" w:space="0" w:color="auto"/>
              <w:right w:val="single" w:sz="4" w:space="0" w:color="auto"/>
            </w:tcBorders>
            <w:shd w:val="clear" w:color="auto" w:fill="C6EFCE"/>
            <w:noWrap/>
            <w:hideMark/>
          </w:tcPr>
          <w:p w14:paraId="6FA372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76" w:type="dxa"/>
            <w:tcBorders>
              <w:top w:val="nil"/>
              <w:left w:val="nil"/>
              <w:bottom w:val="single" w:sz="4" w:space="0" w:color="auto"/>
              <w:right w:val="single" w:sz="4" w:space="0" w:color="auto"/>
            </w:tcBorders>
            <w:shd w:val="clear" w:color="auto" w:fill="C6EFCE"/>
            <w:noWrap/>
            <w:hideMark/>
          </w:tcPr>
          <w:p w14:paraId="6C67FB7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hideMark/>
          </w:tcPr>
          <w:p w14:paraId="6C269A0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nil"/>
              <w:left w:val="nil"/>
              <w:bottom w:val="single" w:sz="4" w:space="0" w:color="auto"/>
              <w:right w:val="single" w:sz="4" w:space="0" w:color="auto"/>
            </w:tcBorders>
            <w:shd w:val="clear" w:color="auto" w:fill="C6EFCE"/>
            <w:noWrap/>
            <w:hideMark/>
          </w:tcPr>
          <w:p w14:paraId="1FF01F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965" w:type="dxa"/>
            <w:tcBorders>
              <w:top w:val="nil"/>
              <w:left w:val="nil"/>
              <w:bottom w:val="single" w:sz="4" w:space="0" w:color="auto"/>
              <w:right w:val="single" w:sz="4" w:space="0" w:color="auto"/>
            </w:tcBorders>
            <w:shd w:val="clear" w:color="auto" w:fill="C6EFCE"/>
            <w:noWrap/>
            <w:hideMark/>
          </w:tcPr>
          <w:p w14:paraId="59FD7E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Creation of the following systems for the Hellenic Consignment Deposit and Loans Fund: (i) archive digitalisation and document management system; (ii) integrated information system.</w:t>
            </w:r>
          </w:p>
        </w:tc>
      </w:tr>
      <w:tr w:rsidR="00682269" w:rsidRPr="00DE4E4F" w14:paraId="2CDC1FB8" w14:textId="77777777">
        <w:trPr>
          <w:trHeight w:val="3240"/>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79BFB0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219</w:t>
            </w:r>
          </w:p>
        </w:tc>
        <w:tc>
          <w:tcPr>
            <w:tcW w:w="2560" w:type="dxa"/>
            <w:tcBorders>
              <w:top w:val="single" w:sz="4" w:space="0" w:color="auto"/>
              <w:left w:val="nil"/>
              <w:bottom w:val="single" w:sz="4" w:space="0" w:color="auto"/>
              <w:right w:val="single" w:sz="4" w:space="0" w:color="auto"/>
            </w:tcBorders>
            <w:shd w:val="clear" w:color="auto" w:fill="C6EFCE"/>
            <w:noWrap/>
          </w:tcPr>
          <w:p w14:paraId="49E09C4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- 16974_Accounting Reform</w:t>
            </w:r>
          </w:p>
        </w:tc>
        <w:tc>
          <w:tcPr>
            <w:tcW w:w="1063" w:type="dxa"/>
            <w:tcBorders>
              <w:top w:val="single" w:sz="4" w:space="0" w:color="auto"/>
              <w:left w:val="nil"/>
              <w:bottom w:val="single" w:sz="4" w:space="0" w:color="auto"/>
              <w:right w:val="single" w:sz="4" w:space="0" w:color="auto"/>
            </w:tcBorders>
            <w:shd w:val="clear" w:color="auto" w:fill="C6EFCE"/>
            <w:noWrap/>
          </w:tcPr>
          <w:p w14:paraId="48D7C5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single" w:sz="4" w:space="0" w:color="auto"/>
              <w:left w:val="nil"/>
              <w:bottom w:val="single" w:sz="4" w:space="0" w:color="auto"/>
              <w:right w:val="single" w:sz="4" w:space="0" w:color="auto"/>
            </w:tcBorders>
            <w:shd w:val="clear" w:color="auto" w:fill="C6EFCE"/>
            <w:noWrap/>
          </w:tcPr>
          <w:p w14:paraId="18D2E9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Accounting Reform: Consolidated financial statements for the General Government</w:t>
            </w:r>
          </w:p>
        </w:tc>
        <w:tc>
          <w:tcPr>
            <w:tcW w:w="1975" w:type="dxa"/>
            <w:tcBorders>
              <w:top w:val="single" w:sz="4" w:space="0" w:color="auto"/>
              <w:left w:val="nil"/>
              <w:bottom w:val="single" w:sz="4" w:space="0" w:color="auto"/>
              <w:right w:val="single" w:sz="4" w:space="0" w:color="auto"/>
            </w:tcBorders>
            <w:shd w:val="clear" w:color="auto" w:fill="C6EFCE"/>
            <w:noWrap/>
          </w:tcPr>
          <w:p w14:paraId="6E55B4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accrual accounting policies and compilation of consolidated financial statements for the General Government.</w:t>
            </w:r>
          </w:p>
        </w:tc>
        <w:tc>
          <w:tcPr>
            <w:tcW w:w="1777" w:type="dxa"/>
            <w:tcBorders>
              <w:top w:val="single" w:sz="4" w:space="0" w:color="auto"/>
              <w:left w:val="nil"/>
              <w:bottom w:val="single" w:sz="4" w:space="0" w:color="auto"/>
              <w:right w:val="single" w:sz="4" w:space="0" w:color="auto"/>
            </w:tcBorders>
            <w:shd w:val="clear" w:color="auto" w:fill="C6EFCE"/>
            <w:noWrap/>
          </w:tcPr>
          <w:p w14:paraId="68F9EE1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single" w:sz="4" w:space="0" w:color="auto"/>
              <w:left w:val="nil"/>
              <w:bottom w:val="single" w:sz="4" w:space="0" w:color="auto"/>
              <w:right w:val="single" w:sz="4" w:space="0" w:color="auto"/>
            </w:tcBorders>
            <w:shd w:val="clear" w:color="auto" w:fill="C6EFCE"/>
            <w:noWrap/>
          </w:tcPr>
          <w:p w14:paraId="572F915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6" w:type="dxa"/>
            <w:tcBorders>
              <w:top w:val="single" w:sz="4" w:space="0" w:color="auto"/>
              <w:left w:val="nil"/>
              <w:bottom w:val="single" w:sz="4" w:space="0" w:color="auto"/>
              <w:right w:val="single" w:sz="4" w:space="0" w:color="auto"/>
            </w:tcBorders>
            <w:shd w:val="clear" w:color="auto" w:fill="C6EFCE"/>
            <w:noWrap/>
          </w:tcPr>
          <w:p w14:paraId="56E79E2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0EAB3F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5AACD25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330F72EF" w14:textId="7424D8F7" w:rsidR="001B186F" w:rsidRPr="00DE4E4F" w:rsidRDefault="0074517F">
            <w:pPr>
              <w:pStyle w:val="ListParagraph"/>
              <w:numPr>
                <w:ilvl w:val="0"/>
                <w:numId w:val="62"/>
              </w:numPr>
              <w:spacing w:after="0" w:line="240" w:lineRule="auto"/>
              <w:ind w:left="406" w:hanging="270"/>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Publication </w:t>
            </w:r>
            <w:r w:rsidR="00DA547C" w:rsidRPr="00DE4E4F">
              <w:rPr>
                <w:rFonts w:ascii="Times New Roman" w:hAnsi="Times New Roman" w:cs="Times New Roman"/>
                <w:noProof/>
                <w:color w:val="006100"/>
                <w:sz w:val="18"/>
                <w:szCs w:val="18"/>
              </w:rPr>
              <w:t xml:space="preserve">of </w:t>
            </w:r>
            <w:r w:rsidR="000806C4" w:rsidRPr="00DE4E4F">
              <w:rPr>
                <w:rFonts w:ascii="Times New Roman" w:hAnsi="Times New Roman" w:cs="Times New Roman"/>
                <w:noProof/>
                <w:color w:val="006100"/>
                <w:sz w:val="18"/>
                <w:szCs w:val="18"/>
              </w:rPr>
              <w:t xml:space="preserve">legal act(s) </w:t>
            </w:r>
            <w:r w:rsidRPr="00DE4E4F">
              <w:rPr>
                <w:rFonts w:ascii="Times New Roman" w:hAnsi="Times New Roman" w:cs="Times New Roman"/>
                <w:noProof/>
                <w:color w:val="006100"/>
                <w:sz w:val="18"/>
                <w:szCs w:val="18"/>
              </w:rPr>
              <w:t>in the Official Gazette o</w:t>
            </w:r>
            <w:r w:rsidR="000806C4" w:rsidRPr="00DE4E4F">
              <w:rPr>
                <w:rFonts w:ascii="Times New Roman" w:hAnsi="Times New Roman" w:cs="Times New Roman"/>
                <w:noProof/>
                <w:color w:val="006100"/>
                <w:sz w:val="18"/>
                <w:szCs w:val="18"/>
              </w:rPr>
              <w:t>n</w:t>
            </w:r>
            <w:r w:rsidRPr="00DE4E4F">
              <w:rPr>
                <w:rFonts w:ascii="Times New Roman" w:hAnsi="Times New Roman" w:cs="Times New Roman"/>
                <w:noProof/>
                <w:color w:val="006100"/>
                <w:sz w:val="18"/>
                <w:szCs w:val="18"/>
              </w:rPr>
              <w:t xml:space="preserve"> accrual accounting policies for general government, based on international accounting standards for the public sector</w:t>
            </w:r>
          </w:p>
          <w:p w14:paraId="72B90E4B" w14:textId="77777777" w:rsidR="001B186F" w:rsidRPr="00DE4E4F" w:rsidRDefault="0074517F">
            <w:pPr>
              <w:pStyle w:val="ListParagraph"/>
              <w:numPr>
                <w:ilvl w:val="0"/>
                <w:numId w:val="62"/>
              </w:numPr>
              <w:spacing w:after="0" w:line="240" w:lineRule="auto"/>
              <w:ind w:left="406" w:hanging="270"/>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at the official website of the Ministry of Economy and Finance, of the list of all entities that the 2025 (2023 reporting period) consolidation of financial statements procedure covered</w:t>
            </w:r>
            <w:r w:rsidRPr="00DE4E4F">
              <w:rPr>
                <w:rFonts w:ascii="Times New Roman" w:hAnsi="Times New Roman" w:cs="Times New Roman"/>
                <w:noProof/>
                <w:sz w:val="18"/>
                <w:szCs w:val="18"/>
              </w:rPr>
              <w:t>.</w:t>
            </w:r>
          </w:p>
          <w:p w14:paraId="40663A6C" w14:textId="77777777" w:rsidR="001B186F" w:rsidRPr="00DE4E4F" w:rsidRDefault="0074517F">
            <w:pPr>
              <w:pStyle w:val="ListParagraph"/>
              <w:numPr>
                <w:ilvl w:val="0"/>
                <w:numId w:val="62"/>
              </w:numPr>
              <w:spacing w:after="0" w:line="240" w:lineRule="auto"/>
              <w:ind w:left="406" w:hanging="270"/>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Submission to the European Commission of the produced consolidated financial statements, including the methodology and parameters used.</w:t>
            </w:r>
          </w:p>
        </w:tc>
      </w:tr>
      <w:tr w:rsidR="00682269" w:rsidRPr="00DE4E4F" w14:paraId="79B17592"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13B9B1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220</w:t>
            </w:r>
          </w:p>
        </w:tc>
        <w:tc>
          <w:tcPr>
            <w:tcW w:w="2560" w:type="dxa"/>
            <w:tcBorders>
              <w:top w:val="single" w:sz="4" w:space="0" w:color="auto"/>
              <w:left w:val="nil"/>
              <w:bottom w:val="single" w:sz="4" w:space="0" w:color="auto"/>
              <w:right w:val="single" w:sz="4" w:space="0" w:color="auto"/>
            </w:tcBorders>
            <w:shd w:val="clear" w:color="auto" w:fill="C6EFCE"/>
            <w:noWrap/>
          </w:tcPr>
          <w:p w14:paraId="55DD7B0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- 16705_Digital Transformation of Fiscal Management and Supervision in Governance &amp; Electronic Invoicing</w:t>
            </w:r>
          </w:p>
        </w:tc>
        <w:tc>
          <w:tcPr>
            <w:tcW w:w="1063" w:type="dxa"/>
            <w:tcBorders>
              <w:top w:val="single" w:sz="4" w:space="0" w:color="auto"/>
              <w:left w:val="nil"/>
              <w:bottom w:val="single" w:sz="4" w:space="0" w:color="auto"/>
              <w:right w:val="single" w:sz="4" w:space="0" w:color="auto"/>
            </w:tcBorders>
            <w:shd w:val="clear" w:color="auto" w:fill="C6EFCE"/>
            <w:noWrap/>
          </w:tcPr>
          <w:p w14:paraId="2CC5078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single" w:sz="4" w:space="0" w:color="auto"/>
              <w:left w:val="nil"/>
              <w:bottom w:val="single" w:sz="4" w:space="0" w:color="auto"/>
              <w:right w:val="single" w:sz="4" w:space="0" w:color="auto"/>
            </w:tcBorders>
            <w:shd w:val="clear" w:color="auto" w:fill="C6EFCE"/>
            <w:noWrap/>
          </w:tcPr>
          <w:p w14:paraId="1DBF37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Government Enterprise Resource Planning (govERP)</w:t>
            </w:r>
          </w:p>
        </w:tc>
        <w:tc>
          <w:tcPr>
            <w:tcW w:w="1975" w:type="dxa"/>
            <w:tcBorders>
              <w:top w:val="single" w:sz="4" w:space="0" w:color="auto"/>
              <w:left w:val="nil"/>
              <w:bottom w:val="single" w:sz="4" w:space="0" w:color="auto"/>
              <w:right w:val="single" w:sz="4" w:space="0" w:color="auto"/>
            </w:tcBorders>
            <w:shd w:val="clear" w:color="auto" w:fill="C6EFCE"/>
            <w:noWrap/>
          </w:tcPr>
          <w:p w14:paraId="4BB12DC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Government Enterprise Resource Planning (govERP) to support the preparation of the budget.</w:t>
            </w:r>
          </w:p>
        </w:tc>
        <w:tc>
          <w:tcPr>
            <w:tcW w:w="1777" w:type="dxa"/>
            <w:tcBorders>
              <w:top w:val="single" w:sz="4" w:space="0" w:color="auto"/>
              <w:left w:val="nil"/>
              <w:bottom w:val="single" w:sz="4" w:space="0" w:color="auto"/>
              <w:right w:val="single" w:sz="4" w:space="0" w:color="auto"/>
            </w:tcBorders>
            <w:shd w:val="clear" w:color="auto" w:fill="C6EFCE"/>
            <w:noWrap/>
          </w:tcPr>
          <w:p w14:paraId="6736A6A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single" w:sz="4" w:space="0" w:color="auto"/>
              <w:left w:val="nil"/>
              <w:bottom w:val="single" w:sz="4" w:space="0" w:color="auto"/>
              <w:right w:val="single" w:sz="4" w:space="0" w:color="auto"/>
            </w:tcBorders>
            <w:shd w:val="clear" w:color="auto" w:fill="C6EFCE"/>
            <w:noWrap/>
          </w:tcPr>
          <w:p w14:paraId="36A5243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6" w:type="dxa"/>
            <w:tcBorders>
              <w:top w:val="single" w:sz="4" w:space="0" w:color="auto"/>
              <w:left w:val="nil"/>
              <w:bottom w:val="single" w:sz="4" w:space="0" w:color="auto"/>
              <w:right w:val="single" w:sz="4" w:space="0" w:color="auto"/>
            </w:tcBorders>
            <w:shd w:val="clear" w:color="auto" w:fill="C6EFCE"/>
            <w:noWrap/>
          </w:tcPr>
          <w:p w14:paraId="786A7AD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27F75A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5754FD0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727B27C4" w14:textId="5BD3635F" w:rsidR="001B186F" w:rsidRPr="00DE4E4F" w:rsidRDefault="0074517F" w:rsidP="00171DEB">
            <w:pPr>
              <w:pStyle w:val="ListParagraph"/>
              <w:ind w:left="144"/>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Carry out the digital transformation of the financial management and supervision framework through developing the Government Enterprise Resource Planning (govERP) and using it to support the preparation of the budget</w:t>
            </w:r>
            <w:r w:rsidR="007C5F0C"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The application of govERP to the execution of the budget is not part of the RRF measure. </w:t>
            </w:r>
          </w:p>
        </w:tc>
      </w:tr>
      <w:tr w:rsidR="00682269" w:rsidRPr="00DE4E4F" w14:paraId="2008982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27F86D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221</w:t>
            </w:r>
          </w:p>
        </w:tc>
        <w:tc>
          <w:tcPr>
            <w:tcW w:w="2560" w:type="dxa"/>
            <w:tcBorders>
              <w:top w:val="single" w:sz="4" w:space="0" w:color="auto"/>
              <w:left w:val="nil"/>
              <w:bottom w:val="single" w:sz="4" w:space="0" w:color="auto"/>
              <w:right w:val="single" w:sz="4" w:space="0" w:color="auto"/>
            </w:tcBorders>
            <w:shd w:val="clear" w:color="auto" w:fill="C6EFCE"/>
            <w:noWrap/>
          </w:tcPr>
          <w:p w14:paraId="008CE2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p>
        </w:tc>
        <w:tc>
          <w:tcPr>
            <w:tcW w:w="1063" w:type="dxa"/>
            <w:tcBorders>
              <w:top w:val="single" w:sz="4" w:space="0" w:color="auto"/>
              <w:left w:val="nil"/>
              <w:bottom w:val="single" w:sz="4" w:space="0" w:color="auto"/>
              <w:right w:val="single" w:sz="4" w:space="0" w:color="auto"/>
            </w:tcBorders>
            <w:shd w:val="clear" w:color="auto" w:fill="C6EFCE"/>
            <w:noWrap/>
          </w:tcPr>
          <w:p w14:paraId="37E8610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034" w:type="dxa"/>
            <w:tcBorders>
              <w:top w:val="single" w:sz="4" w:space="0" w:color="auto"/>
              <w:left w:val="nil"/>
              <w:bottom w:val="single" w:sz="4" w:space="0" w:color="auto"/>
              <w:right w:val="single" w:sz="4" w:space="0" w:color="auto"/>
            </w:tcBorders>
            <w:shd w:val="clear" w:color="auto" w:fill="C6EFCE"/>
            <w:noWrap/>
          </w:tcPr>
          <w:p w14:paraId="68DEFF1E" w14:textId="333CADB1"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of </w:t>
            </w:r>
            <w:r w:rsidR="00973E1E" w:rsidRPr="00DE4E4F">
              <w:rPr>
                <w:rFonts w:ascii="Times New Roman" w:hAnsi="Times New Roman" w:cs="Times New Roman"/>
                <w:noProof/>
                <w:color w:val="006100"/>
                <w:sz w:val="18"/>
                <w:szCs w:val="18"/>
              </w:rPr>
              <w:t>train</w:t>
            </w:r>
            <w:r w:rsidR="008152A1" w:rsidRPr="00DE4E4F">
              <w:rPr>
                <w:rFonts w:ascii="Times New Roman" w:hAnsi="Times New Roman" w:cs="Times New Roman"/>
                <w:noProof/>
                <w:color w:val="006100"/>
                <w:sz w:val="18"/>
                <w:szCs w:val="18"/>
              </w:rPr>
              <w:t>ing</w:t>
            </w:r>
            <w:r w:rsidRPr="00DE4E4F">
              <w:rPr>
                <w:rFonts w:ascii="Times New Roman" w:hAnsi="Times New Roman" w:cs="Times New Roman"/>
                <w:noProof/>
                <w:color w:val="006100"/>
                <w:sz w:val="18"/>
                <w:szCs w:val="18"/>
              </w:rPr>
              <w:t xml:space="preserve"> program</w:t>
            </w:r>
            <w:r w:rsidR="008152A1" w:rsidRPr="00DE4E4F">
              <w:rPr>
                <w:rFonts w:ascii="Times New Roman" w:hAnsi="Times New Roman" w:cs="Times New Roman"/>
                <w:noProof/>
                <w:color w:val="006100"/>
                <w:sz w:val="18"/>
                <w:szCs w:val="18"/>
              </w:rPr>
              <w:t>me</w:t>
            </w:r>
            <w:r w:rsidRPr="00DE4E4F">
              <w:rPr>
                <w:rFonts w:ascii="Times New Roman" w:hAnsi="Times New Roman" w:cs="Times New Roman"/>
                <w:noProof/>
                <w:color w:val="006100"/>
                <w:sz w:val="18"/>
                <w:szCs w:val="18"/>
              </w:rPr>
              <w:t xml:space="preserve"> </w:t>
            </w:r>
            <w:r w:rsidR="00C549F5" w:rsidRPr="00DE4E4F">
              <w:rPr>
                <w:rFonts w:ascii="Times New Roman" w:hAnsi="Times New Roman" w:cs="Times New Roman"/>
                <w:noProof/>
                <w:color w:val="006100"/>
                <w:sz w:val="18"/>
                <w:szCs w:val="18"/>
              </w:rPr>
              <w:t xml:space="preserve">entitled: </w:t>
            </w:r>
            <w:r w:rsidR="008B587F" w:rsidRPr="00DE4E4F">
              <w:rPr>
                <w:rFonts w:ascii="Times New Roman" w:hAnsi="Times New Roman" w:cs="Times New Roman"/>
                <w:noProof/>
                <w:color w:val="006100"/>
                <w:sz w:val="18"/>
                <w:szCs w:val="18"/>
              </w:rPr>
              <w:t>“Certification of public procurement professionals”</w:t>
            </w:r>
          </w:p>
        </w:tc>
        <w:tc>
          <w:tcPr>
            <w:tcW w:w="1975" w:type="dxa"/>
            <w:tcBorders>
              <w:top w:val="single" w:sz="4" w:space="0" w:color="auto"/>
              <w:left w:val="nil"/>
              <w:bottom w:val="single" w:sz="4" w:space="0" w:color="auto"/>
              <w:right w:val="single" w:sz="4" w:space="0" w:color="auto"/>
            </w:tcBorders>
            <w:shd w:val="clear" w:color="auto" w:fill="C6EFCE"/>
            <w:noWrap/>
          </w:tcPr>
          <w:p w14:paraId="4DEE025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777" w:type="dxa"/>
            <w:tcBorders>
              <w:top w:val="single" w:sz="4" w:space="0" w:color="auto"/>
              <w:left w:val="nil"/>
              <w:bottom w:val="single" w:sz="4" w:space="0" w:color="auto"/>
              <w:right w:val="single" w:sz="4" w:space="0" w:color="auto"/>
            </w:tcBorders>
            <w:shd w:val="clear" w:color="auto" w:fill="C6EFCE"/>
            <w:noWrap/>
          </w:tcPr>
          <w:p w14:paraId="3EDC47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certifications awarded</w:t>
            </w:r>
          </w:p>
        </w:tc>
        <w:tc>
          <w:tcPr>
            <w:tcW w:w="1003" w:type="dxa"/>
            <w:tcBorders>
              <w:top w:val="single" w:sz="4" w:space="0" w:color="auto"/>
              <w:left w:val="nil"/>
              <w:bottom w:val="single" w:sz="4" w:space="0" w:color="auto"/>
              <w:right w:val="single" w:sz="4" w:space="0" w:color="auto"/>
            </w:tcBorders>
            <w:shd w:val="clear" w:color="auto" w:fill="C6EFCE"/>
            <w:noWrap/>
          </w:tcPr>
          <w:p w14:paraId="23C123A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876" w:type="dxa"/>
            <w:tcBorders>
              <w:top w:val="single" w:sz="4" w:space="0" w:color="auto"/>
              <w:left w:val="nil"/>
              <w:bottom w:val="single" w:sz="4" w:space="0" w:color="auto"/>
              <w:right w:val="single" w:sz="4" w:space="0" w:color="auto"/>
            </w:tcBorders>
            <w:shd w:val="clear" w:color="auto" w:fill="C6EFCE"/>
            <w:noWrap/>
          </w:tcPr>
          <w:p w14:paraId="4381602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4 500</w:t>
            </w:r>
          </w:p>
        </w:tc>
        <w:tc>
          <w:tcPr>
            <w:tcW w:w="846" w:type="dxa"/>
            <w:tcBorders>
              <w:top w:val="single" w:sz="4" w:space="0" w:color="auto"/>
              <w:left w:val="nil"/>
              <w:bottom w:val="single" w:sz="4" w:space="0" w:color="auto"/>
              <w:right w:val="single" w:sz="4" w:space="0" w:color="auto"/>
            </w:tcBorders>
            <w:shd w:val="clear" w:color="auto" w:fill="C6EFCE"/>
            <w:noWrap/>
          </w:tcPr>
          <w:p w14:paraId="5551E7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4229CE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58ED3B4B" w14:textId="3317B6C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4 500 certifications awarded upon participation in dedicated </w:t>
            </w:r>
            <w:r w:rsidR="005758B2" w:rsidRPr="00DE4E4F">
              <w:rPr>
                <w:rFonts w:ascii="Times New Roman" w:hAnsi="Times New Roman" w:cs="Times New Roman"/>
                <w:noProof/>
                <w:color w:val="006100"/>
                <w:sz w:val="18"/>
                <w:szCs w:val="18"/>
              </w:rPr>
              <w:t>training programme entitled: “Certification of public procurement professionals”</w:t>
            </w:r>
          </w:p>
        </w:tc>
      </w:tr>
      <w:tr w:rsidR="00682269" w:rsidRPr="00DE4E4F" w14:paraId="2CC5A995"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4C18C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341</w:t>
            </w:r>
          </w:p>
        </w:tc>
        <w:tc>
          <w:tcPr>
            <w:tcW w:w="2560" w:type="dxa"/>
            <w:tcBorders>
              <w:top w:val="single" w:sz="4" w:space="0" w:color="auto"/>
              <w:left w:val="nil"/>
              <w:bottom w:val="single" w:sz="4" w:space="0" w:color="auto"/>
              <w:right w:val="single" w:sz="4" w:space="0" w:color="auto"/>
            </w:tcBorders>
            <w:shd w:val="clear" w:color="auto" w:fill="C6EFCE"/>
            <w:noWrap/>
          </w:tcPr>
          <w:p w14:paraId="1037C1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063" w:type="dxa"/>
            <w:tcBorders>
              <w:top w:val="single" w:sz="4" w:space="0" w:color="auto"/>
              <w:left w:val="nil"/>
              <w:bottom w:val="single" w:sz="4" w:space="0" w:color="auto"/>
              <w:right w:val="single" w:sz="4" w:space="0" w:color="auto"/>
            </w:tcBorders>
            <w:shd w:val="clear" w:color="auto" w:fill="C6EFCE"/>
            <w:noWrap/>
          </w:tcPr>
          <w:p w14:paraId="46128A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034" w:type="dxa"/>
            <w:tcBorders>
              <w:top w:val="single" w:sz="4" w:space="0" w:color="auto"/>
              <w:left w:val="nil"/>
              <w:bottom w:val="single" w:sz="4" w:space="0" w:color="auto"/>
              <w:right w:val="single" w:sz="4" w:space="0" w:color="auto"/>
            </w:tcBorders>
            <w:shd w:val="clear" w:color="auto" w:fill="C6EFCE"/>
            <w:noWrap/>
          </w:tcPr>
          <w:p w14:paraId="506760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Cadastral mapping – 85% completion</w:t>
            </w:r>
          </w:p>
        </w:tc>
        <w:tc>
          <w:tcPr>
            <w:tcW w:w="1975" w:type="dxa"/>
            <w:tcBorders>
              <w:top w:val="single" w:sz="4" w:space="0" w:color="auto"/>
              <w:left w:val="nil"/>
              <w:bottom w:val="single" w:sz="4" w:space="0" w:color="auto"/>
              <w:right w:val="single" w:sz="4" w:space="0" w:color="auto"/>
            </w:tcBorders>
            <w:shd w:val="clear" w:color="auto" w:fill="C6EFCE"/>
            <w:noWrap/>
          </w:tcPr>
          <w:p w14:paraId="28F13BD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777" w:type="dxa"/>
            <w:tcBorders>
              <w:top w:val="single" w:sz="4" w:space="0" w:color="auto"/>
              <w:left w:val="nil"/>
              <w:bottom w:val="single" w:sz="4" w:space="0" w:color="auto"/>
              <w:right w:val="single" w:sz="4" w:space="0" w:color="auto"/>
            </w:tcBorders>
            <w:shd w:val="clear" w:color="auto" w:fill="C6EFCE"/>
            <w:noWrap/>
          </w:tcPr>
          <w:p w14:paraId="4990E5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of total property rights uploaded for public display, as per the provisions of Law 2308/1995 as amended by article 3 of Law 4821/2021</w:t>
            </w:r>
          </w:p>
        </w:tc>
        <w:tc>
          <w:tcPr>
            <w:tcW w:w="1003" w:type="dxa"/>
            <w:tcBorders>
              <w:top w:val="single" w:sz="4" w:space="0" w:color="auto"/>
              <w:left w:val="nil"/>
              <w:bottom w:val="single" w:sz="4" w:space="0" w:color="auto"/>
              <w:right w:val="single" w:sz="4" w:space="0" w:color="auto"/>
            </w:tcBorders>
            <w:shd w:val="clear" w:color="auto" w:fill="C6EFCE"/>
            <w:noWrap/>
          </w:tcPr>
          <w:p w14:paraId="56C5C1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79%</w:t>
            </w:r>
          </w:p>
        </w:tc>
        <w:tc>
          <w:tcPr>
            <w:tcW w:w="876" w:type="dxa"/>
            <w:tcBorders>
              <w:top w:val="single" w:sz="4" w:space="0" w:color="auto"/>
              <w:left w:val="nil"/>
              <w:bottom w:val="single" w:sz="4" w:space="0" w:color="auto"/>
              <w:right w:val="single" w:sz="4" w:space="0" w:color="auto"/>
            </w:tcBorders>
            <w:shd w:val="clear" w:color="auto" w:fill="C6EFCE"/>
            <w:noWrap/>
          </w:tcPr>
          <w:p w14:paraId="7BA3FD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85%</w:t>
            </w:r>
          </w:p>
        </w:tc>
        <w:tc>
          <w:tcPr>
            <w:tcW w:w="846" w:type="dxa"/>
            <w:tcBorders>
              <w:top w:val="single" w:sz="4" w:space="0" w:color="auto"/>
              <w:left w:val="nil"/>
              <w:bottom w:val="single" w:sz="4" w:space="0" w:color="auto"/>
              <w:right w:val="single" w:sz="4" w:space="0" w:color="auto"/>
            </w:tcBorders>
            <w:shd w:val="clear" w:color="auto" w:fill="C6EFCE"/>
            <w:noWrap/>
          </w:tcPr>
          <w:p w14:paraId="5D425B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55CFF66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2965" w:type="dxa"/>
            <w:tcBorders>
              <w:top w:val="single" w:sz="4" w:space="0" w:color="auto"/>
              <w:left w:val="nil"/>
              <w:bottom w:val="single" w:sz="4" w:space="0" w:color="auto"/>
              <w:right w:val="single" w:sz="4" w:space="0" w:color="auto"/>
            </w:tcBorders>
            <w:shd w:val="clear" w:color="auto" w:fill="C6EFCE"/>
            <w:noWrap/>
          </w:tcPr>
          <w:p w14:paraId="262D23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85% of Greece’s property rights reached the stage of public display.</w:t>
            </w:r>
          </w:p>
        </w:tc>
      </w:tr>
      <w:tr w:rsidR="00682269" w:rsidRPr="00DE4E4F" w14:paraId="5FCACFE8"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60779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342</w:t>
            </w:r>
          </w:p>
        </w:tc>
        <w:tc>
          <w:tcPr>
            <w:tcW w:w="2560" w:type="dxa"/>
            <w:tcBorders>
              <w:top w:val="single" w:sz="4" w:space="0" w:color="auto"/>
              <w:left w:val="nil"/>
              <w:bottom w:val="single" w:sz="4" w:space="0" w:color="auto"/>
              <w:right w:val="single" w:sz="4" w:space="0" w:color="auto"/>
            </w:tcBorders>
            <w:shd w:val="clear" w:color="auto" w:fill="C6EFCE"/>
            <w:noWrap/>
          </w:tcPr>
          <w:p w14:paraId="57DB11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063" w:type="dxa"/>
            <w:tcBorders>
              <w:top w:val="single" w:sz="4" w:space="0" w:color="auto"/>
              <w:left w:val="nil"/>
              <w:bottom w:val="single" w:sz="4" w:space="0" w:color="auto"/>
              <w:right w:val="single" w:sz="4" w:space="0" w:color="auto"/>
            </w:tcBorders>
            <w:shd w:val="clear" w:color="auto" w:fill="C6EFCE"/>
            <w:noWrap/>
          </w:tcPr>
          <w:p w14:paraId="0A2B78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034" w:type="dxa"/>
            <w:tcBorders>
              <w:top w:val="single" w:sz="4" w:space="0" w:color="auto"/>
              <w:left w:val="nil"/>
              <w:bottom w:val="single" w:sz="4" w:space="0" w:color="auto"/>
              <w:right w:val="single" w:sz="4" w:space="0" w:color="auto"/>
            </w:tcBorders>
            <w:shd w:val="clear" w:color="auto" w:fill="C6EFCE"/>
            <w:noWrap/>
          </w:tcPr>
          <w:p w14:paraId="40AFE6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Cadastral mapping – 95% completion</w:t>
            </w:r>
          </w:p>
        </w:tc>
        <w:tc>
          <w:tcPr>
            <w:tcW w:w="1975" w:type="dxa"/>
            <w:tcBorders>
              <w:top w:val="single" w:sz="4" w:space="0" w:color="auto"/>
              <w:left w:val="nil"/>
              <w:bottom w:val="single" w:sz="4" w:space="0" w:color="auto"/>
              <w:right w:val="single" w:sz="4" w:space="0" w:color="auto"/>
            </w:tcBorders>
            <w:shd w:val="clear" w:color="auto" w:fill="C6EFCE"/>
            <w:noWrap/>
          </w:tcPr>
          <w:p w14:paraId="372B3E8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777" w:type="dxa"/>
            <w:tcBorders>
              <w:top w:val="single" w:sz="4" w:space="0" w:color="auto"/>
              <w:left w:val="nil"/>
              <w:bottom w:val="single" w:sz="4" w:space="0" w:color="auto"/>
              <w:right w:val="single" w:sz="4" w:space="0" w:color="auto"/>
            </w:tcBorders>
            <w:shd w:val="clear" w:color="auto" w:fill="C6EFCE"/>
            <w:noWrap/>
          </w:tcPr>
          <w:p w14:paraId="110B96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of total property rights uploaded for public display, as per the provisions of Law 2308/1995 as amended by article 6 of Law 4821/2021</w:t>
            </w:r>
          </w:p>
        </w:tc>
        <w:tc>
          <w:tcPr>
            <w:tcW w:w="1003" w:type="dxa"/>
            <w:tcBorders>
              <w:top w:val="single" w:sz="4" w:space="0" w:color="auto"/>
              <w:left w:val="nil"/>
              <w:bottom w:val="single" w:sz="4" w:space="0" w:color="auto"/>
              <w:right w:val="single" w:sz="4" w:space="0" w:color="auto"/>
            </w:tcBorders>
            <w:shd w:val="clear" w:color="auto" w:fill="C6EFCE"/>
            <w:noWrap/>
          </w:tcPr>
          <w:p w14:paraId="04AA6E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85%</w:t>
            </w:r>
          </w:p>
        </w:tc>
        <w:tc>
          <w:tcPr>
            <w:tcW w:w="876" w:type="dxa"/>
            <w:tcBorders>
              <w:top w:val="single" w:sz="4" w:space="0" w:color="auto"/>
              <w:left w:val="nil"/>
              <w:bottom w:val="single" w:sz="4" w:space="0" w:color="auto"/>
              <w:right w:val="single" w:sz="4" w:space="0" w:color="auto"/>
            </w:tcBorders>
            <w:shd w:val="clear" w:color="auto" w:fill="C6EFCE"/>
            <w:noWrap/>
          </w:tcPr>
          <w:p w14:paraId="19667A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95%</w:t>
            </w:r>
          </w:p>
        </w:tc>
        <w:tc>
          <w:tcPr>
            <w:tcW w:w="846" w:type="dxa"/>
            <w:tcBorders>
              <w:top w:val="single" w:sz="4" w:space="0" w:color="auto"/>
              <w:left w:val="nil"/>
              <w:bottom w:val="single" w:sz="4" w:space="0" w:color="auto"/>
              <w:right w:val="single" w:sz="4" w:space="0" w:color="auto"/>
            </w:tcBorders>
            <w:shd w:val="clear" w:color="auto" w:fill="C6EFCE"/>
            <w:noWrap/>
          </w:tcPr>
          <w:p w14:paraId="0B76BC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single" w:sz="4" w:space="0" w:color="auto"/>
              <w:left w:val="nil"/>
              <w:bottom w:val="single" w:sz="4" w:space="0" w:color="auto"/>
              <w:right w:val="single" w:sz="4" w:space="0" w:color="auto"/>
            </w:tcBorders>
            <w:shd w:val="clear" w:color="auto" w:fill="C6EFCE"/>
            <w:noWrap/>
          </w:tcPr>
          <w:p w14:paraId="651BC4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754E817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95% of Greece’s property rights reached the stage of public display.</w:t>
            </w:r>
          </w:p>
        </w:tc>
      </w:tr>
      <w:tr w:rsidR="00682269" w:rsidRPr="00DE4E4F" w14:paraId="3812A969"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0296F15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343</w:t>
            </w:r>
          </w:p>
        </w:tc>
        <w:tc>
          <w:tcPr>
            <w:tcW w:w="2560" w:type="dxa"/>
            <w:tcBorders>
              <w:top w:val="single" w:sz="4" w:space="0" w:color="auto"/>
              <w:left w:val="nil"/>
              <w:bottom w:val="single" w:sz="4" w:space="0" w:color="auto"/>
              <w:right w:val="single" w:sz="4" w:space="0" w:color="auto"/>
            </w:tcBorders>
            <w:shd w:val="clear" w:color="auto" w:fill="C6EFCE"/>
            <w:noWrap/>
          </w:tcPr>
          <w:p w14:paraId="73B56C5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13 - 4.2. Modernise the public administration, including through speeding up the implementation of public investments, improving the public procurement framework, capacity building measures and fighting corruption - 16986_Completion of the national cadastre </w:t>
            </w:r>
          </w:p>
        </w:tc>
        <w:tc>
          <w:tcPr>
            <w:tcW w:w="1063" w:type="dxa"/>
            <w:tcBorders>
              <w:top w:val="single" w:sz="4" w:space="0" w:color="auto"/>
              <w:left w:val="nil"/>
              <w:bottom w:val="single" w:sz="4" w:space="0" w:color="auto"/>
              <w:right w:val="single" w:sz="4" w:space="0" w:color="auto"/>
            </w:tcBorders>
            <w:shd w:val="clear" w:color="auto" w:fill="C6EFCE"/>
            <w:noWrap/>
          </w:tcPr>
          <w:p w14:paraId="12097E3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2034" w:type="dxa"/>
            <w:tcBorders>
              <w:top w:val="single" w:sz="4" w:space="0" w:color="auto"/>
              <w:left w:val="nil"/>
              <w:bottom w:val="single" w:sz="4" w:space="0" w:color="auto"/>
              <w:right w:val="single" w:sz="4" w:space="0" w:color="auto"/>
            </w:tcBorders>
            <w:shd w:val="clear" w:color="auto" w:fill="C6EFCE"/>
            <w:noWrap/>
          </w:tcPr>
          <w:p w14:paraId="113B57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Transition to the new organisational structure of the Hellenic Cadastre – Full completion</w:t>
            </w:r>
          </w:p>
        </w:tc>
        <w:tc>
          <w:tcPr>
            <w:tcW w:w="1975" w:type="dxa"/>
            <w:tcBorders>
              <w:top w:val="single" w:sz="4" w:space="0" w:color="auto"/>
              <w:left w:val="nil"/>
              <w:bottom w:val="single" w:sz="4" w:space="0" w:color="auto"/>
              <w:right w:val="single" w:sz="4" w:space="0" w:color="auto"/>
            </w:tcBorders>
            <w:shd w:val="clear" w:color="auto" w:fill="C6EFCE"/>
            <w:noWrap/>
          </w:tcPr>
          <w:p w14:paraId="2C94BA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Official decisions of the Board of Directors of the Hellenic Cadastre for the opening and operationalisation of the cadastral offices</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and branches across the entire Greek territory, and closing of the old mortgage offices.</w:t>
            </w:r>
          </w:p>
        </w:tc>
        <w:tc>
          <w:tcPr>
            <w:tcW w:w="1777" w:type="dxa"/>
            <w:tcBorders>
              <w:top w:val="single" w:sz="4" w:space="0" w:color="auto"/>
              <w:left w:val="nil"/>
              <w:bottom w:val="single" w:sz="4" w:space="0" w:color="auto"/>
              <w:right w:val="single" w:sz="4" w:space="0" w:color="auto"/>
            </w:tcBorders>
            <w:shd w:val="clear" w:color="auto" w:fill="C6EFCE"/>
            <w:noWrap/>
          </w:tcPr>
          <w:p w14:paraId="60D5B0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03" w:type="dxa"/>
            <w:tcBorders>
              <w:top w:val="single" w:sz="4" w:space="0" w:color="auto"/>
              <w:left w:val="nil"/>
              <w:bottom w:val="single" w:sz="4" w:space="0" w:color="auto"/>
              <w:right w:val="single" w:sz="4" w:space="0" w:color="auto"/>
            </w:tcBorders>
            <w:shd w:val="clear" w:color="auto" w:fill="C6EFCE"/>
            <w:noWrap/>
          </w:tcPr>
          <w:p w14:paraId="00F094F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76" w:type="dxa"/>
            <w:tcBorders>
              <w:top w:val="single" w:sz="4" w:space="0" w:color="auto"/>
              <w:left w:val="nil"/>
              <w:bottom w:val="single" w:sz="4" w:space="0" w:color="auto"/>
              <w:right w:val="single" w:sz="4" w:space="0" w:color="auto"/>
            </w:tcBorders>
            <w:shd w:val="clear" w:color="auto" w:fill="C6EFCE"/>
            <w:noWrap/>
          </w:tcPr>
          <w:p w14:paraId="288EA1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02C9AA4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single" w:sz="4" w:space="0" w:color="auto"/>
              <w:left w:val="nil"/>
              <w:bottom w:val="single" w:sz="4" w:space="0" w:color="auto"/>
              <w:right w:val="single" w:sz="4" w:space="0" w:color="auto"/>
            </w:tcBorders>
            <w:shd w:val="clear" w:color="auto" w:fill="C6EFCE"/>
            <w:noWrap/>
          </w:tcPr>
          <w:p w14:paraId="0D95C82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2965" w:type="dxa"/>
            <w:tcBorders>
              <w:top w:val="single" w:sz="4" w:space="0" w:color="auto"/>
              <w:left w:val="nil"/>
              <w:bottom w:val="single" w:sz="4" w:space="0" w:color="auto"/>
              <w:right w:val="single" w:sz="4" w:space="0" w:color="auto"/>
            </w:tcBorders>
            <w:shd w:val="clear" w:color="auto" w:fill="C6EFCE"/>
            <w:noWrap/>
          </w:tcPr>
          <w:p w14:paraId="462C99B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Following the adoption of the official decisions of the Board of Directors of the Hellenic Cadastre, the transition to the new organisational structure of the Hellenic Cadastre is completed. Specifically, i) the remaining cadastral offices for the regions of Thessaloniki, Crete and the Dodecanese are open and operational; ii) the remaining 18 branches are open and operational; and iii) the remaining 223 old mortgage offices are closed.</w:t>
            </w:r>
          </w:p>
        </w:tc>
      </w:tr>
      <w:tr w:rsidR="00682269" w:rsidRPr="00DE4E4F" w14:paraId="107F5F9D" w14:textId="77777777">
        <w:trPr>
          <w:trHeight w:val="309"/>
          <w:jc w:val="center"/>
        </w:trPr>
        <w:tc>
          <w:tcPr>
            <w:tcW w:w="613" w:type="dxa"/>
            <w:tcBorders>
              <w:top w:val="single" w:sz="4" w:space="0" w:color="auto"/>
              <w:left w:val="single" w:sz="4" w:space="0" w:color="auto"/>
              <w:bottom w:val="single" w:sz="4" w:space="0" w:color="auto"/>
              <w:right w:val="single" w:sz="4" w:space="0" w:color="auto"/>
            </w:tcBorders>
            <w:shd w:val="clear" w:color="auto" w:fill="C6EFCE"/>
            <w:noWrap/>
          </w:tcPr>
          <w:p w14:paraId="3EF9F6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344</w:t>
            </w:r>
          </w:p>
        </w:tc>
        <w:tc>
          <w:tcPr>
            <w:tcW w:w="2560" w:type="dxa"/>
            <w:tcBorders>
              <w:top w:val="single" w:sz="4" w:space="0" w:color="auto"/>
              <w:left w:val="nil"/>
              <w:bottom w:val="single" w:sz="4" w:space="0" w:color="auto"/>
              <w:right w:val="single" w:sz="4" w:space="0" w:color="auto"/>
            </w:tcBorders>
            <w:shd w:val="clear" w:color="auto" w:fill="C6EFCE"/>
            <w:noWrap/>
          </w:tcPr>
          <w:p w14:paraId="167A8E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063" w:type="dxa"/>
            <w:tcBorders>
              <w:top w:val="single" w:sz="4" w:space="0" w:color="auto"/>
              <w:left w:val="nil"/>
              <w:bottom w:val="single" w:sz="4" w:space="0" w:color="auto"/>
              <w:right w:val="single" w:sz="4" w:space="0" w:color="auto"/>
            </w:tcBorders>
            <w:shd w:val="clear" w:color="auto" w:fill="C6EFCE"/>
            <w:noWrap/>
          </w:tcPr>
          <w:p w14:paraId="76BD14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2034" w:type="dxa"/>
            <w:tcBorders>
              <w:top w:val="single" w:sz="4" w:space="0" w:color="auto"/>
              <w:left w:val="nil"/>
              <w:bottom w:val="single" w:sz="4" w:space="0" w:color="auto"/>
              <w:right w:val="single" w:sz="4" w:space="0" w:color="auto"/>
            </w:tcBorders>
            <w:shd w:val="clear" w:color="auto" w:fill="C6EFCE"/>
            <w:noWrap/>
          </w:tcPr>
          <w:p w14:paraId="4EDA26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Cadastral mapping –completion</w:t>
            </w:r>
          </w:p>
        </w:tc>
        <w:tc>
          <w:tcPr>
            <w:tcW w:w="1975" w:type="dxa"/>
            <w:tcBorders>
              <w:top w:val="single" w:sz="4" w:space="0" w:color="auto"/>
              <w:left w:val="nil"/>
              <w:bottom w:val="single" w:sz="4" w:space="0" w:color="auto"/>
              <w:right w:val="single" w:sz="4" w:space="0" w:color="auto"/>
            </w:tcBorders>
            <w:shd w:val="clear" w:color="auto" w:fill="C6EFCE"/>
            <w:noWrap/>
          </w:tcPr>
          <w:p w14:paraId="2215A67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777" w:type="dxa"/>
            <w:tcBorders>
              <w:top w:val="single" w:sz="4" w:space="0" w:color="auto"/>
              <w:left w:val="nil"/>
              <w:bottom w:val="single" w:sz="4" w:space="0" w:color="auto"/>
              <w:right w:val="single" w:sz="4" w:space="0" w:color="auto"/>
            </w:tcBorders>
            <w:shd w:val="clear" w:color="auto" w:fill="C6EFCE"/>
            <w:noWrap/>
          </w:tcPr>
          <w:p w14:paraId="33A05A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of total property rights uploaded for public display, as per the provisions of Law 2308/1995 </w:t>
            </w:r>
          </w:p>
        </w:tc>
        <w:tc>
          <w:tcPr>
            <w:tcW w:w="1003" w:type="dxa"/>
            <w:tcBorders>
              <w:top w:val="single" w:sz="4" w:space="0" w:color="auto"/>
              <w:left w:val="nil"/>
              <w:bottom w:val="single" w:sz="4" w:space="0" w:color="auto"/>
              <w:right w:val="single" w:sz="4" w:space="0" w:color="auto"/>
            </w:tcBorders>
            <w:shd w:val="clear" w:color="auto" w:fill="C6EFCE"/>
            <w:noWrap/>
          </w:tcPr>
          <w:p w14:paraId="29BCEB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95%</w:t>
            </w:r>
          </w:p>
        </w:tc>
        <w:tc>
          <w:tcPr>
            <w:tcW w:w="876" w:type="dxa"/>
            <w:tcBorders>
              <w:top w:val="single" w:sz="4" w:space="0" w:color="auto"/>
              <w:left w:val="nil"/>
              <w:bottom w:val="single" w:sz="4" w:space="0" w:color="auto"/>
              <w:right w:val="single" w:sz="4" w:space="0" w:color="auto"/>
            </w:tcBorders>
            <w:shd w:val="clear" w:color="auto" w:fill="C6EFCE"/>
            <w:noWrap/>
          </w:tcPr>
          <w:p w14:paraId="4FB457A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100%</w:t>
            </w:r>
          </w:p>
        </w:tc>
        <w:tc>
          <w:tcPr>
            <w:tcW w:w="846" w:type="dxa"/>
            <w:tcBorders>
              <w:top w:val="single" w:sz="4" w:space="0" w:color="auto"/>
              <w:left w:val="nil"/>
              <w:bottom w:val="single" w:sz="4" w:space="0" w:color="auto"/>
              <w:right w:val="single" w:sz="4" w:space="0" w:color="auto"/>
            </w:tcBorders>
            <w:shd w:val="clear" w:color="auto" w:fill="C6EFCE"/>
            <w:noWrap/>
          </w:tcPr>
          <w:p w14:paraId="5493E9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single" w:sz="4" w:space="0" w:color="auto"/>
              <w:left w:val="nil"/>
              <w:bottom w:val="single" w:sz="4" w:space="0" w:color="auto"/>
              <w:right w:val="single" w:sz="4" w:space="0" w:color="auto"/>
            </w:tcBorders>
            <w:shd w:val="clear" w:color="auto" w:fill="C6EFCE"/>
            <w:noWrap/>
          </w:tcPr>
          <w:p w14:paraId="497D3D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965" w:type="dxa"/>
            <w:tcBorders>
              <w:top w:val="single" w:sz="4" w:space="0" w:color="auto"/>
              <w:left w:val="nil"/>
              <w:bottom w:val="single" w:sz="4" w:space="0" w:color="auto"/>
              <w:right w:val="single" w:sz="4" w:space="0" w:color="auto"/>
            </w:tcBorders>
            <w:shd w:val="clear" w:color="auto" w:fill="C6EFCE"/>
            <w:noWrap/>
          </w:tcPr>
          <w:p w14:paraId="64AE5F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cadastral mapping of property rights in Greece is completed, with all property rights across Greece’s territory having reached the stage of public display.</w:t>
            </w:r>
          </w:p>
        </w:tc>
      </w:tr>
    </w:tbl>
    <w:p w14:paraId="0183D0FF"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38F57AA3"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3C6E9B4E"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N. COMPONENT 4.3: IMPROVE THE EFFICIENCY OF THE JUSTICE SYSTEM</w:t>
      </w:r>
    </w:p>
    <w:p w14:paraId="7A48C75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comprises a number of wide-ranging reforms as well as investments aimed at enhancing the effectiveness and efficiency of the Greek Justice system by introducing an ambitious revision of the judicial map of the country, addressing infrastructure needs, adopting measures to increase the digital capacities of the Justice system, modernising the function of courts, setting up a judicial police, and broadening and upgrading the education (both initial and life-long) of magistrates and clerical staff. The measures are expected to support addressing the challenges in the country-specific recommendations regarding public and private investment (Country Specific Recommendation 2 2019, Country Specific Recommendation 3 2020) and structural reforms to improve the functioning of the economy (Country Specific Recommendation 4 2020).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51443CC"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N.1. Description of the reforms and investments for non-repayable financial support</w:t>
      </w:r>
    </w:p>
    <w:p w14:paraId="0579D83B" w14:textId="208E1D1A"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Investment: </w:t>
      </w:r>
      <w:r w:rsidRPr="00DE4E4F">
        <w:rPr>
          <w:rFonts w:ascii="Times New Roman" w:hAnsi="Times New Roman"/>
          <w:noProof/>
          <w:sz w:val="24"/>
          <w:szCs w:val="24"/>
        </w:rPr>
        <w:t xml:space="preserve">New Judicial buildings </w:t>
      </w:r>
      <w:r w:rsidRPr="00DE4E4F">
        <w:rPr>
          <w:rFonts w:ascii="Times New Roman" w:hAnsi="Times New Roman"/>
          <w:noProof/>
          <w:color w:val="000000" w:themeColor="text1"/>
          <w:sz w:val="24"/>
          <w:szCs w:val="24"/>
        </w:rPr>
        <w:t>and renovations</w:t>
      </w:r>
      <w:r w:rsidRPr="00DE4E4F">
        <w:rPr>
          <w:rFonts w:ascii="Times New Roman" w:hAnsi="Times New Roman"/>
          <w:noProof/>
          <w:sz w:val="24"/>
          <w:szCs w:val="24"/>
        </w:rPr>
        <w:t xml:space="preserve"> (measure ID 16292)</w:t>
      </w:r>
    </w:p>
    <w:p w14:paraId="2E691139" w14:textId="5A8ACCD8"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objective of the measure is to make the judicial system more </w:t>
      </w:r>
      <w:r w:rsidR="00DE4E4F" w:rsidRPr="00DE4E4F">
        <w:rPr>
          <w:rFonts w:ascii="Times New Roman" w:hAnsi="Times New Roman"/>
          <w:noProof/>
          <w:sz w:val="24"/>
        </w:rPr>
        <w:t>efficient through</w:t>
      </w:r>
      <w:r w:rsidRPr="00DE4E4F">
        <w:rPr>
          <w:rFonts w:ascii="Times New Roman" w:hAnsi="Times New Roman"/>
          <w:noProof/>
          <w:sz w:val="24"/>
        </w:rPr>
        <w:t xml:space="preserve"> improving judicial building facilities. The measure consists of an investment for the construction and renovation of judicial buildings not affected by the revision of the judicial map and </w:t>
      </w:r>
      <w:r w:rsidR="00EF0662" w:rsidRPr="00DE4E4F">
        <w:rPr>
          <w:rFonts w:ascii="Times New Roman" w:hAnsi="Times New Roman"/>
          <w:noProof/>
          <w:sz w:val="24"/>
        </w:rPr>
        <w:t xml:space="preserve">issuance of e-identity </w:t>
      </w:r>
      <w:r w:rsidR="00F24111" w:rsidRPr="00DE4E4F">
        <w:rPr>
          <w:rFonts w:ascii="Times New Roman" w:hAnsi="Times New Roman"/>
          <w:noProof/>
          <w:sz w:val="24"/>
        </w:rPr>
        <w:t xml:space="preserve">extracts </w:t>
      </w:r>
      <w:r w:rsidR="00EF0662" w:rsidRPr="00DE4E4F">
        <w:rPr>
          <w:rFonts w:ascii="Times New Roman" w:hAnsi="Times New Roman"/>
          <w:noProof/>
          <w:sz w:val="24"/>
        </w:rPr>
        <w:t>for</w:t>
      </w:r>
      <w:r w:rsidRPr="00DE4E4F">
        <w:rPr>
          <w:rFonts w:ascii="Times New Roman" w:hAnsi="Times New Roman"/>
          <w:noProof/>
          <w:sz w:val="24"/>
        </w:rPr>
        <w:t xml:space="preserve"> </w:t>
      </w:r>
      <w:r w:rsidR="00553A7C" w:rsidRPr="00DE4E4F">
        <w:rPr>
          <w:rFonts w:ascii="Times New Roman" w:hAnsi="Times New Roman"/>
          <w:noProof/>
          <w:sz w:val="24"/>
        </w:rPr>
        <w:t xml:space="preserve">buildings </w:t>
      </w:r>
      <w:r w:rsidRPr="00DE4E4F">
        <w:rPr>
          <w:rFonts w:ascii="Times New Roman" w:hAnsi="Times New Roman"/>
          <w:noProof/>
          <w:sz w:val="24"/>
        </w:rPr>
        <w:t>owned by or granted to the judiciary</w:t>
      </w:r>
      <w:r w:rsidR="00DE4C0C" w:rsidRPr="00DE4E4F">
        <w:rPr>
          <w:rFonts w:ascii="Times New Roman" w:hAnsi="Times New Roman"/>
          <w:noProof/>
          <w:sz w:val="24"/>
        </w:rPr>
        <w:t xml:space="preserve"> </w:t>
      </w:r>
      <w:r w:rsidR="007C7B54" w:rsidRPr="00DE4E4F">
        <w:rPr>
          <w:rFonts w:ascii="Times New Roman" w:hAnsi="Times New Roman"/>
          <w:noProof/>
          <w:sz w:val="24"/>
        </w:rPr>
        <w:t xml:space="preserve">through the e-identity </w:t>
      </w:r>
      <w:r w:rsidRPr="00DE4E4F">
        <w:rPr>
          <w:rFonts w:ascii="Times New Roman" w:hAnsi="Times New Roman"/>
          <w:noProof/>
          <w:sz w:val="24"/>
        </w:rPr>
        <w:t xml:space="preserve">platform. </w:t>
      </w:r>
    </w:p>
    <w:p w14:paraId="0FC67D9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Digital Transformation of Justice (E-Justice) (measure ID 16727)</w:t>
      </w:r>
    </w:p>
    <w:p w14:paraId="4CCDDBE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objective of the reform is to provide judges and judicial staff with IT tools and infrastructure to better manage the caseload and accelerate the administration of justice. The measure consists of the digitisation of documents, the enhancement of the record-keeping system of civil and criminal courts and the digitalisation of civil and penal courts, the court of audits and the national criminal record </w:t>
      </w:r>
    </w:p>
    <w:p w14:paraId="107B28E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Skills and digital skills for judges and judicial employees (judicial staff) (measure ID 16733)</w:t>
      </w:r>
    </w:p>
    <w:p w14:paraId="5FDC1D66" w14:textId="77777777"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 xml:space="preserve">The National School of Judges shall undergo a number of institutional changes with respect to its function and educational programme; its candidate selection criteria shall also be revised, to provide a more selective and competitive studies environment, while admitting additional categories of students (magistrate’s court judges and court of audits judges); it shall also offer additional courses aiming at the provision of new skills, with emphasis on managerial and digital skills, as well as on topics relevant to the performance of judicial duties, according to law 4871/2021; the reform shall include the provision of mandatory lifelong training to judges in topics essential for the performance of their duties by trainers </w:t>
      </w:r>
      <w:r w:rsidRPr="00DE4E4F" w:rsidDel="00296E7A">
        <w:rPr>
          <w:rFonts w:ascii="Times New Roman" w:hAnsi="Times New Roman"/>
          <w:noProof/>
          <w:sz w:val="24"/>
        </w:rPr>
        <w:t xml:space="preserve">also </w:t>
      </w:r>
      <w:r w:rsidRPr="00DE4E4F">
        <w:rPr>
          <w:rFonts w:ascii="Times New Roman" w:hAnsi="Times New Roman"/>
          <w:noProof/>
          <w:sz w:val="24"/>
        </w:rPr>
        <w:t xml:space="preserve">selected by the National School of Judges according to law 4871/2021. Finally, a new educational programme for Judicial Clerks shall be created within the National School of Judges, to provide training and lifelong training to clerical staff on topics essential for the performance of their duties, management and organization of their service, digital skills, procedural and substantive law. </w:t>
      </w:r>
    </w:p>
    <w:p w14:paraId="1A60ADD8" w14:textId="77777777"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The implementation of the reform shall be completed by 31 December 2024.</w:t>
      </w:r>
    </w:p>
    <w:p w14:paraId="09F9FE81" w14:textId="77777777" w:rsidR="001B186F"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Reform: Accelerating the administration of justice (measure ID 16575)</w:t>
      </w:r>
    </w:p>
    <w:p w14:paraId="56A555D5" w14:textId="02FABB89"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This objective of the measure is to accelerate the administration of justice. The measure consists of the revision of the civil/penal and administrative judicial map through establishing, abolishing or redistributing courts in all judicial districts, the provision of training on alternative dispute resolution to legal </w:t>
      </w:r>
      <w:r w:rsidR="003B54CA" w:rsidRPr="00DE4E4F">
        <w:rPr>
          <w:rFonts w:ascii="Times New Roman" w:hAnsi="Times New Roman"/>
          <w:noProof/>
          <w:sz w:val="24"/>
          <w:szCs w:val="24"/>
        </w:rPr>
        <w:t>professionals and/</w:t>
      </w:r>
      <w:r w:rsidRPr="00DE4E4F">
        <w:rPr>
          <w:rFonts w:ascii="Times New Roman" w:hAnsi="Times New Roman"/>
          <w:noProof/>
          <w:sz w:val="24"/>
          <w:szCs w:val="24"/>
        </w:rPr>
        <w:t>or mediators and the delivery of a unified digital system for mediation centers.</w:t>
      </w:r>
    </w:p>
    <w:p w14:paraId="1FDAA459" w14:textId="77777777" w:rsidR="001B186F" w:rsidRPr="00DE4E4F" w:rsidRDefault="001B186F">
      <w:pPr>
        <w:spacing w:before="120" w:after="120" w:line="240" w:lineRule="auto"/>
        <w:ind w:left="709"/>
        <w:jc w:val="both"/>
        <w:rPr>
          <w:rFonts w:ascii="Times New Roman" w:hAnsi="Times New Roman" w:cs="Times New Roman"/>
          <w:b/>
          <w:bCs/>
          <w:noProof/>
          <w:sz w:val="24"/>
          <w:u w:val="single"/>
        </w:rPr>
      </w:pPr>
    </w:p>
    <w:p w14:paraId="21DFA740"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294"/>
          <w:headerReference w:type="default" r:id="rId295"/>
          <w:footerReference w:type="even" r:id="rId296"/>
          <w:footerReference w:type="default" r:id="rId297"/>
          <w:headerReference w:type="first" r:id="rId298"/>
          <w:footerReference w:type="first" r:id="rId299"/>
          <w:pgSz w:w="11906" w:h="16838"/>
          <w:pgMar w:top="1134" w:right="1134" w:bottom="1134" w:left="1134" w:header="567" w:footer="567" w:gutter="0"/>
          <w:cols w:space="708"/>
          <w:docGrid w:linePitch="360"/>
        </w:sectPr>
      </w:pPr>
    </w:p>
    <w:p w14:paraId="1C200F94"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N.2. Milestones, targets, indicators, and timetable for monitoring and implementation for non-repayable financial support</w:t>
      </w:r>
    </w:p>
    <w:p w14:paraId="150265A1"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21: Improve the efficiency of the justice system</w:t>
      </w:r>
    </w:p>
    <w:p w14:paraId="1801823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measures included within this group are:</w:t>
      </w:r>
    </w:p>
    <w:p w14:paraId="0CEC6E31" w14:textId="08A54E11" w:rsidR="001B186F" w:rsidRPr="00DE4E4F" w:rsidRDefault="0074517F">
      <w:pPr>
        <w:numPr>
          <w:ilvl w:val="0"/>
          <w:numId w:val="64"/>
        </w:num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New Judicial Buildings and Renovation</w:t>
      </w:r>
      <w:r w:rsidR="11E7F16B" w:rsidRPr="00DE4E4F">
        <w:rPr>
          <w:rFonts w:ascii="Times New Roman" w:hAnsi="Times New Roman"/>
          <w:noProof/>
          <w:sz w:val="24"/>
          <w:szCs w:val="24"/>
        </w:rPr>
        <w:t>s</w:t>
      </w:r>
      <w:r w:rsidRPr="00DE4E4F">
        <w:rPr>
          <w:rFonts w:ascii="Times New Roman" w:hAnsi="Times New Roman"/>
          <w:noProof/>
          <w:sz w:val="24"/>
          <w:szCs w:val="24"/>
        </w:rPr>
        <w:t xml:space="preserve"> (ID: 16292)</w:t>
      </w:r>
    </w:p>
    <w:p w14:paraId="654BFFDA" w14:textId="77777777" w:rsidR="001B186F" w:rsidRPr="00DE4E4F" w:rsidRDefault="0074517F">
      <w:pPr>
        <w:numPr>
          <w:ilvl w:val="0"/>
          <w:numId w:val="64"/>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Digital Transformation of Justice (E-Justice) (ID: 16727)</w:t>
      </w:r>
    </w:p>
    <w:p w14:paraId="2FA334EC" w14:textId="77777777" w:rsidR="001B186F" w:rsidRPr="00DE4E4F" w:rsidRDefault="0074517F">
      <w:pPr>
        <w:numPr>
          <w:ilvl w:val="0"/>
          <w:numId w:val="64"/>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Skills and digital skills for judges and judicial employees (judicial staff) (ID: 16733)</w:t>
      </w:r>
    </w:p>
    <w:p w14:paraId="23321CB3" w14:textId="77777777" w:rsidR="001B186F" w:rsidRPr="00DE4E4F" w:rsidRDefault="0074517F">
      <w:pPr>
        <w:numPr>
          <w:ilvl w:val="0"/>
          <w:numId w:val="64"/>
        </w:numPr>
        <w:spacing w:before="120" w:after="120" w:line="240" w:lineRule="auto"/>
        <w:jc w:val="both"/>
        <w:rPr>
          <w:rFonts w:ascii="Times New Roman" w:hAnsi="Times New Roman" w:cs="Times New Roman"/>
          <w:noProof/>
          <w:sz w:val="24"/>
        </w:rPr>
      </w:pPr>
      <w:r w:rsidRPr="00DE4E4F">
        <w:rPr>
          <w:rFonts w:ascii="Times New Roman" w:hAnsi="Times New Roman"/>
          <w:noProof/>
          <w:sz w:val="24"/>
        </w:rPr>
        <w:t>Accelerating the administration of justice (ID: 16575)</w:t>
      </w:r>
    </w:p>
    <w:tbl>
      <w:tblPr>
        <w:tblW w:w="15730" w:type="dxa"/>
        <w:jc w:val="center"/>
        <w:tblLook w:val="04A0" w:firstRow="1" w:lastRow="0" w:firstColumn="1" w:lastColumn="0" w:noHBand="0" w:noVBand="1"/>
      </w:tblPr>
      <w:tblGrid>
        <w:gridCol w:w="592"/>
        <w:gridCol w:w="8"/>
        <w:gridCol w:w="1968"/>
        <w:gridCol w:w="1424"/>
        <w:gridCol w:w="1397"/>
        <w:gridCol w:w="1552"/>
        <w:gridCol w:w="992"/>
        <w:gridCol w:w="857"/>
        <w:gridCol w:w="587"/>
        <w:gridCol w:w="846"/>
        <w:gridCol w:w="622"/>
        <w:gridCol w:w="4885"/>
      </w:tblGrid>
      <w:tr w:rsidR="00682269" w:rsidRPr="00DE4E4F" w14:paraId="60FACD44" w14:textId="77777777" w:rsidTr="00A70121">
        <w:trPr>
          <w:trHeight w:val="927"/>
          <w:tblHeader/>
          <w:jc w:val="center"/>
        </w:trPr>
        <w:tc>
          <w:tcPr>
            <w:tcW w:w="60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83C62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9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54EEA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54508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A1953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5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E75BD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43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FBB2BB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4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A89A2F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Indicative timeline for completion</w:t>
            </w:r>
          </w:p>
        </w:tc>
        <w:tc>
          <w:tcPr>
            <w:tcW w:w="48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3DA54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410E6EE3" w14:textId="77777777" w:rsidTr="00A70121">
        <w:trPr>
          <w:trHeight w:val="629"/>
          <w:tblHeader/>
          <w:jc w:val="center"/>
        </w:trPr>
        <w:tc>
          <w:tcPr>
            <w:tcW w:w="600" w:type="dxa"/>
            <w:gridSpan w:val="2"/>
            <w:vMerge/>
            <w:tcBorders>
              <w:top w:val="single" w:sz="4" w:space="0" w:color="auto"/>
              <w:left w:val="single" w:sz="4" w:space="0" w:color="auto"/>
              <w:bottom w:val="single" w:sz="4" w:space="0" w:color="auto"/>
              <w:right w:val="single" w:sz="4" w:space="0" w:color="auto"/>
            </w:tcBorders>
            <w:hideMark/>
          </w:tcPr>
          <w:p w14:paraId="10A18B3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68" w:type="dxa"/>
            <w:vMerge/>
            <w:tcBorders>
              <w:top w:val="single" w:sz="4" w:space="0" w:color="auto"/>
              <w:left w:val="single" w:sz="4" w:space="0" w:color="auto"/>
              <w:bottom w:val="single" w:sz="4" w:space="0" w:color="auto"/>
              <w:right w:val="single" w:sz="4" w:space="0" w:color="auto"/>
            </w:tcBorders>
            <w:hideMark/>
          </w:tcPr>
          <w:p w14:paraId="20656FF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24" w:type="dxa"/>
            <w:vMerge/>
            <w:tcBorders>
              <w:top w:val="single" w:sz="4" w:space="0" w:color="auto"/>
              <w:left w:val="single" w:sz="4" w:space="0" w:color="auto"/>
              <w:bottom w:val="single" w:sz="4" w:space="0" w:color="auto"/>
              <w:right w:val="single" w:sz="4" w:space="0" w:color="auto"/>
            </w:tcBorders>
            <w:hideMark/>
          </w:tcPr>
          <w:p w14:paraId="6E85A4D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97" w:type="dxa"/>
            <w:vMerge/>
            <w:tcBorders>
              <w:top w:val="single" w:sz="4" w:space="0" w:color="auto"/>
              <w:left w:val="single" w:sz="4" w:space="0" w:color="auto"/>
              <w:bottom w:val="single" w:sz="4" w:space="0" w:color="auto"/>
              <w:right w:val="single" w:sz="4" w:space="0" w:color="auto"/>
            </w:tcBorders>
            <w:hideMark/>
          </w:tcPr>
          <w:p w14:paraId="18125A0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52" w:type="dxa"/>
            <w:vMerge/>
            <w:tcBorders>
              <w:top w:val="single" w:sz="4" w:space="0" w:color="auto"/>
              <w:left w:val="single" w:sz="4" w:space="0" w:color="auto"/>
              <w:bottom w:val="single" w:sz="4" w:space="0" w:color="auto"/>
              <w:right w:val="single" w:sz="4" w:space="0" w:color="auto"/>
            </w:tcBorders>
            <w:hideMark/>
          </w:tcPr>
          <w:p w14:paraId="13136FF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BBB38E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882345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1F637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D36E4D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2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F57FB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885" w:type="dxa"/>
            <w:vMerge/>
            <w:tcBorders>
              <w:top w:val="single" w:sz="4" w:space="0" w:color="auto"/>
              <w:left w:val="single" w:sz="4" w:space="0" w:color="auto"/>
              <w:bottom w:val="single" w:sz="4" w:space="0" w:color="auto"/>
              <w:right w:val="single" w:sz="4" w:space="0" w:color="auto"/>
            </w:tcBorders>
            <w:hideMark/>
          </w:tcPr>
          <w:p w14:paraId="0E32771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12CC0C3F" w14:textId="77777777" w:rsidTr="00A70121">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61C0DE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222</w:t>
            </w:r>
          </w:p>
        </w:tc>
        <w:tc>
          <w:tcPr>
            <w:tcW w:w="1976" w:type="dxa"/>
            <w:gridSpan w:val="2"/>
            <w:tcBorders>
              <w:top w:val="single" w:sz="4" w:space="0" w:color="auto"/>
              <w:left w:val="single" w:sz="4" w:space="0" w:color="auto"/>
              <w:bottom w:val="single" w:sz="4" w:space="0" w:color="auto"/>
              <w:right w:val="single" w:sz="4" w:space="0" w:color="auto"/>
            </w:tcBorders>
            <w:shd w:val="clear" w:color="auto" w:fill="C6EFCE"/>
            <w:noWrap/>
          </w:tcPr>
          <w:p w14:paraId="3F2A34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- 16292_New Judicial Buildings</w:t>
            </w:r>
          </w:p>
        </w:tc>
        <w:tc>
          <w:tcPr>
            <w:tcW w:w="1424" w:type="dxa"/>
            <w:tcBorders>
              <w:top w:val="single" w:sz="4" w:space="0" w:color="auto"/>
              <w:left w:val="single" w:sz="4" w:space="0" w:color="auto"/>
              <w:bottom w:val="single" w:sz="4" w:space="0" w:color="auto"/>
              <w:right w:val="single" w:sz="4" w:space="0" w:color="auto"/>
            </w:tcBorders>
            <w:shd w:val="clear" w:color="auto" w:fill="C6EFCE"/>
            <w:noWrap/>
          </w:tcPr>
          <w:p w14:paraId="511FE9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single" w:sz="4" w:space="0" w:color="auto"/>
              <w:bottom w:val="single" w:sz="4" w:space="0" w:color="auto"/>
              <w:right w:val="single" w:sz="4" w:space="0" w:color="auto"/>
            </w:tcBorders>
            <w:shd w:val="clear" w:color="auto" w:fill="C6EFCE"/>
            <w:noWrap/>
          </w:tcPr>
          <w:p w14:paraId="503B8D1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Identification – Eligible Buildings</w:t>
            </w:r>
          </w:p>
        </w:tc>
        <w:tc>
          <w:tcPr>
            <w:tcW w:w="1552" w:type="dxa"/>
            <w:tcBorders>
              <w:top w:val="single" w:sz="4" w:space="0" w:color="auto"/>
              <w:left w:val="single" w:sz="4" w:space="0" w:color="auto"/>
              <w:bottom w:val="single" w:sz="4" w:space="0" w:color="auto"/>
              <w:right w:val="single" w:sz="4" w:space="0" w:color="auto"/>
            </w:tcBorders>
            <w:shd w:val="clear" w:color="auto" w:fill="C6EFCE"/>
            <w:noWrap/>
          </w:tcPr>
          <w:p w14:paraId="17A11D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of list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AEDDA4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1DCB92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7BB8E13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EA3F9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622" w:type="dxa"/>
            <w:tcBorders>
              <w:top w:val="single" w:sz="4" w:space="0" w:color="auto"/>
              <w:left w:val="single" w:sz="4" w:space="0" w:color="auto"/>
              <w:bottom w:val="single" w:sz="4" w:space="0" w:color="auto"/>
              <w:right w:val="single" w:sz="4" w:space="0" w:color="auto"/>
            </w:tcBorders>
            <w:shd w:val="clear" w:color="auto" w:fill="C6EFCE"/>
            <w:noWrap/>
          </w:tcPr>
          <w:p w14:paraId="73AA88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885" w:type="dxa"/>
            <w:tcBorders>
              <w:top w:val="single" w:sz="4" w:space="0" w:color="auto"/>
              <w:left w:val="single" w:sz="4" w:space="0" w:color="auto"/>
              <w:bottom w:val="single" w:sz="4" w:space="0" w:color="auto"/>
              <w:right w:val="single" w:sz="4" w:space="0" w:color="auto"/>
            </w:tcBorders>
            <w:shd w:val="clear" w:color="auto" w:fill="C6EFCE"/>
            <w:noWrap/>
          </w:tcPr>
          <w:p w14:paraId="7041439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Compilation of a list of buildings not affected by the revision of the judicial map.</w:t>
            </w:r>
          </w:p>
        </w:tc>
      </w:tr>
      <w:tr w:rsidR="00682269" w:rsidRPr="00DE4E4F" w14:paraId="20FDB882" w14:textId="77777777" w:rsidTr="00A70121">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8FE8C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860EC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14 - 4.3. Improve the efficiency of the justice system - </w:t>
            </w:r>
          </w:p>
          <w:p w14:paraId="595E012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16575 Accelerating the administration of justice</w:t>
            </w:r>
          </w:p>
        </w:tc>
        <w:tc>
          <w:tcPr>
            <w:tcW w:w="1424" w:type="dxa"/>
            <w:tcBorders>
              <w:top w:val="single" w:sz="4" w:space="0" w:color="auto"/>
              <w:left w:val="nil"/>
              <w:bottom w:val="single" w:sz="4" w:space="0" w:color="auto"/>
              <w:right w:val="single" w:sz="4" w:space="0" w:color="auto"/>
            </w:tcBorders>
            <w:shd w:val="clear" w:color="auto" w:fill="C6EFCE"/>
            <w:noWrap/>
          </w:tcPr>
          <w:p w14:paraId="0660264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31A8CF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Technical support - Judicial Performance Tool</w:t>
            </w:r>
          </w:p>
        </w:tc>
        <w:tc>
          <w:tcPr>
            <w:tcW w:w="1552" w:type="dxa"/>
            <w:tcBorders>
              <w:top w:val="single" w:sz="4" w:space="0" w:color="auto"/>
              <w:left w:val="nil"/>
              <w:bottom w:val="single" w:sz="4" w:space="0" w:color="auto"/>
              <w:right w:val="single" w:sz="4" w:space="0" w:color="auto"/>
            </w:tcBorders>
            <w:shd w:val="clear" w:color="auto" w:fill="C6EFCE"/>
            <w:noWrap/>
          </w:tcPr>
          <w:p w14:paraId="34296D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tender for technical support</w:t>
            </w:r>
          </w:p>
        </w:tc>
        <w:tc>
          <w:tcPr>
            <w:tcW w:w="992" w:type="dxa"/>
            <w:tcBorders>
              <w:top w:val="single" w:sz="4" w:space="0" w:color="auto"/>
              <w:left w:val="nil"/>
              <w:bottom w:val="single" w:sz="4" w:space="0" w:color="auto"/>
              <w:right w:val="single" w:sz="4" w:space="0" w:color="auto"/>
            </w:tcBorders>
            <w:shd w:val="clear" w:color="auto" w:fill="C6EFCE"/>
            <w:noWrap/>
          </w:tcPr>
          <w:p w14:paraId="346BBA5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23D8D59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5086622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4E709F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622" w:type="dxa"/>
            <w:tcBorders>
              <w:top w:val="single" w:sz="4" w:space="0" w:color="auto"/>
              <w:left w:val="nil"/>
              <w:bottom w:val="single" w:sz="4" w:space="0" w:color="auto"/>
              <w:right w:val="single" w:sz="4" w:space="0" w:color="auto"/>
            </w:tcBorders>
            <w:shd w:val="clear" w:color="auto" w:fill="C6EFCE"/>
            <w:noWrap/>
          </w:tcPr>
          <w:p w14:paraId="51948A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85" w:type="dxa"/>
            <w:tcBorders>
              <w:top w:val="single" w:sz="4" w:space="0" w:color="auto"/>
              <w:left w:val="nil"/>
              <w:bottom w:val="single" w:sz="4" w:space="0" w:color="auto"/>
              <w:right w:val="single" w:sz="4" w:space="0" w:color="auto"/>
            </w:tcBorders>
            <w:shd w:val="clear" w:color="auto" w:fill="C6EFCE"/>
            <w:noWrap/>
          </w:tcPr>
          <w:p w14:paraId="4AA46D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tender for technical support for the development of the Judicial Performance Tool based on strategic goals, introducing objective KPIs (time for completing a duty, individual performance in terms of time, communication, motivation etc.) by department and/or category of clerks and providing accurate and objective data on the allocation of bonuses; bonuses shall be payable in the first quarter after the end of the relevant year, on the basis of that year’s performance. The tool shall be temporary and in full consistency with the unified wage grid (Law 4354/2015) without setting any exemption for the elimination of court backlogs.</w:t>
            </w:r>
          </w:p>
        </w:tc>
      </w:tr>
      <w:tr w:rsidR="00682269" w:rsidRPr="00DE4E4F" w14:paraId="5654155B" w14:textId="77777777">
        <w:tblPrEx>
          <w:tblLook w:val="0400" w:firstRow="0" w:lastRow="0" w:firstColumn="0" w:lastColumn="0" w:noHBand="0" w:noVBand="1"/>
        </w:tblPrEx>
        <w:trPr>
          <w:trHeight w:val="309"/>
          <w:jc w:val="center"/>
        </w:trPr>
        <w:tc>
          <w:tcPr>
            <w:tcW w:w="5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tcPr>
          <w:p w14:paraId="409C268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224</w:t>
            </w:r>
          </w:p>
        </w:tc>
        <w:tc>
          <w:tcPr>
            <w:tcW w:w="1976" w:type="dxa"/>
            <w:gridSpan w:val="2"/>
            <w:tcBorders>
              <w:top w:val="single" w:sz="4" w:space="0" w:color="000000" w:themeColor="text1"/>
              <w:left w:val="nil"/>
              <w:bottom w:val="single" w:sz="4" w:space="0" w:color="000000" w:themeColor="text1"/>
              <w:right w:val="single" w:sz="4" w:space="0" w:color="000000" w:themeColor="text1"/>
            </w:tcBorders>
            <w:shd w:val="clear" w:color="auto" w:fill="C6EFCE"/>
          </w:tcPr>
          <w:p w14:paraId="417FA21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- 16733_Skills and digital skills for judges and judicial employees (judicial staff)</w:t>
            </w:r>
          </w:p>
        </w:tc>
        <w:tc>
          <w:tcPr>
            <w:tcW w:w="1424"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587A7FB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9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6E83234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 Judges and Clerks</w:t>
            </w:r>
          </w:p>
        </w:tc>
        <w:tc>
          <w:tcPr>
            <w:tcW w:w="155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7EDBF7A" w14:textId="77777777" w:rsidR="001B186F" w:rsidRPr="00DE4E4F" w:rsidRDefault="001B186F">
            <w:pPr>
              <w:spacing w:after="0" w:line="240" w:lineRule="auto"/>
              <w:rPr>
                <w:rFonts w:ascii="Times New Roman" w:hAnsi="Times New Roman" w:cs="Times New Roman"/>
                <w:noProof/>
                <w:color w:val="006100"/>
                <w:sz w:val="18"/>
                <w:szCs w:val="18"/>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6D76CE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judges enrolled in the national school of judges</w:t>
            </w:r>
          </w:p>
        </w:tc>
        <w:tc>
          <w:tcPr>
            <w:tcW w:w="85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0178F17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587"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17D45A7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10</w:t>
            </w:r>
          </w:p>
        </w:tc>
        <w:tc>
          <w:tcPr>
            <w:tcW w:w="846"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8A05BB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622"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4AEAFC1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85" w:type="dxa"/>
            <w:tcBorders>
              <w:top w:val="single" w:sz="4" w:space="0" w:color="000000" w:themeColor="text1"/>
              <w:left w:val="nil"/>
              <w:bottom w:val="single" w:sz="4" w:space="0" w:color="000000" w:themeColor="text1"/>
              <w:right w:val="single" w:sz="4" w:space="0" w:color="000000" w:themeColor="text1"/>
            </w:tcBorders>
            <w:shd w:val="clear" w:color="auto" w:fill="C6EFCE"/>
          </w:tcPr>
          <w:p w14:paraId="33D6E676"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 xml:space="preserve">10 magistrate’s court judges enrolled in the national school of judges </w:t>
            </w:r>
          </w:p>
        </w:tc>
      </w:tr>
      <w:tr w:rsidR="00682269" w:rsidRPr="00DE4E4F" w14:paraId="7A9A8A0C"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72C431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225</w:t>
            </w:r>
          </w:p>
        </w:tc>
        <w:tc>
          <w:tcPr>
            <w:tcW w:w="1976" w:type="dxa"/>
            <w:gridSpan w:val="2"/>
            <w:tcBorders>
              <w:top w:val="nil"/>
              <w:left w:val="nil"/>
              <w:bottom w:val="single" w:sz="4" w:space="0" w:color="auto"/>
              <w:right w:val="single" w:sz="4" w:space="0" w:color="auto"/>
            </w:tcBorders>
            <w:shd w:val="clear" w:color="auto" w:fill="C6EFCE"/>
            <w:noWrap/>
          </w:tcPr>
          <w:p w14:paraId="6BB58F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nil"/>
              <w:left w:val="nil"/>
              <w:bottom w:val="single" w:sz="4" w:space="0" w:color="auto"/>
              <w:right w:val="single" w:sz="4" w:space="0" w:color="auto"/>
            </w:tcBorders>
            <w:shd w:val="clear" w:color="auto" w:fill="C6EFCE"/>
            <w:noWrap/>
          </w:tcPr>
          <w:p w14:paraId="2F6071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nil"/>
              <w:left w:val="nil"/>
              <w:bottom w:val="single" w:sz="4" w:space="0" w:color="auto"/>
              <w:right w:val="single" w:sz="4" w:space="0" w:color="auto"/>
            </w:tcBorders>
            <w:shd w:val="clear" w:color="auto" w:fill="C6EFCE"/>
            <w:noWrap/>
          </w:tcPr>
          <w:p w14:paraId="21F166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Judicial Police – Secondary legislation </w:t>
            </w:r>
          </w:p>
        </w:tc>
        <w:tc>
          <w:tcPr>
            <w:tcW w:w="1552" w:type="dxa"/>
            <w:tcBorders>
              <w:top w:val="nil"/>
              <w:left w:val="nil"/>
              <w:bottom w:val="single" w:sz="4" w:space="0" w:color="auto"/>
              <w:right w:val="single" w:sz="4" w:space="0" w:color="auto"/>
            </w:tcBorders>
            <w:shd w:val="clear" w:color="auto" w:fill="C6EFCE"/>
            <w:noWrap/>
          </w:tcPr>
          <w:p w14:paraId="45007C0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992" w:type="dxa"/>
            <w:tcBorders>
              <w:top w:val="nil"/>
              <w:left w:val="nil"/>
              <w:bottom w:val="single" w:sz="4" w:space="0" w:color="auto"/>
              <w:right w:val="single" w:sz="4" w:space="0" w:color="auto"/>
            </w:tcBorders>
            <w:shd w:val="clear" w:color="auto" w:fill="C6EFCE"/>
            <w:noWrap/>
          </w:tcPr>
          <w:p w14:paraId="3EA287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7C2AE43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nil"/>
              <w:left w:val="nil"/>
              <w:bottom w:val="single" w:sz="4" w:space="0" w:color="auto"/>
              <w:right w:val="single" w:sz="4" w:space="0" w:color="auto"/>
            </w:tcBorders>
            <w:shd w:val="clear" w:color="auto" w:fill="C6EFCE"/>
            <w:noWrap/>
          </w:tcPr>
          <w:p w14:paraId="1481B62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4F3685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622" w:type="dxa"/>
            <w:tcBorders>
              <w:top w:val="nil"/>
              <w:left w:val="nil"/>
              <w:bottom w:val="single" w:sz="4" w:space="0" w:color="auto"/>
              <w:right w:val="single" w:sz="4" w:space="0" w:color="auto"/>
            </w:tcBorders>
            <w:shd w:val="clear" w:color="auto" w:fill="C6EFCE"/>
            <w:noWrap/>
          </w:tcPr>
          <w:p w14:paraId="79B174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85" w:type="dxa"/>
            <w:tcBorders>
              <w:top w:val="nil"/>
              <w:left w:val="nil"/>
              <w:bottom w:val="single" w:sz="4" w:space="0" w:color="auto"/>
              <w:right w:val="single" w:sz="4" w:space="0" w:color="auto"/>
            </w:tcBorders>
            <w:shd w:val="clear" w:color="auto" w:fill="C6EFCE"/>
            <w:noWrap/>
          </w:tcPr>
          <w:p w14:paraId="27DEFF6A" w14:textId="77777777" w:rsidR="001B186F" w:rsidRPr="00DE4E4F" w:rsidRDefault="0074517F">
            <w:pPr>
              <w:spacing w:before="120" w:after="12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all secondary legislation (in the form of Presidential decrees or ministerial decisions, as appropriate) necessary for the full implementation of the law on the Judicial Police to assist the work of the Judicial and Prosecutorial Authorities with:</w:t>
            </w:r>
          </w:p>
          <w:p w14:paraId="30F94739"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provision of scientific and technical assistance to judges and prosecutors in matters requiring technical or professional expertise; </w:t>
            </w:r>
          </w:p>
          <w:p w14:paraId="662E14A5"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conduct of preliminary examinations and investigations;</w:t>
            </w:r>
          </w:p>
          <w:p w14:paraId="10DAEDF6"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execution of warrants;</w:t>
            </w:r>
          </w:p>
          <w:p w14:paraId="39E7BF0C"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provision of assistance in submitting or responding to requests for judicial assistance;</w:t>
            </w:r>
          </w:p>
          <w:p w14:paraId="0A99108C"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service of documents and procedural acts;</w:t>
            </w:r>
          </w:p>
          <w:p w14:paraId="2D1C6E87"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enforcing of judgments;</w:t>
            </w:r>
          </w:p>
          <w:p w14:paraId="36C8F634" w14:textId="77777777" w:rsidR="001B186F" w:rsidRPr="00DE4E4F" w:rsidRDefault="0074517F">
            <w:pPr>
              <w:numPr>
                <w:ilvl w:val="0"/>
                <w:numId w:val="65"/>
              </w:numPr>
              <w:spacing w:before="120" w:after="0" w:line="240" w:lineRule="auto"/>
              <w:ind w:left="231" w:hanging="219"/>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guarding of and maintenance of order in courthouses;</w:t>
            </w:r>
          </w:p>
          <w:p w14:paraId="6B6AC87E" w14:textId="6E90C812" w:rsidR="001B186F" w:rsidRPr="00DE4E4F" w:rsidRDefault="0074517F" w:rsidP="00B116A1">
            <w:pPr>
              <w:numPr>
                <w:ilvl w:val="0"/>
                <w:numId w:val="65"/>
              </w:numPr>
              <w:spacing w:before="120" w:after="0" w:line="240" w:lineRule="auto"/>
              <w:ind w:left="231" w:hanging="219"/>
              <w:jc w:val="both"/>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other procedural acts entrusted to it by the competent courts and public prosecutors</w:t>
            </w:r>
          </w:p>
        </w:tc>
      </w:tr>
      <w:tr w:rsidR="00682269" w:rsidRPr="00DE4E4F" w14:paraId="4A7391F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AEED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226</w:t>
            </w:r>
          </w:p>
        </w:tc>
        <w:tc>
          <w:tcPr>
            <w:tcW w:w="1976" w:type="dxa"/>
            <w:gridSpan w:val="2"/>
            <w:tcBorders>
              <w:top w:val="nil"/>
              <w:left w:val="nil"/>
              <w:bottom w:val="single" w:sz="4" w:space="0" w:color="auto"/>
              <w:right w:val="single" w:sz="4" w:space="0" w:color="auto"/>
            </w:tcBorders>
            <w:shd w:val="clear" w:color="auto" w:fill="C6EFCE"/>
            <w:noWrap/>
          </w:tcPr>
          <w:p w14:paraId="72D4DE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nil"/>
              <w:left w:val="nil"/>
              <w:bottom w:val="single" w:sz="4" w:space="0" w:color="auto"/>
              <w:right w:val="single" w:sz="4" w:space="0" w:color="auto"/>
            </w:tcBorders>
            <w:shd w:val="clear" w:color="auto" w:fill="C6EFCE"/>
            <w:noWrap/>
          </w:tcPr>
          <w:p w14:paraId="6B5A6D8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nil"/>
              <w:left w:val="nil"/>
              <w:bottom w:val="single" w:sz="4" w:space="0" w:color="auto"/>
              <w:right w:val="single" w:sz="4" w:space="0" w:color="auto"/>
            </w:tcBorders>
            <w:shd w:val="clear" w:color="auto" w:fill="C6EFCE"/>
            <w:noWrap/>
          </w:tcPr>
          <w:p w14:paraId="0729CB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map - primary legislation - administrative</w:t>
            </w:r>
          </w:p>
        </w:tc>
        <w:tc>
          <w:tcPr>
            <w:tcW w:w="1552" w:type="dxa"/>
            <w:tcBorders>
              <w:top w:val="nil"/>
              <w:left w:val="nil"/>
              <w:bottom w:val="single" w:sz="4" w:space="0" w:color="auto"/>
              <w:right w:val="single" w:sz="4" w:space="0" w:color="auto"/>
            </w:tcBorders>
            <w:shd w:val="clear" w:color="auto" w:fill="C6EFCE"/>
            <w:noWrap/>
          </w:tcPr>
          <w:p w14:paraId="69659C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992" w:type="dxa"/>
            <w:tcBorders>
              <w:top w:val="nil"/>
              <w:left w:val="nil"/>
              <w:bottom w:val="single" w:sz="4" w:space="0" w:color="auto"/>
              <w:right w:val="single" w:sz="4" w:space="0" w:color="auto"/>
            </w:tcBorders>
            <w:shd w:val="clear" w:color="auto" w:fill="C6EFCE"/>
            <w:noWrap/>
          </w:tcPr>
          <w:p w14:paraId="7A2CECD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28869F0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nil"/>
              <w:left w:val="nil"/>
              <w:bottom w:val="single" w:sz="4" w:space="0" w:color="auto"/>
              <w:right w:val="single" w:sz="4" w:space="0" w:color="auto"/>
            </w:tcBorders>
            <w:shd w:val="clear" w:color="auto" w:fill="C6EFCE"/>
            <w:noWrap/>
          </w:tcPr>
          <w:p w14:paraId="4F901F9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6719DA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nil"/>
              <w:left w:val="nil"/>
              <w:bottom w:val="single" w:sz="4" w:space="0" w:color="auto"/>
              <w:right w:val="single" w:sz="4" w:space="0" w:color="auto"/>
            </w:tcBorders>
            <w:shd w:val="clear" w:color="auto" w:fill="C6EFCE"/>
            <w:noWrap/>
          </w:tcPr>
          <w:p w14:paraId="65D49C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85" w:type="dxa"/>
            <w:tcBorders>
              <w:top w:val="nil"/>
              <w:left w:val="nil"/>
              <w:bottom w:val="single" w:sz="4" w:space="0" w:color="auto"/>
              <w:right w:val="single" w:sz="4" w:space="0" w:color="auto"/>
            </w:tcBorders>
            <w:shd w:val="clear" w:color="auto" w:fill="C6EFCE"/>
            <w:noWrap/>
          </w:tcPr>
          <w:p w14:paraId="287C7A7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legislation for the revision of the judicial map for administrative justice. </w:t>
            </w:r>
          </w:p>
        </w:tc>
      </w:tr>
      <w:tr w:rsidR="00682269" w:rsidRPr="00DE4E4F" w14:paraId="44D027AD"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4EB4271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227</w:t>
            </w:r>
          </w:p>
        </w:tc>
        <w:tc>
          <w:tcPr>
            <w:tcW w:w="1976" w:type="dxa"/>
            <w:gridSpan w:val="2"/>
            <w:tcBorders>
              <w:top w:val="nil"/>
              <w:left w:val="nil"/>
              <w:bottom w:val="single" w:sz="4" w:space="0" w:color="auto"/>
              <w:right w:val="single" w:sz="4" w:space="0" w:color="auto"/>
            </w:tcBorders>
            <w:shd w:val="clear" w:color="auto" w:fill="C6EFCE"/>
            <w:noWrap/>
          </w:tcPr>
          <w:p w14:paraId="704CA68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- 16292_New Judicial Buildings</w:t>
            </w:r>
          </w:p>
        </w:tc>
        <w:tc>
          <w:tcPr>
            <w:tcW w:w="1424" w:type="dxa"/>
            <w:tcBorders>
              <w:top w:val="nil"/>
              <w:left w:val="nil"/>
              <w:bottom w:val="single" w:sz="4" w:space="0" w:color="auto"/>
              <w:right w:val="single" w:sz="4" w:space="0" w:color="auto"/>
            </w:tcBorders>
            <w:shd w:val="clear" w:color="auto" w:fill="C6EFCE"/>
            <w:noWrap/>
          </w:tcPr>
          <w:p w14:paraId="479E39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nil"/>
              <w:left w:val="nil"/>
              <w:bottom w:val="single" w:sz="4" w:space="0" w:color="auto"/>
              <w:right w:val="single" w:sz="4" w:space="0" w:color="auto"/>
            </w:tcBorders>
            <w:shd w:val="clear" w:color="auto" w:fill="C6EFCE"/>
            <w:noWrap/>
          </w:tcPr>
          <w:p w14:paraId="1C0178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Buildings Construction and Renovation - List Adjustment – Launch of tenders</w:t>
            </w:r>
          </w:p>
        </w:tc>
        <w:tc>
          <w:tcPr>
            <w:tcW w:w="1552" w:type="dxa"/>
            <w:tcBorders>
              <w:top w:val="nil"/>
              <w:left w:val="nil"/>
              <w:bottom w:val="single" w:sz="4" w:space="0" w:color="auto"/>
              <w:right w:val="single" w:sz="4" w:space="0" w:color="auto"/>
            </w:tcBorders>
            <w:shd w:val="clear" w:color="auto" w:fill="C6EFCE"/>
            <w:noWrap/>
          </w:tcPr>
          <w:p w14:paraId="7F6C5F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List of renovation projects in line with the relevant law on the revision of the judicial map, as per milestone 14 4.3 / Q4 2022; launch of tenders</w:t>
            </w:r>
          </w:p>
        </w:tc>
        <w:tc>
          <w:tcPr>
            <w:tcW w:w="992" w:type="dxa"/>
            <w:tcBorders>
              <w:top w:val="nil"/>
              <w:left w:val="nil"/>
              <w:bottom w:val="single" w:sz="4" w:space="0" w:color="auto"/>
              <w:right w:val="single" w:sz="4" w:space="0" w:color="auto"/>
            </w:tcBorders>
            <w:shd w:val="clear" w:color="auto" w:fill="C6EFCE"/>
            <w:noWrap/>
          </w:tcPr>
          <w:p w14:paraId="7B97418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74B8D3A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nil"/>
              <w:left w:val="nil"/>
              <w:bottom w:val="single" w:sz="4" w:space="0" w:color="auto"/>
              <w:right w:val="single" w:sz="4" w:space="0" w:color="auto"/>
            </w:tcBorders>
            <w:shd w:val="clear" w:color="auto" w:fill="C6EFCE"/>
            <w:noWrap/>
          </w:tcPr>
          <w:p w14:paraId="719C3C6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11C719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nil"/>
              <w:left w:val="nil"/>
              <w:bottom w:val="single" w:sz="4" w:space="0" w:color="auto"/>
              <w:right w:val="single" w:sz="4" w:space="0" w:color="auto"/>
            </w:tcBorders>
            <w:shd w:val="clear" w:color="auto" w:fill="C6EFCE"/>
            <w:noWrap/>
          </w:tcPr>
          <w:p w14:paraId="1E2C55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885" w:type="dxa"/>
            <w:tcBorders>
              <w:top w:val="nil"/>
              <w:left w:val="nil"/>
              <w:bottom w:val="single" w:sz="4" w:space="0" w:color="auto"/>
              <w:right w:val="single" w:sz="4" w:space="0" w:color="auto"/>
            </w:tcBorders>
            <w:shd w:val="clear" w:color="auto" w:fill="C6EFCE"/>
            <w:noWrap/>
          </w:tcPr>
          <w:p w14:paraId="25D6CFB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Adjustment of the list of projects in alignment with the revision of the judicial map as adopted in the law.</w:t>
            </w:r>
          </w:p>
          <w:p w14:paraId="3CEC00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the tenders regarding administrative courts. Terms of tender shall set out that newly constructed buildings shall achieve a Primary Energy Demand (PED) that is at least 20% lower than the NZEB requirement (nearly zero-energy building, national directives).</w:t>
            </w:r>
          </w:p>
        </w:tc>
      </w:tr>
      <w:tr w:rsidR="00682269" w:rsidRPr="00DE4E4F" w14:paraId="7A89D926"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008EE3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228</w:t>
            </w:r>
          </w:p>
        </w:tc>
        <w:tc>
          <w:tcPr>
            <w:tcW w:w="1976" w:type="dxa"/>
            <w:gridSpan w:val="2"/>
            <w:tcBorders>
              <w:top w:val="nil"/>
              <w:left w:val="nil"/>
              <w:bottom w:val="single" w:sz="4" w:space="0" w:color="auto"/>
              <w:right w:val="single" w:sz="4" w:space="0" w:color="auto"/>
            </w:tcBorders>
            <w:shd w:val="clear" w:color="auto" w:fill="C6EFCE"/>
            <w:noWrap/>
          </w:tcPr>
          <w:p w14:paraId="04B897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- 16733_Skills and digital skills for judges and judicial employees (judicial staff)</w:t>
            </w:r>
          </w:p>
        </w:tc>
        <w:tc>
          <w:tcPr>
            <w:tcW w:w="1424" w:type="dxa"/>
            <w:tcBorders>
              <w:top w:val="nil"/>
              <w:left w:val="nil"/>
              <w:bottom w:val="single" w:sz="4" w:space="0" w:color="auto"/>
              <w:right w:val="single" w:sz="4" w:space="0" w:color="auto"/>
            </w:tcBorders>
            <w:shd w:val="clear" w:color="auto" w:fill="C6EFCE"/>
            <w:noWrap/>
          </w:tcPr>
          <w:p w14:paraId="388CA8D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397" w:type="dxa"/>
            <w:tcBorders>
              <w:top w:val="nil"/>
              <w:left w:val="nil"/>
              <w:bottom w:val="single" w:sz="4" w:space="0" w:color="auto"/>
              <w:right w:val="single" w:sz="4" w:space="0" w:color="auto"/>
            </w:tcBorders>
            <w:shd w:val="clear" w:color="auto" w:fill="C6EFCE"/>
            <w:noWrap/>
          </w:tcPr>
          <w:p w14:paraId="0735F90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 Judges and Clerks</w:t>
            </w:r>
          </w:p>
        </w:tc>
        <w:tc>
          <w:tcPr>
            <w:tcW w:w="1552" w:type="dxa"/>
            <w:tcBorders>
              <w:top w:val="nil"/>
              <w:left w:val="nil"/>
              <w:bottom w:val="single" w:sz="4" w:space="0" w:color="auto"/>
              <w:right w:val="single" w:sz="4" w:space="0" w:color="auto"/>
            </w:tcBorders>
            <w:shd w:val="clear" w:color="auto" w:fill="C6EFCE"/>
            <w:noWrap/>
          </w:tcPr>
          <w:p w14:paraId="3C9EA57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nil"/>
              <w:left w:val="nil"/>
              <w:bottom w:val="single" w:sz="4" w:space="0" w:color="auto"/>
              <w:right w:val="single" w:sz="4" w:space="0" w:color="auto"/>
            </w:tcBorders>
            <w:shd w:val="clear" w:color="auto" w:fill="C6EFCE"/>
            <w:noWrap/>
          </w:tcPr>
          <w:p w14:paraId="2D3E4A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judges enrolled in the national school of judges</w:t>
            </w:r>
          </w:p>
        </w:tc>
        <w:tc>
          <w:tcPr>
            <w:tcW w:w="857" w:type="dxa"/>
            <w:tcBorders>
              <w:top w:val="nil"/>
              <w:left w:val="nil"/>
              <w:bottom w:val="single" w:sz="4" w:space="0" w:color="auto"/>
              <w:right w:val="single" w:sz="4" w:space="0" w:color="auto"/>
            </w:tcBorders>
            <w:shd w:val="clear" w:color="auto" w:fill="C6EFCE"/>
            <w:noWrap/>
          </w:tcPr>
          <w:p w14:paraId="49B4584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10</w:t>
            </w:r>
          </w:p>
        </w:tc>
        <w:tc>
          <w:tcPr>
            <w:tcW w:w="587" w:type="dxa"/>
            <w:tcBorders>
              <w:top w:val="nil"/>
              <w:left w:val="nil"/>
              <w:bottom w:val="single" w:sz="4" w:space="0" w:color="auto"/>
              <w:right w:val="single" w:sz="4" w:space="0" w:color="auto"/>
            </w:tcBorders>
            <w:shd w:val="clear" w:color="auto" w:fill="C6EFCE"/>
            <w:noWrap/>
          </w:tcPr>
          <w:p w14:paraId="26ABE83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w:t>
            </w:r>
          </w:p>
        </w:tc>
        <w:tc>
          <w:tcPr>
            <w:tcW w:w="846" w:type="dxa"/>
            <w:tcBorders>
              <w:top w:val="nil"/>
              <w:left w:val="nil"/>
              <w:bottom w:val="single" w:sz="4" w:space="0" w:color="auto"/>
              <w:right w:val="single" w:sz="4" w:space="0" w:color="auto"/>
            </w:tcBorders>
            <w:shd w:val="clear" w:color="auto" w:fill="C6EFCE"/>
            <w:noWrap/>
          </w:tcPr>
          <w:p w14:paraId="2BF7B3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622" w:type="dxa"/>
            <w:tcBorders>
              <w:top w:val="nil"/>
              <w:left w:val="nil"/>
              <w:bottom w:val="single" w:sz="4" w:space="0" w:color="auto"/>
              <w:right w:val="single" w:sz="4" w:space="0" w:color="auto"/>
            </w:tcBorders>
            <w:shd w:val="clear" w:color="auto" w:fill="C6EFCE"/>
            <w:noWrap/>
          </w:tcPr>
          <w:p w14:paraId="58B8F5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nil"/>
              <w:left w:val="nil"/>
              <w:bottom w:val="single" w:sz="4" w:space="0" w:color="auto"/>
              <w:right w:val="single" w:sz="4" w:space="0" w:color="auto"/>
            </w:tcBorders>
            <w:shd w:val="clear" w:color="auto" w:fill="C6EFCE"/>
            <w:noWrap/>
          </w:tcPr>
          <w:p w14:paraId="4ABE1DC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additional magistrate court judges enrolled in the national school of judges, 1 judge of the court of audit enrolled in the national school of judges. This shall bring the total number of judges participating in training to 25.</w:t>
            </w:r>
          </w:p>
        </w:tc>
      </w:tr>
      <w:tr w:rsidR="00682269" w:rsidRPr="00DE4E4F" w14:paraId="5D564F6B"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tcPr>
          <w:p w14:paraId="155C6F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229</w:t>
            </w:r>
          </w:p>
        </w:tc>
        <w:tc>
          <w:tcPr>
            <w:tcW w:w="1976" w:type="dxa"/>
            <w:gridSpan w:val="2"/>
            <w:tcBorders>
              <w:top w:val="nil"/>
              <w:left w:val="nil"/>
              <w:bottom w:val="single" w:sz="4" w:space="0" w:color="auto"/>
              <w:right w:val="single" w:sz="4" w:space="0" w:color="auto"/>
            </w:tcBorders>
            <w:shd w:val="clear" w:color="auto" w:fill="C6EFCE"/>
            <w:noWrap/>
          </w:tcPr>
          <w:p w14:paraId="163ED14F" w14:textId="15C721D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16727 Digital Transformation of Justice (E-Justice)</w:t>
            </w:r>
          </w:p>
        </w:tc>
        <w:tc>
          <w:tcPr>
            <w:tcW w:w="1424" w:type="dxa"/>
            <w:tcBorders>
              <w:top w:val="nil"/>
              <w:left w:val="nil"/>
              <w:bottom w:val="single" w:sz="4" w:space="0" w:color="auto"/>
              <w:right w:val="single" w:sz="4" w:space="0" w:color="auto"/>
            </w:tcBorders>
            <w:shd w:val="clear" w:color="auto" w:fill="C6EFCE"/>
            <w:noWrap/>
          </w:tcPr>
          <w:p w14:paraId="02F080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nil"/>
              <w:left w:val="nil"/>
              <w:bottom w:val="single" w:sz="4" w:space="0" w:color="auto"/>
              <w:right w:val="single" w:sz="4" w:space="0" w:color="auto"/>
            </w:tcBorders>
            <w:shd w:val="clear" w:color="auto" w:fill="C6EFCE"/>
            <w:noWrap/>
          </w:tcPr>
          <w:p w14:paraId="5F915A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Record Systems &amp; IT Justice Systems</w:t>
            </w:r>
          </w:p>
        </w:tc>
        <w:tc>
          <w:tcPr>
            <w:tcW w:w="1552" w:type="dxa"/>
            <w:tcBorders>
              <w:top w:val="nil"/>
              <w:left w:val="nil"/>
              <w:bottom w:val="single" w:sz="4" w:space="0" w:color="auto"/>
              <w:right w:val="single" w:sz="4" w:space="0" w:color="auto"/>
            </w:tcBorders>
            <w:shd w:val="clear" w:color="auto" w:fill="C6EFCE"/>
            <w:noWrap/>
          </w:tcPr>
          <w:p w14:paraId="663987E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Project audit reports to confirm adherence to contractual obligations </w:t>
            </w:r>
          </w:p>
        </w:tc>
        <w:tc>
          <w:tcPr>
            <w:tcW w:w="992" w:type="dxa"/>
            <w:tcBorders>
              <w:top w:val="nil"/>
              <w:left w:val="nil"/>
              <w:bottom w:val="single" w:sz="4" w:space="0" w:color="auto"/>
              <w:right w:val="single" w:sz="4" w:space="0" w:color="auto"/>
            </w:tcBorders>
            <w:shd w:val="clear" w:color="auto" w:fill="C6EFCE"/>
            <w:noWrap/>
          </w:tcPr>
          <w:p w14:paraId="481ED90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6279631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nil"/>
              <w:left w:val="nil"/>
              <w:bottom w:val="single" w:sz="4" w:space="0" w:color="auto"/>
              <w:right w:val="single" w:sz="4" w:space="0" w:color="auto"/>
            </w:tcBorders>
            <w:shd w:val="clear" w:color="auto" w:fill="C6EFCE"/>
            <w:noWrap/>
          </w:tcPr>
          <w:p w14:paraId="65DA8ED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nil"/>
              <w:left w:val="nil"/>
              <w:bottom w:val="single" w:sz="4" w:space="0" w:color="auto"/>
              <w:right w:val="single" w:sz="4" w:space="0" w:color="auto"/>
            </w:tcBorders>
            <w:shd w:val="clear" w:color="auto" w:fill="C6EFCE"/>
            <w:noWrap/>
          </w:tcPr>
          <w:p w14:paraId="0CA6BE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22" w:type="dxa"/>
            <w:tcBorders>
              <w:top w:val="nil"/>
              <w:left w:val="nil"/>
              <w:bottom w:val="single" w:sz="4" w:space="0" w:color="auto"/>
              <w:right w:val="single" w:sz="4" w:space="0" w:color="auto"/>
            </w:tcBorders>
            <w:shd w:val="clear" w:color="auto" w:fill="C6EFCE"/>
            <w:noWrap/>
          </w:tcPr>
          <w:p w14:paraId="73D89A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nil"/>
              <w:left w:val="nil"/>
              <w:bottom w:val="single" w:sz="4" w:space="0" w:color="auto"/>
              <w:right w:val="single" w:sz="4" w:space="0" w:color="auto"/>
            </w:tcBorders>
            <w:shd w:val="clear" w:color="auto" w:fill="C6EFCE"/>
            <w:noWrap/>
          </w:tcPr>
          <w:p w14:paraId="57A483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Receipt of official evidence, by means of appropriate documentation (certifications of completion, protocols of qualitative and quantitative acceptance and issued invoices) of the due and punctual performance of all contractual engagements due by the date of submission to the external auditor, in compliance with project calendars, covering all elements of the two subprojects, (court record systems and upgrades to IT Justice systems (OSDDY-PP, Court of Audits, National Criminal Record), by appropriate means, (such as project audit reports, certificates of qualitative/quantitative delivery and evidence of disbursement).</w:t>
            </w:r>
          </w:p>
        </w:tc>
      </w:tr>
      <w:tr w:rsidR="00682269" w:rsidRPr="00DE4E4F" w14:paraId="0FB539E9"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5331AE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230</w:t>
            </w:r>
          </w:p>
        </w:tc>
        <w:tc>
          <w:tcPr>
            <w:tcW w:w="1976" w:type="dxa"/>
            <w:gridSpan w:val="2"/>
            <w:tcBorders>
              <w:top w:val="nil"/>
              <w:left w:val="nil"/>
              <w:bottom w:val="single" w:sz="4" w:space="0" w:color="auto"/>
              <w:right w:val="single" w:sz="4" w:space="0" w:color="auto"/>
            </w:tcBorders>
            <w:shd w:val="clear" w:color="auto" w:fill="C6EFCE"/>
            <w:noWrap/>
            <w:hideMark/>
          </w:tcPr>
          <w:p w14:paraId="33FAEE3E" w14:textId="136AC44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nil"/>
              <w:left w:val="nil"/>
              <w:bottom w:val="single" w:sz="4" w:space="0" w:color="auto"/>
              <w:right w:val="single" w:sz="4" w:space="0" w:color="auto"/>
            </w:tcBorders>
            <w:shd w:val="clear" w:color="auto" w:fill="C6EFCE"/>
            <w:noWrap/>
            <w:hideMark/>
          </w:tcPr>
          <w:p w14:paraId="3C928C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Milestone</w:t>
            </w:r>
          </w:p>
        </w:tc>
        <w:tc>
          <w:tcPr>
            <w:tcW w:w="1397" w:type="dxa"/>
            <w:tcBorders>
              <w:top w:val="nil"/>
              <w:left w:val="nil"/>
              <w:bottom w:val="single" w:sz="4" w:space="0" w:color="auto"/>
              <w:right w:val="single" w:sz="4" w:space="0" w:color="auto"/>
            </w:tcBorders>
            <w:shd w:val="clear" w:color="auto" w:fill="C6EFCE"/>
            <w:noWrap/>
            <w:hideMark/>
          </w:tcPr>
          <w:p w14:paraId="5D306A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 Judicial Clerks Performance Tool</w:t>
            </w:r>
          </w:p>
        </w:tc>
        <w:tc>
          <w:tcPr>
            <w:tcW w:w="1552" w:type="dxa"/>
            <w:tcBorders>
              <w:top w:val="nil"/>
              <w:left w:val="nil"/>
              <w:bottom w:val="single" w:sz="4" w:space="0" w:color="auto"/>
              <w:right w:val="single" w:sz="4" w:space="0" w:color="auto"/>
            </w:tcBorders>
            <w:shd w:val="clear" w:color="auto" w:fill="C6EFCE"/>
            <w:noWrap/>
            <w:hideMark/>
          </w:tcPr>
          <w:p w14:paraId="25808A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w:t>
            </w:r>
          </w:p>
        </w:tc>
        <w:tc>
          <w:tcPr>
            <w:tcW w:w="992" w:type="dxa"/>
            <w:tcBorders>
              <w:top w:val="nil"/>
              <w:left w:val="nil"/>
              <w:bottom w:val="single" w:sz="4" w:space="0" w:color="auto"/>
              <w:right w:val="single" w:sz="4" w:space="0" w:color="auto"/>
            </w:tcBorders>
            <w:shd w:val="clear" w:color="auto" w:fill="C6EFCE"/>
            <w:noWrap/>
            <w:hideMark/>
          </w:tcPr>
          <w:p w14:paraId="4F5532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7" w:type="dxa"/>
            <w:tcBorders>
              <w:top w:val="nil"/>
              <w:left w:val="nil"/>
              <w:bottom w:val="single" w:sz="4" w:space="0" w:color="auto"/>
              <w:right w:val="single" w:sz="4" w:space="0" w:color="auto"/>
            </w:tcBorders>
            <w:shd w:val="clear" w:color="auto" w:fill="C6EFCE"/>
            <w:noWrap/>
            <w:hideMark/>
          </w:tcPr>
          <w:p w14:paraId="128779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587" w:type="dxa"/>
            <w:tcBorders>
              <w:top w:val="nil"/>
              <w:left w:val="nil"/>
              <w:bottom w:val="single" w:sz="4" w:space="0" w:color="auto"/>
              <w:right w:val="single" w:sz="4" w:space="0" w:color="auto"/>
            </w:tcBorders>
            <w:shd w:val="clear" w:color="auto" w:fill="C6EFCE"/>
            <w:noWrap/>
            <w:hideMark/>
          </w:tcPr>
          <w:p w14:paraId="7259DB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46" w:type="dxa"/>
            <w:tcBorders>
              <w:top w:val="nil"/>
              <w:left w:val="nil"/>
              <w:bottom w:val="single" w:sz="4" w:space="0" w:color="auto"/>
              <w:right w:val="single" w:sz="4" w:space="0" w:color="auto"/>
            </w:tcBorders>
            <w:shd w:val="clear" w:color="auto" w:fill="C6EFCE"/>
            <w:noWrap/>
            <w:hideMark/>
          </w:tcPr>
          <w:p w14:paraId="7C34CF5E"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Q2</w:t>
            </w:r>
          </w:p>
        </w:tc>
        <w:tc>
          <w:tcPr>
            <w:tcW w:w="622" w:type="dxa"/>
            <w:tcBorders>
              <w:top w:val="nil"/>
              <w:left w:val="nil"/>
              <w:bottom w:val="single" w:sz="4" w:space="0" w:color="auto"/>
              <w:right w:val="single" w:sz="4" w:space="0" w:color="auto"/>
            </w:tcBorders>
            <w:shd w:val="clear" w:color="auto" w:fill="C6EFCE"/>
            <w:noWrap/>
            <w:hideMark/>
          </w:tcPr>
          <w:p w14:paraId="110446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nil"/>
              <w:left w:val="nil"/>
              <w:bottom w:val="single" w:sz="4" w:space="0" w:color="auto"/>
              <w:right w:val="single" w:sz="4" w:space="0" w:color="auto"/>
            </w:tcBorders>
            <w:shd w:val="clear" w:color="auto" w:fill="C6EFCE"/>
            <w:noWrap/>
            <w:hideMark/>
          </w:tcPr>
          <w:p w14:paraId="6C22D7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to set up a temporary bonus system to be based on the development of a Judicial Clerks Performance Tool setting strategic goals and introducing objective KPIs ( such as time for completing a duty, individual performance in terms of time, communication and motivation) by department and/or category of clerks and provide accurate and objective data on the allocation of bonuses; bonuses to be payable in the first quarter after the end of the relevant year, on the basis of that year’s performance.</w:t>
            </w:r>
          </w:p>
        </w:tc>
      </w:tr>
      <w:tr w:rsidR="00682269" w:rsidRPr="00DE4E4F" w14:paraId="3D8846B8" w14:textId="77777777">
        <w:trPr>
          <w:trHeight w:val="309"/>
          <w:jc w:val="center"/>
        </w:trPr>
        <w:tc>
          <w:tcPr>
            <w:tcW w:w="592" w:type="dxa"/>
            <w:tcBorders>
              <w:top w:val="nil"/>
              <w:left w:val="single" w:sz="4" w:space="0" w:color="auto"/>
              <w:bottom w:val="single" w:sz="4" w:space="0" w:color="auto"/>
              <w:right w:val="single" w:sz="4" w:space="0" w:color="auto"/>
            </w:tcBorders>
            <w:shd w:val="clear" w:color="auto" w:fill="C6EFCE"/>
            <w:noWrap/>
            <w:hideMark/>
          </w:tcPr>
          <w:p w14:paraId="367B5D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231</w:t>
            </w:r>
          </w:p>
        </w:tc>
        <w:tc>
          <w:tcPr>
            <w:tcW w:w="1976" w:type="dxa"/>
            <w:gridSpan w:val="2"/>
            <w:tcBorders>
              <w:top w:val="nil"/>
              <w:left w:val="nil"/>
              <w:bottom w:val="single" w:sz="4" w:space="0" w:color="auto"/>
              <w:right w:val="single" w:sz="4" w:space="0" w:color="auto"/>
            </w:tcBorders>
            <w:shd w:val="clear" w:color="auto" w:fill="C6EFCE"/>
            <w:noWrap/>
            <w:hideMark/>
          </w:tcPr>
          <w:p w14:paraId="35CE8B50" w14:textId="01F8729F"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- 16292_New Judicial Buildings</w:t>
            </w:r>
          </w:p>
        </w:tc>
        <w:tc>
          <w:tcPr>
            <w:tcW w:w="1424" w:type="dxa"/>
            <w:tcBorders>
              <w:top w:val="nil"/>
              <w:left w:val="nil"/>
              <w:bottom w:val="single" w:sz="4" w:space="0" w:color="auto"/>
              <w:right w:val="single" w:sz="4" w:space="0" w:color="auto"/>
            </w:tcBorders>
            <w:shd w:val="clear" w:color="auto" w:fill="C6EFCE"/>
            <w:noWrap/>
            <w:hideMark/>
          </w:tcPr>
          <w:p w14:paraId="4FC343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Milestone</w:t>
            </w:r>
          </w:p>
        </w:tc>
        <w:tc>
          <w:tcPr>
            <w:tcW w:w="1397" w:type="dxa"/>
            <w:tcBorders>
              <w:top w:val="nil"/>
              <w:left w:val="nil"/>
              <w:bottom w:val="single" w:sz="4" w:space="0" w:color="auto"/>
              <w:right w:val="single" w:sz="4" w:space="0" w:color="auto"/>
            </w:tcBorders>
            <w:shd w:val="clear" w:color="auto" w:fill="C6EFCE"/>
            <w:noWrap/>
            <w:hideMark/>
          </w:tcPr>
          <w:p w14:paraId="110030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Contracts </w:t>
            </w:r>
          </w:p>
        </w:tc>
        <w:tc>
          <w:tcPr>
            <w:tcW w:w="1552" w:type="dxa"/>
            <w:tcBorders>
              <w:top w:val="nil"/>
              <w:left w:val="nil"/>
              <w:bottom w:val="single" w:sz="4" w:space="0" w:color="auto"/>
              <w:right w:val="single" w:sz="4" w:space="0" w:color="auto"/>
            </w:tcBorders>
            <w:shd w:val="clear" w:color="auto" w:fill="C6EFCE"/>
            <w:noWrap/>
            <w:hideMark/>
          </w:tcPr>
          <w:p w14:paraId="4F4DC9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w:t>
            </w:r>
          </w:p>
        </w:tc>
        <w:tc>
          <w:tcPr>
            <w:tcW w:w="992" w:type="dxa"/>
            <w:tcBorders>
              <w:top w:val="nil"/>
              <w:left w:val="nil"/>
              <w:bottom w:val="single" w:sz="4" w:space="0" w:color="auto"/>
              <w:right w:val="single" w:sz="4" w:space="0" w:color="auto"/>
            </w:tcBorders>
            <w:shd w:val="clear" w:color="auto" w:fill="C6EFCE"/>
            <w:noWrap/>
            <w:hideMark/>
          </w:tcPr>
          <w:p w14:paraId="762A4F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7" w:type="dxa"/>
            <w:tcBorders>
              <w:top w:val="nil"/>
              <w:left w:val="nil"/>
              <w:bottom w:val="single" w:sz="4" w:space="0" w:color="auto"/>
              <w:right w:val="single" w:sz="4" w:space="0" w:color="auto"/>
            </w:tcBorders>
            <w:shd w:val="clear" w:color="auto" w:fill="C6EFCE"/>
            <w:noWrap/>
            <w:hideMark/>
          </w:tcPr>
          <w:p w14:paraId="502E6C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587" w:type="dxa"/>
            <w:tcBorders>
              <w:top w:val="nil"/>
              <w:left w:val="nil"/>
              <w:bottom w:val="single" w:sz="4" w:space="0" w:color="auto"/>
              <w:right w:val="single" w:sz="4" w:space="0" w:color="auto"/>
            </w:tcBorders>
            <w:shd w:val="clear" w:color="auto" w:fill="C6EFCE"/>
            <w:noWrap/>
            <w:hideMark/>
          </w:tcPr>
          <w:p w14:paraId="2005D4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46" w:type="dxa"/>
            <w:tcBorders>
              <w:top w:val="nil"/>
              <w:left w:val="nil"/>
              <w:bottom w:val="single" w:sz="4" w:space="0" w:color="auto"/>
              <w:right w:val="single" w:sz="4" w:space="0" w:color="auto"/>
            </w:tcBorders>
            <w:shd w:val="clear" w:color="auto" w:fill="C6EFCE"/>
            <w:noWrap/>
            <w:hideMark/>
          </w:tcPr>
          <w:p w14:paraId="1AC755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22" w:type="dxa"/>
            <w:tcBorders>
              <w:top w:val="nil"/>
              <w:left w:val="nil"/>
              <w:bottom w:val="single" w:sz="4" w:space="0" w:color="auto"/>
              <w:right w:val="single" w:sz="4" w:space="0" w:color="auto"/>
            </w:tcBorders>
            <w:shd w:val="clear" w:color="auto" w:fill="C6EFCE"/>
            <w:noWrap/>
            <w:hideMark/>
          </w:tcPr>
          <w:p w14:paraId="6C2EC1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nil"/>
              <w:left w:val="nil"/>
              <w:bottom w:val="single" w:sz="4" w:space="0" w:color="auto"/>
              <w:right w:val="single" w:sz="4" w:space="0" w:color="auto"/>
            </w:tcBorders>
            <w:shd w:val="clear" w:color="auto" w:fill="C6EFCE"/>
            <w:noWrap/>
            <w:hideMark/>
          </w:tcPr>
          <w:p w14:paraId="58B530A3" w14:textId="77777777" w:rsidR="001B186F" w:rsidRPr="00DE4E4F" w:rsidRDefault="0074517F">
            <w:pPr>
              <w:spacing w:after="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for construction projects not affected by the revision of the judicial map.</w:t>
            </w:r>
          </w:p>
          <w:p w14:paraId="3A17C9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Terms of award(s) shall set out that the new buildings to be constructed shall achieve a Primary Energy Demand (PED) that is at least 20% lower than the NZEB requirement (nearly zero-energy building, national directives).</w:t>
            </w:r>
          </w:p>
        </w:tc>
      </w:tr>
      <w:tr w:rsidR="00682269" w:rsidRPr="00DE4E4F" w14:paraId="5677A746"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00DE2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232</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FBBEF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single" w:sz="4" w:space="0" w:color="auto"/>
              <w:left w:val="nil"/>
              <w:bottom w:val="single" w:sz="4" w:space="0" w:color="auto"/>
              <w:right w:val="single" w:sz="4" w:space="0" w:color="auto"/>
            </w:tcBorders>
            <w:shd w:val="clear" w:color="auto" w:fill="C6EFCE"/>
            <w:noWrap/>
          </w:tcPr>
          <w:p w14:paraId="07E14B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69216E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Map revision – primary legislation - Civil and Penal</w:t>
            </w:r>
          </w:p>
        </w:tc>
        <w:tc>
          <w:tcPr>
            <w:tcW w:w="1552" w:type="dxa"/>
            <w:tcBorders>
              <w:top w:val="single" w:sz="4" w:space="0" w:color="auto"/>
              <w:left w:val="nil"/>
              <w:bottom w:val="single" w:sz="4" w:space="0" w:color="auto"/>
              <w:right w:val="single" w:sz="4" w:space="0" w:color="auto"/>
            </w:tcBorders>
            <w:shd w:val="clear" w:color="auto" w:fill="C6EFCE"/>
            <w:noWrap/>
          </w:tcPr>
          <w:p w14:paraId="42996D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992" w:type="dxa"/>
            <w:tcBorders>
              <w:top w:val="single" w:sz="4" w:space="0" w:color="auto"/>
              <w:left w:val="nil"/>
              <w:bottom w:val="single" w:sz="4" w:space="0" w:color="auto"/>
              <w:right w:val="single" w:sz="4" w:space="0" w:color="auto"/>
            </w:tcBorders>
            <w:shd w:val="clear" w:color="auto" w:fill="C6EFCE"/>
            <w:noWrap/>
          </w:tcPr>
          <w:p w14:paraId="1311A1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265E23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048CB89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25931B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single" w:sz="4" w:space="0" w:color="auto"/>
              <w:left w:val="nil"/>
              <w:bottom w:val="single" w:sz="4" w:space="0" w:color="auto"/>
              <w:right w:val="single" w:sz="4" w:space="0" w:color="auto"/>
            </w:tcBorders>
            <w:shd w:val="clear" w:color="auto" w:fill="C6EFCE"/>
            <w:noWrap/>
          </w:tcPr>
          <w:p w14:paraId="1781AE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6510F44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legislation for the revision of the judicial map for civil and criminal justice.</w:t>
            </w:r>
          </w:p>
        </w:tc>
      </w:tr>
      <w:tr w:rsidR="00682269" w:rsidRPr="00DE4E4F" w14:paraId="2B0749A3"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475908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233</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DB017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- 16292_New Judicial Buildings</w:t>
            </w:r>
          </w:p>
        </w:tc>
        <w:tc>
          <w:tcPr>
            <w:tcW w:w="1424" w:type="dxa"/>
            <w:tcBorders>
              <w:top w:val="single" w:sz="4" w:space="0" w:color="auto"/>
              <w:left w:val="nil"/>
              <w:bottom w:val="single" w:sz="4" w:space="0" w:color="auto"/>
              <w:right w:val="single" w:sz="4" w:space="0" w:color="auto"/>
            </w:tcBorders>
            <w:shd w:val="clear" w:color="auto" w:fill="C6EFCE"/>
            <w:noWrap/>
          </w:tcPr>
          <w:p w14:paraId="2786D8A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7B3220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Buildings Construction and Renovation – Launch of tenders</w:t>
            </w:r>
          </w:p>
        </w:tc>
        <w:tc>
          <w:tcPr>
            <w:tcW w:w="1552" w:type="dxa"/>
            <w:tcBorders>
              <w:top w:val="single" w:sz="4" w:space="0" w:color="auto"/>
              <w:left w:val="nil"/>
              <w:bottom w:val="single" w:sz="4" w:space="0" w:color="auto"/>
              <w:right w:val="single" w:sz="4" w:space="0" w:color="auto"/>
            </w:tcBorders>
            <w:shd w:val="clear" w:color="auto" w:fill="C6EFCE"/>
            <w:noWrap/>
          </w:tcPr>
          <w:p w14:paraId="4D1145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tenders</w:t>
            </w:r>
          </w:p>
        </w:tc>
        <w:tc>
          <w:tcPr>
            <w:tcW w:w="992" w:type="dxa"/>
            <w:tcBorders>
              <w:top w:val="single" w:sz="4" w:space="0" w:color="auto"/>
              <w:left w:val="nil"/>
              <w:bottom w:val="single" w:sz="4" w:space="0" w:color="auto"/>
              <w:right w:val="single" w:sz="4" w:space="0" w:color="auto"/>
            </w:tcBorders>
            <w:shd w:val="clear" w:color="auto" w:fill="C6EFCE"/>
            <w:noWrap/>
          </w:tcPr>
          <w:p w14:paraId="2AAE34E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7830BE2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00FB295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3E6DEC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single" w:sz="4" w:space="0" w:color="auto"/>
              <w:left w:val="nil"/>
              <w:bottom w:val="single" w:sz="4" w:space="0" w:color="auto"/>
              <w:right w:val="single" w:sz="4" w:space="0" w:color="auto"/>
            </w:tcBorders>
            <w:shd w:val="clear" w:color="auto" w:fill="C6EFCE"/>
            <w:noWrap/>
          </w:tcPr>
          <w:p w14:paraId="1A1ED07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885" w:type="dxa"/>
            <w:tcBorders>
              <w:top w:val="single" w:sz="4" w:space="0" w:color="auto"/>
              <w:left w:val="nil"/>
              <w:bottom w:val="single" w:sz="4" w:space="0" w:color="auto"/>
              <w:right w:val="single" w:sz="4" w:space="0" w:color="auto"/>
            </w:tcBorders>
            <w:shd w:val="clear" w:color="auto" w:fill="C6EFCE"/>
            <w:noWrap/>
          </w:tcPr>
          <w:p w14:paraId="2B3156E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Adjustment of the list of projects in alignment with the law on the revision of the judicial map.</w:t>
            </w:r>
          </w:p>
          <w:p w14:paraId="1EE0A42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the tender for the projects regarding civil and penal courthouses included in the revised list of renovations. Terms of tender shall set out that the new buildings to be constructed shall achieve a Primary Energy Demand (PED) that is at least 20% lower than the NZEB requirement (nearly zero-energy building, national directives).</w:t>
            </w:r>
          </w:p>
        </w:tc>
      </w:tr>
      <w:tr w:rsidR="00682269" w:rsidRPr="00DE4E4F" w14:paraId="4FF48D0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1A0AC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234</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1BFE3D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single" w:sz="4" w:space="0" w:color="auto"/>
              <w:left w:val="nil"/>
              <w:bottom w:val="single" w:sz="4" w:space="0" w:color="auto"/>
              <w:right w:val="single" w:sz="4" w:space="0" w:color="auto"/>
            </w:tcBorders>
            <w:shd w:val="clear" w:color="auto" w:fill="C6EFCE"/>
            <w:noWrap/>
          </w:tcPr>
          <w:p w14:paraId="038DB8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6EE151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Justice Police Operational</w:t>
            </w:r>
          </w:p>
        </w:tc>
        <w:tc>
          <w:tcPr>
            <w:tcW w:w="1552" w:type="dxa"/>
            <w:tcBorders>
              <w:top w:val="single" w:sz="4" w:space="0" w:color="auto"/>
              <w:left w:val="nil"/>
              <w:bottom w:val="single" w:sz="4" w:space="0" w:color="auto"/>
              <w:right w:val="single" w:sz="4" w:space="0" w:color="auto"/>
            </w:tcBorders>
            <w:shd w:val="clear" w:color="auto" w:fill="C6EFCE"/>
            <w:noWrap/>
          </w:tcPr>
          <w:p w14:paraId="550FD3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police fully operational and functional both at central and regional level</w:t>
            </w:r>
          </w:p>
        </w:tc>
        <w:tc>
          <w:tcPr>
            <w:tcW w:w="992" w:type="dxa"/>
            <w:tcBorders>
              <w:top w:val="single" w:sz="4" w:space="0" w:color="auto"/>
              <w:left w:val="nil"/>
              <w:bottom w:val="single" w:sz="4" w:space="0" w:color="auto"/>
              <w:right w:val="single" w:sz="4" w:space="0" w:color="auto"/>
            </w:tcBorders>
            <w:shd w:val="clear" w:color="auto" w:fill="C6EFCE"/>
            <w:noWrap/>
          </w:tcPr>
          <w:p w14:paraId="5B3855B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1B3CF3F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0C693F0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3CA49F2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22" w:type="dxa"/>
            <w:tcBorders>
              <w:top w:val="single" w:sz="4" w:space="0" w:color="auto"/>
              <w:left w:val="nil"/>
              <w:bottom w:val="single" w:sz="4" w:space="0" w:color="auto"/>
              <w:right w:val="single" w:sz="4" w:space="0" w:color="auto"/>
            </w:tcBorders>
            <w:shd w:val="clear" w:color="auto" w:fill="C6EFCE"/>
            <w:noWrap/>
          </w:tcPr>
          <w:p w14:paraId="127A75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7EF31EE1" w14:textId="77777777" w:rsidR="001B186F" w:rsidRPr="00DE4E4F" w:rsidRDefault="0074517F">
            <w:pPr>
              <w:spacing w:before="120"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Operationalisation of the judicial police in all its competences, both at central administration level and at regional level within the courts</w:t>
            </w:r>
          </w:p>
        </w:tc>
      </w:tr>
      <w:tr w:rsidR="00682269" w:rsidRPr="00DE4E4F" w14:paraId="27779C2A"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73D255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235</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6727E0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- 16733_Skills and digital skills for judges and judicial employees (judicial staff)</w:t>
            </w:r>
          </w:p>
        </w:tc>
        <w:tc>
          <w:tcPr>
            <w:tcW w:w="1424" w:type="dxa"/>
            <w:tcBorders>
              <w:top w:val="single" w:sz="4" w:space="0" w:color="auto"/>
              <w:left w:val="nil"/>
              <w:bottom w:val="single" w:sz="4" w:space="0" w:color="auto"/>
              <w:right w:val="single" w:sz="4" w:space="0" w:color="auto"/>
            </w:tcBorders>
            <w:shd w:val="clear" w:color="auto" w:fill="C6EFCE"/>
            <w:noWrap/>
          </w:tcPr>
          <w:p w14:paraId="7FE335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4A8366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Training – Judges and Clerks</w:t>
            </w:r>
          </w:p>
        </w:tc>
        <w:tc>
          <w:tcPr>
            <w:tcW w:w="1552" w:type="dxa"/>
            <w:tcBorders>
              <w:top w:val="single" w:sz="4" w:space="0" w:color="auto"/>
              <w:left w:val="nil"/>
              <w:bottom w:val="single" w:sz="4" w:space="0" w:color="auto"/>
              <w:right w:val="single" w:sz="4" w:space="0" w:color="auto"/>
            </w:tcBorders>
            <w:shd w:val="clear" w:color="auto" w:fill="C6EFCE"/>
            <w:noWrap/>
          </w:tcPr>
          <w:p w14:paraId="2DF6EFC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Report certifying Implementation of changes in the educational programme of the National School of Judges and enrolment of judges and clerks in lifelong training</w:t>
            </w:r>
          </w:p>
        </w:tc>
        <w:tc>
          <w:tcPr>
            <w:tcW w:w="992" w:type="dxa"/>
            <w:tcBorders>
              <w:top w:val="single" w:sz="4" w:space="0" w:color="auto"/>
              <w:left w:val="nil"/>
              <w:bottom w:val="single" w:sz="4" w:space="0" w:color="auto"/>
              <w:right w:val="single" w:sz="4" w:space="0" w:color="auto"/>
            </w:tcBorders>
            <w:shd w:val="clear" w:color="auto" w:fill="C6EFCE"/>
            <w:noWrap/>
          </w:tcPr>
          <w:p w14:paraId="7559A48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0B096C7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0393E01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5B087C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22" w:type="dxa"/>
            <w:tcBorders>
              <w:top w:val="single" w:sz="4" w:space="0" w:color="auto"/>
              <w:left w:val="nil"/>
              <w:bottom w:val="single" w:sz="4" w:space="0" w:color="auto"/>
              <w:right w:val="single" w:sz="4" w:space="0" w:color="auto"/>
            </w:tcBorders>
            <w:shd w:val="clear" w:color="auto" w:fill="C6EFCE"/>
            <w:noWrap/>
          </w:tcPr>
          <w:p w14:paraId="6F95FE7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85059F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projects included in the reform on skills and digital skills for judges and judicial employees, with: </w:t>
            </w:r>
          </w:p>
          <w:p w14:paraId="6D997728" w14:textId="77777777" w:rsidR="001B186F" w:rsidRPr="00DE4E4F" w:rsidRDefault="0074517F">
            <w:pPr>
              <w:numPr>
                <w:ilvl w:val="0"/>
                <w:numId w:val="66"/>
              </w:numPr>
              <w:spacing w:before="120" w:after="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7 029 judges and clerks enrolled in lifelong training and having attended at least one training session (seminar).</w:t>
            </w:r>
          </w:p>
          <w:p w14:paraId="337D2C79" w14:textId="77777777" w:rsidR="001B186F" w:rsidRPr="00DE4E4F" w:rsidRDefault="0074517F">
            <w:pPr>
              <w:spacing w:before="120" w:after="0" w:line="240" w:lineRule="auto"/>
              <w:ind w:left="36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The educational programme for Judicial Clerks within the National School of Judges in operation</w:t>
            </w:r>
          </w:p>
          <w:p w14:paraId="641FEA02" w14:textId="77777777" w:rsidR="001B186F" w:rsidRPr="00DE4E4F" w:rsidRDefault="0074517F">
            <w:pPr>
              <w:numPr>
                <w:ilvl w:val="0"/>
                <w:numId w:val="67"/>
              </w:numPr>
              <w:spacing w:before="120" w:after="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Changes in selection criteria </w:t>
            </w:r>
            <w:r w:rsidRPr="00DE4E4F">
              <w:rPr>
                <w:rFonts w:ascii="Times New Roman" w:hAnsi="Times New Roman" w:cs="Times New Roman"/>
                <w:noProof/>
                <w:color w:val="006100"/>
                <w:sz w:val="18"/>
                <w:szCs w:val="18"/>
                <w:u w:val="single"/>
              </w:rPr>
              <w:t>a</w:t>
            </w:r>
            <w:r w:rsidRPr="00DE4E4F">
              <w:rPr>
                <w:rFonts w:ascii="Times New Roman" w:hAnsi="Times New Roman" w:cs="Times New Roman"/>
                <w:noProof/>
                <w:color w:val="006100"/>
                <w:sz w:val="18"/>
                <w:szCs w:val="18"/>
              </w:rPr>
              <w:t>ccording to Law 4871/2021 and educational programme implemented</w:t>
            </w:r>
          </w:p>
          <w:p w14:paraId="37613694" w14:textId="77777777" w:rsidR="001B186F" w:rsidRPr="00DE4E4F" w:rsidRDefault="0074517F">
            <w:pPr>
              <w:spacing w:before="120" w:after="0" w:line="240" w:lineRule="auto"/>
              <w:rPr>
                <w:rFonts w:ascii="Times New Roman" w:hAnsi="Times New Roman" w:cs="Times New Roman"/>
                <w:b/>
                <w:noProof/>
                <w:color w:val="006100"/>
                <w:sz w:val="18"/>
                <w:szCs w:val="18"/>
              </w:rPr>
            </w:pPr>
            <w:r w:rsidRPr="00DE4E4F">
              <w:rPr>
                <w:rFonts w:ascii="Times New Roman" w:hAnsi="Times New Roman" w:cs="Times New Roman"/>
                <w:noProof/>
                <w:color w:val="006100"/>
                <w:sz w:val="18"/>
                <w:szCs w:val="18"/>
              </w:rPr>
              <w:t>Changes in the educational programme of the National School of Judges aiming in particular at enhancing practical training and offering courses according to the above law. Provision of lifelong training to Judges and judicial clerks extending to various fields according to above Law; for judges such training being a prerequisite to professional advancement.</w:t>
            </w:r>
            <w:r w:rsidRPr="00DE4E4F">
              <w:rPr>
                <w:rFonts w:ascii="Times New Roman" w:hAnsi="Times New Roman" w:cs="Times New Roman"/>
                <w:noProof/>
                <w:sz w:val="18"/>
                <w:szCs w:val="18"/>
              </w:rPr>
              <w:t xml:space="preserve"> </w:t>
            </w:r>
          </w:p>
        </w:tc>
      </w:tr>
      <w:tr w:rsidR="00682269" w:rsidRPr="00DE4E4F" w14:paraId="692A2F60"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32AECD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236</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7705E45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single" w:sz="4" w:space="0" w:color="auto"/>
              <w:left w:val="nil"/>
              <w:bottom w:val="single" w:sz="4" w:space="0" w:color="auto"/>
              <w:right w:val="single" w:sz="4" w:space="0" w:color="auto"/>
            </w:tcBorders>
            <w:shd w:val="clear" w:color="auto" w:fill="C6EFCE"/>
            <w:noWrap/>
          </w:tcPr>
          <w:p w14:paraId="381616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4259DE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Judicial Map revision –</w:t>
            </w:r>
          </w:p>
        </w:tc>
        <w:tc>
          <w:tcPr>
            <w:tcW w:w="1552" w:type="dxa"/>
            <w:tcBorders>
              <w:top w:val="single" w:sz="4" w:space="0" w:color="auto"/>
              <w:left w:val="nil"/>
              <w:bottom w:val="single" w:sz="4" w:space="0" w:color="auto"/>
              <w:right w:val="single" w:sz="4" w:space="0" w:color="auto"/>
            </w:tcBorders>
            <w:shd w:val="clear" w:color="auto" w:fill="C6EFCE"/>
            <w:noWrap/>
          </w:tcPr>
          <w:p w14:paraId="0CC8EB0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Certificates confirming the function of all affected courts </w:t>
            </w:r>
          </w:p>
        </w:tc>
        <w:tc>
          <w:tcPr>
            <w:tcW w:w="992" w:type="dxa"/>
            <w:tcBorders>
              <w:top w:val="single" w:sz="4" w:space="0" w:color="auto"/>
              <w:left w:val="nil"/>
              <w:bottom w:val="single" w:sz="4" w:space="0" w:color="auto"/>
              <w:right w:val="single" w:sz="4" w:space="0" w:color="auto"/>
            </w:tcBorders>
            <w:shd w:val="clear" w:color="auto" w:fill="C6EFCE"/>
            <w:noWrap/>
          </w:tcPr>
          <w:p w14:paraId="12ED64B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383D1C3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1B70471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3D651B4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single" w:sz="4" w:space="0" w:color="auto"/>
              <w:left w:val="nil"/>
              <w:bottom w:val="single" w:sz="4" w:space="0" w:color="auto"/>
              <w:right w:val="single" w:sz="4" w:space="0" w:color="auto"/>
            </w:tcBorders>
            <w:shd w:val="clear" w:color="auto" w:fill="C6EFCE"/>
            <w:noWrap/>
          </w:tcPr>
          <w:p w14:paraId="6AD409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885" w:type="dxa"/>
            <w:tcBorders>
              <w:top w:val="single" w:sz="4" w:space="0" w:color="auto"/>
              <w:left w:val="nil"/>
              <w:bottom w:val="single" w:sz="4" w:space="0" w:color="auto"/>
              <w:right w:val="single" w:sz="4" w:space="0" w:color="auto"/>
            </w:tcBorders>
            <w:shd w:val="clear" w:color="auto" w:fill="C6EFCE"/>
            <w:noWrap/>
          </w:tcPr>
          <w:p w14:paraId="638E679F" w14:textId="77777777" w:rsidR="001B186F" w:rsidRPr="00DE4E4F" w:rsidRDefault="0074517F">
            <w:pPr>
              <w:rPr>
                <w:rFonts w:ascii="Times New Roman" w:hAnsi="Times New Roman" w:cs="Times New Roman"/>
                <w:noProof/>
                <w:sz w:val="18"/>
                <w:szCs w:val="18"/>
              </w:rPr>
            </w:pPr>
            <w:r w:rsidRPr="00DE4E4F">
              <w:rPr>
                <w:rFonts w:ascii="Times New Roman" w:hAnsi="Times New Roman" w:cs="Times New Roman"/>
                <w:noProof/>
                <w:color w:val="006100"/>
                <w:sz w:val="18"/>
                <w:szCs w:val="18"/>
              </w:rPr>
              <w:t xml:space="preserve">Issuance of certificates by the administrations of the courts affected by the revision of the administrative and civil/penal judicial maps confirming that they are in function, as provided by law. </w:t>
            </w:r>
          </w:p>
        </w:tc>
      </w:tr>
      <w:tr w:rsidR="00682269" w:rsidRPr="00DE4E4F" w14:paraId="06CC0682"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268764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237</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4C8F4E8D" w14:textId="2EA3A354"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- 16292_New Judicial Buildings</w:t>
            </w:r>
            <w:r w:rsidR="4368FEBC" w:rsidRPr="00DE4E4F">
              <w:rPr>
                <w:rFonts w:ascii="Times New Roman" w:hAnsi="Times New Roman" w:cs="Times New Roman"/>
                <w:noProof/>
                <w:color w:val="006100"/>
                <w:sz w:val="18"/>
                <w:szCs w:val="18"/>
              </w:rPr>
              <w:t xml:space="preserve"> and Renovations</w:t>
            </w:r>
          </w:p>
        </w:tc>
        <w:tc>
          <w:tcPr>
            <w:tcW w:w="1424" w:type="dxa"/>
            <w:tcBorders>
              <w:top w:val="single" w:sz="4" w:space="0" w:color="auto"/>
              <w:left w:val="nil"/>
              <w:bottom w:val="single" w:sz="4" w:space="0" w:color="auto"/>
              <w:right w:val="single" w:sz="4" w:space="0" w:color="auto"/>
            </w:tcBorders>
            <w:shd w:val="clear" w:color="auto" w:fill="C6EFCE"/>
            <w:noWrap/>
          </w:tcPr>
          <w:p w14:paraId="30C544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1AD81A9A" w14:textId="67F920E1"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Construction and renovation works finished – e-identity </w:t>
            </w:r>
            <w:r w:rsidR="006E05AD" w:rsidRPr="00DE4E4F">
              <w:rPr>
                <w:rFonts w:ascii="Times New Roman" w:hAnsi="Times New Roman" w:cs="Times New Roman"/>
                <w:noProof/>
                <w:color w:val="006100"/>
                <w:sz w:val="18"/>
                <w:szCs w:val="18"/>
              </w:rPr>
              <w:t xml:space="preserve">extracts </w:t>
            </w:r>
            <w:r w:rsidRPr="00DE4E4F">
              <w:rPr>
                <w:rFonts w:ascii="Times New Roman" w:hAnsi="Times New Roman" w:cs="Times New Roman"/>
                <w:noProof/>
                <w:color w:val="006100"/>
                <w:sz w:val="18"/>
                <w:szCs w:val="18"/>
              </w:rPr>
              <w:t xml:space="preserve">issued </w:t>
            </w:r>
          </w:p>
        </w:tc>
        <w:tc>
          <w:tcPr>
            <w:tcW w:w="1552" w:type="dxa"/>
            <w:tcBorders>
              <w:top w:val="single" w:sz="4" w:space="0" w:color="auto"/>
              <w:left w:val="nil"/>
              <w:bottom w:val="single" w:sz="4" w:space="0" w:color="auto"/>
              <w:right w:val="single" w:sz="4" w:space="0" w:color="auto"/>
            </w:tcBorders>
            <w:shd w:val="clear" w:color="auto" w:fill="C6EFCE"/>
            <w:noWrap/>
          </w:tcPr>
          <w:p w14:paraId="6F814721" w14:textId="5B6F34BA"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All construction and renovation works funded under the RRF completed; issuance of e-identity </w:t>
            </w:r>
            <w:r w:rsidR="0001384A" w:rsidRPr="00DE4E4F">
              <w:rPr>
                <w:rFonts w:ascii="Times New Roman" w:hAnsi="Times New Roman" w:cs="Times New Roman"/>
                <w:noProof/>
                <w:color w:val="006100"/>
                <w:sz w:val="18"/>
                <w:szCs w:val="18"/>
              </w:rPr>
              <w:t xml:space="preserve">extracts </w:t>
            </w:r>
            <w:r w:rsidRPr="00DE4E4F">
              <w:rPr>
                <w:rFonts w:ascii="Times New Roman" w:hAnsi="Times New Roman" w:cs="Times New Roman"/>
                <w:noProof/>
                <w:color w:val="006100"/>
                <w:sz w:val="18"/>
                <w:szCs w:val="18"/>
              </w:rPr>
              <w:t xml:space="preserve">for judicial buildings </w:t>
            </w:r>
          </w:p>
        </w:tc>
        <w:tc>
          <w:tcPr>
            <w:tcW w:w="992" w:type="dxa"/>
            <w:tcBorders>
              <w:top w:val="single" w:sz="4" w:space="0" w:color="auto"/>
              <w:left w:val="nil"/>
              <w:bottom w:val="single" w:sz="4" w:space="0" w:color="auto"/>
              <w:right w:val="single" w:sz="4" w:space="0" w:color="auto"/>
            </w:tcBorders>
            <w:shd w:val="clear" w:color="auto" w:fill="C6EFCE"/>
            <w:noWrap/>
          </w:tcPr>
          <w:p w14:paraId="4D92BE3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119910B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3823EFB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55AF02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single" w:sz="4" w:space="0" w:color="auto"/>
              <w:left w:val="nil"/>
              <w:bottom w:val="single" w:sz="4" w:space="0" w:color="auto"/>
              <w:right w:val="single" w:sz="4" w:space="0" w:color="auto"/>
            </w:tcBorders>
            <w:shd w:val="clear" w:color="auto" w:fill="C6EFCE"/>
            <w:noWrap/>
          </w:tcPr>
          <w:p w14:paraId="35F792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5AB976D" w14:textId="77777777" w:rsidR="001B186F" w:rsidRPr="00DE4E4F" w:rsidRDefault="0074517F">
            <w:pPr>
              <w:pStyle w:val="ListParagraph"/>
              <w:numPr>
                <w:ilvl w:val="0"/>
                <w:numId w:val="68"/>
              </w:numPr>
              <w:spacing w:before="120" w:after="0" w:line="240" w:lineRule="auto"/>
              <w:ind w:left="273" w:hanging="295"/>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Completion of construction and renovation works funded under the RRF.</w:t>
            </w:r>
          </w:p>
          <w:p w14:paraId="52DD1719" w14:textId="7480EA71" w:rsidR="001B186F" w:rsidRPr="00DE4E4F" w:rsidRDefault="0074517F">
            <w:pPr>
              <w:pStyle w:val="ListParagraph"/>
              <w:numPr>
                <w:ilvl w:val="0"/>
                <w:numId w:val="68"/>
              </w:numPr>
              <w:spacing w:before="120" w:after="0" w:line="240" w:lineRule="auto"/>
              <w:ind w:left="273" w:hanging="295"/>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Issuance of e-identity </w:t>
            </w:r>
            <w:r w:rsidR="0001384A" w:rsidRPr="00DE4E4F">
              <w:rPr>
                <w:rFonts w:ascii="Times New Roman" w:hAnsi="Times New Roman" w:cs="Times New Roman"/>
                <w:noProof/>
                <w:color w:val="006100"/>
                <w:sz w:val="18"/>
                <w:szCs w:val="18"/>
              </w:rPr>
              <w:t xml:space="preserve">extracts </w:t>
            </w:r>
            <w:r w:rsidRPr="00DE4E4F">
              <w:rPr>
                <w:rFonts w:ascii="Times New Roman" w:hAnsi="Times New Roman" w:cs="Times New Roman"/>
                <w:noProof/>
                <w:color w:val="006100"/>
                <w:sz w:val="18"/>
                <w:szCs w:val="18"/>
              </w:rPr>
              <w:t xml:space="preserve">for </w:t>
            </w:r>
            <w:r w:rsidR="00CB6604" w:rsidRPr="00DE4E4F">
              <w:rPr>
                <w:rFonts w:ascii="Times New Roman" w:hAnsi="Times New Roman" w:cs="Times New Roman"/>
                <w:noProof/>
                <w:color w:val="006100"/>
                <w:sz w:val="18"/>
                <w:szCs w:val="18"/>
              </w:rPr>
              <w:t xml:space="preserve">100 </w:t>
            </w:r>
            <w:r w:rsidR="0EF16A38" w:rsidRPr="00DE4E4F">
              <w:rPr>
                <w:rFonts w:ascii="Times New Roman" w:hAnsi="Times New Roman" w:cs="Times New Roman"/>
                <w:noProof/>
                <w:color w:val="006100"/>
                <w:sz w:val="18"/>
                <w:szCs w:val="18"/>
              </w:rPr>
              <w:t xml:space="preserve">buildings </w:t>
            </w:r>
            <w:r w:rsidRPr="00DE4E4F">
              <w:rPr>
                <w:rFonts w:ascii="Times New Roman" w:hAnsi="Times New Roman" w:cs="Times New Roman"/>
                <w:noProof/>
                <w:color w:val="006100"/>
                <w:sz w:val="18"/>
                <w:szCs w:val="18"/>
              </w:rPr>
              <w:t xml:space="preserve">owned </w:t>
            </w:r>
            <w:r w:rsidR="00CB6604" w:rsidRPr="00DE4E4F">
              <w:rPr>
                <w:rFonts w:ascii="Times New Roman" w:hAnsi="Times New Roman" w:cs="Times New Roman"/>
                <w:noProof/>
                <w:color w:val="006100"/>
                <w:sz w:val="18"/>
                <w:szCs w:val="18"/>
              </w:rPr>
              <w:t xml:space="preserve">by </w:t>
            </w:r>
            <w:r w:rsidRPr="00DE4E4F">
              <w:rPr>
                <w:rFonts w:ascii="Times New Roman" w:hAnsi="Times New Roman" w:cs="Times New Roman"/>
                <w:noProof/>
                <w:color w:val="006100"/>
                <w:sz w:val="18"/>
                <w:szCs w:val="18"/>
              </w:rPr>
              <w:t xml:space="preserve">or granted </w:t>
            </w:r>
            <w:r w:rsidR="00CB6604" w:rsidRPr="00DE4E4F">
              <w:rPr>
                <w:rFonts w:ascii="Times New Roman" w:hAnsi="Times New Roman" w:cs="Times New Roman"/>
                <w:noProof/>
                <w:color w:val="006100"/>
                <w:sz w:val="18"/>
                <w:szCs w:val="18"/>
              </w:rPr>
              <w:t xml:space="preserve">to </w:t>
            </w:r>
            <w:r w:rsidR="00873F1C" w:rsidRPr="00DE4E4F">
              <w:rPr>
                <w:rFonts w:ascii="Times New Roman" w:hAnsi="Times New Roman" w:cs="Times New Roman"/>
                <w:noProof/>
                <w:color w:val="006100"/>
                <w:sz w:val="18"/>
                <w:szCs w:val="18"/>
              </w:rPr>
              <w:t xml:space="preserve">the </w:t>
            </w:r>
            <w:r w:rsidR="00E4CCBA" w:rsidRPr="00DE4E4F">
              <w:rPr>
                <w:rFonts w:ascii="Times New Roman" w:hAnsi="Times New Roman" w:cs="Times New Roman"/>
                <w:noProof/>
                <w:color w:val="006100"/>
                <w:sz w:val="18"/>
                <w:szCs w:val="18"/>
              </w:rPr>
              <w:t>judicia</w:t>
            </w:r>
            <w:r w:rsidR="39297BAE" w:rsidRPr="00DE4E4F">
              <w:rPr>
                <w:rFonts w:ascii="Times New Roman" w:hAnsi="Times New Roman" w:cs="Times New Roman"/>
                <w:noProof/>
                <w:color w:val="006100"/>
                <w:sz w:val="18"/>
                <w:szCs w:val="18"/>
              </w:rPr>
              <w:t>ry</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through the e-identity platform.</w:t>
            </w:r>
            <w:r w:rsidR="00DE4C0C" w:rsidRPr="00DE4E4F">
              <w:rPr>
                <w:rFonts w:ascii="Times New Roman" w:hAnsi="Times New Roman" w:cs="Times New Roman"/>
                <w:noProof/>
                <w:color w:val="006100"/>
                <w:sz w:val="18"/>
                <w:szCs w:val="18"/>
              </w:rPr>
              <w:t xml:space="preserve"> </w:t>
            </w:r>
          </w:p>
        </w:tc>
      </w:tr>
      <w:tr w:rsidR="00682269" w:rsidRPr="00DE4E4F" w14:paraId="3684C47E"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5C2256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238</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2C56E2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16575 Accelerating the administration of justice</w:t>
            </w:r>
          </w:p>
        </w:tc>
        <w:tc>
          <w:tcPr>
            <w:tcW w:w="1424" w:type="dxa"/>
            <w:tcBorders>
              <w:top w:val="single" w:sz="4" w:space="0" w:color="auto"/>
              <w:left w:val="nil"/>
              <w:bottom w:val="single" w:sz="4" w:space="0" w:color="auto"/>
              <w:right w:val="single" w:sz="4" w:space="0" w:color="auto"/>
            </w:tcBorders>
            <w:shd w:val="clear" w:color="auto" w:fill="C6EFCE"/>
            <w:noWrap/>
          </w:tcPr>
          <w:p w14:paraId="1C2B11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3B4B09E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Training on mediation and unified digital system for Mediation Centres </w:t>
            </w:r>
          </w:p>
        </w:tc>
        <w:tc>
          <w:tcPr>
            <w:tcW w:w="1552" w:type="dxa"/>
            <w:tcBorders>
              <w:top w:val="single" w:sz="4" w:space="0" w:color="auto"/>
              <w:left w:val="nil"/>
              <w:bottom w:val="single" w:sz="4" w:space="0" w:color="auto"/>
              <w:right w:val="single" w:sz="4" w:space="0" w:color="auto"/>
            </w:tcBorders>
            <w:shd w:val="clear" w:color="auto" w:fill="C6EFCE"/>
            <w:noWrap/>
          </w:tcPr>
          <w:p w14:paraId="48C6E74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training on mediation; unified digital system for Mediation Centres online and accessible </w:t>
            </w:r>
          </w:p>
        </w:tc>
        <w:tc>
          <w:tcPr>
            <w:tcW w:w="992" w:type="dxa"/>
            <w:tcBorders>
              <w:top w:val="single" w:sz="4" w:space="0" w:color="auto"/>
              <w:left w:val="nil"/>
              <w:bottom w:val="single" w:sz="4" w:space="0" w:color="auto"/>
              <w:right w:val="single" w:sz="4" w:space="0" w:color="auto"/>
            </w:tcBorders>
            <w:shd w:val="clear" w:color="auto" w:fill="C6EFCE"/>
            <w:noWrap/>
          </w:tcPr>
          <w:p w14:paraId="11A3C09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522088B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4528E9B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4D9AA4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22" w:type="dxa"/>
            <w:tcBorders>
              <w:top w:val="single" w:sz="4" w:space="0" w:color="auto"/>
              <w:left w:val="nil"/>
              <w:bottom w:val="single" w:sz="4" w:space="0" w:color="auto"/>
              <w:right w:val="single" w:sz="4" w:space="0" w:color="auto"/>
            </w:tcBorders>
            <w:shd w:val="clear" w:color="auto" w:fill="C6EFCE"/>
            <w:noWrap/>
          </w:tcPr>
          <w:p w14:paraId="40B1942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885" w:type="dxa"/>
            <w:tcBorders>
              <w:top w:val="single" w:sz="4" w:space="0" w:color="auto"/>
              <w:left w:val="nil"/>
              <w:bottom w:val="single" w:sz="4" w:space="0" w:color="auto"/>
              <w:right w:val="single" w:sz="4" w:space="0" w:color="auto"/>
            </w:tcBorders>
            <w:shd w:val="clear" w:color="auto" w:fill="C6EFCE"/>
            <w:noWrap/>
          </w:tcPr>
          <w:p w14:paraId="778D9F24" w14:textId="27E4E277" w:rsidR="001B186F" w:rsidRPr="00DE4E4F" w:rsidRDefault="0074517F">
            <w:pPr>
              <w:pStyle w:val="ListParagraph"/>
              <w:numPr>
                <w:ilvl w:val="0"/>
                <w:numId w:val="69"/>
              </w:numPr>
              <w:spacing w:after="0" w:line="240" w:lineRule="auto"/>
              <w:ind w:left="262" w:hanging="32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training sessions on mediation by accredited entit</w:t>
            </w:r>
            <w:r w:rsidR="002554D1" w:rsidRPr="00DE4E4F">
              <w:rPr>
                <w:rFonts w:ascii="Times New Roman" w:hAnsi="Times New Roman" w:cs="Times New Roman"/>
                <w:noProof/>
                <w:color w:val="006100"/>
                <w:sz w:val="18"/>
                <w:szCs w:val="18"/>
              </w:rPr>
              <w:t>ies</w:t>
            </w:r>
            <w:r w:rsidRPr="00DE4E4F">
              <w:rPr>
                <w:rFonts w:ascii="Times New Roman" w:hAnsi="Times New Roman" w:cs="Times New Roman"/>
                <w:noProof/>
                <w:color w:val="006100"/>
                <w:sz w:val="18"/>
                <w:szCs w:val="18"/>
              </w:rPr>
              <w:t xml:space="preserve"> to </w:t>
            </w:r>
            <w:r w:rsidR="00E66727" w:rsidRPr="00DE4E4F">
              <w:rPr>
                <w:rFonts w:ascii="Times New Roman" w:hAnsi="Times New Roman" w:cs="Times New Roman"/>
                <w:noProof/>
                <w:color w:val="006100"/>
                <w:sz w:val="18"/>
                <w:szCs w:val="18"/>
              </w:rPr>
              <w:t xml:space="preserve">9298 </w:t>
            </w:r>
            <w:r w:rsidRPr="00DE4E4F">
              <w:rPr>
                <w:rFonts w:ascii="Times New Roman" w:hAnsi="Times New Roman" w:cs="Times New Roman"/>
                <w:noProof/>
                <w:color w:val="006100"/>
                <w:sz w:val="18"/>
                <w:szCs w:val="18"/>
              </w:rPr>
              <w:t xml:space="preserve">legal professionals and/or mediators </w:t>
            </w:r>
          </w:p>
          <w:p w14:paraId="0F1F1567" w14:textId="09F3BAEA" w:rsidR="001B186F" w:rsidRPr="00DE4E4F" w:rsidRDefault="0074517F" w:rsidP="002B60D8">
            <w:pPr>
              <w:pStyle w:val="ListParagraph"/>
              <w:numPr>
                <w:ilvl w:val="0"/>
                <w:numId w:val="69"/>
              </w:numPr>
              <w:spacing w:after="0" w:line="240" w:lineRule="auto"/>
              <w:ind w:left="262" w:hanging="32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Unified digital system for Mediation Centres is online and accessible to end-users.</w:t>
            </w:r>
          </w:p>
        </w:tc>
      </w:tr>
      <w:tr w:rsidR="00682269" w:rsidRPr="00DE4E4F" w14:paraId="473E406D" w14:textId="77777777">
        <w:trPr>
          <w:trHeight w:val="309"/>
          <w:jc w:val="center"/>
        </w:trPr>
        <w:tc>
          <w:tcPr>
            <w:tcW w:w="592" w:type="dxa"/>
            <w:tcBorders>
              <w:top w:val="single" w:sz="4" w:space="0" w:color="auto"/>
              <w:left w:val="single" w:sz="4" w:space="0" w:color="auto"/>
              <w:bottom w:val="single" w:sz="4" w:space="0" w:color="auto"/>
              <w:right w:val="single" w:sz="4" w:space="0" w:color="auto"/>
            </w:tcBorders>
            <w:shd w:val="clear" w:color="auto" w:fill="C6EFCE"/>
            <w:noWrap/>
          </w:tcPr>
          <w:p w14:paraId="1E72F8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239</w:t>
            </w:r>
          </w:p>
        </w:tc>
        <w:tc>
          <w:tcPr>
            <w:tcW w:w="1976" w:type="dxa"/>
            <w:gridSpan w:val="2"/>
            <w:tcBorders>
              <w:top w:val="single" w:sz="4" w:space="0" w:color="auto"/>
              <w:left w:val="nil"/>
              <w:bottom w:val="single" w:sz="4" w:space="0" w:color="auto"/>
              <w:right w:val="single" w:sz="4" w:space="0" w:color="auto"/>
            </w:tcBorders>
            <w:shd w:val="clear" w:color="auto" w:fill="C6EFCE"/>
            <w:noWrap/>
          </w:tcPr>
          <w:p w14:paraId="3BC0BB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14 - 4.3. Improve the efficiency of the justice system - 16727_Digital Transformation of Justice (E-Justice)</w:t>
            </w:r>
          </w:p>
        </w:tc>
        <w:tc>
          <w:tcPr>
            <w:tcW w:w="1424" w:type="dxa"/>
            <w:tcBorders>
              <w:top w:val="single" w:sz="4" w:space="0" w:color="auto"/>
              <w:left w:val="nil"/>
              <w:bottom w:val="single" w:sz="4" w:space="0" w:color="auto"/>
              <w:right w:val="single" w:sz="4" w:space="0" w:color="auto"/>
            </w:tcBorders>
            <w:shd w:val="clear" w:color="auto" w:fill="C6EFCE"/>
            <w:noWrap/>
          </w:tcPr>
          <w:p w14:paraId="6BF178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7" w:type="dxa"/>
            <w:tcBorders>
              <w:top w:val="single" w:sz="4" w:space="0" w:color="auto"/>
              <w:left w:val="nil"/>
              <w:bottom w:val="single" w:sz="4" w:space="0" w:color="auto"/>
              <w:right w:val="single" w:sz="4" w:space="0" w:color="auto"/>
            </w:tcBorders>
            <w:shd w:val="clear" w:color="auto" w:fill="C6EFCE"/>
            <w:noWrap/>
          </w:tcPr>
          <w:p w14:paraId="29B01A9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Record-keeping and IT upgrades</w:t>
            </w:r>
          </w:p>
        </w:tc>
        <w:tc>
          <w:tcPr>
            <w:tcW w:w="1552" w:type="dxa"/>
            <w:tcBorders>
              <w:top w:val="single" w:sz="4" w:space="0" w:color="auto"/>
              <w:left w:val="nil"/>
              <w:bottom w:val="single" w:sz="4" w:space="0" w:color="auto"/>
              <w:right w:val="single" w:sz="4" w:space="0" w:color="auto"/>
            </w:tcBorders>
            <w:shd w:val="clear" w:color="auto" w:fill="C6EFCE"/>
            <w:noWrap/>
          </w:tcPr>
          <w:p w14:paraId="63F99355" w14:textId="12D0B8BD"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the record keeping of the courts and IT upgrades, covering all </w:t>
            </w:r>
            <w:r w:rsidR="00DA0334" w:rsidRPr="00DE4E4F">
              <w:rPr>
                <w:rFonts w:ascii="Times New Roman" w:hAnsi="Times New Roman" w:cs="Times New Roman"/>
                <w:noProof/>
                <w:color w:val="006100"/>
                <w:sz w:val="18"/>
                <w:szCs w:val="18"/>
              </w:rPr>
              <w:t xml:space="preserve">contractual elements </w:t>
            </w:r>
            <w:r w:rsidR="00E018BB" w:rsidRPr="00DE4E4F">
              <w:rPr>
                <w:rFonts w:ascii="Times New Roman" w:hAnsi="Times New Roman" w:cs="Times New Roman"/>
                <w:noProof/>
                <w:color w:val="006100"/>
                <w:sz w:val="18"/>
                <w:szCs w:val="18"/>
              </w:rPr>
              <w:t>funded by RRF, as amended</w:t>
            </w:r>
          </w:p>
        </w:tc>
        <w:tc>
          <w:tcPr>
            <w:tcW w:w="992" w:type="dxa"/>
            <w:tcBorders>
              <w:top w:val="single" w:sz="4" w:space="0" w:color="auto"/>
              <w:left w:val="nil"/>
              <w:bottom w:val="single" w:sz="4" w:space="0" w:color="auto"/>
              <w:right w:val="single" w:sz="4" w:space="0" w:color="auto"/>
            </w:tcBorders>
            <w:shd w:val="clear" w:color="auto" w:fill="C6EFCE"/>
            <w:noWrap/>
          </w:tcPr>
          <w:p w14:paraId="78961A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318BBB7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58A3AE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1A5B0E8A" w14:textId="6C4BE56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2750CF" w:rsidRPr="00DE4E4F">
              <w:rPr>
                <w:rFonts w:ascii="Times New Roman" w:hAnsi="Times New Roman" w:cs="Times New Roman"/>
                <w:noProof/>
                <w:color w:val="006100"/>
                <w:sz w:val="18"/>
                <w:szCs w:val="18"/>
              </w:rPr>
              <w:t>2</w:t>
            </w:r>
          </w:p>
        </w:tc>
        <w:tc>
          <w:tcPr>
            <w:tcW w:w="622" w:type="dxa"/>
            <w:tcBorders>
              <w:top w:val="single" w:sz="4" w:space="0" w:color="auto"/>
              <w:left w:val="nil"/>
              <w:bottom w:val="single" w:sz="4" w:space="0" w:color="auto"/>
              <w:right w:val="single" w:sz="4" w:space="0" w:color="auto"/>
            </w:tcBorders>
            <w:shd w:val="clear" w:color="auto" w:fill="C6EFCE"/>
            <w:noWrap/>
          </w:tcPr>
          <w:p w14:paraId="3249779C" w14:textId="36AC89D8"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w:t>
            </w:r>
            <w:r w:rsidR="002750CF" w:rsidRPr="00DE4E4F">
              <w:rPr>
                <w:rFonts w:ascii="Times New Roman" w:hAnsi="Times New Roman" w:cs="Times New Roman"/>
                <w:noProof/>
                <w:color w:val="006100"/>
                <w:sz w:val="18"/>
                <w:szCs w:val="18"/>
              </w:rPr>
              <w:t>6</w:t>
            </w:r>
          </w:p>
        </w:tc>
        <w:tc>
          <w:tcPr>
            <w:tcW w:w="4885" w:type="dxa"/>
            <w:tcBorders>
              <w:top w:val="single" w:sz="4" w:space="0" w:color="auto"/>
              <w:left w:val="nil"/>
              <w:bottom w:val="single" w:sz="4" w:space="0" w:color="auto"/>
              <w:right w:val="single" w:sz="4" w:space="0" w:color="auto"/>
            </w:tcBorders>
            <w:shd w:val="clear" w:color="auto" w:fill="C6EFCE"/>
            <w:noWrap/>
          </w:tcPr>
          <w:p w14:paraId="477E6D58" w14:textId="1735FF1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all contractual elements </w:t>
            </w:r>
            <w:r w:rsidR="00BC18E5" w:rsidRPr="00DE4E4F">
              <w:rPr>
                <w:rFonts w:ascii="Times New Roman" w:hAnsi="Times New Roman" w:cs="Times New Roman"/>
                <w:noProof/>
                <w:color w:val="006100"/>
                <w:sz w:val="18"/>
                <w:szCs w:val="18"/>
              </w:rPr>
              <w:t>funded by RRF</w:t>
            </w:r>
            <w:r w:rsidR="002F5836" w:rsidRPr="00DE4E4F">
              <w:rPr>
                <w:rFonts w:ascii="Times New Roman" w:hAnsi="Times New Roman" w:cs="Times New Roman"/>
                <w:noProof/>
                <w:color w:val="006100"/>
                <w:sz w:val="18"/>
                <w:szCs w:val="18"/>
              </w:rPr>
              <w:t xml:space="preserve">, as amended, </w:t>
            </w:r>
            <w:r w:rsidRPr="00DE4E4F">
              <w:rPr>
                <w:rFonts w:ascii="Times New Roman" w:hAnsi="Times New Roman" w:cs="Times New Roman"/>
                <w:noProof/>
                <w:color w:val="006100"/>
                <w:sz w:val="18"/>
                <w:szCs w:val="18"/>
              </w:rPr>
              <w:t xml:space="preserve">regarding: </w:t>
            </w:r>
          </w:p>
          <w:p w14:paraId="5835A25B" w14:textId="77777777" w:rsidR="001B186F" w:rsidRPr="00DE4E4F" w:rsidRDefault="0074517F">
            <w:pPr>
              <w:spacing w:before="120" w:after="0" w:line="240" w:lineRule="auto"/>
              <w:ind w:left="360"/>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 The record-keeping system of the courts</w:t>
            </w:r>
          </w:p>
          <w:p w14:paraId="1EEEB90F" w14:textId="78741DF1" w:rsidR="001B186F" w:rsidRPr="00DE4E4F" w:rsidRDefault="0074517F" w:rsidP="00B116A1">
            <w:pPr>
              <w:spacing w:before="120" w:after="0" w:line="259" w:lineRule="auto"/>
              <w:ind w:left="314"/>
              <w:contextualSpacing/>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(ii) </w:t>
            </w:r>
            <w:r w:rsidR="00DE4E4F" w:rsidRPr="00DE4E4F">
              <w:rPr>
                <w:rFonts w:ascii="Times New Roman" w:hAnsi="Times New Roman" w:cs="Times New Roman"/>
                <w:noProof/>
                <w:color w:val="006100"/>
                <w:sz w:val="18"/>
                <w:szCs w:val="18"/>
              </w:rPr>
              <w:t>The</w:t>
            </w:r>
            <w:r w:rsidRPr="00DE4E4F">
              <w:rPr>
                <w:rFonts w:ascii="Times New Roman" w:hAnsi="Times New Roman" w:cs="Times New Roman"/>
                <w:noProof/>
                <w:color w:val="006100"/>
                <w:sz w:val="18"/>
                <w:szCs w:val="18"/>
              </w:rPr>
              <w:t xml:space="preserve"> IT systems of the Justice sector for civil and penal courts, the court of audits and the national criminal record. </w:t>
            </w:r>
          </w:p>
        </w:tc>
      </w:tr>
    </w:tbl>
    <w:p w14:paraId="3A3A767B"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300"/>
          <w:headerReference w:type="default" r:id="rId301"/>
          <w:footerReference w:type="even" r:id="rId302"/>
          <w:footerReference w:type="default" r:id="rId303"/>
          <w:headerReference w:type="first" r:id="rId304"/>
          <w:footerReference w:type="first" r:id="rId305"/>
          <w:pgSz w:w="16839" w:h="11907" w:orient="landscape"/>
          <w:pgMar w:top="1134" w:right="1134" w:bottom="1134" w:left="1134" w:header="567" w:footer="567" w:gutter="0"/>
          <w:cols w:space="720"/>
          <w:docGrid w:linePitch="360"/>
        </w:sectPr>
      </w:pPr>
    </w:p>
    <w:p w14:paraId="6FE02133"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O. COMPONENT 4.4: STRENGTHEN THE FINANCIAL SECTOR AND CAPITAL MARKETS</w:t>
      </w:r>
    </w:p>
    <w:p w14:paraId="04669D8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aims to strengthen the capacity of the financial system to support the development of the economy, through the provision of financing of companies and individuals to develop new activities. It supports addressing the high non-performing exposures (NPEs) and non-performing loans (NPLs) in the Greek banking sector, while also improving access to information regarding the credit profiles of companies and individuals in the market. </w:t>
      </w:r>
    </w:p>
    <w:p w14:paraId="6FB65BE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component shall also support addressing private indebtedness and strengthen capital markets. Structural changes in these two areas shall contribute to growth and shall increase Greece’s economic resilience in view of future shocks. </w:t>
      </w:r>
    </w:p>
    <w:p w14:paraId="41F14DB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reforms under this component consist of: </w:t>
      </w:r>
    </w:p>
    <w:p w14:paraId="613E5AF0" w14:textId="77777777" w:rsidR="001B186F" w:rsidRPr="00DE4E4F" w:rsidRDefault="0074517F">
      <w:pPr>
        <w:numPr>
          <w:ilvl w:val="0"/>
          <w:numId w:val="70"/>
        </w:numPr>
        <w:spacing w:before="120" w:after="120" w:line="240" w:lineRule="auto"/>
        <w:ind w:left="360"/>
        <w:jc w:val="both"/>
        <w:rPr>
          <w:rFonts w:ascii="Times New Roman" w:hAnsi="Times New Roman" w:cs="Times New Roman"/>
          <w:noProof/>
          <w:sz w:val="24"/>
        </w:rPr>
      </w:pPr>
      <w:r w:rsidRPr="00DE4E4F">
        <w:rPr>
          <w:rFonts w:ascii="Times New Roman" w:hAnsi="Times New Roman"/>
          <w:noProof/>
          <w:sz w:val="24"/>
        </w:rPr>
        <w:t>Enhanced capital market supervision and trustworthiness </w:t>
      </w:r>
    </w:p>
    <w:p w14:paraId="303388A6" w14:textId="77777777" w:rsidR="001B186F" w:rsidRPr="00DE4E4F" w:rsidRDefault="0074517F">
      <w:pPr>
        <w:numPr>
          <w:ilvl w:val="0"/>
          <w:numId w:val="70"/>
        </w:numPr>
        <w:spacing w:before="120" w:after="120" w:line="240" w:lineRule="auto"/>
        <w:ind w:left="360"/>
        <w:jc w:val="both"/>
        <w:rPr>
          <w:rFonts w:ascii="Times New Roman" w:hAnsi="Times New Roman" w:cs="Times New Roman"/>
          <w:noProof/>
          <w:sz w:val="24"/>
        </w:rPr>
      </w:pPr>
      <w:r w:rsidRPr="00DE4E4F">
        <w:rPr>
          <w:rFonts w:ascii="Times New Roman" w:hAnsi="Times New Roman"/>
          <w:noProof/>
          <w:sz w:val="24"/>
        </w:rPr>
        <w:t xml:space="preserve">Strengthening the capacity of the financial system to overcome legacy challenges and finance the real economy </w:t>
      </w:r>
    </w:p>
    <w:p w14:paraId="440E0B84" w14:textId="77777777" w:rsidR="001B186F" w:rsidRPr="00DE4E4F" w:rsidRDefault="0074517F">
      <w:pPr>
        <w:numPr>
          <w:ilvl w:val="0"/>
          <w:numId w:val="70"/>
        </w:numPr>
        <w:spacing w:before="120" w:after="120" w:line="240" w:lineRule="auto"/>
        <w:ind w:left="360"/>
        <w:jc w:val="both"/>
        <w:rPr>
          <w:rFonts w:ascii="Times New Roman" w:hAnsi="Times New Roman" w:cs="Times New Roman"/>
          <w:noProof/>
          <w:sz w:val="24"/>
          <w:szCs w:val="24"/>
        </w:rPr>
      </w:pPr>
      <w:r w:rsidRPr="00DE4E4F">
        <w:rPr>
          <w:rFonts w:ascii="Times New Roman" w:hAnsi="Times New Roman"/>
          <w:noProof/>
          <w:sz w:val="24"/>
          <w:szCs w:val="24"/>
        </w:rPr>
        <w:t xml:space="preserve">Upgrade of the digital infrastructure necessary for the delivery of the new unified insolvency framework for the restructuring of debt and 2nd chance </w:t>
      </w:r>
    </w:p>
    <w:p w14:paraId="69DC9E2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Some of these reforms include actions that address the informational gaps that impede the successful flow of credit and the efficient risk monitoring. These consist of the development o</w:t>
      </w:r>
      <w:r w:rsidRPr="00DE4E4F">
        <w:rPr>
          <w:rFonts w:asciiTheme="minorHAnsi" w:eastAsiaTheme="minorEastAsia" w:hAnsiTheme="minorHAnsi" w:cstheme="minorBidi"/>
          <w:noProof/>
          <w:sz w:val="24"/>
          <w:szCs w:val="24"/>
        </w:rPr>
        <w:t xml:space="preserve">f a monitoring registry for private </w:t>
      </w:r>
      <w:r w:rsidRPr="00DE4E4F">
        <w:rPr>
          <w:rFonts w:ascii="Times New Roman" w:hAnsi="Times New Roman"/>
          <w:noProof/>
          <w:sz w:val="24"/>
          <w:szCs w:val="24"/>
        </w:rPr>
        <w:t xml:space="preserve">debt, the development of a public credit rating information system, and a central credit registry. Furthermore, the Central Credit Registry, through the collection of relevant data, shall also contribute to the monitoring of the evolution of credit expansion by the Credit Expansion Observatory. These actions also contribute to the digital transition of the Greek economy, since they rely on information technology. </w:t>
      </w:r>
    </w:p>
    <w:p w14:paraId="4FACC1F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measures under this component foster economic and institutional resilience, strengthen crisis preparedness and institutional capacity and therefore support addressing the country-specific recommendation on the “Structural reforms to improve the functioning of the economy” (Country Specific Recommendation 1 2019 and Country Specific Recommendation 4 2020).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1993117"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O.1. Description of the reforms and investments for non-repayable financial support</w:t>
      </w:r>
    </w:p>
    <w:p w14:paraId="5CFD007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Enhanced capital market supervision and trustworthiness (measure ID 16581)</w:t>
      </w:r>
    </w:p>
    <w:p w14:paraId="7107CF83" w14:textId="077B227A"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measure is to enhance capital markets supervision. The measure consists of the </w:t>
      </w:r>
      <w:r w:rsidR="65CFA258" w:rsidRPr="00DE4E4F">
        <w:rPr>
          <w:rFonts w:ascii="Times New Roman" w:hAnsi="Times New Roman"/>
          <w:noProof/>
          <w:sz w:val="24"/>
          <w:szCs w:val="24"/>
        </w:rPr>
        <w:t>upgrade</w:t>
      </w:r>
      <w:r w:rsidRPr="00DE4E4F">
        <w:rPr>
          <w:rFonts w:ascii="Times New Roman" w:hAnsi="Times New Roman"/>
          <w:noProof/>
          <w:sz w:val="24"/>
          <w:szCs w:val="24"/>
        </w:rPr>
        <w:t xml:space="preserve"> of IT systems and </w:t>
      </w:r>
      <w:r w:rsidR="155865E4" w:rsidRPr="00DE4E4F">
        <w:rPr>
          <w:rFonts w:ascii="Times New Roman" w:hAnsi="Times New Roman"/>
          <w:noProof/>
          <w:sz w:val="24"/>
          <w:szCs w:val="24"/>
        </w:rPr>
        <w:t xml:space="preserve">delivery of </w:t>
      </w:r>
      <w:r w:rsidR="00DE4E4F" w:rsidRPr="00DE4E4F">
        <w:rPr>
          <w:rFonts w:ascii="Times New Roman" w:hAnsi="Times New Roman"/>
          <w:noProof/>
          <w:sz w:val="24"/>
          <w:szCs w:val="24"/>
        </w:rPr>
        <w:t>cybersecurity</w:t>
      </w:r>
      <w:r w:rsidRPr="00DE4E4F">
        <w:rPr>
          <w:rFonts w:ascii="Times New Roman" w:hAnsi="Times New Roman"/>
          <w:noProof/>
          <w:sz w:val="24"/>
          <w:szCs w:val="24"/>
        </w:rPr>
        <w:t xml:space="preserve"> </w:t>
      </w:r>
      <w:r w:rsidR="0C385AE7" w:rsidRPr="00DE4E4F">
        <w:rPr>
          <w:rFonts w:ascii="Times New Roman" w:hAnsi="Times New Roman"/>
          <w:noProof/>
          <w:sz w:val="24"/>
          <w:szCs w:val="24"/>
        </w:rPr>
        <w:t>services</w:t>
      </w:r>
      <w:r w:rsidRPr="00DE4E4F">
        <w:rPr>
          <w:rFonts w:ascii="Times New Roman" w:hAnsi="Times New Roman"/>
          <w:noProof/>
          <w:sz w:val="24"/>
          <w:szCs w:val="24"/>
        </w:rPr>
        <w:t xml:space="preserve"> </w:t>
      </w:r>
      <w:r w:rsidR="26279B6F" w:rsidRPr="00DE4E4F">
        <w:rPr>
          <w:rFonts w:ascii="Times New Roman" w:hAnsi="Times New Roman"/>
          <w:noProof/>
          <w:sz w:val="24"/>
          <w:szCs w:val="24"/>
        </w:rPr>
        <w:t>to</w:t>
      </w:r>
      <w:r w:rsidRPr="00DE4E4F">
        <w:rPr>
          <w:rFonts w:ascii="Times New Roman" w:hAnsi="Times New Roman"/>
          <w:noProof/>
          <w:sz w:val="24"/>
          <w:szCs w:val="24"/>
        </w:rPr>
        <w:t xml:space="preserve"> the Hellenic Capital Market Commission (HCMC) and the publication of the administrative codification for capital markets.</w:t>
      </w:r>
    </w:p>
    <w:p w14:paraId="53B0BF3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Strengthening the capacity of the financial system to overcome legacy challenges and finance the real economy (measure ID 16957)</w:t>
      </w:r>
    </w:p>
    <w:p w14:paraId="3EA466BD" w14:textId="42FC7F02" w:rsidR="001B186F" w:rsidRPr="00DE4E4F" w:rsidRDefault="0074517F">
      <w:pPr>
        <w:spacing w:before="120" w:after="120" w:line="240" w:lineRule="auto"/>
        <w:jc w:val="both"/>
        <w:rPr>
          <w:noProof/>
          <w:color w:val="000000" w:themeColor="text1"/>
        </w:rPr>
      </w:pPr>
      <w:r w:rsidRPr="00DE4E4F">
        <w:rPr>
          <w:rFonts w:ascii="Times New Roman" w:hAnsi="Times New Roman"/>
          <w:noProof/>
          <w:sz w:val="24"/>
          <w:szCs w:val="24"/>
        </w:rPr>
        <w:t xml:space="preserve">This objective of this reform is to reduce the private debt stock by improving the insolvency process and empowering the NPL market. The reform consists of the </w:t>
      </w:r>
      <w:r w:rsidR="5423659E" w:rsidRPr="00DE4E4F">
        <w:rPr>
          <w:rFonts w:ascii="Times New Roman" w:hAnsi="Times New Roman"/>
          <w:noProof/>
          <w:sz w:val="24"/>
          <w:szCs w:val="24"/>
        </w:rPr>
        <w:t>delivery</w:t>
      </w:r>
      <w:r w:rsidRPr="00DE4E4F">
        <w:rPr>
          <w:rFonts w:ascii="Times New Roman" w:hAnsi="Times New Roman"/>
          <w:noProof/>
          <w:sz w:val="24"/>
          <w:szCs w:val="24"/>
        </w:rPr>
        <w:t xml:space="preserve"> of IT systems that monitor the creditworthiness of the debtors, data templates for portfolio screening, amendments to the Code of Civil Procedure (CCP) and provisions for the creation of a mechanism to obtain hearing dates for pending liquidation cases earlier.</w:t>
      </w:r>
    </w:p>
    <w:p w14:paraId="44063E9F" w14:textId="0B453139"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w:t>
      </w:r>
      <w:r w:rsidR="69D9AE8A" w:rsidRPr="00DE4E4F">
        <w:rPr>
          <w:rFonts w:ascii="Times New Roman" w:hAnsi="Times New Roman"/>
          <w:noProof/>
          <w:sz w:val="24"/>
          <w:szCs w:val="24"/>
        </w:rPr>
        <w:t>D</w:t>
      </w:r>
      <w:r w:rsidRPr="00DE4E4F">
        <w:rPr>
          <w:rFonts w:ascii="Times New Roman" w:hAnsi="Times New Roman"/>
          <w:noProof/>
          <w:sz w:val="24"/>
          <w:szCs w:val="24"/>
        </w:rPr>
        <w:t>elivery of the new unified insolvency framework for the restructuring of debt and second chance (measure ID 16580)</w:t>
      </w:r>
    </w:p>
    <w:p w14:paraId="3E9D2B0F" w14:textId="5964D003"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noProof/>
          <w:sz w:val="24"/>
          <w:szCs w:val="24"/>
        </w:rPr>
        <w:t xml:space="preserve">The objective of the reform </w:t>
      </w:r>
      <w:r w:rsidRPr="00DE4E4F">
        <w:rPr>
          <w:rFonts w:ascii="Times New Roman" w:eastAsiaTheme="minorEastAsia" w:hAnsi="Times New Roman" w:cs="Times New Roman"/>
          <w:noProof/>
          <w:sz w:val="24"/>
          <w:szCs w:val="24"/>
        </w:rPr>
        <w:t>is to support the early warning and preventive debt restructuring procedures. The reform consists of the upgrade of the early warning and debt restructuring IT systems</w:t>
      </w:r>
      <w:r w:rsidRPr="00DE4E4F">
        <w:rPr>
          <w:rFonts w:ascii="Times New Roman" w:hAnsi="Times New Roman"/>
          <w:noProof/>
          <w:sz w:val="24"/>
          <w:szCs w:val="24"/>
        </w:rPr>
        <w:t>.</w:t>
      </w:r>
    </w:p>
    <w:p w14:paraId="2E89BB5D"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06"/>
          <w:headerReference w:type="default" r:id="rId307"/>
          <w:footerReference w:type="even" r:id="rId308"/>
          <w:footerReference w:type="default" r:id="rId309"/>
          <w:headerReference w:type="first" r:id="rId310"/>
          <w:footerReference w:type="first" r:id="rId311"/>
          <w:pgSz w:w="11906" w:h="16838"/>
          <w:pgMar w:top="1134" w:right="1134" w:bottom="1134" w:left="1134" w:header="567" w:footer="567" w:gutter="0"/>
          <w:cols w:space="708"/>
          <w:docGrid w:linePitch="360"/>
        </w:sectPr>
      </w:pPr>
    </w:p>
    <w:p w14:paraId="74E59B40"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O.2. Milestones, targets, indicators, and timetable for monitoring and implementation for non-repayable financial support</w:t>
      </w:r>
    </w:p>
    <w:p w14:paraId="2781D67F"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22: Strengthening the financial sector and capital markets</w:t>
      </w:r>
    </w:p>
    <w:p w14:paraId="3B0E7D82" w14:textId="77777777" w:rsidR="001B186F" w:rsidRPr="00DE4E4F" w:rsidRDefault="0074517F">
      <w:pPr>
        <w:numPr>
          <w:ilvl w:val="0"/>
          <w:numId w:val="7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Enhanced capital market supervision and trustworthiness (ID: 16581)</w:t>
      </w:r>
    </w:p>
    <w:p w14:paraId="35F1C6FC" w14:textId="77777777" w:rsidR="001B186F" w:rsidRPr="00DE4E4F" w:rsidRDefault="0074517F">
      <w:pPr>
        <w:numPr>
          <w:ilvl w:val="0"/>
          <w:numId w:val="71"/>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Strengthening the capacity of the financial system to overcome legacy challenges and finance the real economy (ID: 16957)</w:t>
      </w:r>
    </w:p>
    <w:p w14:paraId="176B7476" w14:textId="77777777" w:rsidR="001B186F" w:rsidRPr="00DE4E4F" w:rsidRDefault="0074517F">
      <w:pPr>
        <w:numPr>
          <w:ilvl w:val="0"/>
          <w:numId w:val="71"/>
        </w:num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Delivery of the new unified insolvency framework for the restructuring of debt and 2nd chance (ID: 16580)</w:t>
      </w:r>
    </w:p>
    <w:tbl>
      <w:tblPr>
        <w:tblW w:w="15936" w:type="dxa"/>
        <w:jc w:val="center"/>
        <w:tblLook w:val="04A0" w:firstRow="1" w:lastRow="0" w:firstColumn="1" w:lastColumn="0" w:noHBand="0" w:noVBand="1"/>
      </w:tblPr>
      <w:tblGrid>
        <w:gridCol w:w="576"/>
        <w:gridCol w:w="2213"/>
        <w:gridCol w:w="1193"/>
        <w:gridCol w:w="1253"/>
        <w:gridCol w:w="1576"/>
        <w:gridCol w:w="968"/>
        <w:gridCol w:w="857"/>
        <w:gridCol w:w="587"/>
        <w:gridCol w:w="846"/>
        <w:gridCol w:w="673"/>
        <w:gridCol w:w="5194"/>
      </w:tblGrid>
      <w:tr w:rsidR="00682269" w:rsidRPr="00DE4E4F" w14:paraId="2E2AC28B" w14:textId="77777777" w:rsidTr="00A70121">
        <w:trPr>
          <w:trHeight w:val="695"/>
          <w:tblHeader/>
          <w:jc w:val="center"/>
        </w:trPr>
        <w:tc>
          <w:tcPr>
            <w:tcW w:w="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5F8E3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2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DF8210"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8D6E7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D4809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5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6BA49"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41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63565A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51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989770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51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A9478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5E6E6CEE" w14:textId="77777777" w:rsidTr="00A70121">
        <w:trPr>
          <w:trHeight w:val="610"/>
          <w:tblHeader/>
          <w:jc w:val="center"/>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9760B9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13" w:type="dxa"/>
            <w:vMerge/>
            <w:tcBorders>
              <w:top w:val="single" w:sz="4" w:space="0" w:color="auto"/>
              <w:left w:val="single" w:sz="4" w:space="0" w:color="auto"/>
              <w:bottom w:val="single" w:sz="4" w:space="0" w:color="auto"/>
              <w:right w:val="single" w:sz="4" w:space="0" w:color="auto"/>
            </w:tcBorders>
            <w:vAlign w:val="center"/>
            <w:hideMark/>
          </w:tcPr>
          <w:p w14:paraId="00A66E9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0BECE06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53" w:type="dxa"/>
            <w:vMerge/>
            <w:tcBorders>
              <w:top w:val="single" w:sz="4" w:space="0" w:color="auto"/>
              <w:left w:val="single" w:sz="4" w:space="0" w:color="auto"/>
              <w:bottom w:val="single" w:sz="4" w:space="0" w:color="auto"/>
              <w:right w:val="single" w:sz="4" w:space="0" w:color="auto"/>
            </w:tcBorders>
            <w:vAlign w:val="center"/>
            <w:hideMark/>
          </w:tcPr>
          <w:p w14:paraId="1968E76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76" w:type="dxa"/>
            <w:vMerge/>
            <w:tcBorders>
              <w:top w:val="single" w:sz="4" w:space="0" w:color="auto"/>
              <w:left w:val="single" w:sz="4" w:space="0" w:color="auto"/>
              <w:bottom w:val="single" w:sz="4" w:space="0" w:color="auto"/>
              <w:right w:val="single" w:sz="4" w:space="0" w:color="auto"/>
            </w:tcBorders>
            <w:vAlign w:val="center"/>
            <w:hideMark/>
          </w:tcPr>
          <w:p w14:paraId="6882D4B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754B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5E91B8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5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D14B5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84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A43AE1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17A29E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5194" w:type="dxa"/>
            <w:vMerge/>
            <w:tcBorders>
              <w:top w:val="single" w:sz="4" w:space="0" w:color="auto"/>
              <w:left w:val="single" w:sz="4" w:space="0" w:color="auto"/>
              <w:bottom w:val="single" w:sz="4" w:space="0" w:color="auto"/>
              <w:right w:val="single" w:sz="4" w:space="0" w:color="auto"/>
            </w:tcBorders>
            <w:vAlign w:val="center"/>
            <w:hideMark/>
          </w:tcPr>
          <w:p w14:paraId="06A7623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466964D0" w14:textId="77777777" w:rsidTr="00A70121">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4D55C7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240</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6EDBAE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- 16581_Enhanced capital market supervision and trustworthiness</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7CCF55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3910292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Capital markets, supervision, digitalisation of supervisory processes, Capital Market Union (CMU)</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3C0892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2FDC47E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30BF18F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2E2CE65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0B8C62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23A0483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57006D2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new law on the Hellenic Capital Market Commission, which will amend its internal processes and organisation. </w:t>
            </w:r>
          </w:p>
        </w:tc>
      </w:tr>
      <w:tr w:rsidR="00682269" w:rsidRPr="00DE4E4F" w14:paraId="1CE733FA" w14:textId="77777777" w:rsidTr="00A70121">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44D57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241</w:t>
            </w:r>
          </w:p>
        </w:tc>
        <w:tc>
          <w:tcPr>
            <w:tcW w:w="2213" w:type="dxa"/>
            <w:tcBorders>
              <w:top w:val="single" w:sz="4" w:space="0" w:color="auto"/>
              <w:left w:val="nil"/>
              <w:bottom w:val="single" w:sz="4" w:space="0" w:color="auto"/>
              <w:right w:val="single" w:sz="4" w:space="0" w:color="auto"/>
            </w:tcBorders>
            <w:shd w:val="clear" w:color="auto" w:fill="C6EFCE"/>
            <w:noWrap/>
          </w:tcPr>
          <w:p w14:paraId="360F9A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- 16580_Delivery of the new unified insolvency framework for the restructuring of debt and 2nd chance</w:t>
            </w:r>
          </w:p>
        </w:tc>
        <w:tc>
          <w:tcPr>
            <w:tcW w:w="1193" w:type="dxa"/>
            <w:tcBorders>
              <w:top w:val="single" w:sz="4" w:space="0" w:color="auto"/>
              <w:left w:val="nil"/>
              <w:bottom w:val="single" w:sz="4" w:space="0" w:color="auto"/>
              <w:right w:val="single" w:sz="4" w:space="0" w:color="auto"/>
            </w:tcBorders>
            <w:shd w:val="clear" w:color="auto" w:fill="C6EFCE"/>
            <w:noWrap/>
          </w:tcPr>
          <w:p w14:paraId="0F9C8D3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nil"/>
              <w:bottom w:val="single" w:sz="4" w:space="0" w:color="auto"/>
              <w:right w:val="single" w:sz="4" w:space="0" w:color="auto"/>
            </w:tcBorders>
            <w:shd w:val="clear" w:color="auto" w:fill="C6EFCE"/>
            <w:noWrap/>
          </w:tcPr>
          <w:p w14:paraId="03E36C21"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eastAsiaTheme="minorEastAsia" w:hAnsi="Times New Roman" w:cs="Times New Roman"/>
                <w:noProof/>
                <w:color w:val="006100"/>
                <w:sz w:val="18"/>
                <w:szCs w:val="18"/>
              </w:rPr>
              <w:t>Upgrade of the early warning and debt restructuring IT systems</w:t>
            </w:r>
          </w:p>
        </w:tc>
        <w:tc>
          <w:tcPr>
            <w:tcW w:w="1576" w:type="dxa"/>
            <w:tcBorders>
              <w:top w:val="single" w:sz="4" w:space="0" w:color="auto"/>
              <w:left w:val="nil"/>
              <w:bottom w:val="single" w:sz="4" w:space="0" w:color="auto"/>
              <w:right w:val="single" w:sz="4" w:space="0" w:color="auto"/>
            </w:tcBorders>
            <w:shd w:val="clear" w:color="auto" w:fill="C6EFCE"/>
            <w:noWrap/>
          </w:tcPr>
          <w:p w14:paraId="46B7D0FB" w14:textId="3AA1D2FB"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The early warning and debt restructu</w:t>
            </w:r>
            <w:r w:rsidRPr="00DE4E4F">
              <w:rPr>
                <w:rFonts w:ascii="Times New Roman" w:eastAsiaTheme="minorEastAsia" w:hAnsi="Times New Roman" w:cs="Times New Roman"/>
                <w:noProof/>
                <w:color w:val="006100"/>
                <w:sz w:val="18"/>
                <w:szCs w:val="18"/>
              </w:rPr>
              <w:t xml:space="preserve">ring IT systems </w:t>
            </w:r>
            <w:r w:rsidR="06DC4EC5" w:rsidRPr="00DE4E4F">
              <w:rPr>
                <w:rFonts w:ascii="Times New Roman" w:eastAsiaTheme="minorEastAsia" w:hAnsi="Times New Roman" w:cs="Times New Roman"/>
                <w:noProof/>
                <w:color w:val="006100"/>
                <w:sz w:val="18"/>
                <w:szCs w:val="18"/>
              </w:rPr>
              <w:t>are</w:t>
            </w:r>
            <w:r w:rsidRPr="00DE4E4F">
              <w:rPr>
                <w:rFonts w:ascii="Times New Roman" w:eastAsiaTheme="minorEastAsia" w:hAnsi="Times New Roman" w:cs="Times New Roman"/>
                <w:noProof/>
                <w:color w:val="006100"/>
                <w:sz w:val="18"/>
                <w:szCs w:val="18"/>
              </w:rPr>
              <w:t xml:space="preserve"> upgraded</w:t>
            </w:r>
          </w:p>
        </w:tc>
        <w:tc>
          <w:tcPr>
            <w:tcW w:w="968" w:type="dxa"/>
            <w:tcBorders>
              <w:top w:val="single" w:sz="4" w:space="0" w:color="auto"/>
              <w:left w:val="nil"/>
              <w:bottom w:val="single" w:sz="4" w:space="0" w:color="auto"/>
              <w:right w:val="single" w:sz="4" w:space="0" w:color="auto"/>
            </w:tcBorders>
            <w:shd w:val="clear" w:color="auto" w:fill="C6EFCE"/>
            <w:noWrap/>
          </w:tcPr>
          <w:p w14:paraId="14D9005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63EF6E5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7369AE5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38512C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1D2B94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2BF97AC2" w14:textId="28363F9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of the early warning and debt restructu</w:t>
            </w:r>
            <w:r w:rsidRPr="00DE4E4F">
              <w:rPr>
                <w:rFonts w:ascii="Times New Roman" w:eastAsiaTheme="minorEastAsia" w:hAnsi="Times New Roman" w:cs="Times New Roman"/>
                <w:noProof/>
                <w:color w:val="006100"/>
                <w:sz w:val="18"/>
                <w:szCs w:val="18"/>
              </w:rPr>
              <w:t>ring IT systems</w:t>
            </w:r>
          </w:p>
        </w:tc>
      </w:tr>
      <w:tr w:rsidR="00682269" w:rsidRPr="00DE4E4F" w14:paraId="20FF585F" w14:textId="77777777" w:rsidTr="00A70121">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6CC1CC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243</w:t>
            </w:r>
          </w:p>
        </w:tc>
        <w:tc>
          <w:tcPr>
            <w:tcW w:w="2213" w:type="dxa"/>
            <w:tcBorders>
              <w:top w:val="single" w:sz="4" w:space="0" w:color="auto"/>
              <w:left w:val="nil"/>
              <w:bottom w:val="single" w:sz="4" w:space="0" w:color="auto"/>
              <w:right w:val="single" w:sz="4" w:space="0" w:color="auto"/>
            </w:tcBorders>
            <w:shd w:val="clear" w:color="auto" w:fill="C6EFCE"/>
            <w:noWrap/>
          </w:tcPr>
          <w:p w14:paraId="61E032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- 16581_Enhanced capital market supervision and trustworthiness</w:t>
            </w:r>
          </w:p>
        </w:tc>
        <w:tc>
          <w:tcPr>
            <w:tcW w:w="1193" w:type="dxa"/>
            <w:tcBorders>
              <w:top w:val="single" w:sz="4" w:space="0" w:color="auto"/>
              <w:left w:val="nil"/>
              <w:bottom w:val="single" w:sz="4" w:space="0" w:color="auto"/>
              <w:right w:val="single" w:sz="4" w:space="0" w:color="auto"/>
            </w:tcBorders>
            <w:shd w:val="clear" w:color="auto" w:fill="C6EFCE"/>
            <w:noWrap/>
          </w:tcPr>
          <w:p w14:paraId="71007F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nil"/>
              <w:bottom w:val="single" w:sz="4" w:space="0" w:color="auto"/>
              <w:right w:val="single" w:sz="4" w:space="0" w:color="auto"/>
            </w:tcBorders>
            <w:shd w:val="clear" w:color="auto" w:fill="C6EFCE"/>
            <w:noWrap/>
          </w:tcPr>
          <w:p w14:paraId="3B1F8C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Digitalisation of supervisory process of the Hellenic Capital Market Commission</w:t>
            </w:r>
          </w:p>
        </w:tc>
        <w:tc>
          <w:tcPr>
            <w:tcW w:w="1576" w:type="dxa"/>
            <w:tcBorders>
              <w:top w:val="single" w:sz="4" w:space="0" w:color="auto"/>
              <w:left w:val="nil"/>
              <w:bottom w:val="single" w:sz="4" w:space="0" w:color="auto"/>
              <w:right w:val="single" w:sz="4" w:space="0" w:color="auto"/>
            </w:tcBorders>
            <w:shd w:val="clear" w:color="auto" w:fill="C6EFCE"/>
            <w:noWrap/>
          </w:tcPr>
          <w:p w14:paraId="44687AF2" w14:textId="275C5BA3" w:rsidR="001B186F" w:rsidRPr="00DE4E4F" w:rsidRDefault="1B4E5067">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of t</w:t>
            </w:r>
            <w:r w:rsidR="0074517F" w:rsidRPr="00DE4E4F">
              <w:rPr>
                <w:rFonts w:ascii="Times New Roman" w:hAnsi="Times New Roman" w:cs="Times New Roman"/>
                <w:noProof/>
                <w:color w:val="006100"/>
                <w:sz w:val="18"/>
                <w:szCs w:val="18"/>
              </w:rPr>
              <w:t xml:space="preserve">he Information Systems and </w:t>
            </w:r>
            <w:r w:rsidR="003A3399" w:rsidRPr="00DE4E4F">
              <w:rPr>
                <w:rFonts w:ascii="Times New Roman" w:hAnsi="Times New Roman" w:cs="Times New Roman"/>
                <w:noProof/>
                <w:color w:val="006100"/>
                <w:sz w:val="18"/>
                <w:szCs w:val="18"/>
              </w:rPr>
              <w:t>deli</w:t>
            </w:r>
            <w:r w:rsidR="00966920" w:rsidRPr="00DE4E4F">
              <w:rPr>
                <w:rFonts w:ascii="Times New Roman" w:hAnsi="Times New Roman" w:cs="Times New Roman"/>
                <w:noProof/>
                <w:color w:val="006100"/>
                <w:sz w:val="18"/>
                <w:szCs w:val="18"/>
              </w:rPr>
              <w:t>very</w:t>
            </w:r>
            <w:r w:rsidR="619DDA38" w:rsidRPr="00DE4E4F">
              <w:rPr>
                <w:rFonts w:ascii="Times New Roman" w:hAnsi="Times New Roman" w:cs="Times New Roman"/>
                <w:noProof/>
                <w:color w:val="006100"/>
                <w:sz w:val="18"/>
                <w:szCs w:val="18"/>
              </w:rPr>
              <w:t xml:space="preserve"> of </w:t>
            </w:r>
            <w:r w:rsidR="0074517F" w:rsidRPr="00DE4E4F">
              <w:rPr>
                <w:rFonts w:ascii="Times New Roman" w:hAnsi="Times New Roman" w:cs="Times New Roman"/>
                <w:noProof/>
                <w:color w:val="006100"/>
                <w:sz w:val="18"/>
                <w:szCs w:val="18"/>
              </w:rPr>
              <w:t xml:space="preserve">Cybersecurity </w:t>
            </w:r>
            <w:r w:rsidR="1711ECD6" w:rsidRPr="00DE4E4F">
              <w:rPr>
                <w:rFonts w:ascii="Times New Roman" w:hAnsi="Times New Roman" w:cs="Times New Roman"/>
                <w:noProof/>
                <w:color w:val="006100"/>
                <w:sz w:val="18"/>
                <w:szCs w:val="18"/>
              </w:rPr>
              <w:t xml:space="preserve">services </w:t>
            </w:r>
            <w:r w:rsidR="2651299C" w:rsidRPr="00DE4E4F">
              <w:rPr>
                <w:rFonts w:ascii="Times New Roman" w:hAnsi="Times New Roman" w:cs="Times New Roman"/>
                <w:noProof/>
                <w:color w:val="006100"/>
                <w:sz w:val="18"/>
                <w:szCs w:val="18"/>
              </w:rPr>
              <w:t>to</w:t>
            </w:r>
            <w:r w:rsidR="0074517F" w:rsidRPr="00DE4E4F">
              <w:rPr>
                <w:rFonts w:ascii="Times New Roman" w:hAnsi="Times New Roman" w:cs="Times New Roman"/>
                <w:noProof/>
                <w:color w:val="006100"/>
                <w:sz w:val="18"/>
                <w:szCs w:val="18"/>
              </w:rPr>
              <w:t xml:space="preserve"> the Hellenic Capital Market Commission</w:t>
            </w:r>
            <w:r w:rsidR="00B1514F" w:rsidRPr="00DE4E4F">
              <w:rPr>
                <w:rFonts w:ascii="Times New Roman" w:hAnsi="Times New Roman" w:cs="Times New Roman"/>
                <w:noProof/>
                <w:color w:val="006100"/>
                <w:sz w:val="18"/>
                <w:szCs w:val="18"/>
              </w:rPr>
              <w:t>,</w:t>
            </w:r>
            <w:r w:rsidR="0074517F" w:rsidRPr="00DE4E4F">
              <w:rPr>
                <w:rFonts w:ascii="Times New Roman" w:hAnsi="Times New Roman" w:cs="Times New Roman"/>
                <w:noProof/>
                <w:color w:val="006100"/>
                <w:sz w:val="18"/>
                <w:szCs w:val="18"/>
              </w:rPr>
              <w:t xml:space="preserve"> the administrative codification of the regulatory and legislative framework for capital markets supervision is published</w:t>
            </w:r>
          </w:p>
        </w:tc>
        <w:tc>
          <w:tcPr>
            <w:tcW w:w="968" w:type="dxa"/>
            <w:tcBorders>
              <w:top w:val="single" w:sz="4" w:space="0" w:color="auto"/>
              <w:left w:val="nil"/>
              <w:bottom w:val="single" w:sz="4" w:space="0" w:color="auto"/>
              <w:right w:val="single" w:sz="4" w:space="0" w:color="auto"/>
            </w:tcBorders>
            <w:shd w:val="clear" w:color="auto" w:fill="C6EFCE"/>
            <w:noWrap/>
          </w:tcPr>
          <w:p w14:paraId="774168C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single" w:sz="4" w:space="0" w:color="auto"/>
              <w:left w:val="nil"/>
              <w:bottom w:val="single" w:sz="4" w:space="0" w:color="auto"/>
              <w:right w:val="single" w:sz="4" w:space="0" w:color="auto"/>
            </w:tcBorders>
            <w:shd w:val="clear" w:color="auto" w:fill="C6EFCE"/>
            <w:noWrap/>
          </w:tcPr>
          <w:p w14:paraId="235DBCD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tcBorders>
              <w:top w:val="single" w:sz="4" w:space="0" w:color="auto"/>
              <w:left w:val="nil"/>
              <w:bottom w:val="single" w:sz="4" w:space="0" w:color="auto"/>
              <w:right w:val="single" w:sz="4" w:space="0" w:color="auto"/>
            </w:tcBorders>
            <w:shd w:val="clear" w:color="auto" w:fill="C6EFCE"/>
            <w:noWrap/>
          </w:tcPr>
          <w:p w14:paraId="5E2150A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tcBorders>
              <w:top w:val="single" w:sz="4" w:space="0" w:color="auto"/>
              <w:left w:val="nil"/>
              <w:bottom w:val="single" w:sz="4" w:space="0" w:color="auto"/>
              <w:right w:val="single" w:sz="4" w:space="0" w:color="auto"/>
            </w:tcBorders>
            <w:shd w:val="clear" w:color="auto" w:fill="C6EFCE"/>
            <w:noWrap/>
          </w:tcPr>
          <w:p w14:paraId="3F1FEF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nil"/>
              <w:bottom w:val="single" w:sz="4" w:space="0" w:color="auto"/>
              <w:right w:val="single" w:sz="4" w:space="0" w:color="auto"/>
            </w:tcBorders>
            <w:shd w:val="clear" w:color="auto" w:fill="C6EFCE"/>
            <w:noWrap/>
          </w:tcPr>
          <w:p w14:paraId="472F5ED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194" w:type="dxa"/>
            <w:tcBorders>
              <w:top w:val="single" w:sz="4" w:space="0" w:color="auto"/>
              <w:left w:val="nil"/>
              <w:bottom w:val="single" w:sz="4" w:space="0" w:color="auto"/>
              <w:right w:val="single" w:sz="4" w:space="0" w:color="auto"/>
            </w:tcBorders>
            <w:shd w:val="clear" w:color="auto" w:fill="C6EFCE"/>
            <w:noWrap/>
          </w:tcPr>
          <w:p w14:paraId="7F562895" w14:textId="4DF4E440"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Upgrade of the Information Systems </w:t>
            </w:r>
            <w:r w:rsidR="7B8D5666" w:rsidRPr="00DE4E4F">
              <w:rPr>
                <w:rFonts w:ascii="Times New Roman" w:eastAsiaTheme="minorEastAsia" w:hAnsi="Times New Roman" w:cs="Times New Roman"/>
                <w:noProof/>
                <w:color w:val="006100"/>
                <w:sz w:val="18"/>
                <w:szCs w:val="18"/>
              </w:rPr>
              <w:t>(Market Surveillance Information System &amp; Information System for Data Collection, Processing, Analysis, and Monitoring) of the Hellenic Capital Market Commission (Stage A)</w:t>
            </w:r>
            <w:r w:rsidR="7B8D5666" w:rsidRPr="00DE4E4F">
              <w:rPr>
                <w:rFonts w:ascii="Times New Roman" w:eastAsia="Times New Roman" w:hAnsi="Times New Roman" w:cs="Times New Roman"/>
                <w:noProof/>
                <w:sz w:val="18"/>
                <w:szCs w:val="18"/>
              </w:rPr>
              <w:t xml:space="preserve"> </w:t>
            </w:r>
            <w:r w:rsidRPr="00DE4E4F">
              <w:rPr>
                <w:rFonts w:ascii="Times New Roman" w:hAnsi="Times New Roman" w:cs="Times New Roman"/>
                <w:noProof/>
                <w:color w:val="006100"/>
                <w:sz w:val="18"/>
                <w:szCs w:val="18"/>
              </w:rPr>
              <w:t xml:space="preserve">and </w:t>
            </w:r>
            <w:r w:rsidR="00966920" w:rsidRPr="00DE4E4F">
              <w:rPr>
                <w:rFonts w:ascii="Times New Roman" w:hAnsi="Times New Roman" w:cs="Times New Roman"/>
                <w:noProof/>
                <w:color w:val="006100"/>
                <w:sz w:val="18"/>
                <w:szCs w:val="18"/>
              </w:rPr>
              <w:t>delivery</w:t>
            </w:r>
            <w:r w:rsidR="13279EE8" w:rsidRPr="00DE4E4F">
              <w:rPr>
                <w:rFonts w:ascii="Times New Roman" w:hAnsi="Times New Roman" w:cs="Times New Roman"/>
                <w:noProof/>
                <w:color w:val="006100"/>
                <w:sz w:val="18"/>
                <w:szCs w:val="18"/>
              </w:rPr>
              <w:t xml:space="preserve"> of c</w:t>
            </w:r>
            <w:r w:rsidRPr="00DE4E4F">
              <w:rPr>
                <w:rFonts w:ascii="Times New Roman" w:hAnsi="Times New Roman" w:cs="Times New Roman"/>
                <w:noProof/>
                <w:color w:val="006100"/>
                <w:sz w:val="18"/>
                <w:szCs w:val="18"/>
              </w:rPr>
              <w:t xml:space="preserve">ybersecurity </w:t>
            </w:r>
            <w:r w:rsidR="0166D4AF" w:rsidRPr="00DE4E4F">
              <w:rPr>
                <w:rFonts w:ascii="Times New Roman" w:hAnsi="Times New Roman" w:cs="Times New Roman"/>
                <w:noProof/>
                <w:color w:val="006100"/>
                <w:sz w:val="18"/>
                <w:szCs w:val="18"/>
              </w:rPr>
              <w:t xml:space="preserve">services </w:t>
            </w:r>
            <w:r w:rsidR="3B44E6AF" w:rsidRPr="00DE4E4F">
              <w:rPr>
                <w:rFonts w:ascii="Times New Roman" w:hAnsi="Times New Roman" w:cs="Times New Roman"/>
                <w:noProof/>
                <w:color w:val="006100"/>
                <w:sz w:val="18"/>
                <w:szCs w:val="18"/>
              </w:rPr>
              <w:t>to</w:t>
            </w:r>
            <w:r w:rsidRPr="00DE4E4F">
              <w:rPr>
                <w:rFonts w:ascii="Times New Roman" w:hAnsi="Times New Roman" w:cs="Times New Roman"/>
                <w:noProof/>
                <w:color w:val="006100"/>
                <w:sz w:val="18"/>
                <w:szCs w:val="18"/>
              </w:rPr>
              <w:t xml:space="preserve"> the Hellenic Capital Market Commission.</w:t>
            </w:r>
          </w:p>
          <w:p w14:paraId="275FCB1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Publication of administrative codification of the regulatory and legislative framework for capital markets supervision.</w:t>
            </w:r>
          </w:p>
        </w:tc>
      </w:tr>
      <w:tr w:rsidR="00682269" w:rsidRPr="00DE4E4F" w14:paraId="1939CFB6" w14:textId="77777777" w:rsidTr="00A70121">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7EEE09A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244a</w:t>
            </w:r>
          </w:p>
        </w:tc>
        <w:tc>
          <w:tcPr>
            <w:tcW w:w="2213" w:type="dxa"/>
            <w:tcBorders>
              <w:top w:val="single" w:sz="4" w:space="0" w:color="auto"/>
              <w:left w:val="nil"/>
              <w:bottom w:val="single" w:sz="4" w:space="0" w:color="auto"/>
              <w:right w:val="single" w:sz="4" w:space="0" w:color="auto"/>
            </w:tcBorders>
            <w:shd w:val="clear" w:color="auto" w:fill="C6EFCE"/>
            <w:noWrap/>
          </w:tcPr>
          <w:p w14:paraId="0CF44C8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- 16957_Strengthening the capacity of the financial system to overcome legacy challenges and finance the real economy</w:t>
            </w:r>
          </w:p>
        </w:tc>
        <w:tc>
          <w:tcPr>
            <w:tcW w:w="1193" w:type="dxa"/>
            <w:tcBorders>
              <w:top w:val="single" w:sz="4" w:space="0" w:color="auto"/>
              <w:left w:val="nil"/>
              <w:bottom w:val="single" w:sz="4" w:space="0" w:color="auto"/>
              <w:right w:val="single" w:sz="4" w:space="0" w:color="auto"/>
            </w:tcBorders>
            <w:shd w:val="clear" w:color="auto" w:fill="C6EFCE"/>
            <w:noWrap/>
          </w:tcPr>
          <w:p w14:paraId="1328348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nil"/>
              <w:bottom w:val="single" w:sz="4" w:space="0" w:color="auto"/>
              <w:right w:val="single" w:sz="4" w:space="0" w:color="auto"/>
            </w:tcBorders>
            <w:shd w:val="clear" w:color="auto" w:fill="C6EFCE"/>
            <w:noWrap/>
          </w:tcPr>
          <w:p w14:paraId="0872F67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E-auctions for debt enforcement</w:t>
            </w:r>
          </w:p>
        </w:tc>
        <w:tc>
          <w:tcPr>
            <w:tcW w:w="1576" w:type="dxa"/>
            <w:tcBorders>
              <w:top w:val="single" w:sz="4" w:space="0" w:color="auto"/>
              <w:left w:val="nil"/>
              <w:bottom w:val="single" w:sz="4" w:space="0" w:color="auto"/>
              <w:right w:val="single" w:sz="4" w:space="0" w:color="auto"/>
            </w:tcBorders>
            <w:shd w:val="clear" w:color="auto" w:fill="C6EFCE"/>
            <w:noWrap/>
          </w:tcPr>
          <w:p w14:paraId="3D65A5D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legislation </w:t>
            </w:r>
          </w:p>
        </w:tc>
        <w:tc>
          <w:tcPr>
            <w:tcW w:w="968" w:type="dxa"/>
            <w:tcBorders>
              <w:top w:val="single" w:sz="4" w:space="0" w:color="auto"/>
              <w:left w:val="nil"/>
              <w:bottom w:val="single" w:sz="4" w:space="0" w:color="auto"/>
              <w:right w:val="single" w:sz="4" w:space="0" w:color="auto"/>
            </w:tcBorders>
            <w:shd w:val="clear" w:color="auto" w:fill="C6EFCE"/>
            <w:noWrap/>
          </w:tcPr>
          <w:p w14:paraId="7F972F6B"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6031CAC" w14:textId="77777777" w:rsidR="001B186F" w:rsidRPr="00DE4E4F" w:rsidRDefault="001B186F">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206FD59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7D62CDC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single" w:sz="4" w:space="0" w:color="auto"/>
              <w:left w:val="nil"/>
              <w:bottom w:val="single" w:sz="4" w:space="0" w:color="auto"/>
              <w:right w:val="single" w:sz="4" w:space="0" w:color="auto"/>
            </w:tcBorders>
            <w:shd w:val="clear" w:color="auto" w:fill="C6EFCE"/>
            <w:noWrap/>
          </w:tcPr>
          <w:p w14:paraId="527D8B7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355CEA7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and entry into force of legislation to:</w:t>
            </w:r>
          </w:p>
          <w:p w14:paraId="489AB516" w14:textId="77777777" w:rsidR="001B186F" w:rsidRPr="00DE4E4F" w:rsidRDefault="0074517F">
            <w:pPr>
              <w:pStyle w:val="ListParagraph"/>
              <w:numPr>
                <w:ilvl w:val="0"/>
                <w:numId w:val="72"/>
              </w:numPr>
              <w:spacing w:after="0" w:line="240" w:lineRule="auto"/>
              <w:ind w:left="670" w:hanging="310"/>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Expand the information available on the auctioned assets in the e-auctions platform, including relevant information available in notaries’ public archives;</w:t>
            </w:r>
          </w:p>
          <w:p w14:paraId="7221E422" w14:textId="77777777" w:rsidR="001B186F" w:rsidRPr="00DE4E4F" w:rsidRDefault="0074517F">
            <w:pPr>
              <w:pStyle w:val="ListParagraph"/>
              <w:numPr>
                <w:ilvl w:val="0"/>
                <w:numId w:val="72"/>
              </w:numPr>
              <w:spacing w:after="0" w:line="240" w:lineRule="auto"/>
              <w:ind w:left="670" w:hanging="310"/>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Elimination of deterrence factors occasioned by property-related overdue debts (e.g. public utility bills).</w:t>
            </w:r>
          </w:p>
        </w:tc>
      </w:tr>
      <w:tr w:rsidR="00682269" w:rsidRPr="00DE4E4F" w14:paraId="1BB9879B" w14:textId="77777777" w:rsidTr="00A70121">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59E2273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244b</w:t>
            </w:r>
          </w:p>
        </w:tc>
        <w:tc>
          <w:tcPr>
            <w:tcW w:w="2213" w:type="dxa"/>
            <w:tcBorders>
              <w:top w:val="single" w:sz="4" w:space="0" w:color="auto"/>
              <w:left w:val="nil"/>
              <w:bottom w:val="single" w:sz="4" w:space="0" w:color="auto"/>
              <w:right w:val="single" w:sz="4" w:space="0" w:color="auto"/>
            </w:tcBorders>
            <w:shd w:val="clear" w:color="auto" w:fill="C6EFCE"/>
            <w:noWrap/>
          </w:tcPr>
          <w:p w14:paraId="54069E3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- 16957_Strengthening the capacity of the financial system to overcome legacy challenges and finance the real economy</w:t>
            </w:r>
          </w:p>
        </w:tc>
        <w:tc>
          <w:tcPr>
            <w:tcW w:w="1193" w:type="dxa"/>
            <w:tcBorders>
              <w:top w:val="single" w:sz="4" w:space="0" w:color="auto"/>
              <w:left w:val="nil"/>
              <w:bottom w:val="single" w:sz="4" w:space="0" w:color="auto"/>
              <w:right w:val="single" w:sz="4" w:space="0" w:color="auto"/>
            </w:tcBorders>
            <w:shd w:val="clear" w:color="auto" w:fill="C6EFCE"/>
            <w:noWrap/>
          </w:tcPr>
          <w:p w14:paraId="1CF0001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nil"/>
              <w:bottom w:val="single" w:sz="4" w:space="0" w:color="auto"/>
              <w:right w:val="single" w:sz="4" w:space="0" w:color="auto"/>
            </w:tcBorders>
            <w:shd w:val="clear" w:color="auto" w:fill="C6EFCE"/>
            <w:noWrap/>
          </w:tcPr>
          <w:p w14:paraId="3E404BF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Contract award for financial sector measures </w:t>
            </w:r>
          </w:p>
        </w:tc>
        <w:tc>
          <w:tcPr>
            <w:tcW w:w="1576" w:type="dxa"/>
            <w:tcBorders>
              <w:top w:val="single" w:sz="4" w:space="0" w:color="auto"/>
              <w:left w:val="nil"/>
              <w:bottom w:val="single" w:sz="4" w:space="0" w:color="auto"/>
              <w:right w:val="single" w:sz="4" w:space="0" w:color="auto"/>
            </w:tcBorders>
            <w:shd w:val="clear" w:color="auto" w:fill="C6EFCE"/>
            <w:noWrap/>
          </w:tcPr>
          <w:p w14:paraId="43AF4C3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968" w:type="dxa"/>
            <w:tcBorders>
              <w:top w:val="single" w:sz="4" w:space="0" w:color="auto"/>
              <w:left w:val="nil"/>
              <w:bottom w:val="single" w:sz="4" w:space="0" w:color="auto"/>
              <w:right w:val="single" w:sz="4" w:space="0" w:color="auto"/>
            </w:tcBorders>
            <w:shd w:val="clear" w:color="auto" w:fill="C6EFCE"/>
            <w:noWrap/>
          </w:tcPr>
          <w:p w14:paraId="370C0C76"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nil"/>
              <w:bottom w:val="single" w:sz="4" w:space="0" w:color="auto"/>
              <w:right w:val="single" w:sz="4" w:space="0" w:color="auto"/>
            </w:tcBorders>
            <w:shd w:val="clear" w:color="auto" w:fill="C6EFCE"/>
            <w:noWrap/>
          </w:tcPr>
          <w:p w14:paraId="6446D7F7" w14:textId="77777777" w:rsidR="001B186F" w:rsidRPr="00DE4E4F" w:rsidRDefault="001B186F">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nil"/>
              <w:bottom w:val="single" w:sz="4" w:space="0" w:color="auto"/>
              <w:right w:val="single" w:sz="4" w:space="0" w:color="auto"/>
            </w:tcBorders>
            <w:shd w:val="clear" w:color="auto" w:fill="C6EFCE"/>
            <w:noWrap/>
          </w:tcPr>
          <w:p w14:paraId="0CD81B6A"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nil"/>
              <w:bottom w:val="single" w:sz="4" w:space="0" w:color="auto"/>
              <w:right w:val="single" w:sz="4" w:space="0" w:color="auto"/>
            </w:tcBorders>
            <w:shd w:val="clear" w:color="auto" w:fill="C6EFCE"/>
            <w:noWrap/>
          </w:tcPr>
          <w:p w14:paraId="59A06E9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73" w:type="dxa"/>
            <w:tcBorders>
              <w:top w:val="single" w:sz="4" w:space="0" w:color="auto"/>
              <w:left w:val="nil"/>
              <w:bottom w:val="single" w:sz="4" w:space="0" w:color="auto"/>
              <w:right w:val="single" w:sz="4" w:space="0" w:color="auto"/>
            </w:tcBorders>
            <w:shd w:val="clear" w:color="auto" w:fill="C6EFCE"/>
            <w:noWrap/>
          </w:tcPr>
          <w:p w14:paraId="7ABED8A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5194" w:type="dxa"/>
            <w:tcBorders>
              <w:top w:val="single" w:sz="4" w:space="0" w:color="auto"/>
              <w:left w:val="nil"/>
              <w:bottom w:val="single" w:sz="4" w:space="0" w:color="auto"/>
              <w:right w:val="single" w:sz="4" w:space="0" w:color="auto"/>
            </w:tcBorders>
            <w:shd w:val="clear" w:color="auto" w:fill="C6EFCE"/>
            <w:noWrap/>
          </w:tcPr>
          <w:p w14:paraId="068AD4B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the:</w:t>
            </w:r>
          </w:p>
          <w:p w14:paraId="17102E8E" w14:textId="77777777" w:rsidR="001B186F" w:rsidRPr="00DE4E4F" w:rsidRDefault="0074517F">
            <w:pPr>
              <w:pStyle w:val="ListParagraph"/>
              <w:numPr>
                <w:ilvl w:val="0"/>
                <w:numId w:val="73"/>
              </w:num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 xml:space="preserve">Development of the Public Credit Rating </w:t>
            </w:r>
            <w:r w:rsidRPr="00DE4E4F">
              <w:rPr>
                <w:rFonts w:ascii="Times New Roman" w:eastAsiaTheme="minorEastAsia" w:hAnsi="Times New Roman" w:cs="Times New Roman"/>
                <w:noProof/>
                <w:color w:val="006100"/>
                <w:sz w:val="18"/>
                <w:szCs w:val="18"/>
              </w:rPr>
              <w:t>Information System;</w:t>
            </w:r>
          </w:p>
          <w:p w14:paraId="62D6B388" w14:textId="77777777" w:rsidR="001B186F" w:rsidRPr="00DE4E4F" w:rsidRDefault="0074517F">
            <w:pPr>
              <w:pStyle w:val="ListParagraph"/>
              <w:numPr>
                <w:ilvl w:val="0"/>
                <w:numId w:val="73"/>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Development of the Private Debt Monitoring Registry;</w:t>
            </w:r>
          </w:p>
          <w:p w14:paraId="132208D5" w14:textId="2FC91AE8" w:rsidR="001B186F" w:rsidRPr="00DE4E4F" w:rsidRDefault="0074517F" w:rsidP="00B116A1">
            <w:pPr>
              <w:pStyle w:val="ListParagraph"/>
              <w:numPr>
                <w:ilvl w:val="0"/>
                <w:numId w:val="73"/>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Development of the Central Credit Registry.</w:t>
            </w:r>
          </w:p>
        </w:tc>
      </w:tr>
      <w:tr w:rsidR="00682269" w:rsidRPr="00DE4E4F" w14:paraId="6DDF2CFE" w14:textId="77777777">
        <w:trPr>
          <w:trHeight w:val="309"/>
          <w:jc w:val="center"/>
        </w:trPr>
        <w:tc>
          <w:tcPr>
            <w:tcW w:w="576" w:type="dxa"/>
            <w:tcBorders>
              <w:top w:val="single" w:sz="4" w:space="0" w:color="auto"/>
              <w:left w:val="single" w:sz="4" w:space="0" w:color="auto"/>
              <w:bottom w:val="single" w:sz="4" w:space="0" w:color="auto"/>
              <w:right w:val="single" w:sz="4" w:space="0" w:color="auto"/>
            </w:tcBorders>
            <w:shd w:val="clear" w:color="auto" w:fill="C6EFCE"/>
            <w:noWrap/>
          </w:tcPr>
          <w:p w14:paraId="37940FF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244c</w:t>
            </w:r>
          </w:p>
        </w:tc>
        <w:tc>
          <w:tcPr>
            <w:tcW w:w="2213" w:type="dxa"/>
            <w:tcBorders>
              <w:top w:val="single" w:sz="4" w:space="0" w:color="auto"/>
              <w:left w:val="single" w:sz="4" w:space="0" w:color="auto"/>
              <w:bottom w:val="single" w:sz="4" w:space="0" w:color="auto"/>
              <w:right w:val="single" w:sz="4" w:space="0" w:color="auto"/>
            </w:tcBorders>
            <w:shd w:val="clear" w:color="auto" w:fill="C6EFCE"/>
            <w:noWrap/>
          </w:tcPr>
          <w:p w14:paraId="463440B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15 - 4.4. Strengthen the financial sector and capital markets - 16957_Strengthening the capacity of the financial system to overcome legacy challenges and finance the real economy</w:t>
            </w:r>
          </w:p>
        </w:tc>
        <w:tc>
          <w:tcPr>
            <w:tcW w:w="1193" w:type="dxa"/>
            <w:tcBorders>
              <w:top w:val="single" w:sz="4" w:space="0" w:color="auto"/>
              <w:left w:val="single" w:sz="4" w:space="0" w:color="auto"/>
              <w:bottom w:val="single" w:sz="4" w:space="0" w:color="auto"/>
              <w:right w:val="single" w:sz="4" w:space="0" w:color="auto"/>
            </w:tcBorders>
            <w:shd w:val="clear" w:color="auto" w:fill="C6EFCE"/>
            <w:noWrap/>
          </w:tcPr>
          <w:p w14:paraId="5DA417E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53" w:type="dxa"/>
            <w:tcBorders>
              <w:top w:val="single" w:sz="4" w:space="0" w:color="auto"/>
              <w:left w:val="single" w:sz="4" w:space="0" w:color="auto"/>
              <w:bottom w:val="single" w:sz="4" w:space="0" w:color="auto"/>
              <w:right w:val="single" w:sz="4" w:space="0" w:color="auto"/>
            </w:tcBorders>
            <w:shd w:val="clear" w:color="auto" w:fill="C6EFCE"/>
            <w:noWrap/>
          </w:tcPr>
          <w:p w14:paraId="7B35EE2D" w14:textId="57572894" w:rsidR="001B186F" w:rsidRPr="00DE4E4F" w:rsidRDefault="716EF5D1">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IT systems </w:t>
            </w:r>
            <w:r w:rsidR="005D750C" w:rsidRPr="00DE4E4F">
              <w:rPr>
                <w:rFonts w:ascii="Times New Roman" w:hAnsi="Times New Roman" w:cs="Times New Roman"/>
                <w:noProof/>
                <w:color w:val="006100"/>
                <w:sz w:val="18"/>
                <w:szCs w:val="18"/>
              </w:rPr>
              <w:t xml:space="preserve">and </w:t>
            </w:r>
            <w:r w:rsidR="0074517F" w:rsidRPr="00DE4E4F">
              <w:rPr>
                <w:rFonts w:ascii="Times New Roman" w:hAnsi="Times New Roman" w:cs="Times New Roman"/>
                <w:noProof/>
                <w:color w:val="006100"/>
                <w:sz w:val="18"/>
                <w:szCs w:val="18"/>
              </w:rPr>
              <w:t xml:space="preserve">data templates, entry into force of </w:t>
            </w:r>
            <w:r w:rsidR="00B356FE" w:rsidRPr="00DE4E4F">
              <w:rPr>
                <w:rFonts w:ascii="Times New Roman" w:hAnsi="Times New Roman" w:cs="Times New Roman"/>
                <w:noProof/>
                <w:color w:val="006100"/>
                <w:sz w:val="18"/>
                <w:szCs w:val="18"/>
              </w:rPr>
              <w:t xml:space="preserve">legal acts </w:t>
            </w:r>
            <w:r w:rsidR="0074517F" w:rsidRPr="00DE4E4F">
              <w:rPr>
                <w:rFonts w:ascii="Times New Roman" w:hAnsi="Times New Roman" w:cs="Times New Roman"/>
                <w:noProof/>
                <w:color w:val="006100"/>
                <w:sz w:val="18"/>
                <w:szCs w:val="18"/>
              </w:rPr>
              <w:t>on case handling and backlog reduction in enforcement proceedings</w:t>
            </w:r>
          </w:p>
        </w:tc>
        <w:tc>
          <w:tcPr>
            <w:tcW w:w="1576" w:type="dxa"/>
            <w:tcBorders>
              <w:top w:val="single" w:sz="4" w:space="0" w:color="auto"/>
              <w:left w:val="single" w:sz="4" w:space="0" w:color="auto"/>
              <w:bottom w:val="single" w:sz="4" w:space="0" w:color="auto"/>
              <w:right w:val="single" w:sz="4" w:space="0" w:color="auto"/>
            </w:tcBorders>
            <w:shd w:val="clear" w:color="auto" w:fill="C6EFCE"/>
            <w:noWrap/>
          </w:tcPr>
          <w:p w14:paraId="5EFF3ED0" w14:textId="04718963"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IT systems</w:t>
            </w:r>
            <w:r w:rsidR="00B246FF" w:rsidRPr="00DE4E4F">
              <w:rPr>
                <w:rFonts w:ascii="Times New Roman" w:hAnsi="Times New Roman" w:cs="Times New Roman"/>
                <w:noProof/>
                <w:color w:val="006100"/>
                <w:sz w:val="18"/>
                <w:szCs w:val="18"/>
              </w:rPr>
              <w:t xml:space="preserve"> and</w:t>
            </w:r>
            <w:r w:rsidRPr="00DE4E4F">
              <w:rPr>
                <w:rFonts w:ascii="Times New Roman" w:hAnsi="Times New Roman" w:cs="Times New Roman"/>
                <w:noProof/>
                <w:color w:val="006100"/>
                <w:sz w:val="18"/>
                <w:szCs w:val="18"/>
              </w:rPr>
              <w:t xml:space="preserve"> data templates are </w:t>
            </w:r>
            <w:r w:rsidR="00B246FF" w:rsidRPr="00DE4E4F">
              <w:rPr>
                <w:rFonts w:ascii="Times New Roman" w:hAnsi="Times New Roman" w:cs="Times New Roman"/>
                <w:noProof/>
                <w:color w:val="006100"/>
                <w:sz w:val="18"/>
                <w:szCs w:val="18"/>
              </w:rPr>
              <w:t>delivered</w:t>
            </w:r>
            <w:r w:rsidRPr="00DE4E4F">
              <w:rPr>
                <w:rFonts w:ascii="Times New Roman" w:hAnsi="Times New Roman" w:cs="Times New Roman"/>
                <w:noProof/>
                <w:color w:val="006100"/>
                <w:sz w:val="18"/>
                <w:szCs w:val="18"/>
              </w:rPr>
              <w:t xml:space="preserve">, entry into force of the legal acts, where applicable </w:t>
            </w:r>
          </w:p>
        </w:tc>
        <w:tc>
          <w:tcPr>
            <w:tcW w:w="968" w:type="dxa"/>
            <w:tcBorders>
              <w:top w:val="single" w:sz="4" w:space="0" w:color="auto"/>
              <w:left w:val="single" w:sz="4" w:space="0" w:color="auto"/>
              <w:bottom w:val="single" w:sz="4" w:space="0" w:color="auto"/>
              <w:right w:val="single" w:sz="4" w:space="0" w:color="auto"/>
            </w:tcBorders>
            <w:shd w:val="clear" w:color="auto" w:fill="C6EFCE"/>
            <w:noWrap/>
          </w:tcPr>
          <w:p w14:paraId="0119A52E"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57" w:type="dxa"/>
            <w:tcBorders>
              <w:top w:val="single" w:sz="4" w:space="0" w:color="auto"/>
              <w:left w:val="single" w:sz="4" w:space="0" w:color="auto"/>
              <w:bottom w:val="single" w:sz="4" w:space="0" w:color="auto"/>
              <w:right w:val="single" w:sz="4" w:space="0" w:color="auto"/>
            </w:tcBorders>
            <w:shd w:val="clear" w:color="auto" w:fill="C6EFCE"/>
            <w:noWrap/>
          </w:tcPr>
          <w:p w14:paraId="4FE2939A" w14:textId="77777777" w:rsidR="001B186F" w:rsidRPr="00DE4E4F" w:rsidRDefault="001B186F">
            <w:pPr>
              <w:spacing w:after="0" w:line="240" w:lineRule="auto"/>
              <w:rPr>
                <w:rFonts w:ascii="Times New Roman" w:hAnsi="Times New Roman" w:cs="Times New Roman"/>
                <w:noProof/>
                <w:color w:val="006100"/>
                <w:sz w:val="18"/>
                <w:szCs w:val="18"/>
              </w:rPr>
            </w:pPr>
          </w:p>
        </w:tc>
        <w:tc>
          <w:tcPr>
            <w:tcW w:w="587" w:type="dxa"/>
            <w:tcBorders>
              <w:top w:val="single" w:sz="4" w:space="0" w:color="auto"/>
              <w:left w:val="single" w:sz="4" w:space="0" w:color="auto"/>
              <w:bottom w:val="single" w:sz="4" w:space="0" w:color="auto"/>
              <w:right w:val="single" w:sz="4" w:space="0" w:color="auto"/>
            </w:tcBorders>
            <w:shd w:val="clear" w:color="auto" w:fill="C6EFCE"/>
            <w:noWrap/>
          </w:tcPr>
          <w:p w14:paraId="42455622" w14:textId="77777777" w:rsidR="001B186F" w:rsidRPr="00DE4E4F" w:rsidRDefault="001B186F">
            <w:pPr>
              <w:spacing w:after="0" w:line="240" w:lineRule="auto"/>
              <w:rPr>
                <w:rFonts w:ascii="Times New Roman" w:hAnsi="Times New Roman" w:cs="Times New Roman"/>
                <w:noProof/>
                <w:color w:val="006100"/>
                <w:sz w:val="18"/>
                <w:szCs w:val="18"/>
              </w:rPr>
            </w:pPr>
          </w:p>
        </w:tc>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79063DD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73" w:type="dxa"/>
            <w:tcBorders>
              <w:top w:val="single" w:sz="4" w:space="0" w:color="auto"/>
              <w:left w:val="single" w:sz="4" w:space="0" w:color="auto"/>
              <w:bottom w:val="single" w:sz="4" w:space="0" w:color="auto"/>
              <w:right w:val="single" w:sz="4" w:space="0" w:color="auto"/>
            </w:tcBorders>
            <w:shd w:val="clear" w:color="auto" w:fill="C6EFCE"/>
            <w:noWrap/>
          </w:tcPr>
          <w:p w14:paraId="7F7EC1E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5194" w:type="dxa"/>
            <w:tcBorders>
              <w:top w:val="single" w:sz="4" w:space="0" w:color="auto"/>
              <w:left w:val="single" w:sz="4" w:space="0" w:color="auto"/>
              <w:bottom w:val="single" w:sz="4" w:space="0" w:color="auto"/>
              <w:right w:val="single" w:sz="4" w:space="0" w:color="auto"/>
            </w:tcBorders>
            <w:shd w:val="clear" w:color="auto" w:fill="C6EFCE"/>
            <w:noWrap/>
          </w:tcPr>
          <w:p w14:paraId="3CE2D873" w14:textId="257E8631" w:rsidR="001B186F" w:rsidRPr="00DE4E4F" w:rsidRDefault="0074517F">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w:t>
            </w:r>
            <w:r w:rsidR="00B246FF" w:rsidRPr="00DE4E4F">
              <w:rPr>
                <w:rFonts w:ascii="Times New Roman" w:hAnsi="Times New Roman" w:cs="Times New Roman"/>
                <w:noProof/>
                <w:color w:val="006100"/>
                <w:sz w:val="18"/>
                <w:szCs w:val="18"/>
              </w:rPr>
              <w:t xml:space="preserve">Delivery </w:t>
            </w:r>
            <w:r w:rsidRPr="00DE4E4F">
              <w:rPr>
                <w:rFonts w:ascii="Times New Roman" w:hAnsi="Times New Roman" w:cs="Times New Roman"/>
                <w:noProof/>
                <w:color w:val="006100"/>
                <w:sz w:val="18"/>
                <w:szCs w:val="18"/>
              </w:rPr>
              <w:t>of the following:</w:t>
            </w:r>
            <w:r w:rsidR="00DE4C0C" w:rsidRPr="00DE4E4F">
              <w:rPr>
                <w:rFonts w:ascii="Times New Roman" w:hAnsi="Times New Roman" w:cs="Times New Roman"/>
                <w:noProof/>
                <w:color w:val="006100"/>
                <w:sz w:val="18"/>
                <w:szCs w:val="18"/>
              </w:rPr>
              <w:t xml:space="preserve"> </w:t>
            </w:r>
          </w:p>
          <w:p w14:paraId="65967989" w14:textId="458C3E04" w:rsidR="001B186F" w:rsidRPr="00DE4E4F" w:rsidRDefault="0074517F">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Public Credit Rating Information System (PCRIS)</w:t>
            </w:r>
          </w:p>
          <w:p w14:paraId="58C15ABA" w14:textId="77777777" w:rsidR="001B186F" w:rsidRPr="00DE4E4F" w:rsidRDefault="0074517F">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b. IT system of the Private Debt Monitoring Registry. </w:t>
            </w:r>
          </w:p>
          <w:p w14:paraId="0CC2893C" w14:textId="77777777" w:rsidR="001B186F" w:rsidRPr="00DE4E4F" w:rsidRDefault="0074517F">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 Actions relevant to NPL transactions: </w:t>
            </w:r>
          </w:p>
          <w:p w14:paraId="1E177959" w14:textId="77777777" w:rsidR="001B186F" w:rsidRPr="00DE4E4F" w:rsidRDefault="0074517F">
            <w:pPr>
              <w:pStyle w:val="ListParagraph"/>
              <w:numPr>
                <w:ilvl w:val="0"/>
                <w:numId w:val="74"/>
              </w:numPr>
              <w:spacing w:after="0" w:line="240" w:lineRule="auto"/>
              <w:ind w:left="851" w:hanging="56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common data template for the NPL transactions;</w:t>
            </w:r>
          </w:p>
          <w:p w14:paraId="059707CE" w14:textId="77777777" w:rsidR="001B186F" w:rsidRPr="00DE4E4F" w:rsidRDefault="0074517F">
            <w:pPr>
              <w:pStyle w:val="ListParagraph"/>
              <w:numPr>
                <w:ilvl w:val="0"/>
                <w:numId w:val="74"/>
              </w:numPr>
              <w:spacing w:after="0" w:line="240" w:lineRule="auto"/>
              <w:ind w:left="851" w:hanging="56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common template for portfolio screening and evaluation;</w:t>
            </w:r>
          </w:p>
          <w:p w14:paraId="0E130D5B" w14:textId="124AC4E1" w:rsidR="001B186F" w:rsidRPr="00DE4E4F" w:rsidRDefault="0074517F">
            <w:pPr>
              <w:pStyle w:val="ListParagraph"/>
              <w:numPr>
                <w:ilvl w:val="0"/>
                <w:numId w:val="74"/>
              </w:numPr>
              <w:spacing w:after="0" w:line="240" w:lineRule="auto"/>
              <w:ind w:left="851" w:hanging="567"/>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a transaction </w:t>
            </w:r>
            <w:r w:rsidR="00B246FF" w:rsidRPr="00DE4E4F">
              <w:rPr>
                <w:rFonts w:ascii="Times New Roman" w:hAnsi="Times New Roman" w:cs="Times New Roman"/>
                <w:noProof/>
                <w:color w:val="006100"/>
                <w:sz w:val="18"/>
                <w:szCs w:val="18"/>
              </w:rPr>
              <w:t xml:space="preserve">IT system </w:t>
            </w:r>
            <w:r w:rsidRPr="00DE4E4F">
              <w:rPr>
                <w:rFonts w:ascii="Times New Roman" w:hAnsi="Times New Roman" w:cs="Times New Roman"/>
                <w:noProof/>
                <w:color w:val="006100"/>
                <w:sz w:val="18"/>
                <w:szCs w:val="18"/>
              </w:rPr>
              <w:t>for NPL portfolios for sellers and buyers.</w:t>
            </w:r>
          </w:p>
          <w:p w14:paraId="0BF41349" w14:textId="0966CBFA" w:rsidR="001B186F" w:rsidRPr="00DE4E4F" w:rsidRDefault="0074517F">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w:t>
            </w:r>
            <w:r w:rsidR="00DE723F" w:rsidRPr="00DE4E4F">
              <w:rPr>
                <w:rFonts w:ascii="Times New Roman" w:hAnsi="Times New Roman" w:cs="Times New Roman"/>
                <w:noProof/>
                <w:color w:val="006100"/>
                <w:sz w:val="18"/>
                <w:szCs w:val="18"/>
              </w:rPr>
              <w:t>Delivery of the</w:t>
            </w:r>
            <w:r w:rsidRPr="00DE4E4F">
              <w:rPr>
                <w:rFonts w:ascii="Times New Roman" w:hAnsi="Times New Roman" w:cs="Times New Roman"/>
                <w:noProof/>
                <w:color w:val="006100"/>
                <w:sz w:val="18"/>
                <w:szCs w:val="18"/>
              </w:rPr>
              <w:t xml:space="preserve"> Central Credit Registry’s (CCR) IT system </w:t>
            </w:r>
          </w:p>
          <w:p w14:paraId="2D9485FA" w14:textId="77777777" w:rsidR="001B186F" w:rsidRPr="00DE4E4F" w:rsidRDefault="001B186F">
            <w:pPr>
              <w:pStyle w:val="ListParagraph"/>
              <w:spacing w:after="0" w:line="240" w:lineRule="auto"/>
              <w:ind w:left="113" w:hanging="142"/>
              <w:rPr>
                <w:rFonts w:ascii="Times New Roman" w:hAnsi="Times New Roman" w:cs="Times New Roman"/>
                <w:noProof/>
                <w:color w:val="006100"/>
                <w:sz w:val="18"/>
                <w:szCs w:val="18"/>
              </w:rPr>
            </w:pPr>
          </w:p>
          <w:p w14:paraId="1CE73B6B" w14:textId="511A0627" w:rsidR="001B186F" w:rsidRPr="00DE4E4F" w:rsidRDefault="0074517F" w:rsidP="00B116A1">
            <w:pPr>
              <w:pStyle w:val="ListParagraph"/>
              <w:spacing w:after="0" w:line="240" w:lineRule="auto"/>
              <w:ind w:left="-29"/>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3. Entry into force of </w:t>
            </w:r>
            <w:r w:rsidR="555FA72D" w:rsidRPr="00DE4E4F">
              <w:rPr>
                <w:rFonts w:ascii="Times New Roman" w:hAnsi="Times New Roman" w:cs="Times New Roman"/>
                <w:noProof/>
                <w:color w:val="006100"/>
                <w:sz w:val="18"/>
                <w:szCs w:val="18"/>
              </w:rPr>
              <w:t>legal acts</w:t>
            </w:r>
            <w:r w:rsidRPr="00DE4E4F">
              <w:rPr>
                <w:rFonts w:ascii="Times New Roman" w:hAnsi="Times New Roman" w:cs="Times New Roman"/>
                <w:noProof/>
                <w:color w:val="006100"/>
                <w:sz w:val="18"/>
                <w:szCs w:val="18"/>
              </w:rPr>
              <w:t xml:space="preserve"> on case handling and backlog reduction in enforcement proceedings, through amendments to the Code of Civil Procedure</w:t>
            </w:r>
            <w:r w:rsidRPr="00DE4E4F">
              <w:rPr>
                <w:rFonts w:ascii="Times New Roman" w:eastAsiaTheme="minorEastAsia" w:hAnsi="Times New Roman" w:cs="Times New Roman"/>
                <w:noProof/>
                <w:color w:val="006100"/>
                <w:sz w:val="18"/>
                <w:szCs w:val="18"/>
              </w:rPr>
              <w:t>: a) adapting interim measures rules to enforcement proceedings, b) separating of pre-auction substantive oppositions from procedural oppositions, c) changing the territorial competence of the courts by abolishing the prorogation of jurisdiction to the Athens First Instance Court, and</w:t>
            </w:r>
            <w:r w:rsidRPr="00DE4E4F">
              <w:rPr>
                <w:rFonts w:ascii="Times New Roman" w:hAnsi="Times New Roman" w:cs="Times New Roman"/>
                <w:noProof/>
                <w:color w:val="006100"/>
                <w:sz w:val="18"/>
                <w:szCs w:val="18"/>
              </w:rPr>
              <w:t xml:space="preserve"> provisions creating a mechanism to reschedule hearing dates for both “pre-auction” and “post-auction” oppositions within a shorter time horizon.</w:t>
            </w:r>
            <w:r w:rsidR="00DE4C0C" w:rsidRPr="00DE4E4F">
              <w:rPr>
                <w:rFonts w:ascii="Times New Roman" w:hAnsi="Times New Roman" w:cs="Times New Roman"/>
                <w:noProof/>
                <w:color w:val="006100"/>
                <w:sz w:val="18"/>
                <w:szCs w:val="18"/>
              </w:rPr>
              <w:t xml:space="preserve"> </w:t>
            </w:r>
          </w:p>
        </w:tc>
      </w:tr>
    </w:tbl>
    <w:p w14:paraId="25CE0429"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6B826458"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045080CE"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12"/>
          <w:headerReference w:type="default" r:id="rId313"/>
          <w:footerReference w:type="even" r:id="rId314"/>
          <w:footerReference w:type="default" r:id="rId315"/>
          <w:headerReference w:type="first" r:id="rId316"/>
          <w:footerReference w:type="first" r:id="rId317"/>
          <w:pgSz w:w="16839" w:h="11907" w:orient="landscape"/>
          <w:pgMar w:top="1134" w:right="1134" w:bottom="1134" w:left="1134" w:header="567" w:footer="567" w:gutter="0"/>
          <w:cols w:space="720"/>
          <w:docGrid w:linePitch="360"/>
        </w:sectPr>
      </w:pPr>
    </w:p>
    <w:p w14:paraId="1F6A03A1"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P. COMPONENT 4.5: PROMOTE RESEARCH AND INNOVATION</w:t>
      </w:r>
    </w:p>
    <w:p w14:paraId="4119F215" w14:textId="07925230"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key objectives of this component of the Greek recovery and resilience plan are to increase public and private investment in research and development (R&amp;D), reinforce the links between science and businesses, and develop a pioneering R&amp;D infrastructure, with a view to improving Greece’s research and innovation performance. This is expected to be achieved through targeted reforms and investments to increase public and private R&amp;D expenditure, upgrade the country’s research infrastructures, promote research funding, and develop research collaborations. The component also includes the development of an information system for civil protection, which shall inform the competent authorities in real time about physical phenomena and natural disasters, while supporting their cooperation. This investment shall also facilitate the digital transformation, through the development of advanced digital technologies and the digitalisation of civil protection methods, as well as to foster the green transition, by mitigating the impact from climate changes in order to ensure civil protection. The </w:t>
      </w:r>
      <w:r w:rsidR="00DE4E4F" w:rsidRPr="00DE4E4F">
        <w:rPr>
          <w:rFonts w:ascii="Times New Roman" w:hAnsi="Times New Roman"/>
          <w:noProof/>
          <w:sz w:val="24"/>
        </w:rPr>
        <w:t>component</w:t>
      </w:r>
      <w:r w:rsidRPr="00DE4E4F">
        <w:rPr>
          <w:rFonts w:ascii="Times New Roman" w:hAnsi="Times New Roman"/>
          <w:noProof/>
          <w:sz w:val="24"/>
        </w:rPr>
        <w:t xml:space="preserve"> supports addressing the country-specific recommendations on public and private investment (Country Specific Recommendation 2 2019 and Country Specific Recommendation 3 2020).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1B68EB1E"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P.1. Description of the reforms and investments for non-repayable financial support</w:t>
      </w:r>
    </w:p>
    <w:p w14:paraId="2310AF6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Creation - Expansion - Upgrade of Infrastructures of Research Centres supervised by the General Secretariat for Research and Innovation (GSRI) (measure ID 16624)</w:t>
      </w:r>
    </w:p>
    <w:p w14:paraId="52268DB0" w14:textId="5B25B02D"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to enhance the capacity of research centres. The investment consists in projects concerning 11 research centres. </w:t>
      </w:r>
    </w:p>
    <w:p w14:paraId="2C166F6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Basic &amp; Applied Research (measure ID 16618)</w:t>
      </w:r>
    </w:p>
    <w:p w14:paraId="73BCB3C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investment is to facilitate Basic and Applied Research in Greece. The investment consists in Basic and Applied research projects.</w:t>
      </w:r>
    </w:p>
    <w:p w14:paraId="2949F90B"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TH</w:t>
      </w:r>
      <w:r w:rsidRPr="00DE4E4F">
        <w:rPr>
          <w:rFonts w:ascii="Times New Roman" w:hAnsi="Times New Roman"/>
          <w:noProof/>
          <w:sz w:val="24"/>
          <w:szCs w:val="24"/>
          <w:vertAlign w:val="superscript"/>
        </w:rPr>
        <w:t>2</w:t>
      </w:r>
      <w:r w:rsidRPr="00DE4E4F">
        <w:rPr>
          <w:rFonts w:ascii="Times New Roman" w:hAnsi="Times New Roman"/>
          <w:noProof/>
          <w:sz w:val="24"/>
          <w:szCs w:val="24"/>
        </w:rPr>
        <w:t>ORAX: Trellis Holistic &amp; Hybrid Operational Ruggedized Autonomous eXemplary system (measure ID 16654)</w:t>
      </w:r>
    </w:p>
    <w:p w14:paraId="15E3D85E" w14:textId="38E2BC28"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color w:val="000000" w:themeColor="text1"/>
          <w:sz w:val="24"/>
          <w:szCs w:val="24"/>
        </w:rPr>
        <w:t xml:space="preserve">The objective of this investment is a “next generation” information system combining different collaborative infrastructures to enhance institutions’ decision-making in real time. The investment consists </w:t>
      </w:r>
      <w:r w:rsidRPr="00DE4E4F">
        <w:rPr>
          <w:rFonts w:ascii="Times New Roman" w:hAnsi="Times New Roman"/>
          <w:noProof/>
          <w:sz w:val="24"/>
          <w:szCs w:val="24"/>
        </w:rPr>
        <w:t>of</w:t>
      </w:r>
      <w:r w:rsidRPr="00DE4E4F">
        <w:rPr>
          <w:rFonts w:ascii="Times New Roman" w:hAnsi="Times New Roman"/>
          <w:noProof/>
          <w:color w:val="000000" w:themeColor="text1"/>
          <w:sz w:val="24"/>
          <w:szCs w:val="24"/>
        </w:rPr>
        <w:t xml:space="preserve"> a system composed of technologies, </w:t>
      </w:r>
      <w:r w:rsidR="00F83C39" w:rsidRPr="00DE4E4F">
        <w:rPr>
          <w:rFonts w:ascii="Times New Roman" w:hAnsi="Times New Roman"/>
          <w:noProof/>
          <w:color w:val="000000" w:themeColor="text1"/>
          <w:sz w:val="24"/>
          <w:szCs w:val="24"/>
        </w:rPr>
        <w:t>for instance</w:t>
      </w:r>
      <w:r w:rsidRPr="00DE4E4F">
        <w:rPr>
          <w:rFonts w:ascii="Times New Roman" w:hAnsi="Times New Roman"/>
          <w:noProof/>
          <w:color w:val="000000" w:themeColor="text1"/>
          <w:sz w:val="24"/>
          <w:szCs w:val="24"/>
        </w:rPr>
        <w:t xml:space="preserve"> artificial intelligence.</w:t>
      </w:r>
      <w:r w:rsidR="00DE4C0C" w:rsidRPr="00DE4E4F">
        <w:rPr>
          <w:rFonts w:ascii="Times New Roman" w:hAnsi="Times New Roman"/>
          <w:noProof/>
          <w:sz w:val="24"/>
          <w:szCs w:val="24"/>
        </w:rPr>
        <w:t xml:space="preserve"> </w:t>
      </w:r>
    </w:p>
    <w:p w14:paraId="60F0388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Research - Create - Innovate (measure ID 16971)</w:t>
      </w:r>
    </w:p>
    <w:p w14:paraId="7AB6987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to attract co-funding from the private sector for research. The investment consists in projects in sectors of the National Research and Innovation Strategy for Smart Specialisation 2014 - 2020 (RIS3). </w:t>
      </w:r>
    </w:p>
    <w:p w14:paraId="4A0326BA" w14:textId="64AB1699"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HORIZON 2020 “Seal of Excellence”: financing companies (measure ID 16622)</w:t>
      </w:r>
    </w:p>
    <w:p w14:paraId="75F19B30" w14:textId="6DA42D62"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objective of this investment is to support</w:t>
      </w:r>
      <w:r w:rsidR="00DE4C0C" w:rsidRPr="00DE4E4F">
        <w:rPr>
          <w:rFonts w:ascii="Times New Roman" w:hAnsi="Times New Roman"/>
          <w:noProof/>
          <w:sz w:val="24"/>
        </w:rPr>
        <w:t xml:space="preserve"> </w:t>
      </w:r>
      <w:r w:rsidRPr="00DE4E4F">
        <w:rPr>
          <w:rFonts w:ascii="Times New Roman" w:hAnsi="Times New Roman"/>
          <w:noProof/>
          <w:sz w:val="24"/>
        </w:rPr>
        <w:t xml:space="preserve">small and medium-sized enterprises. The investment consists in projects implemented. </w:t>
      </w:r>
    </w:p>
    <w:p w14:paraId="50DB76AC"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18"/>
          <w:headerReference w:type="default" r:id="rId319"/>
          <w:footerReference w:type="even" r:id="rId320"/>
          <w:footerReference w:type="default" r:id="rId321"/>
          <w:headerReference w:type="first" r:id="rId322"/>
          <w:footerReference w:type="first" r:id="rId323"/>
          <w:pgSz w:w="11906" w:h="16838"/>
          <w:pgMar w:top="1134" w:right="1134" w:bottom="1134" w:left="1134" w:header="567" w:footer="567" w:gutter="0"/>
          <w:cols w:space="708"/>
          <w:docGrid w:linePitch="360"/>
        </w:sectPr>
      </w:pPr>
    </w:p>
    <w:p w14:paraId="0E64969A"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P.2. Milestones, targets, indicators, and timetable for monitoring and implementation for non-repayable financial support</w:t>
      </w:r>
    </w:p>
    <w:p w14:paraId="43F25DEC"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23: Promote research and innovation</w:t>
      </w:r>
    </w:p>
    <w:p w14:paraId="440A079E" w14:textId="61FEDF22" w:rsidR="001B186F" w:rsidRPr="00DE4E4F" w:rsidRDefault="0074517F">
      <w:pPr>
        <w:numPr>
          <w:ilvl w:val="0"/>
          <w:numId w:val="75"/>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 xml:space="preserve">Creation - Expansion – Upgrade of Infrastructures of Research Centres supervised by the General Secretariat for Research and </w:t>
      </w:r>
      <w:r w:rsidR="00A25783" w:rsidRPr="00DE4E4F">
        <w:rPr>
          <w:rFonts w:ascii="Times New Roman" w:hAnsi="Times New Roman"/>
          <w:noProof/>
          <w:sz w:val="24"/>
        </w:rPr>
        <w:t xml:space="preserve">Innovation </w:t>
      </w:r>
      <w:r w:rsidRPr="00DE4E4F">
        <w:rPr>
          <w:rFonts w:ascii="Times New Roman" w:hAnsi="Times New Roman"/>
          <w:noProof/>
          <w:sz w:val="24"/>
        </w:rPr>
        <w:t>(GSRT) (ID: 16624)</w:t>
      </w:r>
    </w:p>
    <w:p w14:paraId="4FD30CEB" w14:textId="77777777" w:rsidR="001B186F" w:rsidRPr="00DE4E4F" w:rsidRDefault="0074517F">
      <w:pPr>
        <w:numPr>
          <w:ilvl w:val="0"/>
          <w:numId w:val="75"/>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Basic &amp; Applied Research (ID: 16618)</w:t>
      </w:r>
    </w:p>
    <w:p w14:paraId="6EA36903" w14:textId="77777777" w:rsidR="001B186F" w:rsidRPr="00DE4E4F" w:rsidRDefault="0074517F">
      <w:pPr>
        <w:numPr>
          <w:ilvl w:val="0"/>
          <w:numId w:val="75"/>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TH 2 ORAX: Trellis Holistic &amp; Hybrid Operational Ruggedized Autonomous eXemplary system (ID: 16654)</w:t>
      </w:r>
    </w:p>
    <w:p w14:paraId="0E008989" w14:textId="77777777" w:rsidR="001B186F" w:rsidRPr="00DE4E4F" w:rsidRDefault="0074517F">
      <w:pPr>
        <w:numPr>
          <w:ilvl w:val="0"/>
          <w:numId w:val="75"/>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Research - Create - Innovate (ID: 16971)</w:t>
      </w:r>
    </w:p>
    <w:p w14:paraId="45A9008C" w14:textId="3425EEBB" w:rsidR="001B186F" w:rsidRPr="00DE4E4F" w:rsidRDefault="0074517F">
      <w:pPr>
        <w:numPr>
          <w:ilvl w:val="0"/>
          <w:numId w:val="75"/>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HORIZON 2020 “Seal of Excellence”: financing</w:t>
      </w:r>
      <w:r w:rsidR="00DE4C0C" w:rsidRPr="00DE4E4F">
        <w:rPr>
          <w:rFonts w:ascii="Times New Roman" w:hAnsi="Times New Roman"/>
          <w:noProof/>
          <w:sz w:val="24"/>
        </w:rPr>
        <w:t xml:space="preserve"> </w:t>
      </w:r>
      <w:r w:rsidRPr="00DE4E4F">
        <w:rPr>
          <w:rFonts w:ascii="Times New Roman" w:hAnsi="Times New Roman"/>
          <w:noProof/>
          <w:sz w:val="24"/>
        </w:rPr>
        <w:t>companies (ID: 16622)</w:t>
      </w:r>
    </w:p>
    <w:tbl>
      <w:tblPr>
        <w:tblW w:w="16018" w:type="dxa"/>
        <w:jc w:val="center"/>
        <w:tblLayout w:type="fixed"/>
        <w:tblLook w:val="04A0" w:firstRow="1" w:lastRow="0" w:firstColumn="1" w:lastColumn="0" w:noHBand="0" w:noVBand="1"/>
      </w:tblPr>
      <w:tblGrid>
        <w:gridCol w:w="594"/>
        <w:gridCol w:w="2571"/>
        <w:gridCol w:w="1094"/>
        <w:gridCol w:w="1794"/>
        <w:gridCol w:w="1774"/>
        <w:gridCol w:w="960"/>
        <w:gridCol w:w="960"/>
        <w:gridCol w:w="607"/>
        <w:gridCol w:w="992"/>
        <w:gridCol w:w="707"/>
        <w:gridCol w:w="3965"/>
      </w:tblGrid>
      <w:tr w:rsidR="00682269" w:rsidRPr="00DE4E4F" w14:paraId="1C4BC7A4" w14:textId="77777777" w:rsidTr="00B116A1">
        <w:trPr>
          <w:trHeight w:val="740"/>
          <w:tblHeader/>
          <w:jc w:val="center"/>
        </w:trPr>
        <w:tc>
          <w:tcPr>
            <w:tcW w:w="5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F86C20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571"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EE8E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0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6FC9B5B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79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84D188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77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0B3C8C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527"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C2AD8F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99"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2D2E8B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965"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03715C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39F1313A" w14:textId="77777777" w:rsidTr="00B116A1">
        <w:trPr>
          <w:trHeight w:val="526"/>
          <w:tblHeader/>
          <w:jc w:val="center"/>
        </w:trPr>
        <w:tc>
          <w:tcPr>
            <w:tcW w:w="594" w:type="dxa"/>
            <w:vMerge/>
            <w:tcBorders>
              <w:top w:val="single" w:sz="2" w:space="0" w:color="000000"/>
              <w:left w:val="single" w:sz="2" w:space="0" w:color="000000"/>
              <w:bottom w:val="single" w:sz="2" w:space="0" w:color="000000"/>
              <w:right w:val="single" w:sz="2" w:space="0" w:color="000000"/>
            </w:tcBorders>
            <w:vAlign w:val="center"/>
            <w:hideMark/>
          </w:tcPr>
          <w:p w14:paraId="2236AF9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571" w:type="dxa"/>
            <w:vMerge/>
            <w:tcBorders>
              <w:top w:val="single" w:sz="2" w:space="0" w:color="000000"/>
              <w:left w:val="single" w:sz="2" w:space="0" w:color="000000"/>
              <w:bottom w:val="single" w:sz="2" w:space="0" w:color="000000"/>
              <w:right w:val="single" w:sz="2" w:space="0" w:color="000000"/>
            </w:tcBorders>
            <w:vAlign w:val="center"/>
            <w:hideMark/>
          </w:tcPr>
          <w:p w14:paraId="26FA81C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94" w:type="dxa"/>
            <w:vMerge/>
            <w:tcBorders>
              <w:top w:val="single" w:sz="2" w:space="0" w:color="000000"/>
              <w:left w:val="single" w:sz="2" w:space="0" w:color="000000"/>
              <w:bottom w:val="single" w:sz="2" w:space="0" w:color="000000"/>
              <w:right w:val="single" w:sz="2" w:space="0" w:color="000000"/>
            </w:tcBorders>
            <w:vAlign w:val="center"/>
            <w:hideMark/>
          </w:tcPr>
          <w:p w14:paraId="735288C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94" w:type="dxa"/>
            <w:vMerge/>
            <w:tcBorders>
              <w:top w:val="single" w:sz="2" w:space="0" w:color="000000"/>
              <w:left w:val="single" w:sz="2" w:space="0" w:color="000000"/>
              <w:bottom w:val="single" w:sz="2" w:space="0" w:color="000000"/>
              <w:right w:val="single" w:sz="2" w:space="0" w:color="000000"/>
            </w:tcBorders>
            <w:vAlign w:val="center"/>
            <w:hideMark/>
          </w:tcPr>
          <w:p w14:paraId="405675C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74" w:type="dxa"/>
            <w:vMerge/>
            <w:tcBorders>
              <w:top w:val="single" w:sz="2" w:space="0" w:color="000000"/>
              <w:left w:val="single" w:sz="2" w:space="0" w:color="000000"/>
              <w:bottom w:val="single" w:sz="2" w:space="0" w:color="000000"/>
              <w:right w:val="single" w:sz="2" w:space="0" w:color="000000"/>
            </w:tcBorders>
            <w:vAlign w:val="center"/>
            <w:hideMark/>
          </w:tcPr>
          <w:p w14:paraId="4FF0A5A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E102CD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96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D953C4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60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1353EA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992"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2B1CA5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70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79AB2EA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965" w:type="dxa"/>
            <w:vMerge/>
            <w:tcBorders>
              <w:top w:val="single" w:sz="2" w:space="0" w:color="000000"/>
              <w:left w:val="single" w:sz="2" w:space="0" w:color="000000"/>
              <w:bottom w:val="single" w:sz="2" w:space="0" w:color="000000"/>
              <w:right w:val="single" w:sz="2" w:space="0" w:color="000000"/>
            </w:tcBorders>
            <w:vAlign w:val="center"/>
            <w:hideMark/>
          </w:tcPr>
          <w:p w14:paraId="3728F95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004BE5A2" w14:textId="77777777" w:rsidTr="00B116A1">
        <w:trPr>
          <w:trHeight w:val="309"/>
          <w:jc w:val="center"/>
        </w:trPr>
        <w:tc>
          <w:tcPr>
            <w:tcW w:w="594" w:type="dxa"/>
            <w:tcBorders>
              <w:top w:val="single" w:sz="2" w:space="0" w:color="000000"/>
              <w:left w:val="single" w:sz="2" w:space="0" w:color="000000"/>
              <w:bottom w:val="single" w:sz="2" w:space="0" w:color="000000"/>
              <w:right w:val="single" w:sz="2" w:space="0" w:color="000000"/>
            </w:tcBorders>
            <w:shd w:val="clear" w:color="auto" w:fill="C6EFCE"/>
            <w:noWrap/>
          </w:tcPr>
          <w:p w14:paraId="74FA5C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245</w:t>
            </w:r>
          </w:p>
        </w:tc>
        <w:tc>
          <w:tcPr>
            <w:tcW w:w="2571" w:type="dxa"/>
            <w:tcBorders>
              <w:top w:val="single" w:sz="2" w:space="0" w:color="000000"/>
              <w:left w:val="single" w:sz="2" w:space="0" w:color="000000"/>
              <w:bottom w:val="single" w:sz="2" w:space="0" w:color="000000"/>
              <w:right w:val="single" w:sz="2" w:space="0" w:color="000000"/>
            </w:tcBorders>
            <w:shd w:val="clear" w:color="auto" w:fill="C6EFCE"/>
            <w:noWrap/>
          </w:tcPr>
          <w:p w14:paraId="43C06F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- 16618_Basic &amp; Applied Research</w:t>
            </w:r>
          </w:p>
        </w:tc>
        <w:tc>
          <w:tcPr>
            <w:tcW w:w="1094" w:type="dxa"/>
            <w:tcBorders>
              <w:top w:val="single" w:sz="2" w:space="0" w:color="000000"/>
              <w:left w:val="single" w:sz="2" w:space="0" w:color="000000"/>
              <w:bottom w:val="single" w:sz="2" w:space="0" w:color="000000"/>
              <w:right w:val="single" w:sz="2" w:space="0" w:color="000000"/>
            </w:tcBorders>
            <w:shd w:val="clear" w:color="auto" w:fill="C6EFCE"/>
            <w:noWrap/>
          </w:tcPr>
          <w:p w14:paraId="4875A7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2" w:space="0" w:color="000000"/>
              <w:left w:val="single" w:sz="2" w:space="0" w:color="000000"/>
              <w:bottom w:val="single" w:sz="2" w:space="0" w:color="000000"/>
              <w:right w:val="single" w:sz="2" w:space="0" w:color="000000"/>
            </w:tcBorders>
            <w:shd w:val="clear" w:color="auto" w:fill="C6EFCE"/>
            <w:noWrap/>
          </w:tcPr>
          <w:p w14:paraId="649497C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Legislation on Basic &amp; Applied Research</w:t>
            </w:r>
          </w:p>
        </w:tc>
        <w:tc>
          <w:tcPr>
            <w:tcW w:w="1774" w:type="dxa"/>
            <w:tcBorders>
              <w:top w:val="single" w:sz="2" w:space="0" w:color="000000"/>
              <w:left w:val="single" w:sz="2" w:space="0" w:color="000000"/>
              <w:bottom w:val="single" w:sz="2" w:space="0" w:color="000000"/>
              <w:right w:val="single" w:sz="2" w:space="0" w:color="000000"/>
            </w:tcBorders>
            <w:shd w:val="clear" w:color="auto" w:fill="C6EFCE"/>
            <w:noWrap/>
          </w:tcPr>
          <w:p w14:paraId="33903D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(primary and secondary acts establishing the legal entities)</w:t>
            </w: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3F833B0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2" w:space="0" w:color="000000"/>
              <w:left w:val="single" w:sz="2" w:space="0" w:color="000000"/>
              <w:bottom w:val="single" w:sz="2" w:space="0" w:color="000000"/>
              <w:right w:val="single" w:sz="2" w:space="0" w:color="000000"/>
            </w:tcBorders>
            <w:shd w:val="clear" w:color="auto" w:fill="C6EFCE"/>
            <w:noWrap/>
          </w:tcPr>
          <w:p w14:paraId="287C0F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2" w:space="0" w:color="000000"/>
              <w:left w:val="single" w:sz="2" w:space="0" w:color="000000"/>
              <w:bottom w:val="single" w:sz="2" w:space="0" w:color="000000"/>
              <w:right w:val="single" w:sz="2" w:space="0" w:color="000000"/>
            </w:tcBorders>
            <w:shd w:val="clear" w:color="auto" w:fill="C6EFCE"/>
            <w:noWrap/>
          </w:tcPr>
          <w:p w14:paraId="3A5C1B9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2" w:space="0" w:color="000000"/>
              <w:left w:val="single" w:sz="2" w:space="0" w:color="000000"/>
              <w:bottom w:val="single" w:sz="2" w:space="0" w:color="000000"/>
              <w:right w:val="single" w:sz="2" w:space="0" w:color="000000"/>
            </w:tcBorders>
            <w:shd w:val="clear" w:color="auto" w:fill="C6EFCE"/>
            <w:noWrap/>
          </w:tcPr>
          <w:p w14:paraId="7A9AF3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7" w:type="dxa"/>
            <w:tcBorders>
              <w:top w:val="single" w:sz="2" w:space="0" w:color="000000"/>
              <w:left w:val="single" w:sz="2" w:space="0" w:color="000000"/>
              <w:bottom w:val="single" w:sz="2" w:space="0" w:color="000000"/>
              <w:right w:val="single" w:sz="2" w:space="0" w:color="000000"/>
            </w:tcBorders>
            <w:shd w:val="clear" w:color="auto" w:fill="C6EFCE"/>
            <w:noWrap/>
          </w:tcPr>
          <w:p w14:paraId="2577985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65" w:type="dxa"/>
            <w:tcBorders>
              <w:top w:val="single" w:sz="2" w:space="0" w:color="000000"/>
              <w:left w:val="single" w:sz="2" w:space="0" w:color="000000"/>
              <w:bottom w:val="single" w:sz="2" w:space="0" w:color="000000"/>
              <w:right w:val="single" w:sz="2" w:space="0" w:color="000000"/>
            </w:tcBorders>
            <w:shd w:val="clear" w:color="auto" w:fill="C6EFCE"/>
            <w:noWrap/>
          </w:tcPr>
          <w:p w14:paraId="781B51B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 revised legal framework for Basic &amp; Applied Research, and issuance of secondary acts establishing the legal entities.</w:t>
            </w:r>
          </w:p>
          <w:p w14:paraId="4B1B923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7BC5C1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legal framework shall: a) redefine research areas for financing calls under the updated National Smart Specialization Strategy (RIS3); b) establish a new governance structure to improve management and coordination over these projects; and c) establish the legal status of new research entities. </w:t>
            </w:r>
          </w:p>
          <w:p w14:paraId="6CAB32B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7EC5AB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Research areas shall be redefined jointly by the National Council for Research and Innovation (NCRI) and the General Secretariat of Research and Innovation of the Ministry of Development (GSRI).</w:t>
            </w:r>
          </w:p>
        </w:tc>
      </w:tr>
      <w:tr w:rsidR="00682269" w:rsidRPr="00DE4E4F" w14:paraId="553EEC5B" w14:textId="77777777" w:rsidTr="00B116A1">
        <w:trPr>
          <w:trHeight w:val="309"/>
          <w:jc w:val="center"/>
        </w:trPr>
        <w:tc>
          <w:tcPr>
            <w:tcW w:w="594" w:type="dxa"/>
            <w:tcBorders>
              <w:top w:val="single" w:sz="2" w:space="0" w:color="000000"/>
              <w:left w:val="single" w:sz="4" w:space="0" w:color="auto"/>
              <w:bottom w:val="single" w:sz="4" w:space="0" w:color="auto"/>
              <w:right w:val="single" w:sz="4" w:space="0" w:color="auto"/>
            </w:tcBorders>
            <w:shd w:val="clear" w:color="auto" w:fill="C6EFCE"/>
            <w:noWrap/>
          </w:tcPr>
          <w:p w14:paraId="7AB519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246</w:t>
            </w:r>
          </w:p>
        </w:tc>
        <w:tc>
          <w:tcPr>
            <w:tcW w:w="2571" w:type="dxa"/>
            <w:tcBorders>
              <w:top w:val="single" w:sz="2" w:space="0" w:color="000000"/>
              <w:left w:val="nil"/>
              <w:bottom w:val="single" w:sz="4" w:space="0" w:color="auto"/>
              <w:right w:val="single" w:sz="4" w:space="0" w:color="auto"/>
            </w:tcBorders>
            <w:shd w:val="clear" w:color="auto" w:fill="C6EFCE"/>
            <w:noWrap/>
          </w:tcPr>
          <w:p w14:paraId="108EA6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- 16624_Creation - Expansion – Upgrade of Infrastructures of Research Centers supervised by the General Secretariat for Research and Innovation (GSRI)</w:t>
            </w:r>
          </w:p>
        </w:tc>
        <w:tc>
          <w:tcPr>
            <w:tcW w:w="1094" w:type="dxa"/>
            <w:tcBorders>
              <w:top w:val="single" w:sz="2" w:space="0" w:color="000000"/>
              <w:left w:val="nil"/>
              <w:bottom w:val="single" w:sz="4" w:space="0" w:color="auto"/>
              <w:right w:val="single" w:sz="4" w:space="0" w:color="auto"/>
            </w:tcBorders>
            <w:shd w:val="clear" w:color="auto" w:fill="C6EFCE"/>
            <w:noWrap/>
          </w:tcPr>
          <w:p w14:paraId="4B9FB6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2" w:space="0" w:color="000000"/>
              <w:left w:val="nil"/>
              <w:bottom w:val="single" w:sz="4" w:space="0" w:color="auto"/>
              <w:right w:val="single" w:sz="4" w:space="0" w:color="auto"/>
            </w:tcBorders>
            <w:shd w:val="clear" w:color="auto" w:fill="C6EFCE"/>
            <w:noWrap/>
          </w:tcPr>
          <w:p w14:paraId="493829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Call for proposals for Research Centres</w:t>
            </w:r>
          </w:p>
        </w:tc>
        <w:tc>
          <w:tcPr>
            <w:tcW w:w="1774" w:type="dxa"/>
            <w:tcBorders>
              <w:top w:val="single" w:sz="2" w:space="0" w:color="000000"/>
              <w:left w:val="nil"/>
              <w:bottom w:val="single" w:sz="4" w:space="0" w:color="auto"/>
              <w:right w:val="single" w:sz="4" w:space="0" w:color="auto"/>
            </w:tcBorders>
            <w:shd w:val="clear" w:color="auto" w:fill="C6EFCE"/>
            <w:noWrap/>
          </w:tcPr>
          <w:p w14:paraId="0AAD9F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Launched call for proposals and tender specifications published</w:t>
            </w:r>
          </w:p>
        </w:tc>
        <w:tc>
          <w:tcPr>
            <w:tcW w:w="960" w:type="dxa"/>
            <w:tcBorders>
              <w:top w:val="single" w:sz="2" w:space="0" w:color="000000"/>
              <w:left w:val="nil"/>
              <w:bottom w:val="single" w:sz="4" w:space="0" w:color="auto"/>
              <w:right w:val="single" w:sz="4" w:space="0" w:color="auto"/>
            </w:tcBorders>
            <w:shd w:val="clear" w:color="auto" w:fill="C6EFCE"/>
            <w:noWrap/>
          </w:tcPr>
          <w:p w14:paraId="41C3238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2" w:space="0" w:color="000000"/>
              <w:left w:val="nil"/>
              <w:bottom w:val="single" w:sz="4" w:space="0" w:color="auto"/>
              <w:right w:val="single" w:sz="4" w:space="0" w:color="auto"/>
            </w:tcBorders>
            <w:shd w:val="clear" w:color="auto" w:fill="C6EFCE"/>
            <w:noWrap/>
          </w:tcPr>
          <w:p w14:paraId="7636E49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2" w:space="0" w:color="000000"/>
              <w:left w:val="nil"/>
              <w:bottom w:val="single" w:sz="4" w:space="0" w:color="auto"/>
              <w:right w:val="single" w:sz="4" w:space="0" w:color="auto"/>
            </w:tcBorders>
            <w:shd w:val="clear" w:color="auto" w:fill="C6EFCE"/>
            <w:noWrap/>
          </w:tcPr>
          <w:p w14:paraId="32ED041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2" w:space="0" w:color="000000"/>
              <w:left w:val="nil"/>
              <w:bottom w:val="single" w:sz="4" w:space="0" w:color="auto"/>
              <w:right w:val="single" w:sz="4" w:space="0" w:color="auto"/>
            </w:tcBorders>
            <w:shd w:val="clear" w:color="auto" w:fill="C6EFCE"/>
            <w:noWrap/>
          </w:tcPr>
          <w:p w14:paraId="49C2FB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7" w:type="dxa"/>
            <w:tcBorders>
              <w:top w:val="single" w:sz="2" w:space="0" w:color="000000"/>
              <w:left w:val="nil"/>
              <w:bottom w:val="single" w:sz="4" w:space="0" w:color="auto"/>
              <w:right w:val="single" w:sz="4" w:space="0" w:color="auto"/>
            </w:tcBorders>
            <w:shd w:val="clear" w:color="auto" w:fill="C6EFCE"/>
            <w:noWrap/>
          </w:tcPr>
          <w:p w14:paraId="582D29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965" w:type="dxa"/>
            <w:tcBorders>
              <w:top w:val="single" w:sz="2" w:space="0" w:color="000000"/>
              <w:left w:val="nil"/>
              <w:bottom w:val="single" w:sz="4" w:space="0" w:color="auto"/>
              <w:right w:val="single" w:sz="4" w:space="0" w:color="auto"/>
            </w:tcBorders>
            <w:shd w:val="clear" w:color="auto" w:fill="C6EFCE"/>
            <w:noWrap/>
          </w:tcPr>
          <w:p w14:paraId="57AE4F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the Call for Proposals for Creation - Expansion - Upgrade of Infrastructures of Research Centres, including the publication of tender specifications that shall ensure that the selected applications comply with the Do No Significant Harm Technical Guidance (2021/C58/01) through the use of an exclusion list and the requirement of compliance with the relevant EU and national environmental legislation.</w:t>
            </w:r>
          </w:p>
        </w:tc>
      </w:tr>
      <w:tr w:rsidR="00682269" w:rsidRPr="00DE4E4F" w14:paraId="1CCB0E7B" w14:textId="77777777" w:rsidTr="0FDBAD4F">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69FE44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247</w:t>
            </w:r>
          </w:p>
        </w:tc>
        <w:tc>
          <w:tcPr>
            <w:tcW w:w="2571" w:type="dxa"/>
            <w:tcBorders>
              <w:top w:val="nil"/>
              <w:left w:val="nil"/>
              <w:bottom w:val="single" w:sz="4" w:space="0" w:color="auto"/>
              <w:right w:val="single" w:sz="4" w:space="0" w:color="auto"/>
            </w:tcBorders>
            <w:shd w:val="clear" w:color="auto" w:fill="C6EFCE"/>
            <w:noWrap/>
          </w:tcPr>
          <w:p w14:paraId="5A8E8D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- 16624_Creation - Expansion - Upgrade of Infrastructures of Research Centers supervised by the General Secretariat for Research and Innovation (GSRI)</w:t>
            </w:r>
          </w:p>
        </w:tc>
        <w:tc>
          <w:tcPr>
            <w:tcW w:w="1094" w:type="dxa"/>
            <w:tcBorders>
              <w:top w:val="nil"/>
              <w:left w:val="nil"/>
              <w:bottom w:val="single" w:sz="4" w:space="0" w:color="auto"/>
              <w:right w:val="single" w:sz="4" w:space="0" w:color="auto"/>
            </w:tcBorders>
            <w:shd w:val="clear" w:color="auto" w:fill="C6EFCE"/>
            <w:noWrap/>
          </w:tcPr>
          <w:p w14:paraId="29D9E6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nil"/>
              <w:left w:val="nil"/>
              <w:bottom w:val="single" w:sz="4" w:space="0" w:color="auto"/>
              <w:right w:val="single" w:sz="4" w:space="0" w:color="auto"/>
            </w:tcBorders>
            <w:shd w:val="clear" w:color="auto" w:fill="C6EFCE"/>
            <w:noWrap/>
          </w:tcPr>
          <w:p w14:paraId="2779A6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Contracts award for Research Centres - construction works</w:t>
            </w:r>
          </w:p>
        </w:tc>
        <w:tc>
          <w:tcPr>
            <w:tcW w:w="1774" w:type="dxa"/>
            <w:tcBorders>
              <w:top w:val="nil"/>
              <w:left w:val="nil"/>
              <w:bottom w:val="single" w:sz="4" w:space="0" w:color="auto"/>
              <w:right w:val="single" w:sz="4" w:space="0" w:color="auto"/>
            </w:tcBorders>
            <w:shd w:val="clear" w:color="auto" w:fill="C6EFCE"/>
            <w:noWrap/>
          </w:tcPr>
          <w:p w14:paraId="01052C9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 for construction works</w:t>
            </w:r>
          </w:p>
        </w:tc>
        <w:tc>
          <w:tcPr>
            <w:tcW w:w="960" w:type="dxa"/>
            <w:tcBorders>
              <w:top w:val="nil"/>
              <w:left w:val="nil"/>
              <w:bottom w:val="single" w:sz="4" w:space="0" w:color="auto"/>
              <w:right w:val="single" w:sz="4" w:space="0" w:color="auto"/>
            </w:tcBorders>
            <w:shd w:val="clear" w:color="auto" w:fill="C6EFCE"/>
            <w:noWrap/>
          </w:tcPr>
          <w:p w14:paraId="3E8B43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nil"/>
              <w:left w:val="nil"/>
              <w:bottom w:val="single" w:sz="4" w:space="0" w:color="auto"/>
              <w:right w:val="single" w:sz="4" w:space="0" w:color="auto"/>
            </w:tcBorders>
            <w:shd w:val="clear" w:color="auto" w:fill="C6EFCE"/>
            <w:noWrap/>
          </w:tcPr>
          <w:p w14:paraId="7FB18E2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nil"/>
              <w:left w:val="nil"/>
              <w:bottom w:val="single" w:sz="4" w:space="0" w:color="auto"/>
              <w:right w:val="single" w:sz="4" w:space="0" w:color="auto"/>
            </w:tcBorders>
            <w:shd w:val="clear" w:color="auto" w:fill="C6EFCE"/>
            <w:noWrap/>
          </w:tcPr>
          <w:p w14:paraId="59A88A0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nil"/>
              <w:left w:val="nil"/>
              <w:bottom w:val="single" w:sz="4" w:space="0" w:color="auto"/>
              <w:right w:val="single" w:sz="4" w:space="0" w:color="auto"/>
            </w:tcBorders>
            <w:shd w:val="clear" w:color="auto" w:fill="C6EFCE"/>
            <w:noWrap/>
          </w:tcPr>
          <w:p w14:paraId="31C4DA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7" w:type="dxa"/>
            <w:tcBorders>
              <w:top w:val="nil"/>
              <w:left w:val="nil"/>
              <w:bottom w:val="single" w:sz="4" w:space="0" w:color="auto"/>
              <w:right w:val="single" w:sz="4" w:space="0" w:color="auto"/>
            </w:tcBorders>
            <w:shd w:val="clear" w:color="auto" w:fill="C6EFCE"/>
            <w:noWrap/>
          </w:tcPr>
          <w:p w14:paraId="68043E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65" w:type="dxa"/>
            <w:tcBorders>
              <w:top w:val="nil"/>
              <w:left w:val="nil"/>
              <w:bottom w:val="single" w:sz="4" w:space="0" w:color="auto"/>
              <w:right w:val="single" w:sz="4" w:space="0" w:color="auto"/>
            </w:tcBorders>
            <w:shd w:val="clear" w:color="auto" w:fill="C6EFCE"/>
            <w:noWrap/>
          </w:tcPr>
          <w:p w14:paraId="05DA250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 for construction works concerning the following Research Centres: Foundation for Research and Technology Hellas; Athena Research and Innovation Centre; BSRC Fleming; Centre for Research and Technology Hellas; National Hellenic Research Foundation; Biomedical Research Foundation Academy of Athens; National Observatory of Athens; Hellenic Centre for Marine Research; Hellenic Pasteur Institute.</w:t>
            </w:r>
          </w:p>
        </w:tc>
      </w:tr>
      <w:tr w:rsidR="00682269" w:rsidRPr="00DE4E4F" w14:paraId="22C2B827" w14:textId="77777777" w:rsidTr="0FDBAD4F">
        <w:trPr>
          <w:trHeight w:val="309"/>
          <w:jc w:val="center"/>
        </w:trPr>
        <w:tc>
          <w:tcPr>
            <w:tcW w:w="594" w:type="dxa"/>
            <w:tcBorders>
              <w:top w:val="nil"/>
              <w:left w:val="single" w:sz="4" w:space="0" w:color="auto"/>
              <w:bottom w:val="single" w:sz="4" w:space="0" w:color="auto"/>
              <w:right w:val="single" w:sz="4" w:space="0" w:color="auto"/>
            </w:tcBorders>
            <w:shd w:val="clear" w:color="auto" w:fill="C6EFCE"/>
            <w:noWrap/>
          </w:tcPr>
          <w:p w14:paraId="34F73A1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248</w:t>
            </w:r>
          </w:p>
        </w:tc>
        <w:tc>
          <w:tcPr>
            <w:tcW w:w="2571" w:type="dxa"/>
            <w:tcBorders>
              <w:top w:val="nil"/>
              <w:left w:val="nil"/>
              <w:bottom w:val="single" w:sz="4" w:space="0" w:color="auto"/>
              <w:right w:val="single" w:sz="4" w:space="0" w:color="auto"/>
            </w:tcBorders>
            <w:shd w:val="clear" w:color="auto" w:fill="C6EFCE"/>
            <w:noWrap/>
          </w:tcPr>
          <w:p w14:paraId="0B7D0B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- 16654_ TH²ORAX: Trellis Holistic &amp; Hybrid Operational Ruggedized Autonomous eXemplary system</w:t>
            </w:r>
          </w:p>
        </w:tc>
        <w:tc>
          <w:tcPr>
            <w:tcW w:w="1094" w:type="dxa"/>
            <w:tcBorders>
              <w:top w:val="nil"/>
              <w:left w:val="nil"/>
              <w:bottom w:val="single" w:sz="4" w:space="0" w:color="auto"/>
              <w:right w:val="single" w:sz="4" w:space="0" w:color="auto"/>
            </w:tcBorders>
            <w:shd w:val="clear" w:color="auto" w:fill="C6EFCE"/>
            <w:noWrap/>
          </w:tcPr>
          <w:p w14:paraId="5723AB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nil"/>
              <w:left w:val="nil"/>
              <w:bottom w:val="single" w:sz="4" w:space="0" w:color="auto"/>
              <w:right w:val="single" w:sz="4" w:space="0" w:color="auto"/>
            </w:tcBorders>
            <w:shd w:val="clear" w:color="auto" w:fill="C6EFCE"/>
            <w:noWrap/>
          </w:tcPr>
          <w:p w14:paraId="0E6C81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Contracts award for TH²ORAX</w:t>
            </w:r>
          </w:p>
        </w:tc>
        <w:tc>
          <w:tcPr>
            <w:tcW w:w="1774" w:type="dxa"/>
            <w:tcBorders>
              <w:top w:val="nil"/>
              <w:left w:val="nil"/>
              <w:bottom w:val="single" w:sz="4" w:space="0" w:color="auto"/>
              <w:right w:val="single" w:sz="4" w:space="0" w:color="auto"/>
            </w:tcBorders>
            <w:shd w:val="clear" w:color="auto" w:fill="C6EFCE"/>
            <w:noWrap/>
          </w:tcPr>
          <w:p w14:paraId="73B786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960" w:type="dxa"/>
            <w:tcBorders>
              <w:top w:val="nil"/>
              <w:left w:val="nil"/>
              <w:bottom w:val="single" w:sz="4" w:space="0" w:color="auto"/>
              <w:right w:val="single" w:sz="4" w:space="0" w:color="auto"/>
            </w:tcBorders>
            <w:shd w:val="clear" w:color="auto" w:fill="C6EFCE"/>
            <w:noWrap/>
          </w:tcPr>
          <w:p w14:paraId="62B9DA8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nil"/>
              <w:left w:val="nil"/>
              <w:bottom w:val="single" w:sz="4" w:space="0" w:color="auto"/>
              <w:right w:val="single" w:sz="4" w:space="0" w:color="auto"/>
            </w:tcBorders>
            <w:shd w:val="clear" w:color="auto" w:fill="C6EFCE"/>
            <w:noWrap/>
          </w:tcPr>
          <w:p w14:paraId="0F01584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nil"/>
              <w:left w:val="nil"/>
              <w:bottom w:val="single" w:sz="4" w:space="0" w:color="auto"/>
              <w:right w:val="single" w:sz="4" w:space="0" w:color="auto"/>
            </w:tcBorders>
            <w:shd w:val="clear" w:color="auto" w:fill="C6EFCE"/>
            <w:noWrap/>
          </w:tcPr>
          <w:p w14:paraId="41A3FFC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nil"/>
              <w:left w:val="nil"/>
              <w:bottom w:val="single" w:sz="4" w:space="0" w:color="auto"/>
              <w:right w:val="single" w:sz="4" w:space="0" w:color="auto"/>
            </w:tcBorders>
            <w:shd w:val="clear" w:color="auto" w:fill="C6EFCE"/>
            <w:noWrap/>
          </w:tcPr>
          <w:p w14:paraId="4B9804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7" w:type="dxa"/>
            <w:tcBorders>
              <w:top w:val="nil"/>
              <w:left w:val="nil"/>
              <w:bottom w:val="single" w:sz="4" w:space="0" w:color="auto"/>
              <w:right w:val="single" w:sz="4" w:space="0" w:color="auto"/>
            </w:tcBorders>
            <w:shd w:val="clear" w:color="auto" w:fill="C6EFCE"/>
            <w:noWrap/>
          </w:tcPr>
          <w:p w14:paraId="2202DD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65" w:type="dxa"/>
            <w:tcBorders>
              <w:top w:val="nil"/>
              <w:left w:val="nil"/>
              <w:bottom w:val="single" w:sz="4" w:space="0" w:color="auto"/>
              <w:right w:val="single" w:sz="4" w:space="0" w:color="auto"/>
            </w:tcBorders>
            <w:shd w:val="clear" w:color="auto" w:fill="C6EFCE"/>
            <w:noWrap/>
          </w:tcPr>
          <w:p w14:paraId="62E748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Award of contracts for TH²ORAX project.</w:t>
            </w:r>
          </w:p>
          <w:p w14:paraId="5DE12E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Ministry of Development and Investments along with the General Secretariat for Research &amp; Innovation (GSRI) shall be responsible for the effective implementation of the evaluation process. The contract(s) shall be awarded based on the Best Price Quality Ratio. </w:t>
            </w:r>
          </w:p>
        </w:tc>
      </w:tr>
      <w:tr w:rsidR="00682269" w:rsidRPr="00DE4E4F" w14:paraId="7AF6974C" w14:textId="77777777" w:rsidTr="0FDBAD4F">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31F721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249</w:t>
            </w:r>
          </w:p>
        </w:tc>
        <w:tc>
          <w:tcPr>
            <w:tcW w:w="2571" w:type="dxa"/>
            <w:tcBorders>
              <w:top w:val="single" w:sz="4" w:space="0" w:color="auto"/>
              <w:left w:val="nil"/>
              <w:bottom w:val="single" w:sz="4" w:space="0" w:color="auto"/>
              <w:right w:val="single" w:sz="4" w:space="0" w:color="auto"/>
            </w:tcBorders>
            <w:shd w:val="clear" w:color="auto" w:fill="C6EFCE"/>
            <w:noWrap/>
          </w:tcPr>
          <w:p w14:paraId="086949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- 16624_Creation - Expansion – Upgrade of Infrastructures of Research Centers supervised by the General Secretariat for Research and Innovation (GSRI)</w:t>
            </w:r>
          </w:p>
        </w:tc>
        <w:tc>
          <w:tcPr>
            <w:tcW w:w="1094" w:type="dxa"/>
            <w:tcBorders>
              <w:top w:val="single" w:sz="4" w:space="0" w:color="auto"/>
              <w:left w:val="nil"/>
              <w:bottom w:val="single" w:sz="4" w:space="0" w:color="auto"/>
              <w:right w:val="single" w:sz="4" w:space="0" w:color="auto"/>
            </w:tcBorders>
            <w:shd w:val="clear" w:color="auto" w:fill="C6EFCE"/>
            <w:noWrap/>
          </w:tcPr>
          <w:p w14:paraId="4A3B6F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4" w:space="0" w:color="auto"/>
              <w:left w:val="nil"/>
              <w:bottom w:val="single" w:sz="4" w:space="0" w:color="auto"/>
              <w:right w:val="single" w:sz="4" w:space="0" w:color="auto"/>
            </w:tcBorders>
            <w:shd w:val="clear" w:color="auto" w:fill="C6EFCE"/>
            <w:noWrap/>
          </w:tcPr>
          <w:p w14:paraId="652A8CF4" w14:textId="51269DB3" w:rsidR="001B186F" w:rsidRPr="00DE4E4F" w:rsidRDefault="46112F0D">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projects concerning research centres</w:t>
            </w:r>
          </w:p>
        </w:tc>
        <w:tc>
          <w:tcPr>
            <w:tcW w:w="1774" w:type="dxa"/>
            <w:tcBorders>
              <w:top w:val="single" w:sz="4" w:space="0" w:color="auto"/>
              <w:left w:val="nil"/>
              <w:bottom w:val="single" w:sz="4" w:space="0" w:color="auto"/>
              <w:right w:val="single" w:sz="4" w:space="0" w:color="auto"/>
            </w:tcBorders>
            <w:shd w:val="clear" w:color="auto" w:fill="C6EFCE"/>
            <w:noWrap/>
          </w:tcPr>
          <w:p w14:paraId="2C6E699F" w14:textId="517CB75D" w:rsidR="001B186F" w:rsidRPr="00DE4E4F" w:rsidRDefault="037B1291">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DE4C0C"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of projects concerning research centres</w:t>
            </w:r>
          </w:p>
        </w:tc>
        <w:tc>
          <w:tcPr>
            <w:tcW w:w="960" w:type="dxa"/>
            <w:tcBorders>
              <w:top w:val="single" w:sz="4" w:space="0" w:color="auto"/>
              <w:left w:val="nil"/>
              <w:bottom w:val="single" w:sz="4" w:space="0" w:color="auto"/>
              <w:right w:val="single" w:sz="4" w:space="0" w:color="auto"/>
            </w:tcBorders>
            <w:shd w:val="clear" w:color="auto" w:fill="C6EFCE"/>
            <w:noWrap/>
          </w:tcPr>
          <w:p w14:paraId="22D6D1B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4" w:space="0" w:color="auto"/>
              <w:left w:val="nil"/>
              <w:bottom w:val="single" w:sz="4" w:space="0" w:color="auto"/>
              <w:right w:val="single" w:sz="4" w:space="0" w:color="auto"/>
            </w:tcBorders>
            <w:shd w:val="clear" w:color="auto" w:fill="C6EFCE"/>
            <w:noWrap/>
          </w:tcPr>
          <w:p w14:paraId="2637B12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4" w:space="0" w:color="auto"/>
              <w:left w:val="nil"/>
              <w:bottom w:val="single" w:sz="4" w:space="0" w:color="auto"/>
              <w:right w:val="single" w:sz="4" w:space="0" w:color="auto"/>
            </w:tcBorders>
            <w:shd w:val="clear" w:color="auto" w:fill="C6EFCE"/>
            <w:noWrap/>
          </w:tcPr>
          <w:p w14:paraId="4194A31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7E41E6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7" w:type="dxa"/>
            <w:tcBorders>
              <w:top w:val="single" w:sz="4" w:space="0" w:color="auto"/>
              <w:left w:val="nil"/>
              <w:bottom w:val="single" w:sz="4" w:space="0" w:color="auto"/>
              <w:right w:val="single" w:sz="4" w:space="0" w:color="auto"/>
            </w:tcBorders>
            <w:shd w:val="clear" w:color="auto" w:fill="C6EFCE"/>
            <w:noWrap/>
          </w:tcPr>
          <w:p w14:paraId="41281B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5" w:type="dxa"/>
            <w:tcBorders>
              <w:top w:val="single" w:sz="4" w:space="0" w:color="auto"/>
              <w:left w:val="nil"/>
              <w:bottom w:val="single" w:sz="4" w:space="0" w:color="auto"/>
              <w:right w:val="single" w:sz="4" w:space="0" w:color="auto"/>
            </w:tcBorders>
            <w:shd w:val="clear" w:color="auto" w:fill="C6EFCE"/>
            <w:noWrap/>
          </w:tcPr>
          <w:p w14:paraId="3AC6E2C6" w14:textId="389354BC" w:rsidR="001B186F" w:rsidRPr="00DE4E4F" w:rsidRDefault="34EE7FE5">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w:t>
            </w:r>
            <w:r w:rsidR="233716A8" w:rsidRPr="00DE4E4F">
              <w:rPr>
                <w:rFonts w:ascii="Times New Roman" w:hAnsi="Times New Roman" w:cs="Times New Roman"/>
                <w:noProof/>
                <w:color w:val="006100"/>
                <w:sz w:val="18"/>
                <w:szCs w:val="18"/>
              </w:rPr>
              <w:t xml:space="preserve">at least 280 </w:t>
            </w:r>
            <w:r w:rsidR="0074517F" w:rsidRPr="00DE4E4F">
              <w:rPr>
                <w:rFonts w:ascii="Times New Roman" w:hAnsi="Times New Roman" w:cs="Times New Roman"/>
                <w:noProof/>
                <w:color w:val="006100"/>
                <w:sz w:val="18"/>
                <w:szCs w:val="18"/>
              </w:rPr>
              <w:t>projects concerning the following research centres: Foundation for Research and Technology Hellas; Athena Research and Innovation Centre; BSRC Fleming; Centre for Research and Technology Hellas; National Hellenic Research Foundation; Biomedical Research Foundation Academy of Athens; National Observatory of Athens; Hellenic Centre for Marine Research; Hellenic Pasteur Institute; National Centre of Social Research; Greek Atomic Energy Commission.</w:t>
            </w:r>
          </w:p>
        </w:tc>
      </w:tr>
      <w:tr w:rsidR="00682269" w:rsidRPr="00DE4E4F" w14:paraId="540D6DBB" w14:textId="77777777" w:rsidTr="0FDBAD4F">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C6EFCE"/>
          </w:tcPr>
          <w:p w14:paraId="611748D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250</w:t>
            </w:r>
          </w:p>
        </w:tc>
        <w:tc>
          <w:tcPr>
            <w:tcW w:w="2571" w:type="dxa"/>
            <w:tcBorders>
              <w:top w:val="single" w:sz="4" w:space="0" w:color="auto"/>
              <w:left w:val="nil"/>
              <w:bottom w:val="single" w:sz="4" w:space="0" w:color="auto"/>
              <w:right w:val="single" w:sz="4" w:space="0" w:color="auto"/>
            </w:tcBorders>
            <w:shd w:val="clear" w:color="auto" w:fill="C6EFCE"/>
          </w:tcPr>
          <w:p w14:paraId="5552B1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- 16618_Basic &amp; Applied Research</w:t>
            </w:r>
          </w:p>
        </w:tc>
        <w:tc>
          <w:tcPr>
            <w:tcW w:w="1094" w:type="dxa"/>
            <w:tcBorders>
              <w:top w:val="single" w:sz="4" w:space="0" w:color="auto"/>
              <w:left w:val="nil"/>
              <w:bottom w:val="single" w:sz="4" w:space="0" w:color="auto"/>
              <w:right w:val="single" w:sz="4" w:space="0" w:color="auto"/>
            </w:tcBorders>
            <w:shd w:val="clear" w:color="auto" w:fill="C6EFCE"/>
          </w:tcPr>
          <w:p w14:paraId="6082BB6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4" w:space="0" w:color="auto"/>
              <w:left w:val="nil"/>
              <w:bottom w:val="single" w:sz="4" w:space="0" w:color="auto"/>
              <w:right w:val="single" w:sz="4" w:space="0" w:color="auto"/>
            </w:tcBorders>
            <w:shd w:val="clear" w:color="auto" w:fill="C6EFCE"/>
          </w:tcPr>
          <w:p w14:paraId="125C5ABA" w14:textId="08B5FDEF" w:rsidR="001B186F" w:rsidRPr="00DE4E4F" w:rsidRDefault="46DB3CA6">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Basic &amp; Applied research projects</w:t>
            </w:r>
          </w:p>
        </w:tc>
        <w:tc>
          <w:tcPr>
            <w:tcW w:w="1774" w:type="dxa"/>
            <w:tcBorders>
              <w:top w:val="single" w:sz="4" w:space="0" w:color="auto"/>
              <w:left w:val="nil"/>
              <w:bottom w:val="single" w:sz="4" w:space="0" w:color="auto"/>
              <w:right w:val="single" w:sz="4" w:space="0" w:color="auto"/>
            </w:tcBorders>
            <w:shd w:val="clear" w:color="auto" w:fill="C6EFCE"/>
          </w:tcPr>
          <w:p w14:paraId="7C115228" w14:textId="48DB6D26" w:rsidR="001B186F" w:rsidRPr="00DE4E4F" w:rsidRDefault="50BCB92E">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Basic &amp; Applied research projects</w:t>
            </w:r>
          </w:p>
        </w:tc>
        <w:tc>
          <w:tcPr>
            <w:tcW w:w="960" w:type="dxa"/>
            <w:tcBorders>
              <w:top w:val="single" w:sz="4" w:space="0" w:color="auto"/>
              <w:left w:val="nil"/>
              <w:bottom w:val="single" w:sz="4" w:space="0" w:color="auto"/>
              <w:right w:val="single" w:sz="4" w:space="0" w:color="auto"/>
            </w:tcBorders>
            <w:shd w:val="clear" w:color="auto" w:fill="C6EFCE"/>
          </w:tcPr>
          <w:p w14:paraId="3F89B86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4" w:space="0" w:color="auto"/>
              <w:left w:val="nil"/>
              <w:bottom w:val="single" w:sz="4" w:space="0" w:color="auto"/>
              <w:right w:val="single" w:sz="4" w:space="0" w:color="auto"/>
            </w:tcBorders>
            <w:shd w:val="clear" w:color="auto" w:fill="C6EFCE"/>
          </w:tcPr>
          <w:p w14:paraId="2174023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4" w:space="0" w:color="auto"/>
              <w:left w:val="nil"/>
              <w:bottom w:val="single" w:sz="4" w:space="0" w:color="auto"/>
              <w:right w:val="single" w:sz="4" w:space="0" w:color="auto"/>
            </w:tcBorders>
            <w:shd w:val="clear" w:color="auto" w:fill="C6EFCE"/>
          </w:tcPr>
          <w:p w14:paraId="7A86A83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tcPr>
          <w:p w14:paraId="1AEF24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7" w:type="dxa"/>
            <w:tcBorders>
              <w:top w:val="single" w:sz="4" w:space="0" w:color="auto"/>
              <w:left w:val="nil"/>
              <w:bottom w:val="single" w:sz="4" w:space="0" w:color="auto"/>
              <w:right w:val="single" w:sz="4" w:space="0" w:color="auto"/>
            </w:tcBorders>
            <w:shd w:val="clear" w:color="auto" w:fill="C6EFCE"/>
          </w:tcPr>
          <w:p w14:paraId="6369BE0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5" w:type="dxa"/>
            <w:tcBorders>
              <w:top w:val="single" w:sz="4" w:space="0" w:color="auto"/>
              <w:left w:val="nil"/>
              <w:bottom w:val="single" w:sz="4" w:space="0" w:color="auto"/>
              <w:right w:val="single" w:sz="4" w:space="0" w:color="auto"/>
            </w:tcBorders>
            <w:shd w:val="clear" w:color="auto" w:fill="C6EFCE"/>
          </w:tcPr>
          <w:p w14:paraId="211734C2" w14:textId="24F734E8" w:rsidR="001B186F" w:rsidRPr="00DE4E4F" w:rsidRDefault="7AF71493" w:rsidP="5E05BE77">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the following projects: </w:t>
            </w:r>
          </w:p>
          <w:p w14:paraId="4C9E2CF8" w14:textId="0A65401F" w:rsidR="001B186F" w:rsidRPr="00DE4E4F" w:rsidRDefault="5F51D749" w:rsidP="009A6FC8">
            <w:pPr>
              <w:pStyle w:val="ListParagraph"/>
              <w:numPr>
                <w:ilvl w:val="0"/>
                <w:numId w:val="97"/>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269 </w:t>
            </w:r>
            <w:r w:rsidR="0074517F" w:rsidRPr="00DE4E4F">
              <w:rPr>
                <w:rFonts w:ascii="Times New Roman" w:hAnsi="Times New Roman" w:cs="Times New Roman"/>
                <w:noProof/>
                <w:color w:val="006100"/>
                <w:sz w:val="18"/>
                <w:szCs w:val="18"/>
              </w:rPr>
              <w:t>Basic research financing</w:t>
            </w:r>
            <w:r w:rsidR="00DE4C0C" w:rsidRPr="00DE4E4F">
              <w:rPr>
                <w:rFonts w:ascii="Times New Roman" w:hAnsi="Times New Roman" w:cs="Times New Roman"/>
                <w:noProof/>
                <w:color w:val="006100"/>
                <w:sz w:val="18"/>
                <w:szCs w:val="18"/>
              </w:rPr>
              <w:t xml:space="preserve"> </w:t>
            </w:r>
            <w:r w:rsidR="68FA4090" w:rsidRPr="00DE4E4F">
              <w:rPr>
                <w:rFonts w:ascii="Times New Roman" w:hAnsi="Times New Roman" w:cs="Times New Roman"/>
                <w:noProof/>
                <w:color w:val="006100"/>
                <w:sz w:val="18"/>
                <w:szCs w:val="18"/>
              </w:rPr>
              <w:t>projects</w:t>
            </w:r>
            <w:r w:rsidR="5ECFADBB" w:rsidRPr="00DE4E4F">
              <w:rPr>
                <w:rFonts w:ascii="Times New Roman" w:hAnsi="Times New Roman" w:cs="Times New Roman"/>
                <w:noProof/>
                <w:color w:val="006100"/>
                <w:sz w:val="18"/>
                <w:szCs w:val="18"/>
              </w:rPr>
              <w:t>;</w:t>
            </w:r>
          </w:p>
          <w:p w14:paraId="4AE7C141" w14:textId="3B4E2B7A" w:rsidR="001B186F" w:rsidRPr="00DE4E4F" w:rsidRDefault="2EC0C739" w:rsidP="009A6FC8">
            <w:pPr>
              <w:pStyle w:val="ListParagraph"/>
              <w:numPr>
                <w:ilvl w:val="0"/>
                <w:numId w:val="97"/>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8</w:t>
            </w:r>
            <w:r w:rsidR="0074517F" w:rsidRPr="00DE4E4F">
              <w:rPr>
                <w:rFonts w:ascii="Times New Roman" w:hAnsi="Times New Roman" w:cs="Times New Roman"/>
                <w:noProof/>
                <w:color w:val="006100"/>
                <w:sz w:val="18"/>
                <w:szCs w:val="18"/>
              </w:rPr>
              <w:t xml:space="preserve"> Flagship research projects</w:t>
            </w:r>
            <w:r w:rsidR="7F1A85F8" w:rsidRPr="00DE4E4F">
              <w:rPr>
                <w:rFonts w:ascii="Times New Roman" w:hAnsi="Times New Roman" w:cs="Times New Roman"/>
                <w:noProof/>
                <w:color w:val="006100"/>
                <w:sz w:val="18"/>
                <w:szCs w:val="18"/>
              </w:rPr>
              <w:t xml:space="preserve"> </w:t>
            </w:r>
            <w:r w:rsidR="5ECFADBB" w:rsidRPr="00DE4E4F">
              <w:rPr>
                <w:rFonts w:ascii="Times New Roman" w:hAnsi="Times New Roman" w:cs="Times New Roman"/>
                <w:noProof/>
                <w:color w:val="006100"/>
                <w:sz w:val="18"/>
                <w:szCs w:val="18"/>
              </w:rPr>
              <w:t>;</w:t>
            </w:r>
          </w:p>
          <w:p w14:paraId="1BC7792F" w14:textId="0A171531" w:rsidR="001B186F" w:rsidRPr="00DE4E4F" w:rsidRDefault="3A587CB4" w:rsidP="009A6FC8">
            <w:pPr>
              <w:pStyle w:val="ListParagraph"/>
              <w:numPr>
                <w:ilvl w:val="0"/>
                <w:numId w:val="97"/>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Project implemented by Archimedes Unit regarding research on Artificial Intelligence, data science, and algorithms</w:t>
            </w:r>
            <w:r w:rsidR="00DE4C0C" w:rsidRPr="00DE4E4F">
              <w:rPr>
                <w:rFonts w:ascii="Times New Roman" w:hAnsi="Times New Roman" w:cs="Times New Roman"/>
                <w:noProof/>
                <w:color w:val="006100"/>
                <w:sz w:val="18"/>
                <w:szCs w:val="18"/>
              </w:rPr>
              <w:t xml:space="preserve"> </w:t>
            </w:r>
          </w:p>
          <w:p w14:paraId="6AAB98AF" w14:textId="700B8DE0" w:rsidR="001B186F" w:rsidRPr="00DE4E4F" w:rsidRDefault="0074517F" w:rsidP="009A6FC8">
            <w:pPr>
              <w:pStyle w:val="ListParagraph"/>
              <w:numPr>
                <w:ilvl w:val="0"/>
                <w:numId w:val="97"/>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Participation to the European Partnerships for High Performance Computing (Euro-HPC) and key digital technologies</w:t>
            </w:r>
            <w:r w:rsidR="07ABAB2E" w:rsidRPr="00DE4E4F">
              <w:rPr>
                <w:rFonts w:ascii="Times New Roman" w:hAnsi="Times New Roman" w:cs="Times New Roman"/>
                <w:noProof/>
                <w:color w:val="006100"/>
                <w:sz w:val="18"/>
                <w:szCs w:val="18"/>
              </w:rPr>
              <w:t xml:space="preserve"> (17 partnerships)</w:t>
            </w:r>
            <w:r w:rsidRPr="00DE4E4F">
              <w:rPr>
                <w:rFonts w:ascii="Times New Roman" w:hAnsi="Times New Roman" w:cs="Times New Roman"/>
                <w:noProof/>
                <w:color w:val="006100"/>
                <w:sz w:val="18"/>
                <w:szCs w:val="18"/>
              </w:rPr>
              <w:t>.</w:t>
            </w:r>
          </w:p>
        </w:tc>
      </w:tr>
      <w:tr w:rsidR="00682269" w:rsidRPr="00DE4E4F" w14:paraId="78105B7A" w14:textId="77777777" w:rsidTr="0FDBAD4F">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23777F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251</w:t>
            </w:r>
          </w:p>
        </w:tc>
        <w:tc>
          <w:tcPr>
            <w:tcW w:w="2571" w:type="dxa"/>
            <w:tcBorders>
              <w:top w:val="single" w:sz="4" w:space="0" w:color="auto"/>
              <w:left w:val="nil"/>
              <w:bottom w:val="single" w:sz="4" w:space="0" w:color="auto"/>
              <w:right w:val="single" w:sz="4" w:space="0" w:color="auto"/>
            </w:tcBorders>
            <w:shd w:val="clear" w:color="auto" w:fill="C6EFCE"/>
            <w:noWrap/>
          </w:tcPr>
          <w:p w14:paraId="4501770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- 16654_TH 2 ORAX: Trellis Holistic &amp; Hybrid Operational Ruggedized Autonomous eXemplary system</w:t>
            </w:r>
          </w:p>
        </w:tc>
        <w:tc>
          <w:tcPr>
            <w:tcW w:w="1094" w:type="dxa"/>
            <w:tcBorders>
              <w:top w:val="single" w:sz="4" w:space="0" w:color="auto"/>
              <w:left w:val="nil"/>
              <w:bottom w:val="single" w:sz="4" w:space="0" w:color="auto"/>
              <w:right w:val="single" w:sz="4" w:space="0" w:color="auto"/>
            </w:tcBorders>
            <w:shd w:val="clear" w:color="auto" w:fill="C6EFCE"/>
            <w:noWrap/>
          </w:tcPr>
          <w:p w14:paraId="644001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4" w:space="0" w:color="auto"/>
              <w:left w:val="nil"/>
              <w:bottom w:val="single" w:sz="4" w:space="0" w:color="auto"/>
              <w:right w:val="single" w:sz="4" w:space="0" w:color="auto"/>
            </w:tcBorders>
            <w:shd w:val="clear" w:color="auto" w:fill="C6EFCE"/>
            <w:noWrap/>
          </w:tcPr>
          <w:p w14:paraId="0687D53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TH²ORAX project</w:t>
            </w:r>
          </w:p>
        </w:tc>
        <w:tc>
          <w:tcPr>
            <w:tcW w:w="1774" w:type="dxa"/>
            <w:tcBorders>
              <w:top w:val="single" w:sz="4" w:space="0" w:color="auto"/>
              <w:left w:val="nil"/>
              <w:bottom w:val="single" w:sz="4" w:space="0" w:color="auto"/>
              <w:right w:val="single" w:sz="4" w:space="0" w:color="auto"/>
            </w:tcBorders>
            <w:shd w:val="clear" w:color="auto" w:fill="C6EFCE"/>
            <w:noWrap/>
          </w:tcPr>
          <w:p w14:paraId="240C514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the TH²ORAX project</w:t>
            </w:r>
          </w:p>
        </w:tc>
        <w:tc>
          <w:tcPr>
            <w:tcW w:w="960" w:type="dxa"/>
            <w:tcBorders>
              <w:top w:val="single" w:sz="4" w:space="0" w:color="auto"/>
              <w:left w:val="nil"/>
              <w:bottom w:val="single" w:sz="4" w:space="0" w:color="auto"/>
              <w:right w:val="single" w:sz="4" w:space="0" w:color="auto"/>
            </w:tcBorders>
            <w:shd w:val="clear" w:color="auto" w:fill="C6EFCE"/>
            <w:noWrap/>
          </w:tcPr>
          <w:p w14:paraId="07974C5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4" w:space="0" w:color="auto"/>
              <w:left w:val="nil"/>
              <w:bottom w:val="single" w:sz="4" w:space="0" w:color="auto"/>
              <w:right w:val="single" w:sz="4" w:space="0" w:color="auto"/>
            </w:tcBorders>
            <w:shd w:val="clear" w:color="auto" w:fill="C6EFCE"/>
            <w:noWrap/>
          </w:tcPr>
          <w:p w14:paraId="525871E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4" w:space="0" w:color="auto"/>
              <w:left w:val="nil"/>
              <w:bottom w:val="single" w:sz="4" w:space="0" w:color="auto"/>
              <w:right w:val="single" w:sz="4" w:space="0" w:color="auto"/>
            </w:tcBorders>
            <w:shd w:val="clear" w:color="auto" w:fill="C6EFCE"/>
            <w:noWrap/>
          </w:tcPr>
          <w:p w14:paraId="2615C17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2BACE92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7" w:type="dxa"/>
            <w:tcBorders>
              <w:top w:val="single" w:sz="4" w:space="0" w:color="auto"/>
              <w:left w:val="nil"/>
              <w:bottom w:val="single" w:sz="4" w:space="0" w:color="auto"/>
              <w:right w:val="single" w:sz="4" w:space="0" w:color="auto"/>
            </w:tcBorders>
            <w:shd w:val="clear" w:color="auto" w:fill="C6EFCE"/>
            <w:noWrap/>
          </w:tcPr>
          <w:p w14:paraId="237A142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5" w:type="dxa"/>
            <w:tcBorders>
              <w:top w:val="single" w:sz="4" w:space="0" w:color="auto"/>
              <w:left w:val="nil"/>
              <w:bottom w:val="single" w:sz="4" w:space="0" w:color="auto"/>
              <w:right w:val="single" w:sz="4" w:space="0" w:color="auto"/>
            </w:tcBorders>
            <w:shd w:val="clear" w:color="auto" w:fill="C6EFCE"/>
            <w:noWrap/>
          </w:tcPr>
          <w:p w14:paraId="1D62F2FB" w14:textId="2D93D21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the TH²ORAX project: </w:t>
            </w:r>
            <w:r w:rsidR="00023D2B">
              <w:rPr>
                <w:rFonts w:ascii="Times New Roman" w:hAnsi="Times New Roman" w:cs="Times New Roman"/>
                <w:noProof/>
                <w:color w:val="006100"/>
                <w:sz w:val="18"/>
                <w:szCs w:val="18"/>
              </w:rPr>
              <w:t>delivery</w:t>
            </w:r>
            <w:r w:rsidRPr="00DE4E4F">
              <w:rPr>
                <w:rFonts w:ascii="Times New Roman" w:hAnsi="Times New Roman" w:cs="Times New Roman"/>
                <w:noProof/>
                <w:color w:val="006100"/>
                <w:sz w:val="18"/>
                <w:szCs w:val="18"/>
              </w:rPr>
              <w:t xml:space="preserve"> of a platform for situational awareness, in real time and on a 24/7 basis, for the Greek territory.</w:t>
            </w:r>
          </w:p>
        </w:tc>
      </w:tr>
      <w:tr w:rsidR="00682269" w:rsidRPr="00DE4E4F" w14:paraId="02E5C24F" w14:textId="77777777" w:rsidTr="0FDBAD4F">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26923E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252</w:t>
            </w:r>
          </w:p>
        </w:tc>
        <w:tc>
          <w:tcPr>
            <w:tcW w:w="2571" w:type="dxa"/>
            <w:tcBorders>
              <w:top w:val="single" w:sz="4" w:space="0" w:color="auto"/>
              <w:left w:val="nil"/>
              <w:bottom w:val="single" w:sz="4" w:space="0" w:color="auto"/>
              <w:right w:val="single" w:sz="4" w:space="0" w:color="auto"/>
            </w:tcBorders>
            <w:shd w:val="clear" w:color="auto" w:fill="C6EFCE"/>
            <w:noWrap/>
          </w:tcPr>
          <w:p w14:paraId="53718C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- 16971_Research - Create - Innovate</w:t>
            </w:r>
          </w:p>
        </w:tc>
        <w:tc>
          <w:tcPr>
            <w:tcW w:w="1094" w:type="dxa"/>
            <w:tcBorders>
              <w:top w:val="single" w:sz="4" w:space="0" w:color="auto"/>
              <w:left w:val="nil"/>
              <w:bottom w:val="single" w:sz="4" w:space="0" w:color="auto"/>
              <w:right w:val="single" w:sz="4" w:space="0" w:color="auto"/>
            </w:tcBorders>
            <w:shd w:val="clear" w:color="auto" w:fill="C6EFCE"/>
            <w:noWrap/>
          </w:tcPr>
          <w:p w14:paraId="462EA1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4" w:space="0" w:color="auto"/>
              <w:left w:val="nil"/>
              <w:bottom w:val="single" w:sz="4" w:space="0" w:color="auto"/>
              <w:right w:val="single" w:sz="4" w:space="0" w:color="auto"/>
            </w:tcBorders>
            <w:shd w:val="clear" w:color="auto" w:fill="C6EFCE"/>
            <w:noWrap/>
          </w:tcPr>
          <w:p w14:paraId="05FEAD4B" w14:textId="2294E108" w:rsidR="001B186F" w:rsidRPr="00DE4E4F" w:rsidRDefault="54D95AB7">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Research - Create - Innovate projects</w:t>
            </w:r>
          </w:p>
        </w:tc>
        <w:tc>
          <w:tcPr>
            <w:tcW w:w="1774" w:type="dxa"/>
            <w:tcBorders>
              <w:top w:val="single" w:sz="4" w:space="0" w:color="auto"/>
              <w:left w:val="nil"/>
              <w:bottom w:val="single" w:sz="4" w:space="0" w:color="auto"/>
              <w:right w:val="single" w:sz="4" w:space="0" w:color="auto"/>
            </w:tcBorders>
            <w:shd w:val="clear" w:color="auto" w:fill="C6EFCE"/>
            <w:noWrap/>
          </w:tcPr>
          <w:p w14:paraId="164AD87C" w14:textId="2474CEB0" w:rsidR="001B186F" w:rsidRPr="00DE4E4F" w:rsidRDefault="209D0864">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Research - Create - Innovate projects</w:t>
            </w:r>
          </w:p>
        </w:tc>
        <w:tc>
          <w:tcPr>
            <w:tcW w:w="960" w:type="dxa"/>
            <w:tcBorders>
              <w:top w:val="single" w:sz="4" w:space="0" w:color="auto"/>
              <w:left w:val="nil"/>
              <w:bottom w:val="single" w:sz="4" w:space="0" w:color="auto"/>
              <w:right w:val="single" w:sz="4" w:space="0" w:color="auto"/>
            </w:tcBorders>
            <w:shd w:val="clear" w:color="auto" w:fill="C6EFCE"/>
            <w:noWrap/>
          </w:tcPr>
          <w:p w14:paraId="505FD66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4" w:space="0" w:color="auto"/>
              <w:left w:val="nil"/>
              <w:bottom w:val="single" w:sz="4" w:space="0" w:color="auto"/>
              <w:right w:val="single" w:sz="4" w:space="0" w:color="auto"/>
            </w:tcBorders>
            <w:shd w:val="clear" w:color="auto" w:fill="C6EFCE"/>
            <w:noWrap/>
          </w:tcPr>
          <w:p w14:paraId="07B1009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4" w:space="0" w:color="auto"/>
              <w:left w:val="nil"/>
              <w:bottom w:val="single" w:sz="4" w:space="0" w:color="auto"/>
              <w:right w:val="single" w:sz="4" w:space="0" w:color="auto"/>
            </w:tcBorders>
            <w:shd w:val="clear" w:color="auto" w:fill="C6EFCE"/>
            <w:noWrap/>
          </w:tcPr>
          <w:p w14:paraId="2C706C2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6FF2296C" w14:textId="29B76447" w:rsidR="001B186F" w:rsidRPr="00DE4E4F" w:rsidRDefault="235B2EC6" w:rsidP="0FDBAD4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25B723A4" w:rsidRPr="00DE4E4F">
              <w:rPr>
                <w:rFonts w:ascii="Times New Roman" w:hAnsi="Times New Roman" w:cs="Times New Roman"/>
                <w:noProof/>
                <w:color w:val="006100"/>
                <w:sz w:val="18"/>
                <w:szCs w:val="18"/>
              </w:rPr>
              <w:t>2</w:t>
            </w:r>
          </w:p>
        </w:tc>
        <w:tc>
          <w:tcPr>
            <w:tcW w:w="707" w:type="dxa"/>
            <w:tcBorders>
              <w:top w:val="single" w:sz="4" w:space="0" w:color="auto"/>
              <w:left w:val="nil"/>
              <w:bottom w:val="single" w:sz="4" w:space="0" w:color="auto"/>
              <w:right w:val="single" w:sz="4" w:space="0" w:color="auto"/>
            </w:tcBorders>
            <w:shd w:val="clear" w:color="auto" w:fill="C6EFCE"/>
            <w:noWrap/>
          </w:tcPr>
          <w:p w14:paraId="382C0DD8" w14:textId="77777777" w:rsidR="001B186F" w:rsidRPr="00DE4E4F" w:rsidRDefault="235B2EC6" w:rsidP="0FDBAD4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5" w:type="dxa"/>
            <w:tcBorders>
              <w:top w:val="single" w:sz="4" w:space="0" w:color="auto"/>
              <w:left w:val="nil"/>
              <w:bottom w:val="single" w:sz="4" w:space="0" w:color="auto"/>
              <w:right w:val="single" w:sz="4" w:space="0" w:color="auto"/>
            </w:tcBorders>
            <w:shd w:val="clear" w:color="auto" w:fill="C6EFCE"/>
            <w:noWrap/>
          </w:tcPr>
          <w:p w14:paraId="0D1BE9D2" w14:textId="473D5403" w:rsidR="001B186F" w:rsidRPr="00DE4E4F" w:rsidRDefault="5D168051">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Delivery</w:t>
            </w:r>
            <w:r w:rsidR="0074517F" w:rsidRPr="00DE4E4F">
              <w:rPr>
                <w:rFonts w:ascii="Times New Roman" w:hAnsi="Times New Roman" w:cs="Times New Roman"/>
                <w:noProof/>
                <w:color w:val="006100"/>
                <w:sz w:val="18"/>
                <w:szCs w:val="18"/>
              </w:rPr>
              <w:t xml:space="preserve"> of 36 projects in the sectors of the National Research and Innovation Strategy for Smart Specialisation 2014–2020 (RIS3),</w:t>
            </w:r>
            <w:r w:rsidR="00DE4C0C" w:rsidRPr="00DE4E4F">
              <w:rPr>
                <w:rFonts w:ascii="Times New Roman" w:hAnsi="Times New Roman" w:cs="Times New Roman"/>
                <w:noProof/>
                <w:color w:val="006100"/>
                <w:sz w:val="18"/>
                <w:szCs w:val="18"/>
              </w:rPr>
              <w:t xml:space="preserve"> </w:t>
            </w:r>
            <w:r w:rsidR="6B82D1A7" w:rsidRPr="00DE4E4F">
              <w:rPr>
                <w:rFonts w:ascii="Times New Roman" w:eastAsia="Times New Roman" w:hAnsi="Times New Roman" w:cs="Times New Roman"/>
                <w:noProof/>
                <w:color w:val="006100"/>
                <w:sz w:val="18"/>
                <w:szCs w:val="18"/>
              </w:rPr>
              <w:t>in the fields of</w:t>
            </w:r>
            <w:r w:rsidR="006D7F69" w:rsidRPr="00DE4E4F">
              <w:rPr>
                <w:rFonts w:ascii="Times New Roman" w:eastAsia="Times New Roman" w:hAnsi="Times New Roman" w:cs="Times New Roman"/>
                <w:noProof/>
                <w:color w:val="006100"/>
                <w:sz w:val="18"/>
                <w:szCs w:val="18"/>
              </w:rPr>
              <w:t>,</w:t>
            </w:r>
            <w:r w:rsidR="6B82D1A7" w:rsidRPr="00DE4E4F">
              <w:rPr>
                <w:rFonts w:ascii="Times New Roman" w:eastAsia="Times New Roman" w:hAnsi="Times New Roman" w:cs="Times New Roman"/>
                <w:noProof/>
                <w:color w:val="006100"/>
                <w:sz w:val="18"/>
                <w:szCs w:val="18"/>
              </w:rPr>
              <w:t xml:space="preserve"> for example</w:t>
            </w:r>
            <w:r w:rsidR="05B9D0FF" w:rsidRPr="00DE4E4F">
              <w:rPr>
                <w:rFonts w:ascii="Times New Roman" w:hAnsi="Times New Roman" w:cs="Times New Roman"/>
                <w:noProof/>
                <w:color w:val="006100"/>
                <w:sz w:val="18"/>
                <w:szCs w:val="18"/>
              </w:rPr>
              <w:t>:</w:t>
            </w:r>
            <w:r w:rsidR="0074517F" w:rsidRPr="00DE4E4F">
              <w:rPr>
                <w:rFonts w:ascii="Times New Roman" w:hAnsi="Times New Roman" w:cs="Times New Roman"/>
                <w:noProof/>
                <w:color w:val="006100"/>
                <w:sz w:val="18"/>
                <w:szCs w:val="18"/>
              </w:rPr>
              <w:t xml:space="preserve"> (i) environment and sustainable development; (ii) energy; (iii) information and communications technology; (iv) health and pharma; (v) transportation and supply chain; (vi) agri-food and food industry; (vii) materials and construction; and (viii) tourism, culture and creative industries.</w:t>
            </w:r>
          </w:p>
        </w:tc>
      </w:tr>
      <w:tr w:rsidR="00682269" w:rsidRPr="00DE4E4F" w14:paraId="0012578C" w14:textId="77777777" w:rsidTr="0FDBAD4F">
        <w:trPr>
          <w:trHeight w:val="309"/>
          <w:jc w:val="center"/>
        </w:trPr>
        <w:tc>
          <w:tcPr>
            <w:tcW w:w="594" w:type="dxa"/>
            <w:tcBorders>
              <w:top w:val="single" w:sz="4" w:space="0" w:color="auto"/>
              <w:left w:val="single" w:sz="4" w:space="0" w:color="auto"/>
              <w:bottom w:val="single" w:sz="4" w:space="0" w:color="auto"/>
              <w:right w:val="single" w:sz="4" w:space="0" w:color="auto"/>
            </w:tcBorders>
            <w:shd w:val="clear" w:color="auto" w:fill="C6EFCE"/>
            <w:noWrap/>
          </w:tcPr>
          <w:p w14:paraId="435BF9D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346</w:t>
            </w:r>
          </w:p>
        </w:tc>
        <w:tc>
          <w:tcPr>
            <w:tcW w:w="2571" w:type="dxa"/>
            <w:tcBorders>
              <w:top w:val="single" w:sz="4" w:space="0" w:color="auto"/>
              <w:left w:val="nil"/>
              <w:bottom w:val="single" w:sz="4" w:space="0" w:color="auto"/>
              <w:right w:val="single" w:sz="4" w:space="0" w:color="auto"/>
            </w:tcBorders>
            <w:shd w:val="clear" w:color="auto" w:fill="C6EFCE"/>
            <w:noWrap/>
          </w:tcPr>
          <w:p w14:paraId="3A8C55DF" w14:textId="128FD3C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16 - 4.5. Promote research and innovation - 16622_HORIZON 2020 “Seal of Excellence”: financing</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companies</w:t>
            </w:r>
          </w:p>
        </w:tc>
        <w:tc>
          <w:tcPr>
            <w:tcW w:w="1094" w:type="dxa"/>
            <w:tcBorders>
              <w:top w:val="single" w:sz="4" w:space="0" w:color="auto"/>
              <w:left w:val="nil"/>
              <w:bottom w:val="single" w:sz="4" w:space="0" w:color="auto"/>
              <w:right w:val="single" w:sz="4" w:space="0" w:color="auto"/>
            </w:tcBorders>
            <w:shd w:val="clear" w:color="auto" w:fill="C6EFCE"/>
            <w:noWrap/>
          </w:tcPr>
          <w:p w14:paraId="34C70F4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794" w:type="dxa"/>
            <w:tcBorders>
              <w:top w:val="single" w:sz="4" w:space="0" w:color="auto"/>
              <w:left w:val="nil"/>
              <w:bottom w:val="single" w:sz="4" w:space="0" w:color="auto"/>
              <w:right w:val="single" w:sz="4" w:space="0" w:color="auto"/>
            </w:tcBorders>
            <w:shd w:val="clear" w:color="auto" w:fill="C6EFCE"/>
            <w:noWrap/>
          </w:tcPr>
          <w:p w14:paraId="53A2B4CB" w14:textId="2A8E63EA"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projects </w:t>
            </w:r>
          </w:p>
        </w:tc>
        <w:tc>
          <w:tcPr>
            <w:tcW w:w="1774" w:type="dxa"/>
            <w:tcBorders>
              <w:top w:val="single" w:sz="4" w:space="0" w:color="auto"/>
              <w:left w:val="nil"/>
              <w:bottom w:val="single" w:sz="4" w:space="0" w:color="auto"/>
              <w:right w:val="single" w:sz="4" w:space="0" w:color="auto"/>
            </w:tcBorders>
            <w:shd w:val="clear" w:color="auto" w:fill="C6EFCE"/>
            <w:noWrap/>
          </w:tcPr>
          <w:p w14:paraId="23FEB5F3" w14:textId="7B0F37B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projects </w:t>
            </w:r>
          </w:p>
        </w:tc>
        <w:tc>
          <w:tcPr>
            <w:tcW w:w="960" w:type="dxa"/>
            <w:tcBorders>
              <w:top w:val="single" w:sz="4" w:space="0" w:color="auto"/>
              <w:left w:val="nil"/>
              <w:bottom w:val="single" w:sz="4" w:space="0" w:color="auto"/>
              <w:right w:val="single" w:sz="4" w:space="0" w:color="auto"/>
            </w:tcBorders>
            <w:shd w:val="clear" w:color="auto" w:fill="C6EFCE"/>
            <w:noWrap/>
          </w:tcPr>
          <w:p w14:paraId="7D96FBD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60" w:type="dxa"/>
            <w:tcBorders>
              <w:top w:val="single" w:sz="4" w:space="0" w:color="auto"/>
              <w:left w:val="nil"/>
              <w:bottom w:val="single" w:sz="4" w:space="0" w:color="auto"/>
              <w:right w:val="single" w:sz="4" w:space="0" w:color="auto"/>
            </w:tcBorders>
            <w:shd w:val="clear" w:color="auto" w:fill="C6EFCE"/>
            <w:noWrap/>
          </w:tcPr>
          <w:p w14:paraId="2447B19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07" w:type="dxa"/>
            <w:tcBorders>
              <w:top w:val="single" w:sz="4" w:space="0" w:color="auto"/>
              <w:left w:val="nil"/>
              <w:bottom w:val="single" w:sz="4" w:space="0" w:color="auto"/>
              <w:right w:val="single" w:sz="4" w:space="0" w:color="auto"/>
            </w:tcBorders>
            <w:shd w:val="clear" w:color="auto" w:fill="C6EFCE"/>
            <w:noWrap/>
          </w:tcPr>
          <w:p w14:paraId="6D756D2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4CE8AB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7" w:type="dxa"/>
            <w:tcBorders>
              <w:top w:val="single" w:sz="4" w:space="0" w:color="auto"/>
              <w:left w:val="nil"/>
              <w:bottom w:val="single" w:sz="4" w:space="0" w:color="auto"/>
              <w:right w:val="single" w:sz="4" w:space="0" w:color="auto"/>
            </w:tcBorders>
            <w:shd w:val="clear" w:color="auto" w:fill="C6EFCE"/>
            <w:noWrap/>
          </w:tcPr>
          <w:p w14:paraId="151310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5" w:type="dxa"/>
            <w:tcBorders>
              <w:top w:val="single" w:sz="4" w:space="0" w:color="auto"/>
              <w:left w:val="nil"/>
              <w:bottom w:val="single" w:sz="4" w:space="0" w:color="auto"/>
              <w:right w:val="single" w:sz="4" w:space="0" w:color="auto"/>
            </w:tcBorders>
            <w:shd w:val="clear" w:color="auto" w:fill="C6EFCE"/>
            <w:noWrap/>
          </w:tcPr>
          <w:p w14:paraId="1767B187" w14:textId="3A2D5069"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12 projects that were awarded </w:t>
            </w:r>
            <w:r w:rsidR="001225D4" w:rsidRPr="00DE4E4F">
              <w:rPr>
                <w:rFonts w:ascii="Times New Roman" w:hAnsi="Times New Roman" w:cs="Times New Roman"/>
                <w:noProof/>
                <w:color w:val="006100"/>
                <w:sz w:val="18"/>
                <w:szCs w:val="18"/>
              </w:rPr>
              <w:t>with</w:t>
            </w:r>
            <w:r w:rsidRPr="00DE4E4F">
              <w:rPr>
                <w:rFonts w:ascii="Times New Roman" w:hAnsi="Times New Roman" w:cs="Times New Roman"/>
                <w:noProof/>
                <w:color w:val="006100"/>
                <w:sz w:val="18"/>
                <w:szCs w:val="18"/>
              </w:rPr>
              <w:t xml:space="preserve"> the HORIZON 2020 “Seal of Excellence” quality label. The projects concern certain sectors, </w:t>
            </w:r>
            <w:r w:rsidR="00080F26" w:rsidRPr="00DE4E4F">
              <w:rPr>
                <w:rFonts w:ascii="Times New Roman" w:hAnsi="Times New Roman" w:cs="Times New Roman"/>
                <w:noProof/>
                <w:color w:val="006100"/>
                <w:sz w:val="18"/>
                <w:szCs w:val="18"/>
              </w:rPr>
              <w:t>that may include, but are not limited to</w:t>
            </w:r>
            <w:r w:rsidRPr="00DE4E4F">
              <w:rPr>
                <w:rFonts w:ascii="Times New Roman" w:hAnsi="Times New Roman" w:cs="Times New Roman"/>
                <w:noProof/>
                <w:color w:val="006100"/>
                <w:sz w:val="18"/>
                <w:szCs w:val="18"/>
              </w:rPr>
              <w:t xml:space="preserve">: (i) environment and sustainable development; (ii) energy; (iii) information and communications technology; (iv) health and pharma; (v) transportation and supply chain; (vi) agri-food and food industry; and (vii) materials and construction. </w:t>
            </w:r>
          </w:p>
        </w:tc>
      </w:tr>
    </w:tbl>
    <w:p w14:paraId="5AB53E9E"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24"/>
          <w:headerReference w:type="default" r:id="rId325"/>
          <w:footerReference w:type="even" r:id="rId326"/>
          <w:footerReference w:type="default" r:id="rId327"/>
          <w:headerReference w:type="first" r:id="rId328"/>
          <w:footerReference w:type="first" r:id="rId329"/>
          <w:pgSz w:w="16839" w:h="11907" w:orient="landscape"/>
          <w:pgMar w:top="1134" w:right="1134" w:bottom="1134" w:left="1134" w:header="567" w:footer="567" w:gutter="0"/>
          <w:cols w:space="720"/>
          <w:docGrid w:linePitch="360"/>
        </w:sectPr>
      </w:pPr>
    </w:p>
    <w:p w14:paraId="76302C68"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szCs w:val="24"/>
        </w:rPr>
      </w:pPr>
      <w:r w:rsidRPr="00DE4E4F">
        <w:rPr>
          <w:rFonts w:ascii="Times New Roman" w:hAnsi="Times New Roman"/>
          <w:b/>
          <w:bCs/>
          <w:noProof/>
          <w:sz w:val="24"/>
          <w:szCs w:val="24"/>
        </w:rPr>
        <w:t>Q. COMPONENT 4.6: MODERNISE AND IMPROVE RESILIENCE OF KEY ECONOMIC SECTORS</w:t>
      </w:r>
    </w:p>
    <w:p w14:paraId="312486A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This component of the Greek recovery and resilience plan comprises targeted reforms and investments to improve the competitiveness of key sectors of the Greek economy, namely tourism and culture, agriculture, manufacturing and aquaculture. The component also includes investments in transport infrastructure aiming at improving connectivity and road safety. Tourism shall be supported by investments in thematic tourism with a view to exploring new tourist markets. The component further includes investments in culture to improve the competitiveness and resilience of the sector and to better exploit its linkages to tourism. Investments in agriculture shall increase the efficiency of production methods, promote producer organisations and cooperatives, and encourage re-orientation to products with higher added value. The component also includes an in-depth reform of the rail sector to make it more efficient, and competitive. These investments shall support the smooth operation of the internal market and the development of a sustainable transport system. The component supports addressing country-specific recommendations on public and private investment (Country Specific Recommendation 2 2019 and Country Specific Recommendation 3 2020).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14F35BF"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Q.1. Description of the reforms and investments for non-repayable financial support</w:t>
      </w:r>
    </w:p>
    <w:p w14:paraId="36CDC23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Road Safety Upgrade (measure ID 16631)</w:t>
      </w:r>
    </w:p>
    <w:p w14:paraId="0EA1A6E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investment is to reduce the number of traffic accidents in the country. The investment comprises interventions in dangerous locations and installation of smart led lighting poles across the country.</w:t>
      </w:r>
    </w:p>
    <w:p w14:paraId="6A8CD8B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Central Greece Highway E-65: Trikala- Egnatia Section (measure ID 16628)</w:t>
      </w:r>
    </w:p>
    <w:p w14:paraId="3862B46E" w14:textId="77777777" w:rsidR="001B186F" w:rsidRPr="00DE4E4F" w:rsidRDefault="0074517F">
      <w:pPr>
        <w:spacing w:before="120" w:after="120" w:line="240" w:lineRule="auto"/>
        <w:jc w:val="both"/>
        <w:rPr>
          <w:rFonts w:ascii="Times New Roman" w:hAnsi="Times New Roman" w:cs="Times New Roman"/>
          <w:noProof/>
          <w:sz w:val="24"/>
          <w:szCs w:val="24"/>
          <w:highlight w:val="green"/>
        </w:rPr>
      </w:pPr>
      <w:r w:rsidRPr="00DE4E4F">
        <w:rPr>
          <w:rFonts w:ascii="Times New Roman" w:hAnsi="Times New Roman"/>
          <w:noProof/>
          <w:sz w:val="24"/>
          <w:szCs w:val="24"/>
        </w:rPr>
        <w:t>The objective of this investment is to improve connectivity between Southern Greece, Thessaly and Western Macedonia. The investment comprises construction works on the Trikala-Egnatia Section of E-65 Motorway necessary for the functioning of the motorway.</w:t>
      </w:r>
    </w:p>
    <w:p w14:paraId="3DB0B28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Cretan Northern Highway (Β.Ο.Α.Κ.) (measure ID 16630)</w:t>
      </w:r>
    </w:p>
    <w:p w14:paraId="3EBDEBB1"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investment is to improve accessibility between the major cities of Crete. The investment consists of predefined works on the segments from:</w:t>
      </w:r>
    </w:p>
    <w:p w14:paraId="1707A870" w14:textId="7772A2FC" w:rsidR="001B186F" w:rsidRPr="00DE4E4F" w:rsidRDefault="00CF5DB7">
      <w:pPr>
        <w:pStyle w:val="ListParagraph"/>
        <w:numPr>
          <w:ilvl w:val="0"/>
          <w:numId w:val="76"/>
        </w:num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Kissamos</w:t>
      </w:r>
      <w:r w:rsidR="0074517F" w:rsidRPr="00DE4E4F">
        <w:rPr>
          <w:rFonts w:ascii="Times New Roman" w:hAnsi="Times New Roman"/>
          <w:noProof/>
          <w:sz w:val="24"/>
          <w:szCs w:val="24"/>
        </w:rPr>
        <w:t xml:space="preserve"> to Heraklion, </w:t>
      </w:r>
    </w:p>
    <w:p w14:paraId="1BD5A0F0" w14:textId="77777777" w:rsidR="001B186F" w:rsidRPr="00DE4E4F" w:rsidRDefault="0074517F">
      <w:pPr>
        <w:pStyle w:val="ListParagraph"/>
        <w:numPr>
          <w:ilvl w:val="0"/>
          <w:numId w:val="76"/>
        </w:num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Hersonissos to Neapoli, and </w:t>
      </w:r>
    </w:p>
    <w:p w14:paraId="6D8BDF44" w14:textId="77777777" w:rsidR="001B186F" w:rsidRPr="00DE4E4F" w:rsidRDefault="0074517F">
      <w:pPr>
        <w:pStyle w:val="ListParagraph"/>
        <w:numPr>
          <w:ilvl w:val="0"/>
          <w:numId w:val="76"/>
        </w:num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Neapolis to Agios Nikolaos. </w:t>
      </w:r>
    </w:p>
    <w:p w14:paraId="2A0129D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Smart Infrastructure with environmental and cultural focus (measure ID 16960)</w:t>
      </w:r>
    </w:p>
    <w:p w14:paraId="09AFEE5C" w14:textId="68CAEC5E"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investment is to enhance environmental protection, spatial planning and cultural promotion through digitalisation. The investment covers IT systems</w:t>
      </w:r>
      <w:r w:rsidR="00D958EC" w:rsidRPr="00DE4E4F">
        <w:rPr>
          <w:rFonts w:ascii="Times New Roman" w:hAnsi="Times New Roman"/>
          <w:noProof/>
          <w:sz w:val="24"/>
          <w:szCs w:val="24"/>
        </w:rPr>
        <w:t>, scanning of demarcation folders and delineation of water</w:t>
      </w:r>
      <w:r w:rsidR="003A263B" w:rsidRPr="00DE4E4F">
        <w:rPr>
          <w:rFonts w:ascii="Times New Roman" w:hAnsi="Times New Roman"/>
          <w:noProof/>
          <w:sz w:val="24"/>
          <w:szCs w:val="24"/>
        </w:rPr>
        <w:t xml:space="preserve"> </w:t>
      </w:r>
      <w:r w:rsidR="00D958EC" w:rsidRPr="00DE4E4F">
        <w:rPr>
          <w:rFonts w:ascii="Times New Roman" w:hAnsi="Times New Roman"/>
          <w:noProof/>
          <w:sz w:val="24"/>
          <w:szCs w:val="24"/>
        </w:rPr>
        <w:t>courses</w:t>
      </w:r>
      <w:r w:rsidR="003A263B" w:rsidRPr="00DE4E4F">
        <w:rPr>
          <w:rFonts w:ascii="Times New Roman" w:hAnsi="Times New Roman"/>
          <w:noProof/>
          <w:sz w:val="24"/>
          <w:szCs w:val="24"/>
        </w:rPr>
        <w:t xml:space="preserve"> </w:t>
      </w:r>
      <w:r w:rsidRPr="00DE4E4F">
        <w:rPr>
          <w:rFonts w:ascii="Times New Roman" w:hAnsi="Times New Roman"/>
          <w:noProof/>
          <w:sz w:val="24"/>
          <w:szCs w:val="24"/>
        </w:rPr>
        <w:t>for watercourse management, building transactions, access to geospatial data, illegal building tracing as well as digital services for cultural exhibits and monitoring of air and marine pollution.</w:t>
      </w:r>
    </w:p>
    <w:p w14:paraId="3D58088D" w14:textId="76A16273"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w:t>
      </w:r>
      <w:r w:rsidR="4C3E9921" w:rsidRPr="00DE4E4F">
        <w:rPr>
          <w:rFonts w:ascii="Times New Roman" w:hAnsi="Times New Roman"/>
          <w:noProof/>
          <w:sz w:val="24"/>
          <w:szCs w:val="24"/>
        </w:rPr>
        <w:t>Restoration works following</w:t>
      </w:r>
      <w:r w:rsidRPr="00DE4E4F">
        <w:rPr>
          <w:rFonts w:ascii="Times New Roman" w:hAnsi="Times New Roman"/>
          <w:noProof/>
          <w:sz w:val="24"/>
          <w:szCs w:val="24"/>
        </w:rPr>
        <w:t xml:space="preserve"> the devastating effects of storms </w:t>
      </w:r>
      <w:r w:rsidR="00DB22E5" w:rsidRPr="00DE4E4F">
        <w:rPr>
          <w:rFonts w:ascii="Times New Roman" w:hAnsi="Times New Roman"/>
          <w:noProof/>
          <w:sz w:val="24"/>
          <w:szCs w:val="24"/>
        </w:rPr>
        <w:t>"DANIEL", "ELIAS" and "IANOS</w:t>
      </w:r>
      <w:r w:rsidR="001F2B74" w:rsidRPr="00DE4E4F">
        <w:rPr>
          <w:rFonts w:ascii="Times New Roman" w:hAnsi="Times New Roman"/>
          <w:noProof/>
          <w:sz w:val="24"/>
          <w:szCs w:val="24"/>
        </w:rPr>
        <w:t xml:space="preserve">” </w:t>
      </w:r>
      <w:r w:rsidRPr="00DE4E4F">
        <w:rPr>
          <w:rFonts w:ascii="Times New Roman" w:hAnsi="Times New Roman"/>
          <w:noProof/>
          <w:sz w:val="24"/>
          <w:szCs w:val="24"/>
        </w:rPr>
        <w:t>(measure ID 16999)</w:t>
      </w:r>
    </w:p>
    <w:p w14:paraId="754CEDD9" w14:textId="58147F88"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w:t>
      </w:r>
      <w:r w:rsidR="420A12FD" w:rsidRPr="00DE4E4F">
        <w:rPr>
          <w:rFonts w:ascii="Times New Roman" w:hAnsi="Times New Roman"/>
          <w:noProof/>
          <w:sz w:val="24"/>
          <w:szCs w:val="24"/>
        </w:rPr>
        <w:t xml:space="preserve">to carry out </w:t>
      </w:r>
      <w:r w:rsidRPr="00DE4E4F">
        <w:rPr>
          <w:rFonts w:ascii="Times New Roman" w:hAnsi="Times New Roman"/>
          <w:noProof/>
          <w:sz w:val="24"/>
          <w:szCs w:val="24"/>
        </w:rPr>
        <w:t xml:space="preserve">restoration </w:t>
      </w:r>
      <w:r w:rsidR="71C786D5" w:rsidRPr="00DE4E4F">
        <w:rPr>
          <w:rFonts w:ascii="Times New Roman" w:hAnsi="Times New Roman"/>
          <w:noProof/>
          <w:sz w:val="24"/>
          <w:szCs w:val="24"/>
        </w:rPr>
        <w:t xml:space="preserve">works </w:t>
      </w:r>
      <w:r w:rsidR="099EB5EB" w:rsidRPr="00DE4E4F">
        <w:rPr>
          <w:rFonts w:ascii="Times New Roman" w:hAnsi="Times New Roman"/>
          <w:noProof/>
          <w:sz w:val="24"/>
          <w:szCs w:val="24"/>
        </w:rPr>
        <w:t xml:space="preserve">on </w:t>
      </w:r>
      <w:r w:rsidR="2D71050A" w:rsidRPr="00DE4E4F">
        <w:rPr>
          <w:rFonts w:ascii="Times New Roman" w:hAnsi="Times New Roman"/>
          <w:noProof/>
          <w:sz w:val="24"/>
          <w:szCs w:val="24"/>
        </w:rPr>
        <w:t>sections</w:t>
      </w:r>
      <w:r w:rsidRPr="00DE4E4F">
        <w:rPr>
          <w:rFonts w:ascii="Times New Roman" w:hAnsi="Times New Roman"/>
          <w:noProof/>
          <w:sz w:val="24"/>
          <w:szCs w:val="24"/>
        </w:rPr>
        <w:t xml:space="preserve"> of the road and railway network affected by storms "DANIEL" and “ELIAS”</w:t>
      </w:r>
      <w:r w:rsidR="00AF4B85" w:rsidRPr="00DE4E4F">
        <w:rPr>
          <w:rFonts w:ascii="Times New Roman" w:hAnsi="Times New Roman"/>
          <w:noProof/>
          <w:sz w:val="24"/>
          <w:szCs w:val="24"/>
        </w:rPr>
        <w:t xml:space="preserve"> and of </w:t>
      </w:r>
      <w:r w:rsidR="7173F54C" w:rsidRPr="00DE4E4F">
        <w:rPr>
          <w:rFonts w:ascii="Times New Roman" w:hAnsi="Times New Roman"/>
          <w:noProof/>
          <w:sz w:val="24"/>
          <w:szCs w:val="24"/>
        </w:rPr>
        <w:t>the</w:t>
      </w:r>
      <w:r w:rsidR="57BA91A6" w:rsidRPr="00DE4E4F">
        <w:rPr>
          <w:rFonts w:ascii="Times New Roman" w:hAnsi="Times New Roman"/>
          <w:noProof/>
          <w:sz w:val="24"/>
          <w:szCs w:val="24"/>
        </w:rPr>
        <w:t xml:space="preserve"> </w:t>
      </w:r>
      <w:r w:rsidR="00AF4B85" w:rsidRPr="00DE4E4F">
        <w:rPr>
          <w:rFonts w:ascii="Times New Roman" w:hAnsi="Times New Roman"/>
          <w:noProof/>
          <w:sz w:val="24"/>
          <w:szCs w:val="24"/>
        </w:rPr>
        <w:t>road networks and other infrastructures affected by Cyclone “IANOS”</w:t>
      </w:r>
      <w:r w:rsidRPr="00DE4E4F">
        <w:rPr>
          <w:rFonts w:ascii="Times New Roman" w:hAnsi="Times New Roman"/>
          <w:noProof/>
          <w:sz w:val="24"/>
          <w:szCs w:val="24"/>
        </w:rPr>
        <w:t>. The investment consists of restoration works.</w:t>
      </w:r>
    </w:p>
    <w:p w14:paraId="733507D9" w14:textId="67D2F355"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w:t>
      </w:r>
      <w:r w:rsidR="46985015" w:rsidRPr="00DE4E4F">
        <w:rPr>
          <w:rFonts w:ascii="Times New Roman" w:hAnsi="Times New Roman"/>
          <w:noProof/>
          <w:sz w:val="24"/>
          <w:szCs w:val="24"/>
        </w:rPr>
        <w:t>Regional airport upgrades - DAAD withdrawal</w:t>
      </w:r>
      <w:r w:rsidRPr="00DE4E4F">
        <w:rPr>
          <w:rFonts w:ascii="Times New Roman" w:hAnsi="Times New Roman"/>
          <w:noProof/>
          <w:sz w:val="24"/>
          <w:szCs w:val="24"/>
        </w:rPr>
        <w:t xml:space="preserve"> (measure ID 16833)</w:t>
      </w:r>
    </w:p>
    <w:p w14:paraId="547B17D3" w14:textId="53CC94D5"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investment is to upgrade 13 regional airports. The measure consists of</w:t>
      </w:r>
      <w:r w:rsidR="00DE4C0C" w:rsidRPr="00DE4E4F">
        <w:rPr>
          <w:rFonts w:ascii="Times New Roman" w:hAnsi="Times New Roman"/>
          <w:noProof/>
          <w:sz w:val="24"/>
          <w:szCs w:val="24"/>
        </w:rPr>
        <w:t xml:space="preserve"> </w:t>
      </w:r>
      <w:r w:rsidRPr="00DE4E4F">
        <w:rPr>
          <w:rFonts w:ascii="Times New Roman" w:hAnsi="Times New Roman"/>
          <w:noProof/>
          <w:sz w:val="24"/>
          <w:szCs w:val="24"/>
        </w:rPr>
        <w:t xml:space="preserve">the withdrawal of </w:t>
      </w:r>
      <w:r w:rsidR="542B3740" w:rsidRPr="00DE4E4F">
        <w:rPr>
          <w:rFonts w:ascii="Times New Roman" w:hAnsi="Times New Roman"/>
          <w:noProof/>
          <w:sz w:val="24"/>
          <w:szCs w:val="24"/>
        </w:rPr>
        <w:t>97</w:t>
      </w:r>
      <w:r w:rsidRPr="00DE4E4F">
        <w:rPr>
          <w:rFonts w:ascii="Times New Roman" w:hAnsi="Times New Roman"/>
          <w:noProof/>
          <w:sz w:val="24"/>
          <w:szCs w:val="24"/>
        </w:rPr>
        <w:t xml:space="preserve"> Deviation Acceptance and Action Documents (DAADs).</w:t>
      </w:r>
    </w:p>
    <w:p w14:paraId="114DED9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Smart Bridges (measure ID 16949)</w:t>
      </w:r>
    </w:p>
    <w:p w14:paraId="759FAD70" w14:textId="2E3677F5"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this investment is to improve the safety level of bridges. The investment </w:t>
      </w:r>
      <w:r w:rsidR="00734D9F" w:rsidRPr="00DE4E4F">
        <w:rPr>
          <w:rFonts w:ascii="Times New Roman" w:hAnsi="Times New Roman"/>
          <w:noProof/>
          <w:sz w:val="24"/>
          <w:szCs w:val="24"/>
        </w:rPr>
        <w:t>consists</w:t>
      </w:r>
      <w:r w:rsidRPr="00DE4E4F">
        <w:rPr>
          <w:rFonts w:ascii="Times New Roman" w:hAnsi="Times New Roman"/>
          <w:noProof/>
          <w:sz w:val="24"/>
          <w:szCs w:val="24"/>
        </w:rPr>
        <w:t xml:space="preserve"> of the </w:t>
      </w:r>
      <w:r w:rsidR="5B0CDE1A" w:rsidRPr="00DE4E4F">
        <w:rPr>
          <w:rFonts w:ascii="Times New Roman" w:hAnsi="Times New Roman"/>
          <w:noProof/>
          <w:sz w:val="24"/>
          <w:szCs w:val="24"/>
        </w:rPr>
        <w:t>in</w:t>
      </w:r>
      <w:r w:rsidR="0AC0EC4F" w:rsidRPr="00DE4E4F">
        <w:rPr>
          <w:rFonts w:ascii="Times New Roman" w:hAnsi="Times New Roman"/>
          <w:noProof/>
          <w:sz w:val="24"/>
          <w:szCs w:val="24"/>
        </w:rPr>
        <w:t>s</w:t>
      </w:r>
      <w:r w:rsidR="5B0CDE1A" w:rsidRPr="00DE4E4F">
        <w:rPr>
          <w:rFonts w:ascii="Times New Roman" w:hAnsi="Times New Roman"/>
          <w:noProof/>
          <w:sz w:val="24"/>
          <w:szCs w:val="24"/>
        </w:rPr>
        <w:t xml:space="preserve">tallation of </w:t>
      </w:r>
      <w:r w:rsidR="005A6F55" w:rsidRPr="00DE4E4F">
        <w:rPr>
          <w:rFonts w:ascii="Times New Roman" w:hAnsi="Times New Roman"/>
          <w:noProof/>
          <w:sz w:val="24"/>
          <w:szCs w:val="24"/>
        </w:rPr>
        <w:t>Real Time Structural Health Monitoring (RTSHM) systems on bridges</w:t>
      </w:r>
      <w:r w:rsidR="005976D9" w:rsidRPr="00DE4E4F">
        <w:rPr>
          <w:rFonts w:ascii="Times New Roman" w:hAnsi="Times New Roman"/>
          <w:noProof/>
          <w:sz w:val="24"/>
          <w:szCs w:val="24"/>
        </w:rPr>
        <w:t>,</w:t>
      </w:r>
      <w:r w:rsidR="005A6F55" w:rsidRPr="00DE4E4F">
        <w:rPr>
          <w:rFonts w:ascii="Times New Roman" w:hAnsi="Times New Roman"/>
          <w:noProof/>
          <w:sz w:val="24"/>
          <w:szCs w:val="24"/>
        </w:rPr>
        <w:t xml:space="preserve"> with </w:t>
      </w:r>
      <w:r w:rsidR="5B0CDE1A" w:rsidRPr="00DE4E4F">
        <w:rPr>
          <w:rFonts w:ascii="Times New Roman" w:hAnsi="Times New Roman"/>
          <w:noProof/>
          <w:sz w:val="24"/>
          <w:szCs w:val="24"/>
        </w:rPr>
        <w:t>(i)</w:t>
      </w:r>
      <w:r w:rsidRPr="00DE4E4F">
        <w:rPr>
          <w:rFonts w:ascii="Times New Roman" w:hAnsi="Times New Roman"/>
          <w:noProof/>
          <w:sz w:val="24"/>
          <w:szCs w:val="24"/>
        </w:rPr>
        <w:t xml:space="preserve"> </w:t>
      </w:r>
      <w:r w:rsidR="005A6F55" w:rsidRPr="00DE4E4F">
        <w:rPr>
          <w:rFonts w:ascii="Times New Roman" w:hAnsi="Times New Roman"/>
          <w:noProof/>
          <w:sz w:val="24"/>
          <w:szCs w:val="24"/>
        </w:rPr>
        <w:t xml:space="preserve">optical-fibre strain sensors and other structural monitoring sensors </w:t>
      </w:r>
      <w:r w:rsidR="005976D9" w:rsidRPr="00DE4E4F">
        <w:rPr>
          <w:rFonts w:ascii="Times New Roman" w:hAnsi="Times New Roman"/>
          <w:noProof/>
          <w:sz w:val="24"/>
          <w:szCs w:val="24"/>
        </w:rPr>
        <w:t>on</w:t>
      </w:r>
      <w:r w:rsidR="005A6F55" w:rsidRPr="00DE4E4F">
        <w:rPr>
          <w:rFonts w:ascii="Times New Roman" w:hAnsi="Times New Roman"/>
          <w:noProof/>
          <w:sz w:val="24"/>
          <w:szCs w:val="24"/>
        </w:rPr>
        <w:t xml:space="preserve"> 271 bridges</w:t>
      </w:r>
      <w:r w:rsidRPr="00DE4E4F">
        <w:rPr>
          <w:rFonts w:ascii="Times New Roman" w:hAnsi="Times New Roman"/>
          <w:noProof/>
          <w:sz w:val="24"/>
          <w:szCs w:val="24"/>
        </w:rPr>
        <w:t xml:space="preserve">; </w:t>
      </w:r>
      <w:r w:rsidR="3CC1C2F6" w:rsidRPr="00DE4E4F">
        <w:rPr>
          <w:rFonts w:ascii="Times New Roman" w:hAnsi="Times New Roman"/>
          <w:noProof/>
          <w:sz w:val="24"/>
          <w:szCs w:val="24"/>
        </w:rPr>
        <w:t>and</w:t>
      </w:r>
      <w:r w:rsidRPr="00DE4E4F">
        <w:rPr>
          <w:rFonts w:ascii="Times New Roman" w:hAnsi="Times New Roman"/>
          <w:noProof/>
          <w:sz w:val="24"/>
          <w:szCs w:val="24"/>
        </w:rPr>
        <w:t xml:space="preserve"> (ii) </w:t>
      </w:r>
      <w:r w:rsidR="005A6F55" w:rsidRPr="00DE4E4F">
        <w:rPr>
          <w:rFonts w:ascii="Times New Roman" w:hAnsi="Times New Roman"/>
          <w:noProof/>
          <w:sz w:val="24"/>
          <w:szCs w:val="24"/>
        </w:rPr>
        <w:t>autonomous wireless Internet of Things (IoT) sensors with battery or solar power operation on 380 bridges</w:t>
      </w:r>
      <w:r w:rsidRPr="00DE4E4F">
        <w:rPr>
          <w:rFonts w:ascii="Times New Roman" w:hAnsi="Times New Roman"/>
          <w:noProof/>
          <w:sz w:val="24"/>
          <w:szCs w:val="24"/>
        </w:rPr>
        <w:t>.</w:t>
      </w:r>
    </w:p>
    <w:p w14:paraId="09CD92C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the Hellenic Railways (measure ID 16959)</w:t>
      </w:r>
    </w:p>
    <w:p w14:paraId="2E83D3B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equip </w:t>
      </w:r>
      <w:r w:rsidRPr="00DE4E4F" w:rsidDel="00763AB3">
        <w:rPr>
          <w:rFonts w:ascii="Times New Roman" w:hAnsi="Times New Roman"/>
          <w:noProof/>
          <w:sz w:val="24"/>
          <w:szCs w:val="24"/>
        </w:rPr>
        <w:t xml:space="preserve">the </w:t>
      </w:r>
      <w:r w:rsidRPr="00DE4E4F">
        <w:rPr>
          <w:rFonts w:ascii="Times New Roman" w:hAnsi="Times New Roman"/>
          <w:noProof/>
          <w:sz w:val="24"/>
          <w:szCs w:val="24"/>
        </w:rPr>
        <w:t>Hellenic Railways with digital infrastructure and services. The measure consists in the provision of digital projects, systems, equipment and services.</w:t>
      </w:r>
    </w:p>
    <w:p w14:paraId="125D4ED9"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Digital Integrated Program Management System for the Administration of the Technical Works and Structural Assets of the Ministry of Infrastructure and Transport (measure ID 16937)</w:t>
      </w:r>
    </w:p>
    <w:p w14:paraId="20A6A5FD"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reform is to provide the Ministry of Infrastructure and Transport with</w:t>
      </w:r>
      <w:r w:rsidRPr="00DE4E4F" w:rsidDel="00915F39">
        <w:rPr>
          <w:rFonts w:ascii="Times New Roman" w:hAnsi="Times New Roman"/>
          <w:noProof/>
          <w:sz w:val="24"/>
          <w:szCs w:val="24"/>
        </w:rPr>
        <w:t xml:space="preserve"> </w:t>
      </w:r>
      <w:r w:rsidRPr="00DE4E4F">
        <w:rPr>
          <w:rFonts w:ascii="Times New Roman" w:hAnsi="Times New Roman"/>
          <w:noProof/>
          <w:sz w:val="24"/>
          <w:szCs w:val="24"/>
        </w:rPr>
        <w:t>a tool to manage its portfolio of technical works and assets. The measure consists in providing the Ministry with a Portfolio Management Information System (PMIS).</w:t>
      </w:r>
    </w:p>
    <w:p w14:paraId="343A958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Simplification of the Procedures of the Ministry of Infrastructure &amp; Transport (measure ID 16786)</w:t>
      </w:r>
    </w:p>
    <w:p w14:paraId="4686515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reform is to digitise and simplify procedures in the Ministry of Infrastructure and Transport. It covers procedures for a) issuance, replacement and renewal of driving licenses, b) transferring vehicles, c) issuance of traffic registration licenses and plates, and d) driving license examinations.</w:t>
      </w:r>
    </w:p>
    <w:p w14:paraId="29EBBB3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Labour Reform in the Cultural Sector (measure ID 16715)</w:t>
      </w:r>
    </w:p>
    <w:p w14:paraId="537A1ECC" w14:textId="77777777" w:rsidR="001B186F" w:rsidRPr="00DE4E4F" w:rsidRDefault="0074517F">
      <w:pPr>
        <w:spacing w:before="120" w:after="120" w:line="240" w:lineRule="auto"/>
        <w:jc w:val="both"/>
        <w:rPr>
          <w:rFonts w:ascii="Times New Roman" w:hAnsi="Times New Roman"/>
          <w:b/>
          <w:noProof/>
          <w:sz w:val="24"/>
        </w:rPr>
      </w:pPr>
      <w:r w:rsidRPr="00DE4E4F">
        <w:rPr>
          <w:rFonts w:ascii="Times New Roman" w:hAnsi="Times New Roman"/>
          <w:noProof/>
          <w:sz w:val="24"/>
        </w:rPr>
        <w:t>This reform shall introduce labour and social security legislation for the cultural and creative sector with a view to increasing the share of declared work in the sector and supporting the industry’s professionals and protecting their intellectual property rights. The objective of this reform is to increase the resilience of the cultural and creative sector. The implementation of the reform shall be completed by 30 September 2022.</w:t>
      </w:r>
    </w:p>
    <w:p w14:paraId="0EFC4E9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Culture as a driver of growth (measure ID 16293)</w:t>
      </w:r>
    </w:p>
    <w:p w14:paraId="005F4EC6" w14:textId="77777777" w:rsidR="001B186F" w:rsidRPr="00DE4E4F" w:rsidRDefault="0074517F">
      <w:pPr>
        <w:spacing w:before="120" w:after="120" w:line="240" w:lineRule="auto"/>
        <w:jc w:val="both"/>
        <w:rPr>
          <w:noProof/>
        </w:rPr>
      </w:pPr>
      <w:r w:rsidRPr="00DE4E4F">
        <w:rPr>
          <w:rFonts w:ascii="Times New Roman" w:hAnsi="Times New Roman"/>
          <w:noProof/>
          <w:sz w:val="24"/>
          <w:szCs w:val="24"/>
        </w:rPr>
        <w:t xml:space="preserve">The objective of the investment is to enhance the contribution of culture to smart and sustainable growth, and economic, social and territorial cohesion. It consists </w:t>
      </w:r>
      <w:r w:rsidRPr="00DE4E4F" w:rsidDel="00832E5D">
        <w:rPr>
          <w:rFonts w:ascii="Times New Roman" w:hAnsi="Times New Roman"/>
          <w:noProof/>
          <w:sz w:val="24"/>
          <w:szCs w:val="24"/>
        </w:rPr>
        <w:t xml:space="preserve">of </w:t>
      </w:r>
      <w:r w:rsidRPr="00DE4E4F">
        <w:rPr>
          <w:rFonts w:ascii="Times New Roman" w:hAnsi="Times New Roman"/>
          <w:noProof/>
          <w:sz w:val="24"/>
          <w:szCs w:val="24"/>
        </w:rPr>
        <w:t>actions for the cultural sector.</w:t>
      </w:r>
    </w:p>
    <w:p w14:paraId="635DAE9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Museum of underwater antiquities (measure ID 16486)</w:t>
      </w:r>
    </w:p>
    <w:p w14:paraId="1BFF943A" w14:textId="3B83086A"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restore an industrial building in Piraeus and to reopen it as a museum of underwater antiquities. </w:t>
      </w:r>
      <w:r w:rsidR="005A0DF0" w:rsidRPr="00DE4E4F">
        <w:rPr>
          <w:rFonts w:ascii="Times New Roman" w:hAnsi="Times New Roman"/>
          <w:noProof/>
          <w:sz w:val="24"/>
          <w:szCs w:val="24"/>
        </w:rPr>
        <w:t>The investment consists of works and materials for the restoration and construction of the building.</w:t>
      </w:r>
    </w:p>
    <w:p w14:paraId="36E62DDE" w14:textId="31B3A01E"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w:t>
      </w:r>
      <w:r w:rsidRPr="00DE4E4F" w:rsidDel="009B087F">
        <w:rPr>
          <w:rFonts w:ascii="Times New Roman" w:hAnsi="Times New Roman"/>
          <w:noProof/>
          <w:sz w:val="24"/>
          <w:szCs w:val="24"/>
        </w:rPr>
        <w:t xml:space="preserve">Utilizing </w:t>
      </w:r>
      <w:r w:rsidRPr="00DE4E4F">
        <w:rPr>
          <w:rFonts w:ascii="Times New Roman" w:hAnsi="Times New Roman"/>
          <w:noProof/>
          <w:sz w:val="24"/>
          <w:szCs w:val="24"/>
        </w:rPr>
        <w:t>“</w:t>
      </w:r>
      <w:r w:rsidR="004B2B0F" w:rsidRPr="00DE4E4F">
        <w:rPr>
          <w:rFonts w:ascii="Times New Roman" w:hAnsi="Times New Roman"/>
          <w:noProof/>
          <w:sz w:val="24"/>
          <w:szCs w:val="24"/>
        </w:rPr>
        <w:t xml:space="preserve">Pilot Actions of cultural </w:t>
      </w:r>
      <w:r w:rsidRPr="00DE4E4F">
        <w:rPr>
          <w:rFonts w:ascii="Times New Roman" w:hAnsi="Times New Roman"/>
          <w:noProof/>
          <w:sz w:val="24"/>
          <w:szCs w:val="24"/>
        </w:rPr>
        <w:t>prescription”,</w:t>
      </w:r>
      <w:r w:rsidR="00F3350E" w:rsidRPr="00DE4E4F">
        <w:rPr>
          <w:rFonts w:ascii="Times New Roman" w:hAnsi="Times New Roman"/>
          <w:noProof/>
          <w:sz w:val="24"/>
          <w:szCs w:val="24"/>
        </w:rPr>
        <w:t xml:space="preserve"> </w:t>
      </w:r>
      <w:r w:rsidRPr="00DE4E4F" w:rsidDel="009727B0">
        <w:rPr>
          <w:rFonts w:ascii="Times New Roman" w:hAnsi="Times New Roman"/>
          <w:noProof/>
          <w:sz w:val="24"/>
          <w:szCs w:val="24"/>
        </w:rPr>
        <w:t xml:space="preserve">promoting social cohesion, and tapping </w:t>
      </w:r>
      <w:r w:rsidRPr="00DE4E4F">
        <w:rPr>
          <w:rFonts w:ascii="Times New Roman" w:hAnsi="Times New Roman"/>
          <w:noProof/>
          <w:sz w:val="24"/>
          <w:szCs w:val="24"/>
        </w:rPr>
        <w:t>on the silver economy (measure ID 16735)</w:t>
      </w:r>
    </w:p>
    <w:p w14:paraId="377A6B5A" w14:textId="5AFD7F9F"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investment is to attract visitors aged 65 and over, as well as visitors with disabilities to cultural venues. It consists of infrastructure works and “</w:t>
      </w:r>
      <w:r w:rsidR="009665E9" w:rsidRPr="00DE4E4F">
        <w:rPr>
          <w:rFonts w:ascii="Times New Roman" w:hAnsi="Times New Roman"/>
          <w:noProof/>
          <w:sz w:val="24"/>
          <w:szCs w:val="24"/>
        </w:rPr>
        <w:t>P</w:t>
      </w:r>
      <w:r w:rsidR="007E335B" w:rsidRPr="00DE4E4F">
        <w:rPr>
          <w:rFonts w:ascii="Times New Roman" w:hAnsi="Times New Roman"/>
          <w:noProof/>
          <w:sz w:val="24"/>
          <w:szCs w:val="24"/>
        </w:rPr>
        <w:t>ilot Actions of cultural</w:t>
      </w:r>
      <w:r w:rsidRPr="00DE4E4F">
        <w:rPr>
          <w:rFonts w:ascii="Times New Roman" w:hAnsi="Times New Roman"/>
          <w:noProof/>
          <w:sz w:val="24"/>
          <w:szCs w:val="24"/>
        </w:rPr>
        <w:t xml:space="preserve"> prescription” program.</w:t>
      </w:r>
    </w:p>
    <w:p w14:paraId="6E751D08" w14:textId="67E05DC5"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Upgrade of infrastructure</w:t>
      </w:r>
      <w:r w:rsidR="26097C36" w:rsidRPr="00DE4E4F">
        <w:rPr>
          <w:rFonts w:ascii="Times New Roman" w:hAnsi="Times New Roman"/>
          <w:noProof/>
          <w:sz w:val="24"/>
          <w:szCs w:val="24"/>
        </w:rPr>
        <w:t xml:space="preserve"> and</w:t>
      </w:r>
      <w:r w:rsidR="00DE4C0C" w:rsidRPr="00DE4E4F">
        <w:rPr>
          <w:rFonts w:ascii="Times New Roman" w:hAnsi="Times New Roman"/>
          <w:noProof/>
          <w:sz w:val="24"/>
          <w:szCs w:val="24"/>
        </w:rPr>
        <w:t xml:space="preserve"> </w:t>
      </w:r>
      <w:r w:rsidRPr="00DE4E4F">
        <w:rPr>
          <w:rFonts w:ascii="Times New Roman" w:hAnsi="Times New Roman"/>
          <w:noProof/>
          <w:sz w:val="24"/>
          <w:szCs w:val="24"/>
        </w:rPr>
        <w:t>equipment</w:t>
      </w:r>
      <w:r w:rsidR="00DE4C0C" w:rsidRPr="00DE4E4F">
        <w:rPr>
          <w:rFonts w:ascii="Times New Roman" w:hAnsi="Times New Roman"/>
          <w:noProof/>
          <w:sz w:val="24"/>
          <w:szCs w:val="24"/>
        </w:rPr>
        <w:t xml:space="preserve"> </w:t>
      </w:r>
      <w:r w:rsidR="0AC732F6" w:rsidRPr="00DE4E4F">
        <w:rPr>
          <w:rFonts w:ascii="Times New Roman" w:hAnsi="Times New Roman"/>
          <w:noProof/>
          <w:sz w:val="24"/>
          <w:szCs w:val="24"/>
        </w:rPr>
        <w:t xml:space="preserve">of </w:t>
      </w:r>
      <w:r w:rsidRPr="00DE4E4F">
        <w:rPr>
          <w:rFonts w:ascii="Times New Roman" w:hAnsi="Times New Roman"/>
          <w:noProof/>
          <w:sz w:val="24"/>
          <w:szCs w:val="24"/>
        </w:rPr>
        <w:t xml:space="preserve">HOCRED </w:t>
      </w:r>
      <w:r w:rsidR="002D4647" w:rsidRPr="00DE4E4F">
        <w:rPr>
          <w:rFonts w:ascii="Times New Roman" w:hAnsi="Times New Roman"/>
          <w:noProof/>
          <w:sz w:val="24"/>
          <w:szCs w:val="24"/>
        </w:rPr>
        <w:t>s</w:t>
      </w:r>
      <w:r w:rsidRPr="00DE4E4F">
        <w:rPr>
          <w:rFonts w:ascii="Times New Roman" w:hAnsi="Times New Roman"/>
          <w:noProof/>
          <w:sz w:val="24"/>
          <w:szCs w:val="24"/>
        </w:rPr>
        <w:t>tores</w:t>
      </w:r>
      <w:r w:rsidR="00DE4C0C" w:rsidRPr="00DE4E4F">
        <w:rPr>
          <w:rFonts w:ascii="Times New Roman" w:hAnsi="Times New Roman"/>
          <w:noProof/>
          <w:sz w:val="24"/>
          <w:szCs w:val="24"/>
        </w:rPr>
        <w:t xml:space="preserve"> </w:t>
      </w:r>
      <w:r w:rsidRPr="00DE4E4F">
        <w:rPr>
          <w:rFonts w:ascii="Times New Roman" w:hAnsi="Times New Roman"/>
          <w:noProof/>
          <w:sz w:val="24"/>
          <w:szCs w:val="24"/>
        </w:rPr>
        <w:t>(measure ID 16536)</w:t>
      </w:r>
    </w:p>
    <w:p w14:paraId="1DE7A4BC" w14:textId="0B731148"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investment is to upgrade the quality of services provided by the Hellenic Organization of Cultural Resources Development (HOCRED) and expand the network of HOCRED stores. The investment comprises </w:t>
      </w:r>
      <w:r w:rsidR="3BA27075" w:rsidRPr="00DE4E4F">
        <w:rPr>
          <w:rFonts w:ascii="Times New Roman" w:hAnsi="Times New Roman"/>
          <w:noProof/>
          <w:sz w:val="24"/>
          <w:szCs w:val="24"/>
        </w:rPr>
        <w:t>upgrading the infrastructure and equipment of stores, including</w:t>
      </w:r>
      <w:r w:rsidRPr="00DE4E4F">
        <w:rPr>
          <w:rFonts w:ascii="Times New Roman" w:hAnsi="Times New Roman"/>
          <w:noProof/>
          <w:sz w:val="24"/>
          <w:szCs w:val="24"/>
        </w:rPr>
        <w:t xml:space="preserve"> energy efficiency </w:t>
      </w:r>
      <w:r w:rsidR="7286E7F1" w:rsidRPr="00DE4E4F">
        <w:rPr>
          <w:rFonts w:ascii="Times New Roman" w:hAnsi="Times New Roman"/>
          <w:noProof/>
          <w:sz w:val="24"/>
          <w:szCs w:val="24"/>
        </w:rPr>
        <w:t>renovations</w:t>
      </w:r>
      <w:r w:rsidR="003C6230" w:rsidRPr="00DE4E4F">
        <w:rPr>
          <w:rFonts w:ascii="Times New Roman" w:hAnsi="Times New Roman"/>
          <w:noProof/>
          <w:sz w:val="24"/>
          <w:szCs w:val="24"/>
        </w:rPr>
        <w:t xml:space="preserve"> in certain stores</w:t>
      </w:r>
      <w:r w:rsidR="6BFA9B34" w:rsidRPr="00DE4E4F">
        <w:rPr>
          <w:rFonts w:ascii="Times New Roman" w:hAnsi="Times New Roman"/>
          <w:noProof/>
          <w:sz w:val="24"/>
          <w:szCs w:val="24"/>
        </w:rPr>
        <w:t xml:space="preserve">. </w:t>
      </w:r>
    </w:p>
    <w:p w14:paraId="5AA7784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Protection of cultural monuments and archaeological sites from climate change (measure ID 16433)</w:t>
      </w:r>
    </w:p>
    <w:p w14:paraId="65BDBCD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objective of the investment is to protect Greece’s cultural heritage and improve its resilience to climate change. The investment consists of protection works and climate change adaption plans.</w:t>
      </w:r>
    </w:p>
    <w:p w14:paraId="3B0272C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Upgrading higher arts education (measure ID 16725)</w:t>
      </w:r>
    </w:p>
    <w:p w14:paraId="67F9FAA2" w14:textId="406A0DC4"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investment is to upgrade public higher art education institutions in Greece. It consists of upgrades of the physical and technical infrastructure of institutions, and it is accompanied by</w:t>
      </w:r>
      <w:r w:rsidR="00DE4C0C" w:rsidRPr="00DE4E4F">
        <w:rPr>
          <w:rFonts w:ascii="Times New Roman" w:hAnsi="Times New Roman"/>
          <w:noProof/>
          <w:sz w:val="24"/>
          <w:szCs w:val="24"/>
        </w:rPr>
        <w:t xml:space="preserve"> </w:t>
      </w:r>
      <w:r w:rsidR="3232807C" w:rsidRPr="00DE4E4F">
        <w:rPr>
          <w:rFonts w:ascii="Times New Roman" w:hAnsi="Times New Roman"/>
          <w:noProof/>
          <w:sz w:val="24"/>
          <w:szCs w:val="24"/>
        </w:rPr>
        <w:t xml:space="preserve">updated </w:t>
      </w:r>
      <w:r w:rsidR="544A6FAC" w:rsidRPr="00DE4E4F">
        <w:rPr>
          <w:rFonts w:ascii="Times New Roman" w:hAnsi="Times New Roman"/>
          <w:noProof/>
          <w:sz w:val="24"/>
          <w:szCs w:val="24"/>
        </w:rPr>
        <w:t>certification</w:t>
      </w:r>
      <w:r w:rsidR="33D90C96" w:rsidRPr="00DE4E4F">
        <w:rPr>
          <w:rFonts w:ascii="Times New Roman" w:hAnsi="Times New Roman"/>
          <w:noProof/>
          <w:sz w:val="24"/>
          <w:szCs w:val="24"/>
        </w:rPr>
        <w:t xml:space="preserve"> for </w:t>
      </w:r>
      <w:r w:rsidR="3232807C" w:rsidRPr="00DE4E4F">
        <w:rPr>
          <w:rFonts w:ascii="Times New Roman" w:hAnsi="Times New Roman"/>
          <w:noProof/>
          <w:sz w:val="24"/>
          <w:szCs w:val="24"/>
        </w:rPr>
        <w:t xml:space="preserve">13 undergraduate art </w:t>
      </w:r>
      <w:r w:rsidR="00BA2234" w:rsidRPr="00DE4E4F">
        <w:rPr>
          <w:rFonts w:ascii="Times New Roman" w:hAnsi="Times New Roman"/>
          <w:noProof/>
          <w:sz w:val="24"/>
          <w:szCs w:val="24"/>
        </w:rPr>
        <w:t>degree</w:t>
      </w:r>
      <w:r w:rsidR="3232807C" w:rsidRPr="00DE4E4F">
        <w:rPr>
          <w:rFonts w:ascii="Times New Roman" w:hAnsi="Times New Roman"/>
          <w:noProof/>
          <w:sz w:val="24"/>
          <w:szCs w:val="24"/>
        </w:rPr>
        <w:t xml:space="preserve"> programmes, whose </w:t>
      </w:r>
      <w:r w:rsidR="537F1F76" w:rsidRPr="00DE4E4F">
        <w:rPr>
          <w:rFonts w:ascii="Times New Roman" w:hAnsi="Times New Roman"/>
          <w:noProof/>
          <w:sz w:val="24"/>
          <w:szCs w:val="24"/>
        </w:rPr>
        <w:t xml:space="preserve">certification </w:t>
      </w:r>
      <w:r w:rsidR="3232807C" w:rsidRPr="00DE4E4F">
        <w:rPr>
          <w:rFonts w:ascii="Times New Roman" w:hAnsi="Times New Roman"/>
          <w:noProof/>
          <w:sz w:val="24"/>
          <w:szCs w:val="24"/>
        </w:rPr>
        <w:t>expires by, or on,</w:t>
      </w:r>
      <w:r w:rsidR="33D90C96" w:rsidRPr="00DE4E4F">
        <w:rPr>
          <w:rFonts w:ascii="Times New Roman" w:hAnsi="Times New Roman"/>
          <w:noProof/>
          <w:sz w:val="24"/>
          <w:szCs w:val="24"/>
        </w:rPr>
        <w:t xml:space="preserve"> 30 June 2026</w:t>
      </w:r>
      <w:r w:rsidRPr="00DE4E4F">
        <w:rPr>
          <w:rFonts w:ascii="Times New Roman" w:hAnsi="Times New Roman"/>
          <w:noProof/>
          <w:sz w:val="24"/>
          <w:szCs w:val="24"/>
        </w:rPr>
        <w:t xml:space="preserve">. </w:t>
      </w:r>
    </w:p>
    <w:p w14:paraId="7C10F77C" w14:textId="61309836"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Cultural Routes at Archaeological Sites and Monuments (measure ID 16485)</w:t>
      </w:r>
    </w:p>
    <w:p w14:paraId="31F339B2" w14:textId="2560995C"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This investment aims to develop five cultural routes with thematic narratives covering periods of Greek history. The investment comprises the preservation and restoration of selected monuments, the upgrade of infrastructure, and interactive digital applications.</w:t>
      </w:r>
    </w:p>
    <w:p w14:paraId="5AF93FF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Restoration – Conservation – Enhancement of the Acropolis Monuments (measure ID 16435)</w:t>
      </w:r>
    </w:p>
    <w:p w14:paraId="27190DC7"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investment is to protect the Acropolis of Athens monuments against climate change. It consists of restoration and visitor accessibility works.</w:t>
      </w:r>
    </w:p>
    <w:p w14:paraId="0732539A"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Tourism Development (measure ID 16931)</w:t>
      </w:r>
    </w:p>
    <w:p w14:paraId="30BDF949"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rPr>
        <w:t>The objective of the investment is to extend the tourism season in Greece beyond the summer months and promote alternative forms of tourism. The investment consists of actions to upgrade touristic ports and of green and blue development actions.</w:t>
      </w:r>
    </w:p>
    <w:p w14:paraId="0311442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Reskilling and Upskilling in Tourism (measure ID 16921)</w:t>
      </w:r>
    </w:p>
    <w:p w14:paraId="487075D1" w14:textId="517BAD5D"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the investment is to enhance the skills of Greece’s labour force in the tourism sector</w:t>
      </w:r>
      <w:r w:rsidR="00952AC6" w:rsidRPr="00DE4E4F">
        <w:rPr>
          <w:rFonts w:ascii="Times New Roman" w:hAnsi="Times New Roman"/>
          <w:noProof/>
          <w:sz w:val="24"/>
          <w:szCs w:val="24"/>
        </w:rPr>
        <w:t xml:space="preserve"> by upskilling and reskilling seasonal workers, the long unemployed, and the employed whose labour contract was suspended during the Covid-19 pandemic</w:t>
      </w:r>
      <w:r w:rsidRPr="00DE4E4F">
        <w:rPr>
          <w:rFonts w:ascii="Times New Roman" w:hAnsi="Times New Roman"/>
          <w:noProof/>
          <w:sz w:val="24"/>
          <w:szCs w:val="24"/>
        </w:rPr>
        <w:t xml:space="preserve">. </w:t>
      </w:r>
      <w:r w:rsidR="00DE2043" w:rsidRPr="00DE4E4F">
        <w:rPr>
          <w:rFonts w:ascii="Times New Roman" w:hAnsi="Times New Roman"/>
          <w:noProof/>
          <w:sz w:val="24"/>
          <w:szCs w:val="24"/>
        </w:rPr>
        <w:t>The investment</w:t>
      </w:r>
      <w:r w:rsidR="00DE4C0C" w:rsidRPr="00DE4E4F">
        <w:rPr>
          <w:rFonts w:ascii="Times New Roman" w:hAnsi="Times New Roman"/>
          <w:noProof/>
          <w:sz w:val="24"/>
          <w:szCs w:val="24"/>
        </w:rPr>
        <w:t xml:space="preserve"> </w:t>
      </w:r>
      <w:r w:rsidR="3F92BF0F" w:rsidRPr="00DE4E4F">
        <w:rPr>
          <w:rFonts w:ascii="Times New Roman" w:eastAsia="Times New Roman" w:hAnsi="Times New Roman" w:cs="Times New Roman"/>
          <w:noProof/>
          <w:sz w:val="24"/>
          <w:szCs w:val="24"/>
        </w:rPr>
        <w:t>consists in</w:t>
      </w:r>
      <w:r w:rsidR="00DE2043" w:rsidRPr="00DE4E4F">
        <w:rPr>
          <w:rFonts w:ascii="Times New Roman" w:hAnsi="Times New Roman"/>
          <w:noProof/>
          <w:sz w:val="24"/>
          <w:szCs w:val="24"/>
        </w:rPr>
        <w:t xml:space="preserve"> training </w:t>
      </w:r>
      <w:r w:rsidR="003E2710" w:rsidRPr="00DE4E4F">
        <w:rPr>
          <w:rFonts w:ascii="Times New Roman" w:hAnsi="Times New Roman"/>
          <w:noProof/>
          <w:sz w:val="24"/>
          <w:szCs w:val="24"/>
        </w:rPr>
        <w:t>programmes</w:t>
      </w:r>
      <w:r w:rsidR="00DE2043" w:rsidRPr="00DE4E4F">
        <w:rPr>
          <w:rFonts w:ascii="Times New Roman" w:hAnsi="Times New Roman"/>
          <w:noProof/>
          <w:sz w:val="24"/>
          <w:szCs w:val="24"/>
        </w:rPr>
        <w:t xml:space="preserve"> for at least 18 000 participants.</w:t>
      </w:r>
      <w:r w:rsidR="00DE2043" w:rsidRPr="00DE4E4F" w:rsidDel="00DE2043">
        <w:rPr>
          <w:rFonts w:ascii="Times New Roman" w:hAnsi="Times New Roman"/>
          <w:noProof/>
          <w:sz w:val="24"/>
          <w:szCs w:val="24"/>
        </w:rPr>
        <w:t xml:space="preserve"> </w:t>
      </w:r>
    </w:p>
    <w:p w14:paraId="1D64B11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Industrial Parks (measure ID 16634)</w:t>
      </w:r>
    </w:p>
    <w:p w14:paraId="3AEB7C61"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measure is to promote investments in industrial parks. The investment consists of financial assistance for parks’ infrastructure and for electricity transmission stations to serve the parks, and a reform of the regulatory framework for industrial parks.</w:t>
      </w:r>
    </w:p>
    <w:p w14:paraId="770F5CB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Investment:</w:t>
      </w:r>
      <w:r w:rsidRPr="00DE4E4F">
        <w:rPr>
          <w:rFonts w:ascii="Times New Roman" w:hAnsi="Times New Roman"/>
          <w:noProof/>
          <w:sz w:val="24"/>
          <w:szCs w:val="24"/>
        </w:rPr>
        <w:t xml:space="preserve"> Acceleration of smart manufacturing (measure ID 16721)</w:t>
      </w:r>
    </w:p>
    <w:p w14:paraId="2364E3A0"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measure is to promote investments in the manufacturing sector. The investment comprises financial support for small and medium-sized enterprises in the industrial sector to upgrade their manufacturing equipment and infrastructure with smart technologies with a low environmental impact. </w:t>
      </w:r>
    </w:p>
    <w:p w14:paraId="707D307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Economic transformation of the Agricultural and Aquaculture Sectors (measure ID 16626)</w:t>
      </w:r>
    </w:p>
    <w:p w14:paraId="0DB82530" w14:textId="2AC679F0"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objective of the investment is to boost development of the agricultural and aquaculture sectors in Greece. The investment consists of </w:t>
      </w:r>
      <w:r w:rsidR="031A5C46" w:rsidRPr="00DE4E4F">
        <w:rPr>
          <w:rFonts w:ascii="Times New Roman" w:hAnsi="Times New Roman"/>
          <w:noProof/>
          <w:sz w:val="24"/>
          <w:szCs w:val="24"/>
        </w:rPr>
        <w:t>225</w:t>
      </w:r>
      <w:r w:rsidRPr="00DE4E4F">
        <w:rPr>
          <w:rFonts w:ascii="Times New Roman" w:hAnsi="Times New Roman"/>
          <w:noProof/>
          <w:sz w:val="24"/>
          <w:szCs w:val="24"/>
        </w:rPr>
        <w:t xml:space="preserve"> projects.</w:t>
      </w:r>
    </w:p>
    <w:p w14:paraId="6C77568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Digital Transformation of the Agri-Food Sector (measure ID 16653)</w:t>
      </w:r>
    </w:p>
    <w:p w14:paraId="393EC2A5"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this investment is to facilitate the adoption of innovative technologies in the Greek agriculture sector, the control of Greek product counterfeiting, Greek food products, create new agri-food knowledge in Greece. The investment consists of a project on the digital transformation of the agricultural sector, and a project on outward looking agriculture. </w:t>
      </w:r>
    </w:p>
    <w:p w14:paraId="37BE12E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Upgrade Interventions for Regional Ports (measure ID 16975)</w:t>
      </w:r>
    </w:p>
    <w:p w14:paraId="11E6FA89"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investment is to boost economic development in regional ports. The measure consists in construction of infrastructure works in 13 ports.</w:t>
      </w:r>
    </w:p>
    <w:p w14:paraId="65262778"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Master plan for the renewal of the Greek passenger shipping fleet (measure ID 16944)</w:t>
      </w:r>
    </w:p>
    <w:p w14:paraId="03C50E4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investment is to contribute to the green transition of passenger shipping in Greece. The measure consists in the preparation of a study and master plan for the renewal of the country's passenger shipping fleet.</w:t>
      </w:r>
    </w:p>
    <w:p w14:paraId="39C23C1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Organisational reform in the railways sector (measure ID 16982)</w:t>
      </w:r>
    </w:p>
    <w:p w14:paraId="6B875CCC"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reform is to make the Greek rail sector more safe, efficient, integrated, modern and responsive to customer demand. The measure consists in legal and organisational reforms.</w:t>
      </w:r>
    </w:p>
    <w:p w14:paraId="42FFEB4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szCs w:val="24"/>
        </w:rPr>
        <w:t>Reform:</w:t>
      </w:r>
      <w:r w:rsidRPr="00DE4E4F">
        <w:rPr>
          <w:rFonts w:ascii="Times New Roman" w:hAnsi="Times New Roman"/>
          <w:noProof/>
          <w:sz w:val="24"/>
          <w:szCs w:val="24"/>
        </w:rPr>
        <w:t xml:space="preserve"> Amendment of the legal framework for the attraction of strategic investment (measure ID 16593)</w:t>
      </w:r>
    </w:p>
    <w:p w14:paraId="6EF1F5A8"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reform is to promote Greece as an attractive destination to potential investors. The reform consists of revising and consolidating the legal framework for the attraction of strategic investments, and creating a new category of strategic investments (‘Emblematic Investments of Great Significance’) with additional incentives, and offering financial incentives to these. </w:t>
      </w:r>
    </w:p>
    <w:p w14:paraId="536A1954" w14:textId="77777777" w:rsidR="001B186F" w:rsidRPr="00DE4E4F" w:rsidRDefault="001B186F">
      <w:pPr>
        <w:spacing w:before="120" w:after="120" w:line="240" w:lineRule="auto"/>
        <w:jc w:val="both"/>
        <w:rPr>
          <w:rFonts w:ascii="Times New Roman" w:hAnsi="Times New Roman" w:cs="Times New Roman"/>
          <w:b/>
          <w:noProof/>
          <w:sz w:val="24"/>
          <w:u w:val="single"/>
        </w:rPr>
      </w:pPr>
    </w:p>
    <w:p w14:paraId="285A898D"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30"/>
          <w:headerReference w:type="default" r:id="rId331"/>
          <w:footerReference w:type="even" r:id="rId332"/>
          <w:footerReference w:type="default" r:id="rId333"/>
          <w:headerReference w:type="first" r:id="rId334"/>
          <w:footerReference w:type="first" r:id="rId335"/>
          <w:pgSz w:w="11906" w:h="16838"/>
          <w:pgMar w:top="1134" w:right="1134" w:bottom="1134" w:left="1134" w:header="567" w:footer="567" w:gutter="0"/>
          <w:cols w:space="708"/>
          <w:docGrid w:linePitch="360"/>
        </w:sectPr>
      </w:pPr>
    </w:p>
    <w:p w14:paraId="345BBE7D" w14:textId="77777777" w:rsidR="001B186F" w:rsidRPr="00DE4E4F" w:rsidRDefault="0074517F">
      <w:pPr>
        <w:spacing w:before="120" w:after="120" w:line="240" w:lineRule="auto"/>
        <w:jc w:val="both"/>
        <w:rPr>
          <w:rFonts w:ascii="Times New Roman" w:hAnsi="Times New Roman"/>
          <w:b/>
          <w:noProof/>
          <w:sz w:val="24"/>
          <w:u w:val="single"/>
        </w:rPr>
      </w:pPr>
      <w:r w:rsidRPr="00DE4E4F">
        <w:rPr>
          <w:rFonts w:ascii="Times New Roman" w:hAnsi="Times New Roman"/>
          <w:b/>
          <w:noProof/>
          <w:sz w:val="24"/>
          <w:u w:val="single"/>
        </w:rPr>
        <w:t>Q.2. Milestones, targets, indicators, and timetable for monitoring and implementation for non-repayable financial support</w:t>
      </w:r>
      <w:r w:rsidRPr="00DE4E4F">
        <w:rPr>
          <w:rFonts w:ascii="Times New Roman" w:hAnsi="Times New Roman"/>
          <w:b/>
          <w:noProof/>
          <w:color w:val="2B579A"/>
          <w:sz w:val="24"/>
          <w:u w:val="single"/>
          <w:shd w:val="clear" w:color="auto" w:fill="E6E6E6"/>
        </w:rPr>
        <w:t xml:space="preserve"> </w:t>
      </w:r>
    </w:p>
    <w:p w14:paraId="3EA79A33" w14:textId="77777777" w:rsidR="001B186F" w:rsidRPr="00DE4E4F" w:rsidRDefault="0074517F">
      <w:pPr>
        <w:keepNext/>
        <w:keepLines/>
        <w:spacing w:before="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Top Investment 6: Central Greece Highway E-65: Trikala- Egnatia Section</w:t>
      </w:r>
    </w:p>
    <w:tbl>
      <w:tblPr>
        <w:tblW w:w="15354" w:type="dxa"/>
        <w:jc w:val="center"/>
        <w:tblLook w:val="04A0" w:firstRow="1" w:lastRow="0" w:firstColumn="1" w:lastColumn="0" w:noHBand="0" w:noVBand="1"/>
      </w:tblPr>
      <w:tblGrid>
        <w:gridCol w:w="542"/>
        <w:gridCol w:w="1732"/>
        <w:gridCol w:w="1061"/>
        <w:gridCol w:w="1137"/>
        <w:gridCol w:w="1713"/>
        <w:gridCol w:w="1230"/>
        <w:gridCol w:w="857"/>
        <w:gridCol w:w="946"/>
        <w:gridCol w:w="1440"/>
        <w:gridCol w:w="1096"/>
        <w:gridCol w:w="3600"/>
      </w:tblGrid>
      <w:tr w:rsidR="00682269" w:rsidRPr="00DE4E4F" w14:paraId="2FDDF459" w14:textId="77777777">
        <w:trPr>
          <w:trHeight w:val="810"/>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D379B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7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F1E7A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10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0E10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1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D506C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7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720691" w14:textId="4B03A482"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w:t>
            </w:r>
            <w:r w:rsidR="00DE4C0C" w:rsidRPr="00DE4E4F">
              <w:rPr>
                <w:rFonts w:ascii="Times New Roman" w:hAnsi="Times New Roman"/>
                <w:b/>
                <w:noProof/>
                <w:sz w:val="18"/>
              </w:rPr>
              <w:t xml:space="preserve"> </w:t>
            </w:r>
            <w:r w:rsidRPr="00DE4E4F">
              <w:rPr>
                <w:rFonts w:ascii="Times New Roman" w:hAnsi="Times New Roman"/>
                <w:b/>
                <w:noProof/>
                <w:sz w:val="18"/>
              </w:rPr>
              <w:t>(for milestones)</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572AF5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2536" w:type="dxa"/>
            <w:gridSpan w:val="2"/>
            <w:tcBorders>
              <w:top w:val="single" w:sz="4" w:space="0" w:color="auto"/>
              <w:left w:val="nil"/>
              <w:bottom w:val="single" w:sz="4" w:space="0" w:color="auto"/>
              <w:right w:val="single" w:sz="4" w:space="0" w:color="auto"/>
            </w:tcBorders>
            <w:shd w:val="clear" w:color="auto" w:fill="BDD7EE"/>
            <w:vAlign w:val="center"/>
            <w:hideMark/>
          </w:tcPr>
          <w:p w14:paraId="7BBD34B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49CD68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1E1589B3" w14:textId="77777777">
        <w:trPr>
          <w:trHeight w:val="440"/>
          <w:tblHeader/>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70F3B9D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12E7B0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61" w:type="dxa"/>
            <w:vMerge/>
            <w:tcBorders>
              <w:top w:val="single" w:sz="4" w:space="0" w:color="auto"/>
              <w:left w:val="single" w:sz="4" w:space="0" w:color="auto"/>
              <w:bottom w:val="single" w:sz="4" w:space="0" w:color="auto"/>
              <w:right w:val="single" w:sz="4" w:space="0" w:color="auto"/>
            </w:tcBorders>
            <w:vAlign w:val="center"/>
            <w:hideMark/>
          </w:tcPr>
          <w:p w14:paraId="7F336FD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7" w:type="dxa"/>
            <w:vMerge/>
            <w:tcBorders>
              <w:top w:val="single" w:sz="4" w:space="0" w:color="auto"/>
              <w:left w:val="single" w:sz="4" w:space="0" w:color="auto"/>
              <w:bottom w:val="single" w:sz="4" w:space="0" w:color="auto"/>
              <w:right w:val="single" w:sz="4" w:space="0" w:color="auto"/>
            </w:tcBorders>
            <w:vAlign w:val="center"/>
            <w:hideMark/>
          </w:tcPr>
          <w:p w14:paraId="7357A92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05015A2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EC059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857" w:type="dxa"/>
            <w:tcBorders>
              <w:top w:val="nil"/>
              <w:left w:val="nil"/>
              <w:bottom w:val="single" w:sz="4" w:space="0" w:color="auto"/>
              <w:right w:val="single" w:sz="4" w:space="0" w:color="auto"/>
            </w:tcBorders>
            <w:shd w:val="clear" w:color="auto" w:fill="BDD7EE"/>
            <w:vAlign w:val="center"/>
            <w:hideMark/>
          </w:tcPr>
          <w:p w14:paraId="3C9F955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946" w:type="dxa"/>
            <w:tcBorders>
              <w:top w:val="nil"/>
              <w:left w:val="nil"/>
              <w:bottom w:val="single" w:sz="4" w:space="0" w:color="auto"/>
              <w:right w:val="single" w:sz="4" w:space="0" w:color="auto"/>
            </w:tcBorders>
            <w:shd w:val="clear" w:color="auto" w:fill="BDD7EE"/>
            <w:vAlign w:val="center"/>
            <w:hideMark/>
          </w:tcPr>
          <w:p w14:paraId="51315E3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1440" w:type="dxa"/>
            <w:tcBorders>
              <w:top w:val="nil"/>
              <w:left w:val="nil"/>
              <w:bottom w:val="single" w:sz="4" w:space="0" w:color="auto"/>
              <w:right w:val="single" w:sz="4" w:space="0" w:color="auto"/>
            </w:tcBorders>
            <w:shd w:val="clear" w:color="auto" w:fill="BDD7EE"/>
            <w:vAlign w:val="center"/>
            <w:hideMark/>
          </w:tcPr>
          <w:p w14:paraId="6DF8002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1096" w:type="dxa"/>
            <w:tcBorders>
              <w:top w:val="nil"/>
              <w:left w:val="nil"/>
              <w:bottom w:val="single" w:sz="4" w:space="0" w:color="auto"/>
              <w:right w:val="single" w:sz="4" w:space="0" w:color="auto"/>
            </w:tcBorders>
            <w:shd w:val="clear" w:color="auto" w:fill="BDD7EE"/>
            <w:vAlign w:val="center"/>
            <w:hideMark/>
          </w:tcPr>
          <w:p w14:paraId="5E2ABD6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600" w:type="dxa"/>
            <w:vMerge/>
            <w:tcBorders>
              <w:top w:val="single" w:sz="4" w:space="0" w:color="auto"/>
              <w:bottom w:val="single" w:sz="4" w:space="0" w:color="auto"/>
              <w:right w:val="single" w:sz="4" w:space="0" w:color="auto"/>
            </w:tcBorders>
            <w:vAlign w:val="center"/>
            <w:hideMark/>
          </w:tcPr>
          <w:p w14:paraId="28B0B4D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1E382C2C" w14:textId="77777777">
        <w:trPr>
          <w:trHeight w:val="313"/>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tcPr>
          <w:p w14:paraId="3B504E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254</w:t>
            </w:r>
          </w:p>
        </w:tc>
        <w:tc>
          <w:tcPr>
            <w:tcW w:w="1732" w:type="dxa"/>
            <w:tcBorders>
              <w:top w:val="single" w:sz="4" w:space="0" w:color="auto"/>
              <w:left w:val="nil"/>
              <w:bottom w:val="single" w:sz="4" w:space="0" w:color="auto"/>
              <w:right w:val="single" w:sz="4" w:space="0" w:color="auto"/>
            </w:tcBorders>
            <w:shd w:val="clear" w:color="auto" w:fill="C6EFCE"/>
            <w:noWrap/>
          </w:tcPr>
          <w:p w14:paraId="12DAA0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17 - 4.6. Modernise and improve resilience of key economic sectors - 16628_Central Greece Highway E-65: Trikala- Egnatia Section</w:t>
            </w:r>
          </w:p>
        </w:tc>
        <w:tc>
          <w:tcPr>
            <w:tcW w:w="1061" w:type="dxa"/>
            <w:tcBorders>
              <w:top w:val="single" w:sz="4" w:space="0" w:color="auto"/>
              <w:left w:val="nil"/>
              <w:bottom w:val="single" w:sz="4" w:space="0" w:color="auto"/>
              <w:right w:val="single" w:sz="4" w:space="0" w:color="auto"/>
            </w:tcBorders>
            <w:shd w:val="clear" w:color="auto" w:fill="C6EFCE"/>
            <w:noWrap/>
          </w:tcPr>
          <w:p w14:paraId="6850CA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Milestone</w:t>
            </w:r>
          </w:p>
        </w:tc>
        <w:tc>
          <w:tcPr>
            <w:tcW w:w="1137" w:type="dxa"/>
            <w:tcBorders>
              <w:top w:val="single" w:sz="4" w:space="0" w:color="auto"/>
              <w:left w:val="nil"/>
              <w:bottom w:val="single" w:sz="4" w:space="0" w:color="auto"/>
              <w:right w:val="single" w:sz="4" w:space="0" w:color="auto"/>
            </w:tcBorders>
            <w:shd w:val="clear" w:color="auto" w:fill="C6EFCE"/>
            <w:noWrap/>
          </w:tcPr>
          <w:p w14:paraId="7E6264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Start of construction works in E-65</w:t>
            </w:r>
          </w:p>
        </w:tc>
        <w:tc>
          <w:tcPr>
            <w:tcW w:w="1713" w:type="dxa"/>
            <w:tcBorders>
              <w:top w:val="single" w:sz="4" w:space="0" w:color="auto"/>
              <w:left w:val="nil"/>
              <w:bottom w:val="single" w:sz="4" w:space="0" w:color="auto"/>
              <w:right w:val="single" w:sz="4" w:space="0" w:color="auto"/>
            </w:tcBorders>
            <w:shd w:val="clear" w:color="auto" w:fill="C6EFCE"/>
            <w:noWrap/>
          </w:tcPr>
          <w:p w14:paraId="1FC2D2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Report by an independent engineer ratified by Ministry of Infrastructure</w:t>
            </w:r>
          </w:p>
        </w:tc>
        <w:tc>
          <w:tcPr>
            <w:tcW w:w="1230" w:type="dxa"/>
            <w:tcBorders>
              <w:top w:val="single" w:sz="4" w:space="0" w:color="auto"/>
              <w:left w:val="nil"/>
              <w:bottom w:val="single" w:sz="4" w:space="0" w:color="auto"/>
              <w:right w:val="single" w:sz="4" w:space="0" w:color="auto"/>
            </w:tcBorders>
            <w:shd w:val="clear" w:color="auto" w:fill="C6EFCE"/>
            <w:noWrap/>
          </w:tcPr>
          <w:p w14:paraId="100085F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tcPr>
          <w:p w14:paraId="7F1F9D9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46" w:type="dxa"/>
            <w:tcBorders>
              <w:top w:val="nil"/>
              <w:left w:val="nil"/>
              <w:bottom w:val="single" w:sz="4" w:space="0" w:color="auto"/>
              <w:right w:val="single" w:sz="4" w:space="0" w:color="auto"/>
            </w:tcBorders>
            <w:shd w:val="clear" w:color="auto" w:fill="C6EFCE"/>
            <w:noWrap/>
          </w:tcPr>
          <w:p w14:paraId="7AED42F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40" w:type="dxa"/>
            <w:tcBorders>
              <w:top w:val="nil"/>
              <w:left w:val="nil"/>
              <w:bottom w:val="single" w:sz="4" w:space="0" w:color="auto"/>
              <w:right w:val="single" w:sz="4" w:space="0" w:color="auto"/>
            </w:tcBorders>
            <w:shd w:val="clear" w:color="auto" w:fill="C6EFCE"/>
            <w:noWrap/>
          </w:tcPr>
          <w:p w14:paraId="7B2E85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Q2</w:t>
            </w:r>
          </w:p>
        </w:tc>
        <w:tc>
          <w:tcPr>
            <w:tcW w:w="1096" w:type="dxa"/>
            <w:tcBorders>
              <w:top w:val="nil"/>
              <w:left w:val="nil"/>
              <w:bottom w:val="single" w:sz="4" w:space="0" w:color="auto"/>
              <w:right w:val="single" w:sz="4" w:space="0" w:color="auto"/>
            </w:tcBorders>
            <w:shd w:val="clear" w:color="auto" w:fill="C6EFCE"/>
            <w:noWrap/>
          </w:tcPr>
          <w:p w14:paraId="42B6DC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2022</w:t>
            </w:r>
          </w:p>
        </w:tc>
        <w:tc>
          <w:tcPr>
            <w:tcW w:w="3600" w:type="dxa"/>
            <w:tcBorders>
              <w:top w:val="single" w:sz="4" w:space="0" w:color="auto"/>
              <w:left w:val="nil"/>
              <w:bottom w:val="single" w:sz="4" w:space="0" w:color="auto"/>
              <w:right w:val="single" w:sz="4" w:space="0" w:color="auto"/>
            </w:tcBorders>
            <w:shd w:val="clear" w:color="auto" w:fill="C6EFCE"/>
            <w:noWrap/>
          </w:tcPr>
          <w:p w14:paraId="7C2478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Start of construction works for the E-65 Central Greece Highway: Trikala- Egnatia</w:t>
            </w:r>
          </w:p>
        </w:tc>
      </w:tr>
      <w:tr w:rsidR="00682269" w:rsidRPr="00DE4E4F" w14:paraId="6CACD57B" w14:textId="77777777">
        <w:trPr>
          <w:trHeight w:val="313"/>
          <w:jc w:val="center"/>
        </w:trPr>
        <w:tc>
          <w:tcPr>
            <w:tcW w:w="542" w:type="dxa"/>
            <w:tcBorders>
              <w:top w:val="nil"/>
              <w:left w:val="single" w:sz="4" w:space="0" w:color="auto"/>
              <w:bottom w:val="single" w:sz="4" w:space="0" w:color="auto"/>
              <w:right w:val="single" w:sz="4" w:space="0" w:color="auto"/>
            </w:tcBorders>
            <w:shd w:val="clear" w:color="auto" w:fill="C6EFCE"/>
            <w:noWrap/>
            <w:hideMark/>
          </w:tcPr>
          <w:p w14:paraId="6C035B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256</w:t>
            </w:r>
          </w:p>
        </w:tc>
        <w:tc>
          <w:tcPr>
            <w:tcW w:w="1732" w:type="dxa"/>
            <w:tcBorders>
              <w:top w:val="nil"/>
              <w:left w:val="nil"/>
              <w:bottom w:val="single" w:sz="4" w:space="0" w:color="auto"/>
              <w:right w:val="single" w:sz="4" w:space="0" w:color="auto"/>
            </w:tcBorders>
            <w:shd w:val="clear" w:color="auto" w:fill="C6EFCE"/>
            <w:noWrap/>
            <w:hideMark/>
          </w:tcPr>
          <w:p w14:paraId="57D0296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 17 - 4.6. Modernise and improve resilience of key economic sectors - 16628_Central Greece Highway E-65: Trikala- Egnatia Section</w:t>
            </w:r>
          </w:p>
        </w:tc>
        <w:tc>
          <w:tcPr>
            <w:tcW w:w="1061" w:type="dxa"/>
            <w:tcBorders>
              <w:top w:val="nil"/>
              <w:left w:val="nil"/>
              <w:bottom w:val="single" w:sz="4" w:space="0" w:color="auto"/>
              <w:right w:val="single" w:sz="4" w:space="0" w:color="auto"/>
            </w:tcBorders>
            <w:shd w:val="clear" w:color="auto" w:fill="C6EFCE"/>
            <w:noWrap/>
            <w:hideMark/>
          </w:tcPr>
          <w:p w14:paraId="67D0F9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Milestone</w:t>
            </w:r>
          </w:p>
        </w:tc>
        <w:tc>
          <w:tcPr>
            <w:tcW w:w="1137" w:type="dxa"/>
            <w:tcBorders>
              <w:top w:val="nil"/>
              <w:left w:val="nil"/>
              <w:bottom w:val="single" w:sz="4" w:space="0" w:color="auto"/>
              <w:right w:val="single" w:sz="4" w:space="0" w:color="auto"/>
            </w:tcBorders>
            <w:shd w:val="clear" w:color="auto" w:fill="C6EFCE"/>
            <w:noWrap/>
            <w:hideMark/>
          </w:tcPr>
          <w:p w14:paraId="570C46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E-65 works — completion</w:t>
            </w:r>
          </w:p>
        </w:tc>
        <w:tc>
          <w:tcPr>
            <w:tcW w:w="1713" w:type="dxa"/>
            <w:tcBorders>
              <w:top w:val="nil"/>
              <w:left w:val="nil"/>
              <w:bottom w:val="single" w:sz="4" w:space="0" w:color="auto"/>
              <w:right w:val="single" w:sz="4" w:space="0" w:color="auto"/>
            </w:tcBorders>
            <w:shd w:val="clear" w:color="auto" w:fill="C6EFCE"/>
            <w:noWrap/>
            <w:hideMark/>
          </w:tcPr>
          <w:p w14:paraId="0CED0D3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Construction works executed on the Trikala-Egnatia Section of E-65 Motorway necessary for the functioning of the motorway</w:t>
            </w:r>
          </w:p>
        </w:tc>
        <w:tc>
          <w:tcPr>
            <w:tcW w:w="1230" w:type="dxa"/>
            <w:tcBorders>
              <w:top w:val="nil"/>
              <w:left w:val="nil"/>
              <w:bottom w:val="single" w:sz="4" w:space="0" w:color="auto"/>
              <w:right w:val="single" w:sz="4" w:space="0" w:color="auto"/>
            </w:tcBorders>
            <w:shd w:val="clear" w:color="auto" w:fill="C6EFCE"/>
            <w:noWrap/>
            <w:hideMark/>
          </w:tcPr>
          <w:p w14:paraId="7D2164F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tcBorders>
              <w:top w:val="nil"/>
              <w:left w:val="nil"/>
              <w:bottom w:val="single" w:sz="4" w:space="0" w:color="auto"/>
              <w:right w:val="single" w:sz="4" w:space="0" w:color="auto"/>
            </w:tcBorders>
            <w:shd w:val="clear" w:color="auto" w:fill="C6EFCE"/>
            <w:noWrap/>
            <w:hideMark/>
          </w:tcPr>
          <w:p w14:paraId="052ABA4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46" w:type="dxa"/>
            <w:tcBorders>
              <w:top w:val="nil"/>
              <w:left w:val="nil"/>
              <w:bottom w:val="single" w:sz="4" w:space="0" w:color="auto"/>
              <w:right w:val="single" w:sz="4" w:space="0" w:color="auto"/>
            </w:tcBorders>
            <w:shd w:val="clear" w:color="auto" w:fill="C6EFCE"/>
            <w:noWrap/>
            <w:hideMark/>
          </w:tcPr>
          <w:p w14:paraId="53394DA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40" w:type="dxa"/>
            <w:tcBorders>
              <w:top w:val="nil"/>
              <w:left w:val="nil"/>
              <w:bottom w:val="single" w:sz="4" w:space="0" w:color="auto"/>
              <w:right w:val="single" w:sz="4" w:space="0" w:color="auto"/>
            </w:tcBorders>
            <w:shd w:val="clear" w:color="auto" w:fill="C6EFCE"/>
            <w:noWrap/>
            <w:hideMark/>
          </w:tcPr>
          <w:p w14:paraId="5865A0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Q4</w:t>
            </w:r>
          </w:p>
        </w:tc>
        <w:tc>
          <w:tcPr>
            <w:tcW w:w="1096" w:type="dxa"/>
            <w:tcBorders>
              <w:top w:val="nil"/>
              <w:left w:val="nil"/>
              <w:bottom w:val="single" w:sz="4" w:space="0" w:color="auto"/>
              <w:right w:val="single" w:sz="4" w:space="0" w:color="auto"/>
            </w:tcBorders>
            <w:shd w:val="clear" w:color="auto" w:fill="C6EFCE"/>
            <w:noWrap/>
            <w:hideMark/>
          </w:tcPr>
          <w:p w14:paraId="4DC8EA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2025</w:t>
            </w:r>
          </w:p>
        </w:tc>
        <w:tc>
          <w:tcPr>
            <w:tcW w:w="3600" w:type="dxa"/>
            <w:tcBorders>
              <w:top w:val="nil"/>
              <w:left w:val="nil"/>
              <w:bottom w:val="single" w:sz="4" w:space="0" w:color="auto"/>
              <w:right w:val="single" w:sz="4" w:space="0" w:color="auto"/>
            </w:tcBorders>
            <w:shd w:val="clear" w:color="auto" w:fill="C6EFCE"/>
            <w:noWrap/>
            <w:hideMark/>
          </w:tcPr>
          <w:p w14:paraId="2FDA81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Construction works executed on the Trikala-Egnatia Section of E-65 Motorway necessary for the functioning of the motorway.</w:t>
            </w:r>
          </w:p>
        </w:tc>
      </w:tr>
    </w:tbl>
    <w:p w14:paraId="3D86CC84" w14:textId="77777777" w:rsidR="001B186F" w:rsidRPr="00DE4E4F" w:rsidRDefault="0074517F">
      <w:pPr>
        <w:keepNext/>
        <w:keepLines/>
        <w:spacing w:before="2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Top Investment 7: Road Safety Upgrade</w:t>
      </w:r>
    </w:p>
    <w:tbl>
      <w:tblPr>
        <w:tblW w:w="154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134"/>
        <w:gridCol w:w="1134"/>
        <w:gridCol w:w="1701"/>
        <w:gridCol w:w="1134"/>
        <w:gridCol w:w="992"/>
        <w:gridCol w:w="851"/>
        <w:gridCol w:w="1559"/>
        <w:gridCol w:w="992"/>
        <w:gridCol w:w="3686"/>
      </w:tblGrid>
      <w:tr w:rsidR="00682269" w:rsidRPr="00DE4E4F" w14:paraId="01A1F908" w14:textId="77777777" w:rsidTr="00A70121">
        <w:trPr>
          <w:trHeight w:val="835"/>
          <w:tblHeader/>
        </w:trPr>
        <w:tc>
          <w:tcPr>
            <w:tcW w:w="568" w:type="dxa"/>
            <w:vMerge w:val="restart"/>
            <w:shd w:val="clear" w:color="auto" w:fill="BDD7EE"/>
            <w:vAlign w:val="center"/>
            <w:hideMark/>
          </w:tcPr>
          <w:p w14:paraId="7760AF1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701" w:type="dxa"/>
            <w:vMerge w:val="restart"/>
            <w:shd w:val="clear" w:color="auto" w:fill="BDD7EE"/>
            <w:vAlign w:val="center"/>
            <w:hideMark/>
          </w:tcPr>
          <w:p w14:paraId="532A7FC4"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Related Measure </w:t>
            </w:r>
            <w:r w:rsidRPr="00DE4E4F">
              <w:rPr>
                <w:rFonts w:ascii="Times New Roman" w:hAnsi="Times New Roman"/>
                <w:b/>
                <w:noProof/>
                <w:sz w:val="18"/>
              </w:rPr>
              <w:br/>
              <w:t>(Reform or Investment)</w:t>
            </w:r>
          </w:p>
        </w:tc>
        <w:tc>
          <w:tcPr>
            <w:tcW w:w="1134" w:type="dxa"/>
            <w:vMerge w:val="restart"/>
            <w:shd w:val="clear" w:color="auto" w:fill="BDD7EE"/>
            <w:vAlign w:val="center"/>
            <w:hideMark/>
          </w:tcPr>
          <w:p w14:paraId="20745DD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134" w:type="dxa"/>
            <w:vMerge w:val="restart"/>
            <w:shd w:val="clear" w:color="auto" w:fill="BDD7EE"/>
            <w:vAlign w:val="center"/>
            <w:hideMark/>
          </w:tcPr>
          <w:p w14:paraId="2B40E09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701" w:type="dxa"/>
            <w:vMerge w:val="restart"/>
            <w:shd w:val="clear" w:color="auto" w:fill="BDD7EE"/>
            <w:vAlign w:val="center"/>
            <w:hideMark/>
          </w:tcPr>
          <w:p w14:paraId="72F3DDE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2977" w:type="dxa"/>
            <w:gridSpan w:val="3"/>
            <w:shd w:val="clear" w:color="auto" w:fill="BDD7EE"/>
            <w:vAlign w:val="center"/>
            <w:hideMark/>
          </w:tcPr>
          <w:p w14:paraId="109424AF"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2551" w:type="dxa"/>
            <w:gridSpan w:val="2"/>
            <w:shd w:val="clear" w:color="auto" w:fill="BDD7EE"/>
            <w:vAlign w:val="center"/>
            <w:hideMark/>
          </w:tcPr>
          <w:p w14:paraId="1E50118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686" w:type="dxa"/>
            <w:vMerge w:val="restart"/>
            <w:shd w:val="clear" w:color="auto" w:fill="BDD7EE"/>
            <w:vAlign w:val="center"/>
            <w:hideMark/>
          </w:tcPr>
          <w:p w14:paraId="00BD84F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53DDDF20" w14:textId="77777777" w:rsidTr="00A70121">
        <w:trPr>
          <w:trHeight w:val="594"/>
          <w:tblHeader/>
        </w:trPr>
        <w:tc>
          <w:tcPr>
            <w:tcW w:w="568" w:type="dxa"/>
            <w:vMerge/>
            <w:vAlign w:val="center"/>
            <w:hideMark/>
          </w:tcPr>
          <w:p w14:paraId="3DDB557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01" w:type="dxa"/>
            <w:vMerge/>
            <w:vAlign w:val="center"/>
            <w:hideMark/>
          </w:tcPr>
          <w:p w14:paraId="226A85F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6BA31EA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6BDB4A5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01" w:type="dxa"/>
            <w:vMerge/>
            <w:vAlign w:val="center"/>
            <w:hideMark/>
          </w:tcPr>
          <w:p w14:paraId="56C0315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shd w:val="clear" w:color="auto" w:fill="BDD7EE"/>
            <w:vAlign w:val="center"/>
            <w:hideMark/>
          </w:tcPr>
          <w:p w14:paraId="2631BDEF"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992" w:type="dxa"/>
            <w:shd w:val="clear" w:color="auto" w:fill="BDD7EE"/>
            <w:vAlign w:val="center"/>
            <w:hideMark/>
          </w:tcPr>
          <w:p w14:paraId="5D503FC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851" w:type="dxa"/>
            <w:shd w:val="clear" w:color="auto" w:fill="BDD7EE"/>
            <w:vAlign w:val="center"/>
            <w:hideMark/>
          </w:tcPr>
          <w:p w14:paraId="6AACB4B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1559" w:type="dxa"/>
            <w:shd w:val="clear" w:color="auto" w:fill="BDD7EE"/>
            <w:vAlign w:val="center"/>
            <w:hideMark/>
          </w:tcPr>
          <w:p w14:paraId="7E9D225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992" w:type="dxa"/>
            <w:shd w:val="clear" w:color="auto" w:fill="BDD7EE"/>
            <w:vAlign w:val="center"/>
            <w:hideMark/>
          </w:tcPr>
          <w:p w14:paraId="6D3AA82F"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686" w:type="dxa"/>
            <w:vMerge/>
            <w:vAlign w:val="center"/>
            <w:hideMark/>
          </w:tcPr>
          <w:p w14:paraId="7E5311C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A70121" w:rsidRPr="00DE4E4F" w14:paraId="573B1FB2" w14:textId="77777777" w:rsidTr="00A70121">
        <w:trPr>
          <w:trHeight w:val="313"/>
        </w:trPr>
        <w:tc>
          <w:tcPr>
            <w:tcW w:w="568" w:type="dxa"/>
            <w:shd w:val="clear" w:color="auto" w:fill="C6EFCE"/>
            <w:noWrap/>
          </w:tcPr>
          <w:p w14:paraId="01C5B4C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257</w:t>
            </w:r>
          </w:p>
        </w:tc>
        <w:tc>
          <w:tcPr>
            <w:tcW w:w="1701" w:type="dxa"/>
            <w:shd w:val="clear" w:color="auto" w:fill="C6EFCE"/>
            <w:noWrap/>
          </w:tcPr>
          <w:p w14:paraId="18B419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- 16631_Road Safety Upgrade</w:t>
            </w:r>
          </w:p>
        </w:tc>
        <w:tc>
          <w:tcPr>
            <w:tcW w:w="1134" w:type="dxa"/>
            <w:shd w:val="clear" w:color="auto" w:fill="C6EFCE"/>
            <w:noWrap/>
          </w:tcPr>
          <w:p w14:paraId="504A83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34" w:type="dxa"/>
            <w:shd w:val="clear" w:color="auto" w:fill="C6EFCE"/>
            <w:noWrap/>
          </w:tcPr>
          <w:p w14:paraId="559EF62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road safety – first batch of contracts</w:t>
            </w:r>
          </w:p>
        </w:tc>
        <w:tc>
          <w:tcPr>
            <w:tcW w:w="1701" w:type="dxa"/>
            <w:shd w:val="clear" w:color="auto" w:fill="C6EFCE"/>
            <w:noWrap/>
          </w:tcPr>
          <w:p w14:paraId="4E5729A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 for at least 2 300 locations.</w:t>
            </w:r>
          </w:p>
        </w:tc>
        <w:tc>
          <w:tcPr>
            <w:tcW w:w="1134" w:type="dxa"/>
            <w:shd w:val="clear" w:color="auto" w:fill="C6EFCE"/>
            <w:noWrap/>
          </w:tcPr>
          <w:p w14:paraId="00E6284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18A3737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190C5D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3A029DE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116FE84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686" w:type="dxa"/>
            <w:shd w:val="clear" w:color="auto" w:fill="C6EFCE"/>
            <w:noWrap/>
          </w:tcPr>
          <w:p w14:paraId="0D2ECB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Contracts awarded for at least 2 300 locations ensuring a) improvement of the road safety as part of the program “Road Safety Improvement Program (PEVOA)” on approximately 7 000 dangerous locations; b) minor improvements for the rest of 2 500 km</w:t>
            </w:r>
          </w:p>
        </w:tc>
      </w:tr>
      <w:tr w:rsidR="00A70121" w:rsidRPr="00DE4E4F" w14:paraId="31485F84" w14:textId="77777777" w:rsidTr="00A70121">
        <w:trPr>
          <w:trHeight w:val="313"/>
        </w:trPr>
        <w:tc>
          <w:tcPr>
            <w:tcW w:w="568" w:type="dxa"/>
            <w:shd w:val="clear" w:color="auto" w:fill="C6EFCE"/>
            <w:noWrap/>
          </w:tcPr>
          <w:p w14:paraId="123BC2C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258</w:t>
            </w:r>
          </w:p>
        </w:tc>
        <w:tc>
          <w:tcPr>
            <w:tcW w:w="1701" w:type="dxa"/>
            <w:shd w:val="clear" w:color="auto" w:fill="C6EFCE"/>
            <w:noWrap/>
          </w:tcPr>
          <w:p w14:paraId="19AB77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- 16631_Road Safety Upgrade</w:t>
            </w:r>
          </w:p>
        </w:tc>
        <w:tc>
          <w:tcPr>
            <w:tcW w:w="1134" w:type="dxa"/>
            <w:shd w:val="clear" w:color="auto" w:fill="C6EFCE"/>
            <w:noWrap/>
          </w:tcPr>
          <w:p w14:paraId="6207C5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34" w:type="dxa"/>
            <w:shd w:val="clear" w:color="auto" w:fill="C6EFCE"/>
            <w:noWrap/>
          </w:tcPr>
          <w:p w14:paraId="5F43C0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road safety – all contracts</w:t>
            </w:r>
          </w:p>
        </w:tc>
        <w:tc>
          <w:tcPr>
            <w:tcW w:w="1701" w:type="dxa"/>
            <w:shd w:val="clear" w:color="auto" w:fill="C6EFCE"/>
            <w:noWrap/>
          </w:tcPr>
          <w:p w14:paraId="454B00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100% of contracts</w:t>
            </w:r>
          </w:p>
        </w:tc>
        <w:tc>
          <w:tcPr>
            <w:tcW w:w="1134" w:type="dxa"/>
            <w:shd w:val="clear" w:color="auto" w:fill="C6EFCE"/>
            <w:noWrap/>
          </w:tcPr>
          <w:p w14:paraId="696AB7D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3E1BF7F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5203B8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73D98C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92" w:type="dxa"/>
            <w:shd w:val="clear" w:color="auto" w:fill="C6EFCE"/>
            <w:noWrap/>
          </w:tcPr>
          <w:p w14:paraId="7BF96D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686" w:type="dxa"/>
            <w:shd w:val="clear" w:color="auto" w:fill="C6EFCE"/>
            <w:noWrap/>
          </w:tcPr>
          <w:p w14:paraId="2AF919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Contracts awarded for a) improvement of the road safety on at least 7 780 dangerous locations; b) smart led lighting infrastructure for 31 938 poles</w:t>
            </w:r>
          </w:p>
        </w:tc>
      </w:tr>
      <w:tr w:rsidR="00A70121" w:rsidRPr="00DE4E4F" w14:paraId="0CA67026" w14:textId="77777777" w:rsidTr="00A70121">
        <w:trPr>
          <w:trHeight w:val="313"/>
        </w:trPr>
        <w:tc>
          <w:tcPr>
            <w:tcW w:w="568" w:type="dxa"/>
            <w:shd w:val="clear" w:color="auto" w:fill="C6EFCE"/>
            <w:noWrap/>
            <w:hideMark/>
          </w:tcPr>
          <w:p w14:paraId="4085285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259</w:t>
            </w:r>
          </w:p>
          <w:p w14:paraId="4F686B57" w14:textId="77777777" w:rsidR="001B186F" w:rsidRPr="00DE4E4F" w:rsidRDefault="001B186F">
            <w:pPr>
              <w:rPr>
                <w:rFonts w:ascii="Times New Roman" w:eastAsia="Times New Roman" w:hAnsi="Times New Roman" w:cs="Times New Roman"/>
                <w:noProof/>
                <w:sz w:val="18"/>
                <w:szCs w:val="18"/>
              </w:rPr>
            </w:pPr>
          </w:p>
        </w:tc>
        <w:tc>
          <w:tcPr>
            <w:tcW w:w="1701" w:type="dxa"/>
            <w:shd w:val="clear" w:color="auto" w:fill="C6EFCE"/>
            <w:noWrap/>
            <w:hideMark/>
          </w:tcPr>
          <w:p w14:paraId="73EAC0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- 16631_Road Safety Upgrade</w:t>
            </w:r>
          </w:p>
        </w:tc>
        <w:tc>
          <w:tcPr>
            <w:tcW w:w="1134" w:type="dxa"/>
            <w:shd w:val="clear" w:color="auto" w:fill="C6EFCE"/>
            <w:noWrap/>
            <w:hideMark/>
          </w:tcPr>
          <w:p w14:paraId="0FD9451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34" w:type="dxa"/>
            <w:shd w:val="clear" w:color="auto" w:fill="C6EFCE"/>
            <w:noWrap/>
            <w:hideMark/>
          </w:tcPr>
          <w:p w14:paraId="1D3C8F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Road safety project completion</w:t>
            </w:r>
          </w:p>
        </w:tc>
        <w:tc>
          <w:tcPr>
            <w:tcW w:w="1701" w:type="dxa"/>
            <w:shd w:val="clear" w:color="auto" w:fill="C6EFCE"/>
            <w:noWrap/>
            <w:hideMark/>
          </w:tcPr>
          <w:p w14:paraId="3767416A" w14:textId="77777777" w:rsidR="001B186F" w:rsidRPr="00DE4E4F" w:rsidRDefault="0074517F">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eastAsia="Times New Roman" w:hAnsi="Times New Roman" w:cs="Times New Roman"/>
                <w:noProof/>
                <w:color w:val="006100"/>
                <w:sz w:val="18"/>
                <w:szCs w:val="18"/>
              </w:rPr>
              <w:t>Interventions in dangerous locations executed and lighting poles installed</w:t>
            </w:r>
          </w:p>
        </w:tc>
        <w:tc>
          <w:tcPr>
            <w:tcW w:w="1134" w:type="dxa"/>
            <w:shd w:val="clear" w:color="auto" w:fill="C6EFCE"/>
            <w:noWrap/>
            <w:hideMark/>
          </w:tcPr>
          <w:p w14:paraId="0F4541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992" w:type="dxa"/>
            <w:shd w:val="clear" w:color="auto" w:fill="C6EFCE"/>
            <w:noWrap/>
            <w:hideMark/>
          </w:tcPr>
          <w:p w14:paraId="6EE3E6A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1" w:type="dxa"/>
            <w:shd w:val="clear" w:color="auto" w:fill="C6EFCE"/>
            <w:noWrap/>
            <w:hideMark/>
          </w:tcPr>
          <w:p w14:paraId="381437F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559" w:type="dxa"/>
            <w:shd w:val="clear" w:color="auto" w:fill="C6EFCE"/>
            <w:noWrap/>
            <w:hideMark/>
          </w:tcPr>
          <w:p w14:paraId="7AB3A11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 </w:t>
            </w:r>
          </w:p>
        </w:tc>
        <w:tc>
          <w:tcPr>
            <w:tcW w:w="992" w:type="dxa"/>
            <w:shd w:val="clear" w:color="auto" w:fill="C6EFCE"/>
            <w:noWrap/>
            <w:hideMark/>
          </w:tcPr>
          <w:p w14:paraId="58390A6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686" w:type="dxa"/>
            <w:shd w:val="clear" w:color="auto" w:fill="C6EFCE"/>
            <w:noWrap/>
            <w:hideMark/>
          </w:tcPr>
          <w:p w14:paraId="1F514A91" w14:textId="1D60EBA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 Interventions in at least 8 693 dangerous locations executed; b) </w:t>
            </w:r>
            <w:r w:rsidR="009D7BA4" w:rsidRPr="00DE4E4F">
              <w:rPr>
                <w:rFonts w:ascii="Times New Roman" w:hAnsi="Times New Roman" w:cs="Times New Roman"/>
                <w:noProof/>
                <w:color w:val="006100"/>
                <w:sz w:val="18"/>
                <w:szCs w:val="18"/>
              </w:rPr>
              <w:t>29</w:t>
            </w:r>
            <w:r w:rsidRPr="00DE4E4F">
              <w:rPr>
                <w:rFonts w:ascii="Times New Roman" w:hAnsi="Times New Roman" w:cs="Times New Roman"/>
                <w:noProof/>
                <w:color w:val="006100"/>
                <w:sz w:val="18"/>
                <w:szCs w:val="18"/>
              </w:rPr>
              <w:t> 938 smart led lighting poles installed</w:t>
            </w:r>
          </w:p>
        </w:tc>
      </w:tr>
    </w:tbl>
    <w:p w14:paraId="6829229E" w14:textId="77777777" w:rsidR="001B186F" w:rsidRPr="00DE4E4F" w:rsidRDefault="0074517F">
      <w:pPr>
        <w:keepNext/>
        <w:keepLines/>
        <w:spacing w:before="2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Top Investment 8: Cretan Northern Highway (Β.Ο.Α.Κ.)</w:t>
      </w:r>
    </w:p>
    <w:tbl>
      <w:tblPr>
        <w:tblW w:w="15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680"/>
        <w:gridCol w:w="1080"/>
        <w:gridCol w:w="1299"/>
        <w:gridCol w:w="1461"/>
        <w:gridCol w:w="1374"/>
        <w:gridCol w:w="1249"/>
        <w:gridCol w:w="587"/>
        <w:gridCol w:w="1350"/>
        <w:gridCol w:w="1166"/>
        <w:gridCol w:w="3582"/>
      </w:tblGrid>
      <w:tr w:rsidR="00682269" w:rsidRPr="00DE4E4F" w14:paraId="45BCA588" w14:textId="77777777">
        <w:trPr>
          <w:trHeight w:val="939"/>
          <w:tblHeader/>
          <w:jc w:val="center"/>
        </w:trPr>
        <w:tc>
          <w:tcPr>
            <w:tcW w:w="566" w:type="dxa"/>
            <w:vMerge w:val="restart"/>
            <w:shd w:val="clear" w:color="auto" w:fill="BDD7EE"/>
            <w:vAlign w:val="center"/>
            <w:hideMark/>
          </w:tcPr>
          <w:p w14:paraId="0D21E5D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Seq. No.</w:t>
            </w:r>
          </w:p>
        </w:tc>
        <w:tc>
          <w:tcPr>
            <w:tcW w:w="1680" w:type="dxa"/>
            <w:vMerge w:val="restart"/>
            <w:shd w:val="clear" w:color="auto" w:fill="BDD7EE"/>
            <w:vAlign w:val="center"/>
            <w:hideMark/>
          </w:tcPr>
          <w:p w14:paraId="687A0AF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1080" w:type="dxa"/>
            <w:vMerge w:val="restart"/>
            <w:shd w:val="clear" w:color="auto" w:fill="BDD7EE"/>
            <w:vAlign w:val="center"/>
            <w:hideMark/>
          </w:tcPr>
          <w:p w14:paraId="2D02AA1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299" w:type="dxa"/>
            <w:vMerge w:val="restart"/>
            <w:shd w:val="clear" w:color="auto" w:fill="BDD7EE"/>
            <w:vAlign w:val="center"/>
            <w:hideMark/>
          </w:tcPr>
          <w:p w14:paraId="5A44662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461" w:type="dxa"/>
            <w:vMerge w:val="restart"/>
            <w:shd w:val="clear" w:color="auto" w:fill="BDD7EE"/>
            <w:vAlign w:val="center"/>
            <w:hideMark/>
          </w:tcPr>
          <w:p w14:paraId="0D100E0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3210" w:type="dxa"/>
            <w:gridSpan w:val="3"/>
            <w:shd w:val="clear" w:color="auto" w:fill="BDD7EE"/>
            <w:vAlign w:val="center"/>
            <w:hideMark/>
          </w:tcPr>
          <w:p w14:paraId="3BF637C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2516" w:type="dxa"/>
            <w:gridSpan w:val="2"/>
            <w:shd w:val="clear" w:color="auto" w:fill="BDD7EE"/>
            <w:vAlign w:val="center"/>
            <w:hideMark/>
          </w:tcPr>
          <w:p w14:paraId="6FC6609F"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582" w:type="dxa"/>
            <w:vMerge w:val="restart"/>
            <w:shd w:val="clear" w:color="auto" w:fill="BDD7EE"/>
            <w:vAlign w:val="center"/>
            <w:hideMark/>
          </w:tcPr>
          <w:p w14:paraId="2875AEB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1C517AFA" w14:textId="77777777">
        <w:trPr>
          <w:trHeight w:val="431"/>
          <w:tblHeader/>
          <w:jc w:val="center"/>
        </w:trPr>
        <w:tc>
          <w:tcPr>
            <w:tcW w:w="566" w:type="dxa"/>
            <w:vMerge/>
            <w:vAlign w:val="center"/>
            <w:hideMark/>
          </w:tcPr>
          <w:p w14:paraId="7127205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80" w:type="dxa"/>
            <w:vMerge/>
            <w:vAlign w:val="center"/>
            <w:hideMark/>
          </w:tcPr>
          <w:p w14:paraId="0510332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80" w:type="dxa"/>
            <w:vMerge/>
            <w:vAlign w:val="center"/>
            <w:hideMark/>
          </w:tcPr>
          <w:p w14:paraId="598608C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99" w:type="dxa"/>
            <w:vMerge/>
            <w:vAlign w:val="center"/>
            <w:hideMark/>
          </w:tcPr>
          <w:p w14:paraId="060C607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461" w:type="dxa"/>
            <w:vMerge/>
            <w:vAlign w:val="center"/>
            <w:hideMark/>
          </w:tcPr>
          <w:p w14:paraId="23DD6D5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74" w:type="dxa"/>
            <w:shd w:val="clear" w:color="auto" w:fill="BDD7EE"/>
            <w:vAlign w:val="center"/>
            <w:hideMark/>
          </w:tcPr>
          <w:p w14:paraId="00B8F16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1249" w:type="dxa"/>
            <w:shd w:val="clear" w:color="auto" w:fill="BDD7EE"/>
            <w:vAlign w:val="center"/>
            <w:hideMark/>
          </w:tcPr>
          <w:p w14:paraId="5212093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587" w:type="dxa"/>
            <w:shd w:val="clear" w:color="auto" w:fill="BDD7EE"/>
            <w:vAlign w:val="center"/>
            <w:hideMark/>
          </w:tcPr>
          <w:p w14:paraId="18F81BB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1350" w:type="dxa"/>
            <w:shd w:val="clear" w:color="auto" w:fill="BDD7EE"/>
            <w:vAlign w:val="center"/>
            <w:hideMark/>
          </w:tcPr>
          <w:p w14:paraId="014BD1D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1166" w:type="dxa"/>
            <w:shd w:val="clear" w:color="auto" w:fill="BDD7EE"/>
            <w:vAlign w:val="center"/>
            <w:hideMark/>
          </w:tcPr>
          <w:p w14:paraId="54BCD0F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582" w:type="dxa"/>
            <w:vMerge/>
            <w:vAlign w:val="center"/>
            <w:hideMark/>
          </w:tcPr>
          <w:p w14:paraId="6AAA24C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3D711D23" w14:textId="77777777">
        <w:trPr>
          <w:trHeight w:val="1766"/>
          <w:jc w:val="center"/>
        </w:trPr>
        <w:tc>
          <w:tcPr>
            <w:tcW w:w="566" w:type="dxa"/>
            <w:shd w:val="clear" w:color="auto" w:fill="C6EFCE"/>
            <w:noWrap/>
          </w:tcPr>
          <w:p w14:paraId="7CE7816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260</w:t>
            </w:r>
          </w:p>
        </w:tc>
        <w:tc>
          <w:tcPr>
            <w:tcW w:w="1680" w:type="dxa"/>
            <w:shd w:val="clear" w:color="auto" w:fill="C6EFCE"/>
            <w:noWrap/>
          </w:tcPr>
          <w:p w14:paraId="585BB8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- 16630_Cretan Northern Highway (Β.Ο.Α.Κ.)</w:t>
            </w:r>
          </w:p>
        </w:tc>
        <w:tc>
          <w:tcPr>
            <w:tcW w:w="1080" w:type="dxa"/>
            <w:shd w:val="clear" w:color="auto" w:fill="C6EFCE"/>
            <w:noWrap/>
          </w:tcPr>
          <w:p w14:paraId="51C161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9" w:type="dxa"/>
            <w:shd w:val="clear" w:color="auto" w:fill="C6EFCE"/>
            <w:noWrap/>
          </w:tcPr>
          <w:p w14:paraId="02BD16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 for three sub-projects of BOAK</w:t>
            </w:r>
          </w:p>
        </w:tc>
        <w:tc>
          <w:tcPr>
            <w:tcW w:w="1461" w:type="dxa"/>
            <w:shd w:val="clear" w:color="auto" w:fill="C6EFCE"/>
            <w:noWrap/>
          </w:tcPr>
          <w:p w14:paraId="2B19659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1374" w:type="dxa"/>
            <w:shd w:val="clear" w:color="auto" w:fill="C6EFCE"/>
            <w:noWrap/>
          </w:tcPr>
          <w:p w14:paraId="085C3D6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49" w:type="dxa"/>
            <w:shd w:val="clear" w:color="auto" w:fill="C6EFCE"/>
            <w:noWrap/>
          </w:tcPr>
          <w:p w14:paraId="55ACBBE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tcPr>
          <w:p w14:paraId="5EB1C08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50" w:type="dxa"/>
            <w:shd w:val="clear" w:color="auto" w:fill="C6EFCE"/>
            <w:noWrap/>
          </w:tcPr>
          <w:p w14:paraId="643397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1166" w:type="dxa"/>
            <w:shd w:val="clear" w:color="auto" w:fill="C6EFCE"/>
            <w:noWrap/>
          </w:tcPr>
          <w:p w14:paraId="2A3CFE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582" w:type="dxa"/>
            <w:shd w:val="clear" w:color="auto" w:fill="C6EFCE"/>
            <w:noWrap/>
          </w:tcPr>
          <w:p w14:paraId="00F120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 for a) the Concession Agreement; b) the Public-Private Partnership; and c) Public Work.</w:t>
            </w:r>
          </w:p>
        </w:tc>
      </w:tr>
      <w:tr w:rsidR="00682269" w:rsidRPr="00DE4E4F" w14:paraId="388E4B90" w14:textId="77777777">
        <w:trPr>
          <w:trHeight w:val="313"/>
          <w:jc w:val="center"/>
        </w:trPr>
        <w:tc>
          <w:tcPr>
            <w:tcW w:w="566" w:type="dxa"/>
            <w:shd w:val="clear" w:color="auto" w:fill="C6EFCE"/>
            <w:noWrap/>
            <w:hideMark/>
          </w:tcPr>
          <w:p w14:paraId="3777A88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262</w:t>
            </w:r>
          </w:p>
        </w:tc>
        <w:tc>
          <w:tcPr>
            <w:tcW w:w="1680" w:type="dxa"/>
            <w:shd w:val="clear" w:color="auto" w:fill="C6EFCE"/>
            <w:noWrap/>
            <w:hideMark/>
          </w:tcPr>
          <w:p w14:paraId="0488F5B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- 16630_Cretan Northern Highway (Β.Ο.Α.Κ.)</w:t>
            </w:r>
          </w:p>
        </w:tc>
        <w:tc>
          <w:tcPr>
            <w:tcW w:w="1080" w:type="dxa"/>
            <w:shd w:val="clear" w:color="auto" w:fill="C6EFCE"/>
            <w:noWrap/>
            <w:hideMark/>
          </w:tcPr>
          <w:p w14:paraId="15467F6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9" w:type="dxa"/>
            <w:shd w:val="clear" w:color="auto" w:fill="C6EFCE"/>
            <w:noWrap/>
            <w:hideMark/>
          </w:tcPr>
          <w:p w14:paraId="4C92BF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Works executed funded by RRF</w:t>
            </w:r>
          </w:p>
        </w:tc>
        <w:tc>
          <w:tcPr>
            <w:tcW w:w="1461" w:type="dxa"/>
            <w:shd w:val="clear" w:color="auto" w:fill="C6EFCE"/>
            <w:noWrap/>
            <w:hideMark/>
          </w:tcPr>
          <w:p w14:paraId="34C981F8" w14:textId="2A3C148B"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Pre-defined works executed on sections </w:t>
            </w:r>
            <w:r w:rsidR="00FE4D20" w:rsidRPr="00DE4E4F">
              <w:rPr>
                <w:rFonts w:ascii="Times New Roman" w:hAnsi="Times New Roman" w:cs="Times New Roman"/>
                <w:noProof/>
                <w:color w:val="006100"/>
                <w:sz w:val="18"/>
                <w:szCs w:val="18"/>
              </w:rPr>
              <w:t>Kissamos</w:t>
            </w:r>
            <w:r w:rsidRPr="00DE4E4F">
              <w:rPr>
                <w:rFonts w:ascii="Times New Roman" w:hAnsi="Times New Roman" w:cs="Times New Roman"/>
                <w:noProof/>
                <w:color w:val="006100"/>
                <w:sz w:val="18"/>
                <w:szCs w:val="18"/>
              </w:rPr>
              <w:t xml:space="preserve">-Heraklion and Neapolis-Agios Nikolaos </w:t>
            </w:r>
          </w:p>
        </w:tc>
        <w:tc>
          <w:tcPr>
            <w:tcW w:w="1374" w:type="dxa"/>
            <w:shd w:val="clear" w:color="auto" w:fill="C6EFCE"/>
            <w:noWrap/>
            <w:hideMark/>
          </w:tcPr>
          <w:p w14:paraId="318BD33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49" w:type="dxa"/>
            <w:shd w:val="clear" w:color="auto" w:fill="C6EFCE"/>
            <w:noWrap/>
            <w:hideMark/>
          </w:tcPr>
          <w:p w14:paraId="5C32FA2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hideMark/>
          </w:tcPr>
          <w:p w14:paraId="2AB3E9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50" w:type="dxa"/>
            <w:shd w:val="clear" w:color="auto" w:fill="C6EFCE"/>
            <w:noWrap/>
            <w:hideMark/>
          </w:tcPr>
          <w:p w14:paraId="531303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166" w:type="dxa"/>
            <w:shd w:val="clear" w:color="auto" w:fill="C6EFCE"/>
            <w:noWrap/>
            <w:hideMark/>
          </w:tcPr>
          <w:p w14:paraId="1B6D264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82" w:type="dxa"/>
            <w:shd w:val="clear" w:color="auto" w:fill="C6EFCE"/>
            <w:noWrap/>
            <w:hideMark/>
          </w:tcPr>
          <w:p w14:paraId="4562E263" w14:textId="5DECF3E8"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Sub-project three (Neapolis-Agios Nikolaos): </w:t>
            </w:r>
            <w:r w:rsidR="00743A5F" w:rsidRPr="00DE4E4F">
              <w:rPr>
                <w:rFonts w:ascii="Times New Roman" w:hAnsi="Times New Roman" w:cs="Times New Roman"/>
                <w:noProof/>
                <w:color w:val="006100"/>
                <w:sz w:val="18"/>
                <w:szCs w:val="18"/>
              </w:rPr>
              <w:t xml:space="preserve">Execution of works from the end of Neapoli bypass to the beginning of Agios Nikolaos bypass (chainage 1+800 up to chainage </w:t>
            </w:r>
            <w:bookmarkStart w:id="6" w:name="_Hlk234311340"/>
            <w:r w:rsidR="00743A5F" w:rsidRPr="00DE4E4F">
              <w:rPr>
                <w:rFonts w:ascii="Times New Roman" w:hAnsi="Times New Roman" w:cs="Times New Roman"/>
                <w:noProof/>
                <w:color w:val="006100"/>
                <w:sz w:val="18"/>
                <w:szCs w:val="18"/>
              </w:rPr>
              <w:t>12+000</w:t>
            </w:r>
            <w:bookmarkEnd w:id="6"/>
            <w:r w:rsidR="00743A5F" w:rsidRPr="00DE4E4F">
              <w:rPr>
                <w:rFonts w:ascii="Times New Roman" w:hAnsi="Times New Roman" w:cs="Times New Roman"/>
                <w:noProof/>
                <w:color w:val="006100"/>
                <w:sz w:val="18"/>
                <w:szCs w:val="18"/>
              </w:rPr>
              <w:t>) for the construction of mainline carriageway of the motorway</w:t>
            </w:r>
            <w:r w:rsidRPr="00DE4E4F">
              <w:rPr>
                <w:rFonts w:ascii="Times New Roman" w:hAnsi="Times New Roman" w:cs="Times New Roman"/>
                <w:noProof/>
                <w:color w:val="006100"/>
                <w:sz w:val="18"/>
                <w:szCs w:val="18"/>
              </w:rPr>
              <w:t>.</w:t>
            </w:r>
          </w:p>
          <w:p w14:paraId="7D93D351" w14:textId="65F986F9" w:rsidR="001B186F" w:rsidRPr="00DE4E4F" w:rsidRDefault="001B186F">
            <w:pPr>
              <w:spacing w:after="0" w:line="240" w:lineRule="auto"/>
              <w:rPr>
                <w:rFonts w:ascii="Times New Roman" w:hAnsi="Times New Roman" w:cs="Times New Roman"/>
                <w:noProof/>
                <w:color w:val="006100"/>
                <w:sz w:val="18"/>
                <w:szCs w:val="18"/>
              </w:rPr>
            </w:pPr>
          </w:p>
          <w:p w14:paraId="2B1EC516" w14:textId="6655FC32"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For sub-project one (</w:t>
            </w:r>
            <w:r w:rsidR="00743A5F" w:rsidRPr="00DE4E4F">
              <w:rPr>
                <w:rFonts w:ascii="Times New Roman" w:hAnsi="Times New Roman" w:cs="Times New Roman"/>
                <w:noProof/>
                <w:color w:val="006100"/>
                <w:sz w:val="18"/>
                <w:szCs w:val="18"/>
              </w:rPr>
              <w:t>Kissamos</w:t>
            </w:r>
            <w:r w:rsidRPr="00DE4E4F">
              <w:rPr>
                <w:rFonts w:ascii="Times New Roman" w:hAnsi="Times New Roman" w:cs="Times New Roman"/>
                <w:noProof/>
                <w:color w:val="006100"/>
                <w:sz w:val="18"/>
                <w:szCs w:val="18"/>
              </w:rPr>
              <w:t>-Heraklion), the following works executed:</w:t>
            </w:r>
          </w:p>
          <w:p w14:paraId="567B9DCE" w14:textId="0BB9001B"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 All works in the existing Bypasses excluding the Electromechanical installations (such as highway lighting poles, reflective signposts, power supply cables)</w:t>
            </w:r>
            <w:r w:rsidR="00735A02" w:rsidRPr="00DE4E4F">
              <w:rPr>
                <w:rFonts w:ascii="Times New Roman" w:hAnsi="Times New Roman" w:cs="Times New Roman"/>
                <w:noProof/>
                <w:color w:val="006100"/>
                <w:sz w:val="18"/>
                <w:szCs w:val="18"/>
              </w:rPr>
              <w:t>,</w:t>
            </w:r>
            <w:r w:rsidR="00D02767" w:rsidRPr="00DE4E4F">
              <w:rPr>
                <w:rFonts w:ascii="Times New Roman" w:hAnsi="Times New Roman" w:cs="Times New Roman"/>
                <w:noProof/>
                <w:color w:val="006100"/>
                <w:sz w:val="18"/>
                <w:szCs w:val="18"/>
              </w:rPr>
              <w:t xml:space="preserve"> anti-skid (final) pavement layer and the safety barrier installation </w:t>
            </w:r>
            <w:r w:rsidRPr="00DE4E4F">
              <w:rPr>
                <w:rFonts w:ascii="Times New Roman" w:hAnsi="Times New Roman" w:cs="Times New Roman"/>
                <w:noProof/>
                <w:color w:val="006100"/>
                <w:sz w:val="18"/>
                <w:szCs w:val="18"/>
              </w:rPr>
              <w:t>as follows:</w:t>
            </w:r>
          </w:p>
          <w:p w14:paraId="5F61C63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Chania Bypass (1Y,2Y), length of sections: 8,0 km,</w:t>
            </w:r>
          </w:p>
          <w:p w14:paraId="44FF33A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b) Rethymnon Bypass (10Y,11Y), length of sections: 6,8 km and </w:t>
            </w:r>
          </w:p>
          <w:p w14:paraId="0D6C920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 Heraklion Bypass (23Y), section length: 8,5 km. </w:t>
            </w:r>
          </w:p>
          <w:p w14:paraId="192B485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Works in Geographical Unit 23Y do not include the construction of the Kako Oros tunnel.</w:t>
            </w:r>
          </w:p>
          <w:p w14:paraId="2C835972" w14:textId="5345BB89" w:rsidR="001B186F" w:rsidRPr="00DE4E4F" w:rsidRDefault="001B186F">
            <w:pPr>
              <w:spacing w:after="0" w:line="240" w:lineRule="auto"/>
              <w:rPr>
                <w:rFonts w:ascii="Times New Roman" w:hAnsi="Times New Roman" w:cs="Times New Roman"/>
                <w:noProof/>
                <w:color w:val="006100"/>
                <w:sz w:val="18"/>
                <w:szCs w:val="18"/>
              </w:rPr>
            </w:pPr>
          </w:p>
          <w:p w14:paraId="460B3F75" w14:textId="643E55E3" w:rsidR="001B186F" w:rsidRPr="00DE4E4F" w:rsidRDefault="00743A5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w:t>
            </w:r>
            <w:r w:rsidR="0074517F" w:rsidRPr="00DE4E4F">
              <w:rPr>
                <w:rFonts w:ascii="Times New Roman" w:hAnsi="Times New Roman" w:cs="Times New Roman"/>
                <w:noProof/>
                <w:color w:val="006100"/>
                <w:sz w:val="18"/>
                <w:szCs w:val="18"/>
              </w:rPr>
              <w:t xml:space="preserve">. Road Safety Interventions in </w:t>
            </w:r>
            <w:r w:rsidRPr="00DE4E4F">
              <w:rPr>
                <w:rFonts w:ascii="Times New Roman" w:hAnsi="Times New Roman" w:cs="Times New Roman"/>
                <w:noProof/>
                <w:color w:val="006100"/>
                <w:sz w:val="18"/>
                <w:szCs w:val="18"/>
              </w:rPr>
              <w:t xml:space="preserve">412 </w:t>
            </w:r>
            <w:r w:rsidR="0074517F" w:rsidRPr="00DE4E4F">
              <w:rPr>
                <w:rFonts w:ascii="Times New Roman" w:hAnsi="Times New Roman" w:cs="Times New Roman"/>
                <w:noProof/>
                <w:color w:val="006100"/>
                <w:sz w:val="18"/>
                <w:szCs w:val="18"/>
              </w:rPr>
              <w:t>locations.</w:t>
            </w:r>
          </w:p>
        </w:tc>
      </w:tr>
      <w:tr w:rsidR="00682269" w:rsidRPr="00DE4E4F" w14:paraId="186503E5" w14:textId="77777777">
        <w:trPr>
          <w:trHeight w:val="313"/>
          <w:jc w:val="center"/>
        </w:trPr>
        <w:tc>
          <w:tcPr>
            <w:tcW w:w="566" w:type="dxa"/>
            <w:shd w:val="clear" w:color="auto" w:fill="C6EFCE"/>
            <w:noWrap/>
          </w:tcPr>
          <w:p w14:paraId="45F5A7E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262a</w:t>
            </w:r>
          </w:p>
        </w:tc>
        <w:tc>
          <w:tcPr>
            <w:tcW w:w="1680" w:type="dxa"/>
            <w:shd w:val="clear" w:color="auto" w:fill="C6EFCE"/>
            <w:noWrap/>
          </w:tcPr>
          <w:p w14:paraId="7C374BE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- 16630_Cretan Northern Highway (Β.Ο.Α.Κ.)</w:t>
            </w:r>
          </w:p>
        </w:tc>
        <w:tc>
          <w:tcPr>
            <w:tcW w:w="1080" w:type="dxa"/>
            <w:shd w:val="clear" w:color="auto" w:fill="C6EFCE"/>
            <w:noWrap/>
          </w:tcPr>
          <w:p w14:paraId="7067572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99" w:type="dxa"/>
            <w:shd w:val="clear" w:color="auto" w:fill="C6EFCE"/>
            <w:noWrap/>
          </w:tcPr>
          <w:p w14:paraId="4787273E" w14:textId="77777777" w:rsidR="001B186F" w:rsidRPr="00DE4E4F" w:rsidDel="000B2924"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Works executed funded by RRF</w:t>
            </w:r>
          </w:p>
        </w:tc>
        <w:tc>
          <w:tcPr>
            <w:tcW w:w="1461" w:type="dxa"/>
            <w:shd w:val="clear" w:color="auto" w:fill="C6EFCE"/>
            <w:noWrap/>
          </w:tcPr>
          <w:p w14:paraId="26F958A8" w14:textId="77777777" w:rsidR="001B186F" w:rsidRPr="00DE4E4F" w:rsidDel="4258D1D0"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Pre-defined works executed on section Hersonisos – Neapolis</w:t>
            </w:r>
          </w:p>
        </w:tc>
        <w:tc>
          <w:tcPr>
            <w:tcW w:w="1374" w:type="dxa"/>
            <w:shd w:val="clear" w:color="auto" w:fill="C6EFCE"/>
            <w:noWrap/>
          </w:tcPr>
          <w:p w14:paraId="46CAE46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49" w:type="dxa"/>
            <w:shd w:val="clear" w:color="auto" w:fill="C6EFCE"/>
            <w:noWrap/>
          </w:tcPr>
          <w:p w14:paraId="70A9D05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tcPr>
          <w:p w14:paraId="3DAA498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350" w:type="dxa"/>
            <w:shd w:val="clear" w:color="auto" w:fill="C6EFCE"/>
            <w:noWrap/>
          </w:tcPr>
          <w:p w14:paraId="48D4D66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1166" w:type="dxa"/>
            <w:shd w:val="clear" w:color="auto" w:fill="C6EFCE"/>
            <w:noWrap/>
          </w:tcPr>
          <w:p w14:paraId="2831228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82" w:type="dxa"/>
            <w:shd w:val="clear" w:color="auto" w:fill="C6EFCE"/>
            <w:noWrap/>
          </w:tcPr>
          <w:p w14:paraId="00056B7C"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Subproject two (Hersonisos – Neapolis): the following works executed:</w:t>
            </w:r>
          </w:p>
          <w:p w14:paraId="6AF9257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all designs and investigations for the Subproject,</w:t>
            </w:r>
          </w:p>
          <w:p w14:paraId="732074D8" w14:textId="160C9644"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 Phase A and Phase B of the excavation and temporary support works of the tunnel T1 ,</w:t>
            </w:r>
          </w:p>
          <w:p w14:paraId="3F2F65E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 bridge C6.</w:t>
            </w:r>
          </w:p>
        </w:tc>
      </w:tr>
    </w:tbl>
    <w:p w14:paraId="76532BC6" w14:textId="77777777" w:rsidR="001B186F" w:rsidRPr="00DE4E4F" w:rsidRDefault="001B186F">
      <w:pPr>
        <w:spacing w:before="120" w:after="0" w:line="240" w:lineRule="auto"/>
        <w:jc w:val="both"/>
        <w:rPr>
          <w:rFonts w:ascii="Times New Roman" w:hAnsi="Times New Roman" w:cs="Times New Roman"/>
          <w:noProof/>
          <w:sz w:val="24"/>
        </w:rPr>
      </w:pPr>
    </w:p>
    <w:p w14:paraId="6FC344FC" w14:textId="77777777" w:rsidR="001B186F" w:rsidRPr="00DE4E4F" w:rsidRDefault="0074517F">
      <w:pPr>
        <w:rPr>
          <w:rFonts w:ascii="Times New Roman" w:hAnsi="Times New Roman" w:cs="Times New Roman"/>
          <w:noProof/>
          <w:sz w:val="24"/>
        </w:rPr>
      </w:pPr>
      <w:r w:rsidRPr="00DE4E4F">
        <w:rPr>
          <w:rFonts w:ascii="Times New Roman" w:hAnsi="Times New Roman" w:cs="Times New Roman"/>
          <w:noProof/>
          <w:sz w:val="24"/>
        </w:rPr>
        <w:br w:type="page"/>
      </w:r>
    </w:p>
    <w:p w14:paraId="313A73B4"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24: Infrastructure</w:t>
      </w:r>
    </w:p>
    <w:p w14:paraId="2A75997B" w14:textId="77777777" w:rsidR="001B186F" w:rsidRPr="00DE4E4F" w:rsidRDefault="0074517F">
      <w:pPr>
        <w:spacing w:after="0" w:line="240" w:lineRule="auto"/>
        <w:rPr>
          <w:rFonts w:ascii="Times New Roman" w:hAnsi="Times New Roman" w:cs="Times New Roman"/>
          <w:b/>
          <w:noProof/>
          <w:sz w:val="28"/>
          <w:szCs w:val="28"/>
        </w:rPr>
      </w:pPr>
      <w:r w:rsidRPr="00DE4E4F">
        <w:rPr>
          <w:rFonts w:ascii="Times New Roman" w:hAnsi="Times New Roman"/>
          <w:b/>
          <w:noProof/>
        </w:rPr>
        <w:t>Sub-group 1 (digital transformation)</w:t>
      </w:r>
    </w:p>
    <w:p w14:paraId="7C8DDC65" w14:textId="77777777" w:rsidR="001B186F" w:rsidRPr="00DE4E4F" w:rsidRDefault="0074517F">
      <w:pPr>
        <w:numPr>
          <w:ilvl w:val="0"/>
          <w:numId w:val="77"/>
        </w:numPr>
        <w:spacing w:before="120" w:after="0" w:line="240" w:lineRule="auto"/>
        <w:jc w:val="both"/>
        <w:rPr>
          <w:rFonts w:ascii="Times New Roman" w:hAnsi="Times New Roman" w:cs="Times New Roman"/>
          <w:noProof/>
        </w:rPr>
      </w:pPr>
      <w:r w:rsidRPr="00DE4E4F">
        <w:rPr>
          <w:rFonts w:ascii="Times New Roman" w:hAnsi="Times New Roman"/>
          <w:noProof/>
        </w:rPr>
        <w:t>Smart Infrastructure with environmental and cultural focus (ID: 16960)</w:t>
      </w:r>
    </w:p>
    <w:p w14:paraId="694D114A" w14:textId="77777777" w:rsidR="001B186F" w:rsidRPr="00DE4E4F" w:rsidRDefault="0074517F">
      <w:pPr>
        <w:numPr>
          <w:ilvl w:val="0"/>
          <w:numId w:val="77"/>
        </w:numPr>
        <w:spacing w:before="120" w:after="0" w:line="240" w:lineRule="auto"/>
        <w:jc w:val="both"/>
        <w:rPr>
          <w:rFonts w:ascii="Times New Roman" w:hAnsi="Times New Roman" w:cs="Times New Roman"/>
          <w:noProof/>
        </w:rPr>
      </w:pPr>
      <w:r w:rsidRPr="00DE4E4F">
        <w:rPr>
          <w:rFonts w:ascii="Times New Roman" w:hAnsi="Times New Roman"/>
          <w:noProof/>
        </w:rPr>
        <w:t>Smart Bridges (ID: 16949)</w:t>
      </w:r>
    </w:p>
    <w:p w14:paraId="4C9D34CD" w14:textId="77777777" w:rsidR="001B186F" w:rsidRPr="00DE4E4F" w:rsidRDefault="0074517F">
      <w:pPr>
        <w:numPr>
          <w:ilvl w:val="0"/>
          <w:numId w:val="77"/>
        </w:numPr>
        <w:spacing w:before="120" w:after="0" w:line="240" w:lineRule="auto"/>
        <w:ind w:left="714" w:hanging="357"/>
        <w:jc w:val="both"/>
        <w:rPr>
          <w:rFonts w:ascii="Times New Roman" w:hAnsi="Times New Roman" w:cs="Times New Roman"/>
          <w:noProof/>
        </w:rPr>
      </w:pPr>
      <w:r w:rsidRPr="00DE4E4F">
        <w:rPr>
          <w:rFonts w:ascii="Times New Roman" w:hAnsi="Times New Roman"/>
          <w:noProof/>
        </w:rPr>
        <w:t>Simplification of the Procedures of the Ministry of Infrastructure &amp; Transport (ID: 16786)</w:t>
      </w:r>
    </w:p>
    <w:p w14:paraId="45FF6C0C" w14:textId="77777777" w:rsidR="001B186F" w:rsidRPr="00DE4E4F" w:rsidRDefault="0074517F">
      <w:pPr>
        <w:numPr>
          <w:ilvl w:val="0"/>
          <w:numId w:val="77"/>
        </w:numPr>
        <w:spacing w:before="120" w:after="120" w:line="240" w:lineRule="auto"/>
        <w:jc w:val="both"/>
        <w:rPr>
          <w:rFonts w:ascii="Times New Roman" w:hAnsi="Times New Roman" w:cs="Times New Roman"/>
          <w:noProof/>
        </w:rPr>
      </w:pPr>
      <w:r w:rsidRPr="00DE4E4F">
        <w:rPr>
          <w:rFonts w:ascii="Times New Roman" w:hAnsi="Times New Roman"/>
          <w:noProof/>
        </w:rPr>
        <w:t>Digital Integrated Program Management System for the Administration of the Technical Works and Structural Assets of the Ministry of Infrastructure and Transport (ID:16937)</w:t>
      </w:r>
    </w:p>
    <w:p w14:paraId="72E0DE73" w14:textId="77777777" w:rsidR="001B186F" w:rsidRPr="00DE4E4F" w:rsidRDefault="0074517F">
      <w:pPr>
        <w:spacing w:after="0" w:line="240" w:lineRule="auto"/>
        <w:rPr>
          <w:rFonts w:ascii="Times New Roman" w:hAnsi="Times New Roman" w:cs="Times New Roman"/>
          <w:b/>
          <w:noProof/>
          <w:sz w:val="28"/>
          <w:szCs w:val="28"/>
        </w:rPr>
      </w:pPr>
      <w:r w:rsidRPr="00DE4E4F">
        <w:rPr>
          <w:rFonts w:ascii="Times New Roman" w:hAnsi="Times New Roman"/>
          <w:b/>
          <w:noProof/>
        </w:rPr>
        <w:t>Sub-group 2 (railways and airports)</w:t>
      </w:r>
    </w:p>
    <w:p w14:paraId="37C2D6AB" w14:textId="61209F3D" w:rsidR="001B186F" w:rsidRPr="00DE4E4F" w:rsidRDefault="4C3E9921">
      <w:pPr>
        <w:numPr>
          <w:ilvl w:val="0"/>
          <w:numId w:val="78"/>
        </w:numPr>
        <w:spacing w:before="120" w:after="0" w:line="240" w:lineRule="auto"/>
        <w:jc w:val="both"/>
        <w:rPr>
          <w:rFonts w:ascii="Times New Roman" w:hAnsi="Times New Roman" w:cs="Times New Roman"/>
          <w:noProof/>
        </w:rPr>
      </w:pPr>
      <w:r w:rsidRPr="00DE4E4F">
        <w:rPr>
          <w:rFonts w:ascii="Times New Roman" w:hAnsi="Times New Roman"/>
          <w:noProof/>
        </w:rPr>
        <w:t>Restoration works following</w:t>
      </w:r>
      <w:r w:rsidR="0074517F" w:rsidRPr="00DE4E4F">
        <w:rPr>
          <w:rFonts w:ascii="Times New Roman" w:hAnsi="Times New Roman"/>
          <w:noProof/>
        </w:rPr>
        <w:t xml:space="preserve"> the devastating effects of storms "</w:t>
      </w:r>
      <w:r w:rsidR="00223792" w:rsidRPr="00DE4E4F">
        <w:rPr>
          <w:rFonts w:ascii="Times New Roman" w:hAnsi="Times New Roman"/>
          <w:noProof/>
        </w:rPr>
        <w:t xml:space="preserve"> DANIEL", "ELIAS" and "IANOS" </w:t>
      </w:r>
      <w:r w:rsidR="0074517F" w:rsidRPr="00DE4E4F">
        <w:rPr>
          <w:rFonts w:ascii="Times New Roman" w:hAnsi="Times New Roman"/>
          <w:noProof/>
        </w:rPr>
        <w:t>(measure ID 16999)</w:t>
      </w:r>
    </w:p>
    <w:p w14:paraId="48B21F62" w14:textId="77777777" w:rsidR="001B186F" w:rsidRPr="00DE4E4F" w:rsidRDefault="0074517F">
      <w:pPr>
        <w:numPr>
          <w:ilvl w:val="0"/>
          <w:numId w:val="78"/>
        </w:numPr>
        <w:spacing w:before="120" w:after="0" w:line="240" w:lineRule="auto"/>
        <w:jc w:val="both"/>
        <w:rPr>
          <w:rFonts w:ascii="Times New Roman" w:hAnsi="Times New Roman" w:cs="Times New Roman"/>
          <w:noProof/>
        </w:rPr>
      </w:pPr>
      <w:r w:rsidRPr="00DE4E4F">
        <w:rPr>
          <w:rFonts w:ascii="Times New Roman" w:hAnsi="Times New Roman"/>
          <w:noProof/>
        </w:rPr>
        <w:t>Organisational reform in the railways sector (ID: 16982)</w:t>
      </w:r>
    </w:p>
    <w:p w14:paraId="746AD474" w14:textId="77777777" w:rsidR="001B186F" w:rsidRPr="00DE4E4F" w:rsidRDefault="0074517F">
      <w:pPr>
        <w:numPr>
          <w:ilvl w:val="0"/>
          <w:numId w:val="78"/>
        </w:numPr>
        <w:spacing w:before="120" w:after="0" w:line="240" w:lineRule="auto"/>
        <w:jc w:val="both"/>
        <w:rPr>
          <w:rFonts w:ascii="Times New Roman" w:hAnsi="Times New Roman" w:cs="Times New Roman"/>
          <w:noProof/>
        </w:rPr>
      </w:pPr>
      <w:r w:rsidRPr="00DE4E4F">
        <w:rPr>
          <w:rFonts w:ascii="Times New Roman" w:hAnsi="Times New Roman"/>
          <w:noProof/>
        </w:rPr>
        <w:t>Digital Transformation of the Hellenic Railways (ID: 16959)</w:t>
      </w:r>
    </w:p>
    <w:p w14:paraId="6B5BC0F8" w14:textId="2FAE7C41" w:rsidR="001B186F" w:rsidRPr="00DE4E4F" w:rsidRDefault="46985015">
      <w:pPr>
        <w:numPr>
          <w:ilvl w:val="0"/>
          <w:numId w:val="78"/>
        </w:numPr>
        <w:spacing w:before="120" w:after="0" w:line="240" w:lineRule="auto"/>
        <w:jc w:val="both"/>
        <w:rPr>
          <w:rFonts w:ascii="Times New Roman" w:hAnsi="Times New Roman" w:cs="Times New Roman"/>
          <w:noProof/>
        </w:rPr>
      </w:pPr>
      <w:r w:rsidRPr="00DE4E4F">
        <w:rPr>
          <w:rFonts w:ascii="Times New Roman" w:hAnsi="Times New Roman"/>
          <w:noProof/>
        </w:rPr>
        <w:t>Regional airport upgrades - DAAD withdrawal</w:t>
      </w:r>
      <w:r w:rsidR="0074517F" w:rsidRPr="00DE4E4F">
        <w:rPr>
          <w:rFonts w:ascii="Times New Roman" w:hAnsi="Times New Roman"/>
          <w:noProof/>
        </w:rPr>
        <w:t xml:space="preserve"> (ID: 16833)</w:t>
      </w:r>
    </w:p>
    <w:tbl>
      <w:tblPr>
        <w:tblW w:w="160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2665"/>
        <w:gridCol w:w="1134"/>
        <w:gridCol w:w="1842"/>
        <w:gridCol w:w="2127"/>
        <w:gridCol w:w="992"/>
        <w:gridCol w:w="857"/>
        <w:gridCol w:w="844"/>
        <w:gridCol w:w="846"/>
        <w:gridCol w:w="713"/>
        <w:gridCol w:w="3402"/>
      </w:tblGrid>
      <w:tr w:rsidR="00682269" w:rsidRPr="00DE4E4F" w14:paraId="3AFA13A0" w14:textId="77777777" w:rsidTr="464ADBDD">
        <w:trPr>
          <w:trHeight w:val="659"/>
          <w:tblHeader/>
          <w:jc w:val="center"/>
        </w:trPr>
        <w:tc>
          <w:tcPr>
            <w:tcW w:w="591" w:type="dxa"/>
            <w:vMerge w:val="restart"/>
            <w:shd w:val="clear" w:color="auto" w:fill="BDD7EE"/>
            <w:vAlign w:val="center"/>
            <w:hideMark/>
          </w:tcPr>
          <w:p w14:paraId="3A06E76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665" w:type="dxa"/>
            <w:vMerge w:val="restart"/>
            <w:shd w:val="clear" w:color="auto" w:fill="BDD7EE"/>
            <w:vAlign w:val="center"/>
            <w:hideMark/>
          </w:tcPr>
          <w:p w14:paraId="35E71C5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1134" w:type="dxa"/>
            <w:vMerge w:val="restart"/>
            <w:shd w:val="clear" w:color="auto" w:fill="BDD7EE"/>
            <w:vAlign w:val="center"/>
            <w:hideMark/>
          </w:tcPr>
          <w:p w14:paraId="7E367CC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842" w:type="dxa"/>
            <w:vMerge w:val="restart"/>
            <w:shd w:val="clear" w:color="auto" w:fill="BDD7EE"/>
            <w:vAlign w:val="center"/>
            <w:hideMark/>
          </w:tcPr>
          <w:p w14:paraId="0B5EF72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2127" w:type="dxa"/>
            <w:vMerge w:val="restart"/>
            <w:shd w:val="clear" w:color="auto" w:fill="BDD7EE"/>
            <w:vAlign w:val="center"/>
            <w:hideMark/>
          </w:tcPr>
          <w:p w14:paraId="553D5B6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2693" w:type="dxa"/>
            <w:gridSpan w:val="3"/>
            <w:shd w:val="clear" w:color="auto" w:fill="BDD7EE"/>
            <w:vAlign w:val="center"/>
            <w:hideMark/>
          </w:tcPr>
          <w:p w14:paraId="2DE95BE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1559" w:type="dxa"/>
            <w:gridSpan w:val="2"/>
            <w:shd w:val="clear" w:color="auto" w:fill="BDD7EE"/>
            <w:vAlign w:val="center"/>
            <w:hideMark/>
          </w:tcPr>
          <w:p w14:paraId="6C76CD8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402" w:type="dxa"/>
            <w:vMerge w:val="restart"/>
            <w:shd w:val="clear" w:color="auto" w:fill="BDD7EE"/>
            <w:vAlign w:val="center"/>
            <w:hideMark/>
          </w:tcPr>
          <w:p w14:paraId="24B7D1D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183FC853" w14:textId="77777777" w:rsidTr="464ADBDD">
        <w:trPr>
          <w:trHeight w:val="701"/>
          <w:tblHeader/>
          <w:jc w:val="center"/>
        </w:trPr>
        <w:tc>
          <w:tcPr>
            <w:tcW w:w="591" w:type="dxa"/>
            <w:vMerge/>
            <w:vAlign w:val="center"/>
            <w:hideMark/>
          </w:tcPr>
          <w:p w14:paraId="26CFB7E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665" w:type="dxa"/>
            <w:vMerge/>
            <w:vAlign w:val="center"/>
            <w:hideMark/>
          </w:tcPr>
          <w:p w14:paraId="09CE8CB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34" w:type="dxa"/>
            <w:vMerge/>
            <w:vAlign w:val="center"/>
            <w:hideMark/>
          </w:tcPr>
          <w:p w14:paraId="53F8BE4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842" w:type="dxa"/>
            <w:vMerge/>
            <w:vAlign w:val="center"/>
            <w:hideMark/>
          </w:tcPr>
          <w:p w14:paraId="08A9021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127" w:type="dxa"/>
            <w:vMerge/>
            <w:vAlign w:val="center"/>
            <w:hideMark/>
          </w:tcPr>
          <w:p w14:paraId="56C2D53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92" w:type="dxa"/>
            <w:shd w:val="clear" w:color="auto" w:fill="BDD7EE"/>
            <w:vAlign w:val="center"/>
            <w:hideMark/>
          </w:tcPr>
          <w:p w14:paraId="0B7AB88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7E05340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844" w:type="dxa"/>
            <w:shd w:val="clear" w:color="auto" w:fill="BDD7EE"/>
            <w:vAlign w:val="center"/>
            <w:hideMark/>
          </w:tcPr>
          <w:p w14:paraId="28AA0AD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846" w:type="dxa"/>
            <w:shd w:val="clear" w:color="auto" w:fill="BDD7EE"/>
            <w:vAlign w:val="center"/>
            <w:hideMark/>
          </w:tcPr>
          <w:p w14:paraId="1E6DF42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713" w:type="dxa"/>
            <w:shd w:val="clear" w:color="auto" w:fill="BDD7EE"/>
            <w:vAlign w:val="center"/>
            <w:hideMark/>
          </w:tcPr>
          <w:p w14:paraId="7B3B67A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402" w:type="dxa"/>
            <w:vMerge/>
            <w:vAlign w:val="center"/>
            <w:hideMark/>
          </w:tcPr>
          <w:p w14:paraId="310497C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145E7A64" w14:textId="77777777" w:rsidTr="464ADBDD">
        <w:trPr>
          <w:trHeight w:val="313"/>
          <w:jc w:val="center"/>
        </w:trPr>
        <w:tc>
          <w:tcPr>
            <w:tcW w:w="591" w:type="dxa"/>
            <w:shd w:val="clear" w:color="auto" w:fill="C6EFCE"/>
            <w:noWrap/>
          </w:tcPr>
          <w:p w14:paraId="61F4C4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263</w:t>
            </w:r>
          </w:p>
        </w:tc>
        <w:tc>
          <w:tcPr>
            <w:tcW w:w="2665" w:type="dxa"/>
            <w:shd w:val="clear" w:color="auto" w:fill="C6EFCE"/>
            <w:noWrap/>
          </w:tcPr>
          <w:p w14:paraId="06239D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- 16982_Organisational reform in the railways sector</w:t>
            </w:r>
          </w:p>
        </w:tc>
        <w:tc>
          <w:tcPr>
            <w:tcW w:w="1134" w:type="dxa"/>
            <w:shd w:val="clear" w:color="auto" w:fill="C6EFCE"/>
            <w:noWrap/>
          </w:tcPr>
          <w:p w14:paraId="1F5BFF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276C3A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Roadmap for railways reform</w:t>
            </w:r>
          </w:p>
        </w:tc>
        <w:tc>
          <w:tcPr>
            <w:tcW w:w="2127" w:type="dxa"/>
            <w:shd w:val="clear" w:color="auto" w:fill="C6EFCE"/>
            <w:noWrap/>
          </w:tcPr>
          <w:p w14:paraId="7E0C681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Roadmap</w:t>
            </w:r>
          </w:p>
        </w:tc>
        <w:tc>
          <w:tcPr>
            <w:tcW w:w="992" w:type="dxa"/>
            <w:shd w:val="clear" w:color="auto" w:fill="C6EFCE"/>
            <w:noWrap/>
          </w:tcPr>
          <w:p w14:paraId="3D01E0F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C1F6C6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2C8D44C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294CF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13" w:type="dxa"/>
            <w:shd w:val="clear" w:color="auto" w:fill="C6EFCE"/>
            <w:noWrap/>
          </w:tcPr>
          <w:p w14:paraId="61F3C9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3402" w:type="dxa"/>
            <w:shd w:val="clear" w:color="auto" w:fill="C6EFCE"/>
            <w:noWrap/>
          </w:tcPr>
          <w:p w14:paraId="607F72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Roadmap with the steps for the complete re-organisation of the companies OSE and ERGOSE.</w:t>
            </w:r>
          </w:p>
        </w:tc>
      </w:tr>
      <w:tr w:rsidR="00682269" w:rsidRPr="00DE4E4F" w14:paraId="1824A7E7" w14:textId="77777777" w:rsidTr="464ADBDD">
        <w:trPr>
          <w:trHeight w:val="313"/>
          <w:jc w:val="center"/>
        </w:trPr>
        <w:tc>
          <w:tcPr>
            <w:tcW w:w="591" w:type="dxa"/>
            <w:shd w:val="clear" w:color="auto" w:fill="C6EFCE"/>
            <w:noWrap/>
          </w:tcPr>
          <w:p w14:paraId="0789FC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264</w:t>
            </w:r>
          </w:p>
        </w:tc>
        <w:tc>
          <w:tcPr>
            <w:tcW w:w="2665" w:type="dxa"/>
            <w:shd w:val="clear" w:color="auto" w:fill="C6EFCE"/>
            <w:noWrap/>
          </w:tcPr>
          <w:p w14:paraId="539F571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- 16982_Organisational reform in the railways sector</w:t>
            </w:r>
          </w:p>
        </w:tc>
        <w:tc>
          <w:tcPr>
            <w:tcW w:w="1134" w:type="dxa"/>
            <w:shd w:val="clear" w:color="auto" w:fill="C6EFCE"/>
            <w:noWrap/>
          </w:tcPr>
          <w:p w14:paraId="22DC71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7E0305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Railways reform law</w:t>
            </w:r>
          </w:p>
        </w:tc>
        <w:tc>
          <w:tcPr>
            <w:tcW w:w="2127" w:type="dxa"/>
            <w:shd w:val="clear" w:color="auto" w:fill="C6EFCE"/>
            <w:noWrap/>
          </w:tcPr>
          <w:p w14:paraId="54FB68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w:t>
            </w:r>
          </w:p>
        </w:tc>
        <w:tc>
          <w:tcPr>
            <w:tcW w:w="992" w:type="dxa"/>
            <w:shd w:val="clear" w:color="auto" w:fill="C6EFCE"/>
            <w:noWrap/>
          </w:tcPr>
          <w:p w14:paraId="4BE791B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DCDE9C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2F8F52E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286B9A2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13" w:type="dxa"/>
            <w:shd w:val="clear" w:color="auto" w:fill="C6EFCE"/>
            <w:noWrap/>
          </w:tcPr>
          <w:p w14:paraId="430542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402" w:type="dxa"/>
            <w:shd w:val="clear" w:color="auto" w:fill="C6EFCE"/>
            <w:noWrap/>
          </w:tcPr>
          <w:p w14:paraId="3BD31AC8"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Organisational reform in the railways sector;</w:t>
            </w:r>
          </w:p>
          <w:p w14:paraId="2CB73EC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0CF117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for the reform of the two companies allowing them to develop, operate and maintain a modern railway network.</w:t>
            </w:r>
          </w:p>
        </w:tc>
      </w:tr>
      <w:tr w:rsidR="00682269" w:rsidRPr="00DE4E4F" w14:paraId="01736EA8" w14:textId="77777777" w:rsidTr="464ADBDD">
        <w:trPr>
          <w:trHeight w:val="313"/>
          <w:jc w:val="center"/>
        </w:trPr>
        <w:tc>
          <w:tcPr>
            <w:tcW w:w="591" w:type="dxa"/>
            <w:shd w:val="clear" w:color="auto" w:fill="C6EFCE"/>
            <w:noWrap/>
          </w:tcPr>
          <w:p w14:paraId="5149FA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267</w:t>
            </w:r>
          </w:p>
        </w:tc>
        <w:tc>
          <w:tcPr>
            <w:tcW w:w="2665" w:type="dxa"/>
            <w:shd w:val="clear" w:color="auto" w:fill="C6EFCE"/>
            <w:noWrap/>
          </w:tcPr>
          <w:p w14:paraId="1E2263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- 16833_Implementation of EASA compliance rectification works</w:t>
            </w:r>
          </w:p>
        </w:tc>
        <w:tc>
          <w:tcPr>
            <w:tcW w:w="1134" w:type="dxa"/>
            <w:shd w:val="clear" w:color="auto" w:fill="C6EFCE"/>
            <w:noWrap/>
          </w:tcPr>
          <w:p w14:paraId="2849C5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3131DC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t award for European Union Aviation Safety Agency (EASA) works in regional airports</w:t>
            </w:r>
          </w:p>
        </w:tc>
        <w:tc>
          <w:tcPr>
            <w:tcW w:w="2127" w:type="dxa"/>
            <w:shd w:val="clear" w:color="auto" w:fill="C6EFCE"/>
            <w:noWrap/>
          </w:tcPr>
          <w:p w14:paraId="60F4A6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Notification of award of contracts</w:t>
            </w:r>
          </w:p>
        </w:tc>
        <w:tc>
          <w:tcPr>
            <w:tcW w:w="992" w:type="dxa"/>
            <w:shd w:val="clear" w:color="auto" w:fill="C6EFCE"/>
            <w:noWrap/>
          </w:tcPr>
          <w:p w14:paraId="24AAC7A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6BA7A8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7AFC837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44C129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13" w:type="dxa"/>
            <w:shd w:val="clear" w:color="auto" w:fill="C6EFCE"/>
            <w:noWrap/>
          </w:tcPr>
          <w:p w14:paraId="35722B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402" w:type="dxa"/>
            <w:shd w:val="clear" w:color="auto" w:fill="C6EFCE"/>
            <w:noWrap/>
          </w:tcPr>
          <w:p w14:paraId="77EAB0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European Union Aviation Safety Agency (EASA) compliance Program: All contracts for rectification works of 13 regional airports to comply with the new Regulation (EU) 2018/1139 signed.</w:t>
            </w:r>
          </w:p>
        </w:tc>
      </w:tr>
      <w:tr w:rsidR="00682269" w:rsidRPr="00DE4E4F" w14:paraId="49F2F88D" w14:textId="77777777" w:rsidTr="464ADBDD">
        <w:trPr>
          <w:trHeight w:val="1607"/>
          <w:jc w:val="center"/>
        </w:trPr>
        <w:tc>
          <w:tcPr>
            <w:tcW w:w="591" w:type="dxa"/>
            <w:shd w:val="clear" w:color="auto" w:fill="C6EFCE"/>
            <w:noWrap/>
          </w:tcPr>
          <w:p w14:paraId="4468CAF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268</w:t>
            </w:r>
          </w:p>
        </w:tc>
        <w:tc>
          <w:tcPr>
            <w:tcW w:w="2665" w:type="dxa"/>
            <w:shd w:val="clear" w:color="auto" w:fill="C6EFCE"/>
            <w:noWrap/>
          </w:tcPr>
          <w:p w14:paraId="033F5E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- 16982_Organisational reform in the railways sector</w:t>
            </w:r>
          </w:p>
        </w:tc>
        <w:tc>
          <w:tcPr>
            <w:tcW w:w="1134" w:type="dxa"/>
            <w:shd w:val="clear" w:color="auto" w:fill="C6EFCE"/>
            <w:noWrap/>
          </w:tcPr>
          <w:p w14:paraId="31254B3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7EC489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Hellenic Railways implementation plan</w:t>
            </w:r>
          </w:p>
        </w:tc>
        <w:tc>
          <w:tcPr>
            <w:tcW w:w="2127" w:type="dxa"/>
            <w:shd w:val="clear" w:color="auto" w:fill="C6EFCE"/>
            <w:noWrap/>
          </w:tcPr>
          <w:p w14:paraId="54CD8E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Published Implementation Plan for the Hellenic Railways </w:t>
            </w:r>
          </w:p>
        </w:tc>
        <w:tc>
          <w:tcPr>
            <w:tcW w:w="992" w:type="dxa"/>
            <w:shd w:val="clear" w:color="auto" w:fill="C6EFCE"/>
            <w:noWrap/>
          </w:tcPr>
          <w:p w14:paraId="6CD82B2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3BFC96E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643672B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17DC8D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p w14:paraId="032AADD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175B2A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02" w:type="dxa"/>
            <w:shd w:val="clear" w:color="auto" w:fill="C6EFCE"/>
            <w:noWrap/>
          </w:tcPr>
          <w:p w14:paraId="1F7E43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Publication of an Implementation Plan for the new unified rail infrastructure company (Hellenic Railways) </w:t>
            </w:r>
          </w:p>
        </w:tc>
      </w:tr>
      <w:tr w:rsidR="00682269" w:rsidRPr="00DE4E4F" w14:paraId="406509F1" w14:textId="77777777" w:rsidTr="464ADBDD">
        <w:trPr>
          <w:trHeight w:val="313"/>
          <w:jc w:val="center"/>
        </w:trPr>
        <w:tc>
          <w:tcPr>
            <w:tcW w:w="591" w:type="dxa"/>
            <w:shd w:val="clear" w:color="auto" w:fill="C6EFCE"/>
            <w:noWrap/>
          </w:tcPr>
          <w:p w14:paraId="09362220"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268a</w:t>
            </w:r>
          </w:p>
        </w:tc>
        <w:tc>
          <w:tcPr>
            <w:tcW w:w="2665" w:type="dxa"/>
            <w:shd w:val="clear" w:color="auto" w:fill="C6EFCE"/>
            <w:noWrap/>
          </w:tcPr>
          <w:p w14:paraId="7CC7E4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- 16982_Organisational reform in the railways sector</w:t>
            </w:r>
          </w:p>
        </w:tc>
        <w:tc>
          <w:tcPr>
            <w:tcW w:w="1134" w:type="dxa"/>
            <w:shd w:val="clear" w:color="auto" w:fill="C6EFCE"/>
            <w:noWrap/>
          </w:tcPr>
          <w:p w14:paraId="1B957876"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503B13D1"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Legal acts for Hellenic Railways </w:t>
            </w:r>
          </w:p>
        </w:tc>
        <w:tc>
          <w:tcPr>
            <w:tcW w:w="2127" w:type="dxa"/>
            <w:shd w:val="clear" w:color="auto" w:fill="C6EFCE"/>
            <w:noWrap/>
          </w:tcPr>
          <w:p w14:paraId="057427AC"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legal acts for Hellenic Railways</w:t>
            </w:r>
          </w:p>
          <w:p w14:paraId="5422B6CB" w14:textId="77777777" w:rsidR="001B186F" w:rsidRPr="00DE4E4F" w:rsidRDefault="001B186F">
            <w:pPr>
              <w:spacing w:line="240" w:lineRule="auto"/>
              <w:rPr>
                <w:rFonts w:ascii="Times New Roman" w:hAnsi="Times New Roman" w:cs="Times New Roman"/>
                <w:noProof/>
                <w:color w:val="006100"/>
                <w:sz w:val="18"/>
                <w:szCs w:val="18"/>
              </w:rPr>
            </w:pPr>
          </w:p>
        </w:tc>
        <w:tc>
          <w:tcPr>
            <w:tcW w:w="992" w:type="dxa"/>
            <w:shd w:val="clear" w:color="auto" w:fill="C6EFCE"/>
            <w:noWrap/>
          </w:tcPr>
          <w:p w14:paraId="52CB6442"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FD22200"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1B6F34AA"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14442F5C"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16D9887C"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w:t>
            </w:r>
            <w:r w:rsidRPr="00DE4E4F" w:rsidDel="3907E562">
              <w:rPr>
                <w:rFonts w:ascii="Times New Roman" w:hAnsi="Times New Roman" w:cs="Times New Roman"/>
                <w:noProof/>
                <w:color w:val="006100"/>
                <w:sz w:val="18"/>
                <w:szCs w:val="18"/>
              </w:rPr>
              <w:t>4</w:t>
            </w:r>
          </w:p>
        </w:tc>
        <w:tc>
          <w:tcPr>
            <w:tcW w:w="3402" w:type="dxa"/>
            <w:shd w:val="clear" w:color="auto" w:fill="C6EFCE"/>
            <w:noWrap/>
          </w:tcPr>
          <w:p w14:paraId="3255A908" w14:textId="77777777" w:rsidR="001B186F" w:rsidRPr="00DE4E4F" w:rsidRDefault="0074517F">
            <w:pPr>
              <w:spacing w:after="0"/>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acts for a new unified arm’s length rail infrastructure company ("Hellenic Railways") except for the legal act for the adoption of the General Traffic Regulation (GTR) and for the legal acts depending on the GTR. </w:t>
            </w:r>
          </w:p>
          <w:p w14:paraId="1B426349" w14:textId="77777777" w:rsidR="001B186F" w:rsidRPr="00DE4E4F" w:rsidRDefault="001B186F">
            <w:pPr>
              <w:spacing w:after="0"/>
              <w:rPr>
                <w:rFonts w:ascii="Times New Roman" w:hAnsi="Times New Roman" w:cs="Times New Roman"/>
                <w:noProof/>
                <w:color w:val="006100"/>
                <w:sz w:val="18"/>
                <w:szCs w:val="18"/>
              </w:rPr>
            </w:pPr>
          </w:p>
          <w:p w14:paraId="5CE7B704" w14:textId="77777777" w:rsidR="001B186F" w:rsidRPr="00DE4E4F" w:rsidRDefault="0074517F">
            <w:pPr>
              <w:spacing w:after="0"/>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The new company will undertake responsibility for infrastructure rail safety issues and collaborate with railway undertakings in implementing risk control measures.</w:t>
            </w:r>
          </w:p>
        </w:tc>
      </w:tr>
      <w:tr w:rsidR="00682269" w:rsidRPr="00DE4E4F" w14:paraId="23B7C4DB" w14:textId="77777777" w:rsidTr="464ADBDD">
        <w:trPr>
          <w:trHeight w:val="313"/>
          <w:jc w:val="center"/>
        </w:trPr>
        <w:tc>
          <w:tcPr>
            <w:tcW w:w="591" w:type="dxa"/>
            <w:shd w:val="clear" w:color="auto" w:fill="C6EFCE"/>
            <w:noWrap/>
          </w:tcPr>
          <w:p w14:paraId="7F3B3531"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268b</w:t>
            </w:r>
          </w:p>
        </w:tc>
        <w:tc>
          <w:tcPr>
            <w:tcW w:w="2665" w:type="dxa"/>
            <w:shd w:val="clear" w:color="auto" w:fill="C6EFCE"/>
            <w:noWrap/>
          </w:tcPr>
          <w:p w14:paraId="1D74A66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17 - 4.6. Modernise and improve resilience of key economic sectors - 16982_Organisational reform in the railways sector</w:t>
            </w:r>
          </w:p>
          <w:p w14:paraId="1F21160A"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35735D4"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Milestone</w:t>
            </w:r>
          </w:p>
        </w:tc>
        <w:tc>
          <w:tcPr>
            <w:tcW w:w="1842" w:type="dxa"/>
            <w:shd w:val="clear" w:color="auto" w:fill="C6EFCE"/>
            <w:noWrap/>
          </w:tcPr>
          <w:p w14:paraId="53B8E8B2"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Multiyear investment programme, new contractual agreement and Technical Manager</w:t>
            </w:r>
          </w:p>
          <w:p w14:paraId="77C3D6F8"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2127" w:type="dxa"/>
            <w:shd w:val="clear" w:color="auto" w:fill="C6EFCE"/>
            <w:noWrap/>
          </w:tcPr>
          <w:p w14:paraId="2F1ACDEC" w14:textId="32732580"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w:t>
            </w:r>
            <w:r w:rsidR="00DE4C0C" w:rsidRPr="00DE4E4F">
              <w:rPr>
                <w:rFonts w:ascii="Times New Roman" w:hAnsi="Times New Roman" w:cs="Times New Roman"/>
                <w:noProof/>
                <w:color w:val="006100"/>
                <w:sz w:val="18"/>
                <w:szCs w:val="18"/>
              </w:rPr>
              <w:t xml:space="preserve"> </w:t>
            </w:r>
            <w:r w:rsidR="2093D048" w:rsidRPr="00DE4E4F">
              <w:rPr>
                <w:rFonts w:ascii="Times New Roman" w:hAnsi="Times New Roman" w:cs="Times New Roman"/>
                <w:noProof/>
                <w:color w:val="006100"/>
                <w:sz w:val="18"/>
                <w:szCs w:val="18"/>
              </w:rPr>
              <w:t>a new signal book</w:t>
            </w:r>
            <w:r w:rsidRPr="00DE4E4F">
              <w:rPr>
                <w:rFonts w:ascii="Times New Roman" w:hAnsi="Times New Roman" w:cs="Times New Roman"/>
                <w:noProof/>
                <w:color w:val="006100"/>
                <w:sz w:val="18"/>
                <w:szCs w:val="18"/>
              </w:rPr>
              <w:t>.</w:t>
            </w:r>
          </w:p>
          <w:p w14:paraId="325AAAE1" w14:textId="77777777" w:rsidR="001B186F" w:rsidRPr="00DE4E4F" w:rsidRDefault="0074517F">
            <w:pPr>
              <w:spacing w:line="240" w:lineRule="auto"/>
              <w:rPr>
                <w:rFonts w:ascii="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 xml:space="preserve">Multiyear investment programme </w:t>
            </w:r>
            <w:r w:rsidRPr="00DE4E4F">
              <w:rPr>
                <w:rFonts w:ascii="Times New Roman" w:hAnsi="Times New Roman" w:cs="Times New Roman"/>
                <w:noProof/>
                <w:color w:val="006100"/>
                <w:sz w:val="18"/>
                <w:szCs w:val="18"/>
              </w:rPr>
              <w:t>adopted.</w:t>
            </w:r>
          </w:p>
          <w:p w14:paraId="5B5A52E7"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New</w:t>
            </w:r>
            <w:r w:rsidRPr="00DE4E4F" w:rsidDel="3907E562">
              <w:rPr>
                <w:rFonts w:ascii="Times New Roman" w:hAnsi="Times New Roman" w:cs="Times New Roman"/>
                <w:noProof/>
                <w:color w:val="006100"/>
                <w:sz w:val="18"/>
                <w:szCs w:val="18"/>
              </w:rPr>
              <w:t xml:space="preserve"> contractual agreement</w:t>
            </w:r>
            <w:r w:rsidRPr="00DE4E4F">
              <w:rPr>
                <w:rFonts w:ascii="Times New Roman" w:hAnsi="Times New Roman" w:cs="Times New Roman"/>
                <w:noProof/>
                <w:color w:val="006100"/>
                <w:sz w:val="18"/>
                <w:szCs w:val="18"/>
              </w:rPr>
              <w:t xml:space="preserve"> signed.</w:t>
            </w:r>
          </w:p>
          <w:p w14:paraId="332B479A" w14:textId="77777777" w:rsidR="001B186F" w:rsidRPr="00DE4E4F" w:rsidRDefault="0074517F">
            <w:pPr>
              <w:spacing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Technical Manager appointed.</w:t>
            </w:r>
          </w:p>
        </w:tc>
        <w:tc>
          <w:tcPr>
            <w:tcW w:w="992" w:type="dxa"/>
            <w:shd w:val="clear" w:color="auto" w:fill="C6EFCE"/>
            <w:noWrap/>
          </w:tcPr>
          <w:p w14:paraId="1E66B710"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589ABAA"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6D8B8434"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1C5BAADD"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Q2</w:t>
            </w:r>
          </w:p>
        </w:tc>
        <w:tc>
          <w:tcPr>
            <w:tcW w:w="713" w:type="dxa"/>
            <w:shd w:val="clear" w:color="auto" w:fill="C6EFCE"/>
            <w:noWrap/>
          </w:tcPr>
          <w:p w14:paraId="03B6B063"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2025</w:t>
            </w:r>
          </w:p>
        </w:tc>
        <w:tc>
          <w:tcPr>
            <w:tcW w:w="3402" w:type="dxa"/>
            <w:shd w:val="clear" w:color="auto" w:fill="C6EFCE"/>
            <w:noWrap/>
          </w:tcPr>
          <w:p w14:paraId="25D48A37" w14:textId="46886946" w:rsidR="001B186F" w:rsidRPr="00DE4E4F" w:rsidRDefault="2F5A4AFC">
            <w:pPr>
              <w:spacing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E</w:t>
            </w:r>
            <w:r w:rsidR="4D929558" w:rsidRPr="00DE4E4F">
              <w:rPr>
                <w:rFonts w:ascii="Times New Roman" w:hAnsi="Times New Roman" w:cs="Times New Roman"/>
                <w:noProof/>
                <w:color w:val="006100"/>
                <w:sz w:val="18"/>
                <w:szCs w:val="18"/>
              </w:rPr>
              <w:t>ntry</w:t>
            </w:r>
            <w:r w:rsidR="625BFF0D" w:rsidRPr="00DE4E4F">
              <w:rPr>
                <w:rFonts w:ascii="Times New Roman" w:hAnsi="Times New Roman" w:cs="Times New Roman"/>
                <w:noProof/>
                <w:color w:val="006100"/>
                <w:sz w:val="18"/>
                <w:szCs w:val="18"/>
              </w:rPr>
              <w:t xml:space="preserve"> into force of </w:t>
            </w:r>
            <w:r w:rsidR="4D929558" w:rsidRPr="00DE4E4F">
              <w:rPr>
                <w:rFonts w:ascii="Times New Roman" w:hAnsi="Times New Roman" w:cs="Times New Roman"/>
                <w:noProof/>
                <w:color w:val="006100"/>
                <w:sz w:val="18"/>
                <w:szCs w:val="18"/>
              </w:rPr>
              <w:t xml:space="preserve">the signal book required under the </w:t>
            </w:r>
            <w:r w:rsidR="625BFF0D" w:rsidRPr="00DE4E4F">
              <w:rPr>
                <w:rFonts w:ascii="Times New Roman" w:hAnsi="Times New Roman" w:cs="Times New Roman"/>
                <w:noProof/>
                <w:color w:val="006100"/>
                <w:sz w:val="18"/>
                <w:szCs w:val="18"/>
              </w:rPr>
              <w:t xml:space="preserve">Ministerial Decision </w:t>
            </w:r>
            <w:r w:rsidR="4D929558" w:rsidRPr="00DE4E4F">
              <w:rPr>
                <w:rFonts w:ascii="Times New Roman" w:hAnsi="Times New Roman" w:cs="Times New Roman"/>
                <w:noProof/>
                <w:color w:val="006100"/>
                <w:sz w:val="18"/>
                <w:szCs w:val="18"/>
              </w:rPr>
              <w:t>adopting uniform traffic rules</w:t>
            </w:r>
            <w:r w:rsidR="625BFF0D" w:rsidRPr="00DE4E4F">
              <w:rPr>
                <w:rFonts w:ascii="Times New Roman" w:hAnsi="Times New Roman" w:cs="Times New Roman"/>
                <w:noProof/>
                <w:color w:val="006100"/>
                <w:sz w:val="18"/>
                <w:szCs w:val="18"/>
              </w:rPr>
              <w:t xml:space="preserve"> for the </w:t>
            </w:r>
            <w:r w:rsidR="4D929558" w:rsidRPr="00DE4E4F">
              <w:rPr>
                <w:rFonts w:ascii="Times New Roman" w:hAnsi="Times New Roman" w:cs="Times New Roman"/>
                <w:noProof/>
                <w:color w:val="006100"/>
                <w:sz w:val="18"/>
                <w:szCs w:val="18"/>
              </w:rPr>
              <w:t>Greek rail network</w:t>
            </w:r>
            <w:r w:rsidR="625BFF0D" w:rsidRPr="00DE4E4F">
              <w:rPr>
                <w:rFonts w:ascii="Times New Roman" w:hAnsi="Times New Roman" w:cs="Times New Roman"/>
                <w:noProof/>
                <w:color w:val="006100"/>
                <w:sz w:val="18"/>
                <w:szCs w:val="18"/>
              </w:rPr>
              <w:t>.</w:t>
            </w:r>
            <w:r w:rsidR="54F9B7C6"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Adoption by the Board of Directors of the Hellenic Railways, of the Multiyear program with expected strategic investments and maintenance works; signature of contractual agreement, with specific milestones and KPIs for completion of investments in key safety systems and infrastructures, for regular maintenance, for customer satisfaction, for strengthening the quality of recruiting and corporate governance of the company.</w:t>
            </w:r>
          </w:p>
          <w:p w14:paraId="65C723DD"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Contractual appointment of a Technical Manager to support the operational set up of "Hellenic Railways".</w:t>
            </w:r>
          </w:p>
        </w:tc>
      </w:tr>
      <w:tr w:rsidR="00682269" w:rsidRPr="00DE4E4F" w14:paraId="51849B2F" w14:textId="77777777" w:rsidTr="464ADBDD">
        <w:trPr>
          <w:trHeight w:val="1185"/>
          <w:jc w:val="center"/>
        </w:trPr>
        <w:tc>
          <w:tcPr>
            <w:tcW w:w="591" w:type="dxa"/>
            <w:shd w:val="clear" w:color="auto" w:fill="C6EFCE"/>
            <w:noWrap/>
          </w:tcPr>
          <w:p w14:paraId="5C07CACA"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268c</w:t>
            </w:r>
          </w:p>
        </w:tc>
        <w:tc>
          <w:tcPr>
            <w:tcW w:w="2665" w:type="dxa"/>
            <w:shd w:val="clear" w:color="auto" w:fill="C6EFCE"/>
            <w:noWrap/>
          </w:tcPr>
          <w:p w14:paraId="31FBA1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17 - 4.6. Modernise and improve resilience of key economic sectors - 16982_Organisational reform in the railways sector</w:t>
            </w:r>
          </w:p>
          <w:p w14:paraId="1D678208"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26F420D5"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Milestone</w:t>
            </w:r>
          </w:p>
        </w:tc>
        <w:tc>
          <w:tcPr>
            <w:tcW w:w="1842" w:type="dxa"/>
            <w:shd w:val="clear" w:color="auto" w:fill="C6EFCE"/>
            <w:noWrap/>
          </w:tcPr>
          <w:p w14:paraId="7E9C607E" w14:textId="6BB7F603" w:rsidR="001B186F" w:rsidRPr="00DE4E4F" w:rsidRDefault="1C5F3651">
            <w:pPr>
              <w:spacing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New </w:t>
            </w:r>
            <w:r w:rsidR="00DE4E4F" w:rsidRPr="00DE4E4F">
              <w:rPr>
                <w:rFonts w:ascii="Times New Roman" w:eastAsia="Times New Roman" w:hAnsi="Times New Roman" w:cs="Times New Roman"/>
                <w:noProof/>
                <w:color w:val="006100"/>
                <w:sz w:val="18"/>
                <w:szCs w:val="18"/>
                <w:lang w:eastAsia="en-GB"/>
              </w:rPr>
              <w:t>organisational</w:t>
            </w:r>
            <w:r w:rsidRPr="00DE4E4F">
              <w:rPr>
                <w:rFonts w:ascii="Times New Roman" w:eastAsia="Times New Roman" w:hAnsi="Times New Roman" w:cs="Times New Roman"/>
                <w:noProof/>
                <w:color w:val="006100"/>
                <w:sz w:val="18"/>
                <w:szCs w:val="18"/>
                <w:lang w:eastAsia="en-GB"/>
              </w:rPr>
              <w:t xml:space="preserve"> structure</w:t>
            </w:r>
          </w:p>
        </w:tc>
        <w:tc>
          <w:tcPr>
            <w:tcW w:w="2127" w:type="dxa"/>
            <w:shd w:val="clear" w:color="auto" w:fill="C6EFCE"/>
            <w:noWrap/>
          </w:tcPr>
          <w:p w14:paraId="3BB218CA" w14:textId="1343F102" w:rsidR="001B186F" w:rsidRPr="00DE4E4F" w:rsidRDefault="3DB3C1FB">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New organisational structure </w:t>
            </w:r>
            <w:r w:rsidR="5C90BF09" w:rsidRPr="00DE4E4F">
              <w:rPr>
                <w:rFonts w:ascii="Times New Roman" w:hAnsi="Times New Roman" w:cs="Times New Roman"/>
                <w:noProof/>
                <w:color w:val="006100"/>
                <w:sz w:val="18"/>
                <w:szCs w:val="18"/>
              </w:rPr>
              <w:t>approved.</w:t>
            </w:r>
          </w:p>
        </w:tc>
        <w:tc>
          <w:tcPr>
            <w:tcW w:w="992" w:type="dxa"/>
            <w:shd w:val="clear" w:color="auto" w:fill="C6EFCE"/>
            <w:noWrap/>
          </w:tcPr>
          <w:p w14:paraId="3A6DE310"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24ACA2F3"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0DF3F85B"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38B77C0"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Q4</w:t>
            </w:r>
          </w:p>
        </w:tc>
        <w:tc>
          <w:tcPr>
            <w:tcW w:w="713" w:type="dxa"/>
            <w:shd w:val="clear" w:color="auto" w:fill="C6EFCE"/>
            <w:noWrap/>
          </w:tcPr>
          <w:p w14:paraId="787DDF88"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sidDel="3907E562">
              <w:rPr>
                <w:rFonts w:ascii="Times New Roman" w:hAnsi="Times New Roman" w:cs="Times New Roman"/>
                <w:noProof/>
                <w:color w:val="006100"/>
                <w:sz w:val="18"/>
                <w:szCs w:val="18"/>
              </w:rPr>
              <w:t>2025</w:t>
            </w:r>
          </w:p>
        </w:tc>
        <w:tc>
          <w:tcPr>
            <w:tcW w:w="3402" w:type="dxa"/>
            <w:shd w:val="clear" w:color="auto" w:fill="C6EFCE"/>
            <w:noWrap/>
          </w:tcPr>
          <w:p w14:paraId="2C07B8B2" w14:textId="45E137C5" w:rsidR="001B186F" w:rsidRPr="00DE4E4F" w:rsidRDefault="3321B04A" w:rsidP="2576110D">
            <w:pPr>
              <w:spacing w:after="0" w:line="240" w:lineRule="auto"/>
              <w:rPr>
                <w:noProof/>
              </w:rPr>
            </w:pPr>
            <w:r w:rsidRPr="00DE4E4F">
              <w:rPr>
                <w:rFonts w:ascii="Times New Roman" w:eastAsiaTheme="minorEastAsia" w:hAnsi="Times New Roman" w:cs="Times New Roman"/>
                <w:noProof/>
                <w:color w:val="006100"/>
                <w:sz w:val="18"/>
                <w:szCs w:val="18"/>
              </w:rPr>
              <w:t xml:space="preserve">Approval by the Board of Directors of Hellenic Railways of the new organisational structure and role responsibilities. </w:t>
            </w:r>
          </w:p>
          <w:p w14:paraId="40E3D8FB" w14:textId="563DBF46" w:rsidR="001B186F" w:rsidRPr="00DE4E4F" w:rsidRDefault="50D5D926" w:rsidP="00B116A1">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Election of the new Board of Directors of Hellenic Railways.</w:t>
            </w:r>
          </w:p>
          <w:p w14:paraId="6A65769F" w14:textId="299656D5" w:rsidR="001B186F" w:rsidRPr="00DE4E4F" w:rsidRDefault="001B186F">
            <w:pPr>
              <w:spacing w:after="0" w:line="240" w:lineRule="auto"/>
              <w:rPr>
                <w:rFonts w:ascii="Times New Roman" w:eastAsiaTheme="minorEastAsia" w:hAnsi="Times New Roman" w:cs="Times New Roman"/>
                <w:noProof/>
                <w:color w:val="006100"/>
                <w:sz w:val="18"/>
                <w:szCs w:val="18"/>
              </w:rPr>
            </w:pPr>
          </w:p>
        </w:tc>
      </w:tr>
      <w:tr w:rsidR="00682269" w:rsidRPr="00DE4E4F" w14:paraId="72BBE501" w14:textId="77777777" w:rsidTr="464ADBDD">
        <w:trPr>
          <w:trHeight w:val="313"/>
          <w:jc w:val="center"/>
        </w:trPr>
        <w:tc>
          <w:tcPr>
            <w:tcW w:w="591" w:type="dxa"/>
            <w:shd w:val="clear" w:color="auto" w:fill="C6EFCE"/>
            <w:noWrap/>
          </w:tcPr>
          <w:p w14:paraId="674249B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269</w:t>
            </w:r>
          </w:p>
        </w:tc>
        <w:tc>
          <w:tcPr>
            <w:tcW w:w="2665" w:type="dxa"/>
            <w:shd w:val="clear" w:color="auto" w:fill="C6EFCE"/>
            <w:noWrap/>
          </w:tcPr>
          <w:p w14:paraId="7512E4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17 - 4.6. Modernise and improve resilience of key economic sectors – </w:t>
            </w:r>
          </w:p>
          <w:p w14:paraId="70C36FC8" w14:textId="19DFC6D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16833_</w:t>
            </w:r>
            <w:r w:rsidR="46985015" w:rsidRPr="00DE4E4F">
              <w:rPr>
                <w:rFonts w:ascii="Times New Roman" w:hAnsi="Times New Roman" w:cs="Times New Roman"/>
                <w:noProof/>
                <w:color w:val="006100"/>
                <w:sz w:val="18"/>
                <w:szCs w:val="18"/>
              </w:rPr>
              <w:t>Regional airport upgrades - DAAD withdrawal</w:t>
            </w:r>
          </w:p>
        </w:tc>
        <w:tc>
          <w:tcPr>
            <w:tcW w:w="1134" w:type="dxa"/>
            <w:shd w:val="clear" w:color="auto" w:fill="C6EFCE"/>
            <w:noWrap/>
          </w:tcPr>
          <w:p w14:paraId="14A43A2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7B58A730"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Withdrawal of Deviation Acceptance and Action Documents (DAADs)</w:t>
            </w:r>
          </w:p>
        </w:tc>
        <w:tc>
          <w:tcPr>
            <w:tcW w:w="2127" w:type="dxa"/>
            <w:shd w:val="clear" w:color="auto" w:fill="C6EFCE"/>
            <w:noWrap/>
          </w:tcPr>
          <w:p w14:paraId="1312CA49" w14:textId="38DCA503" w:rsidR="001B186F" w:rsidRPr="00DE4E4F" w:rsidRDefault="0074517F" w:rsidP="464ADBD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Withdrawal of </w:t>
            </w:r>
            <w:r w:rsidR="448B30E9" w:rsidRPr="00DE4E4F">
              <w:rPr>
                <w:rFonts w:ascii="Times New Roman" w:hAnsi="Times New Roman" w:cs="Times New Roman"/>
                <w:noProof/>
                <w:color w:val="006100"/>
                <w:sz w:val="18"/>
                <w:szCs w:val="18"/>
              </w:rPr>
              <w:t>97</w:t>
            </w:r>
            <w:r w:rsidR="0C3C204A"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Deviation Acceptance and Action Documents (DAADs)</w:t>
            </w:r>
          </w:p>
        </w:tc>
        <w:tc>
          <w:tcPr>
            <w:tcW w:w="992" w:type="dxa"/>
            <w:shd w:val="clear" w:color="auto" w:fill="C6EFCE"/>
            <w:noWrap/>
          </w:tcPr>
          <w:p w14:paraId="52E7111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587462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319BBC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3EAAEF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3EB64F7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7314743B" w14:textId="03B33BAF" w:rsidR="001B186F" w:rsidRPr="00DE4E4F" w:rsidRDefault="0074517F" w:rsidP="464ADBDD">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Withdrawal of </w:t>
            </w:r>
            <w:r w:rsidR="6AADE951" w:rsidRPr="00DE4E4F">
              <w:rPr>
                <w:rFonts w:ascii="Times New Roman" w:hAnsi="Times New Roman" w:cs="Times New Roman"/>
                <w:noProof/>
                <w:color w:val="006100"/>
                <w:sz w:val="18"/>
                <w:szCs w:val="18"/>
              </w:rPr>
              <w:t>97</w:t>
            </w:r>
            <w:r w:rsidR="0E0A3400"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Deviation Acceptance and Action Documents (DAADs) from 13 airports through decisions of the Hellenic Civil Aviation Authority (HCAA).</w:t>
            </w:r>
          </w:p>
        </w:tc>
      </w:tr>
      <w:tr w:rsidR="00682269" w:rsidRPr="00DE4E4F" w14:paraId="268B077F" w14:textId="77777777" w:rsidTr="464ADBDD">
        <w:trPr>
          <w:trHeight w:val="796"/>
          <w:jc w:val="center"/>
        </w:trPr>
        <w:tc>
          <w:tcPr>
            <w:tcW w:w="591" w:type="dxa"/>
            <w:shd w:val="clear" w:color="auto" w:fill="C6EFCE"/>
            <w:noWrap/>
          </w:tcPr>
          <w:p w14:paraId="4435C1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272</w:t>
            </w:r>
          </w:p>
        </w:tc>
        <w:tc>
          <w:tcPr>
            <w:tcW w:w="2665" w:type="dxa"/>
            <w:shd w:val="clear" w:color="auto" w:fill="C6EFCE"/>
            <w:noWrap/>
          </w:tcPr>
          <w:p w14:paraId="5D4536DB"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17 - 4.6. Modernise and improve resilience of key economic sectors - 16949_Smart Bridges</w:t>
            </w:r>
          </w:p>
        </w:tc>
        <w:tc>
          <w:tcPr>
            <w:tcW w:w="1134" w:type="dxa"/>
            <w:shd w:val="clear" w:color="auto" w:fill="C6EFCE"/>
            <w:noWrap/>
          </w:tcPr>
          <w:p w14:paraId="43565CE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6335FE1A" w14:textId="0E056904" w:rsidR="001B186F" w:rsidRPr="00DE4E4F" w:rsidRDefault="1A16A97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smart bridges equipment</w:t>
            </w:r>
          </w:p>
        </w:tc>
        <w:tc>
          <w:tcPr>
            <w:tcW w:w="2127" w:type="dxa"/>
            <w:shd w:val="clear" w:color="auto" w:fill="C6EFCE"/>
            <w:noWrap/>
          </w:tcPr>
          <w:p w14:paraId="29620789" w14:textId="009A7A06" w:rsidR="001B186F" w:rsidRPr="00DE4E4F" w:rsidRDefault="49388AA9">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smart bridges equipment</w:t>
            </w:r>
          </w:p>
        </w:tc>
        <w:tc>
          <w:tcPr>
            <w:tcW w:w="992" w:type="dxa"/>
            <w:shd w:val="clear" w:color="auto" w:fill="C6EFCE"/>
            <w:noWrap/>
          </w:tcPr>
          <w:p w14:paraId="30C7CF5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C6900E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6354C4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5F43B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459C0C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25ABF821" w14:textId="77777777" w:rsidR="004B2B0F" w:rsidRPr="00DE4E4F" w:rsidRDefault="004B2B0F" w:rsidP="004B2B0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Real Time Structural Health Monitoring (RTSHM) systems on bridges with:</w:t>
            </w:r>
          </w:p>
          <w:p w14:paraId="515ACF25" w14:textId="3499F8C1" w:rsidR="004B2B0F" w:rsidRPr="00DE4E4F" w:rsidRDefault="004B2B0F" w:rsidP="004B2B0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 Optical-fibre strain sensors and other structural monitoring sensors on 271 bridges; </w:t>
            </w:r>
          </w:p>
          <w:p w14:paraId="0E9934CB" w14:textId="4FE8C664" w:rsidR="001B186F" w:rsidRPr="00DE4E4F" w:rsidRDefault="004B2B0F" w:rsidP="004B2B0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(ii) Autonomous wireless Internet of Things (IoT) sensors with battery or solar power operation on 380 bridges</w:t>
            </w:r>
            <w:r w:rsidR="004C068B" w:rsidRPr="00DE4E4F">
              <w:rPr>
                <w:rFonts w:ascii="Times New Roman" w:hAnsi="Times New Roman" w:cs="Times New Roman"/>
                <w:noProof/>
                <w:color w:val="006100"/>
                <w:sz w:val="18"/>
                <w:szCs w:val="18"/>
              </w:rPr>
              <w:t>.</w:t>
            </w:r>
          </w:p>
        </w:tc>
      </w:tr>
      <w:tr w:rsidR="00682269" w:rsidRPr="00DE4E4F" w14:paraId="3E6F5278" w14:textId="77777777" w:rsidTr="464ADBDD">
        <w:trPr>
          <w:trHeight w:val="313"/>
          <w:jc w:val="center"/>
        </w:trPr>
        <w:tc>
          <w:tcPr>
            <w:tcW w:w="591" w:type="dxa"/>
            <w:shd w:val="clear" w:color="auto" w:fill="C6EFCE"/>
            <w:noWrap/>
          </w:tcPr>
          <w:p w14:paraId="2C2C83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274</w:t>
            </w:r>
          </w:p>
        </w:tc>
        <w:tc>
          <w:tcPr>
            <w:tcW w:w="2665" w:type="dxa"/>
            <w:shd w:val="clear" w:color="auto" w:fill="C6EFCE"/>
            <w:noWrap/>
          </w:tcPr>
          <w:p w14:paraId="42B0DFA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17 - 4.6. Modernise and improve resilience of key economic sectors - 16959_Digital Transformation of the Hellenic Railways </w:t>
            </w:r>
          </w:p>
        </w:tc>
        <w:tc>
          <w:tcPr>
            <w:tcW w:w="1134" w:type="dxa"/>
            <w:shd w:val="clear" w:color="auto" w:fill="C6EFCE"/>
            <w:noWrap/>
          </w:tcPr>
          <w:p w14:paraId="1680CF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66A0F6A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projects, systems, equipment and services</w:t>
            </w:r>
          </w:p>
        </w:tc>
        <w:tc>
          <w:tcPr>
            <w:tcW w:w="2127" w:type="dxa"/>
            <w:shd w:val="clear" w:color="auto" w:fill="C6EFCE"/>
            <w:noWrap/>
          </w:tcPr>
          <w:p w14:paraId="4823883C"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Digital projects, systems, equipment and services provided</w:t>
            </w:r>
          </w:p>
        </w:tc>
        <w:tc>
          <w:tcPr>
            <w:tcW w:w="992" w:type="dxa"/>
            <w:shd w:val="clear" w:color="auto" w:fill="C6EFCE"/>
            <w:noWrap/>
          </w:tcPr>
          <w:p w14:paraId="162E53A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0A4B9F5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122D4BA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EBC77E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4F51774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035A5B1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Provision of the following digital projects, systems, equipment and services:</w:t>
            </w:r>
          </w:p>
          <w:p w14:paraId="3C64D825" w14:textId="2B48E5E1"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 </w:t>
            </w:r>
            <w:r w:rsidR="00647077" w:rsidRPr="00DE4E4F">
              <w:rPr>
                <w:rFonts w:ascii="Times New Roman" w:hAnsi="Times New Roman" w:cs="Times New Roman"/>
                <w:noProof/>
                <w:color w:val="006100"/>
                <w:sz w:val="18"/>
                <w:szCs w:val="18"/>
              </w:rPr>
              <w:t>Core t</w:t>
            </w:r>
            <w:r w:rsidRPr="00DE4E4F">
              <w:rPr>
                <w:rFonts w:ascii="Times New Roman" w:hAnsi="Times New Roman" w:cs="Times New Roman"/>
                <w:noProof/>
                <w:color w:val="006100"/>
                <w:sz w:val="18"/>
                <w:szCs w:val="18"/>
              </w:rPr>
              <w:t>icket Management and Telematics System;</w:t>
            </w:r>
          </w:p>
          <w:p w14:paraId="03C4E10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Infrastructure of smart stations;</w:t>
            </w:r>
          </w:p>
          <w:p w14:paraId="1D257826" w14:textId="5A824E39" w:rsidR="001B186F" w:rsidRPr="00DE4E4F" w:rsidRDefault="0074517F" w:rsidP="00647077">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Customer Experience Services;</w:t>
            </w:r>
          </w:p>
          <w:p w14:paraId="417EFEEE" w14:textId="1A9E096A" w:rsidR="001B186F" w:rsidRPr="00DE4E4F" w:rsidRDefault="00D20C73">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w:t>
            </w:r>
            <w:r w:rsidR="0074517F" w:rsidRPr="00DE4E4F">
              <w:rPr>
                <w:rFonts w:ascii="Times New Roman" w:hAnsi="Times New Roman" w:cs="Times New Roman"/>
                <w:noProof/>
                <w:color w:val="006100"/>
                <w:sz w:val="18"/>
                <w:szCs w:val="18"/>
              </w:rPr>
              <w:t>. Training Services; and</w:t>
            </w:r>
          </w:p>
          <w:p w14:paraId="5E4CAC00" w14:textId="7BFF8C21" w:rsidR="001B186F" w:rsidRPr="00DE4E4F" w:rsidRDefault="00D20C73" w:rsidP="000771AD">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5</w:t>
            </w:r>
            <w:r w:rsidR="0074517F" w:rsidRPr="00DE4E4F">
              <w:rPr>
                <w:rFonts w:ascii="Times New Roman" w:eastAsiaTheme="minorEastAsia" w:hAnsi="Times New Roman" w:cs="Times New Roman"/>
                <w:noProof/>
                <w:color w:val="006100"/>
                <w:sz w:val="18"/>
                <w:szCs w:val="18"/>
              </w:rPr>
              <w:t xml:space="preserve">. Safety infrastructure of </w:t>
            </w:r>
            <w:r w:rsidR="00647077" w:rsidRPr="00DE4E4F">
              <w:rPr>
                <w:rFonts w:ascii="Times New Roman" w:eastAsiaTheme="minorEastAsia" w:hAnsi="Times New Roman" w:cs="Times New Roman"/>
                <w:noProof/>
                <w:color w:val="006100"/>
                <w:sz w:val="18"/>
                <w:szCs w:val="18"/>
              </w:rPr>
              <w:t xml:space="preserve">six </w:t>
            </w:r>
            <w:r w:rsidR="0074517F" w:rsidRPr="00DE4E4F">
              <w:rPr>
                <w:rFonts w:ascii="Times New Roman" w:eastAsiaTheme="minorEastAsia" w:hAnsi="Times New Roman" w:cs="Times New Roman"/>
                <w:noProof/>
                <w:color w:val="006100"/>
                <w:sz w:val="18"/>
                <w:szCs w:val="18"/>
              </w:rPr>
              <w:t>railway tunnels using smart systems.</w:t>
            </w:r>
          </w:p>
        </w:tc>
      </w:tr>
      <w:tr w:rsidR="00682269" w:rsidRPr="00DE4E4F" w14:paraId="3C53F718" w14:textId="77777777" w:rsidTr="464ADBDD">
        <w:trPr>
          <w:trHeight w:val="313"/>
          <w:jc w:val="center"/>
        </w:trPr>
        <w:tc>
          <w:tcPr>
            <w:tcW w:w="591" w:type="dxa"/>
            <w:shd w:val="clear" w:color="auto" w:fill="C6EFCE"/>
            <w:noWrap/>
          </w:tcPr>
          <w:p w14:paraId="4FBB90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275</w:t>
            </w:r>
          </w:p>
        </w:tc>
        <w:tc>
          <w:tcPr>
            <w:tcW w:w="2665" w:type="dxa"/>
            <w:shd w:val="clear" w:color="auto" w:fill="C6EFCE"/>
            <w:noWrap/>
          </w:tcPr>
          <w:p w14:paraId="69A7109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- 16960_Smart Infrastructure with environmental and cultural focus</w:t>
            </w:r>
          </w:p>
        </w:tc>
        <w:tc>
          <w:tcPr>
            <w:tcW w:w="1134" w:type="dxa"/>
            <w:shd w:val="clear" w:color="auto" w:fill="C6EFCE"/>
            <w:noWrap/>
          </w:tcPr>
          <w:p w14:paraId="4934C7A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08DD08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smart infrastructure project</w:t>
            </w:r>
          </w:p>
        </w:tc>
        <w:tc>
          <w:tcPr>
            <w:tcW w:w="2127" w:type="dxa"/>
            <w:shd w:val="clear" w:color="auto" w:fill="C6EFCE"/>
            <w:noWrap/>
          </w:tcPr>
          <w:p w14:paraId="22A08E43" w14:textId="28FFC50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subprojects</w:t>
            </w:r>
          </w:p>
        </w:tc>
        <w:tc>
          <w:tcPr>
            <w:tcW w:w="992" w:type="dxa"/>
            <w:shd w:val="clear" w:color="auto" w:fill="C6EFCE"/>
            <w:noWrap/>
          </w:tcPr>
          <w:p w14:paraId="047E534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D4E2B8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3AE7C3B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84CF56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6B6FAF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36AC08E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w:t>
            </w:r>
          </w:p>
          <w:p w14:paraId="00DF670F" w14:textId="40673103"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information system for watercourses delineation </w:t>
            </w:r>
            <w:r w:rsidR="006D2163" w:rsidRPr="00DE4E4F">
              <w:rPr>
                <w:rFonts w:ascii="Times New Roman" w:hAnsi="Times New Roman" w:cs="Times New Roman"/>
                <w:noProof/>
                <w:color w:val="006100"/>
                <w:sz w:val="18"/>
                <w:szCs w:val="18"/>
              </w:rPr>
              <w:t xml:space="preserve">and the scanning of </w:t>
            </w:r>
            <w:r w:rsidR="00AC38F3" w:rsidRPr="00DE4E4F">
              <w:rPr>
                <w:rFonts w:ascii="Times New Roman" w:hAnsi="Times New Roman" w:cs="Times New Roman"/>
                <w:noProof/>
                <w:color w:val="006100"/>
                <w:sz w:val="18"/>
                <w:szCs w:val="18"/>
              </w:rPr>
              <w:t>3</w:t>
            </w:r>
            <w:r w:rsidR="006D2163" w:rsidRPr="00DE4E4F">
              <w:rPr>
                <w:rFonts w:ascii="Times New Roman" w:hAnsi="Times New Roman" w:cs="Times New Roman"/>
                <w:noProof/>
                <w:color w:val="006100"/>
                <w:sz w:val="18"/>
                <w:szCs w:val="18"/>
              </w:rPr>
              <w:t>00 demarcation folders and delineation of 6</w:t>
            </w:r>
            <w:r w:rsidR="00B116A1" w:rsidRPr="00DE4E4F">
              <w:rPr>
                <w:rFonts w:ascii="Times New Roman" w:hAnsi="Times New Roman" w:cs="Times New Roman"/>
                <w:noProof/>
                <w:color w:val="006100"/>
                <w:sz w:val="18"/>
                <w:szCs w:val="18"/>
              </w:rPr>
              <w:t> </w:t>
            </w:r>
            <w:r w:rsidR="006D2163" w:rsidRPr="00DE4E4F">
              <w:rPr>
                <w:rFonts w:ascii="Times New Roman" w:hAnsi="Times New Roman" w:cs="Times New Roman"/>
                <w:noProof/>
                <w:color w:val="006100"/>
                <w:sz w:val="18"/>
                <w:szCs w:val="18"/>
              </w:rPr>
              <w:t>000 km of watercourses</w:t>
            </w:r>
            <w:r w:rsidRPr="00DE4E4F">
              <w:rPr>
                <w:rFonts w:ascii="Times New Roman" w:hAnsi="Times New Roman" w:cs="Times New Roman"/>
                <w:noProof/>
                <w:color w:val="006100"/>
                <w:sz w:val="18"/>
                <w:szCs w:val="18"/>
              </w:rPr>
              <w:t>;</w:t>
            </w:r>
          </w:p>
          <w:p w14:paraId="158160B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Single Digital Map;</w:t>
            </w:r>
          </w:p>
          <w:p w14:paraId="1F6779F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equipment for monitoring of air and marine pollution;</w:t>
            </w:r>
          </w:p>
          <w:p w14:paraId="5FBF9E69" w14:textId="15426942" w:rsidR="001B186F" w:rsidRPr="00DE4E4F" w:rsidDel="00AB2FD9"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infrastructure and digital services for </w:t>
            </w:r>
            <w:r w:rsidR="00027E15" w:rsidRPr="00DE4E4F">
              <w:rPr>
                <w:rFonts w:ascii="Times New Roman" w:hAnsi="Times New Roman" w:cs="Times New Roman"/>
                <w:noProof/>
                <w:color w:val="006100"/>
                <w:sz w:val="18"/>
                <w:szCs w:val="18"/>
              </w:rPr>
              <w:t>archaeological sites</w:t>
            </w:r>
            <w:r w:rsidR="3EAF8664" w:rsidRPr="00DE4E4F">
              <w:rPr>
                <w:rFonts w:ascii="Times New Roman" w:hAnsi="Times New Roman" w:cs="Times New Roman"/>
                <w:noProof/>
                <w:color w:val="006100"/>
                <w:sz w:val="18"/>
                <w:szCs w:val="18"/>
              </w:rPr>
              <w:t xml:space="preserve"> or </w:t>
            </w:r>
            <w:r w:rsidRPr="00DE4E4F">
              <w:rPr>
                <w:rFonts w:ascii="Times New Roman" w:hAnsi="Times New Roman" w:cs="Times New Roman"/>
                <w:noProof/>
                <w:color w:val="006100"/>
                <w:sz w:val="18"/>
                <w:szCs w:val="18"/>
              </w:rPr>
              <w:t>museums;</w:t>
            </w:r>
          </w:p>
          <w:p w14:paraId="552D0CE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 information system to trace illegal building and construction.</w:t>
            </w:r>
          </w:p>
        </w:tc>
      </w:tr>
      <w:tr w:rsidR="00682269" w:rsidRPr="00DE4E4F" w14:paraId="0B126E64" w14:textId="77777777" w:rsidTr="464ADBDD">
        <w:trPr>
          <w:trHeight w:val="313"/>
          <w:jc w:val="center"/>
        </w:trPr>
        <w:tc>
          <w:tcPr>
            <w:tcW w:w="591" w:type="dxa"/>
            <w:shd w:val="clear" w:color="auto" w:fill="C6EFCE"/>
            <w:noWrap/>
          </w:tcPr>
          <w:p w14:paraId="7C3B280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276</w:t>
            </w:r>
          </w:p>
        </w:tc>
        <w:tc>
          <w:tcPr>
            <w:tcW w:w="2665" w:type="dxa"/>
            <w:shd w:val="clear" w:color="auto" w:fill="C6EFCE"/>
            <w:noWrap/>
          </w:tcPr>
          <w:p w14:paraId="047AE2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- 16937_Digital Integrated Program Management System for the Administration of the Technical Works and Structural Assets of the Ministry of Infrastructure and Transport</w:t>
            </w:r>
          </w:p>
        </w:tc>
        <w:tc>
          <w:tcPr>
            <w:tcW w:w="1134" w:type="dxa"/>
            <w:shd w:val="clear" w:color="auto" w:fill="C6EFCE"/>
            <w:noWrap/>
          </w:tcPr>
          <w:p w14:paraId="794449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4BBAA86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Portfolio</w:t>
            </w:r>
            <w:r w:rsidRPr="00DE4E4F">
              <w:rPr>
                <w:rFonts w:ascii="Times New Roman" w:hAnsi="Times New Roman" w:cs="Times New Roman"/>
                <w:noProof/>
                <w:sz w:val="18"/>
                <w:szCs w:val="18"/>
              </w:rPr>
              <w:t xml:space="preserve"> </w:t>
            </w:r>
            <w:r w:rsidRPr="00DE4E4F">
              <w:rPr>
                <w:rFonts w:ascii="Times New Roman" w:eastAsiaTheme="minorEastAsia" w:hAnsi="Times New Roman" w:cs="Times New Roman"/>
                <w:noProof/>
                <w:color w:val="006100"/>
                <w:sz w:val="18"/>
                <w:szCs w:val="18"/>
              </w:rPr>
              <w:t>Management Information System (PMIS)</w:t>
            </w:r>
          </w:p>
        </w:tc>
        <w:tc>
          <w:tcPr>
            <w:tcW w:w="2127" w:type="dxa"/>
            <w:shd w:val="clear" w:color="auto" w:fill="C6EFCE"/>
            <w:noWrap/>
          </w:tcPr>
          <w:p w14:paraId="52DAC84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Portfolio</w:t>
            </w:r>
            <w:r w:rsidRPr="00DE4E4F">
              <w:rPr>
                <w:rFonts w:ascii="Times New Roman" w:hAnsi="Times New Roman" w:cs="Times New Roman"/>
                <w:noProof/>
                <w:sz w:val="18"/>
                <w:szCs w:val="18"/>
              </w:rPr>
              <w:t xml:space="preserve"> </w:t>
            </w:r>
            <w:r w:rsidRPr="00DE4E4F">
              <w:rPr>
                <w:rFonts w:ascii="Times New Roman" w:eastAsiaTheme="minorEastAsia" w:hAnsi="Times New Roman" w:cs="Times New Roman"/>
                <w:noProof/>
                <w:color w:val="006100"/>
                <w:sz w:val="18"/>
                <w:szCs w:val="18"/>
              </w:rPr>
              <w:t>Management Information System (PMIS) provided</w:t>
            </w:r>
          </w:p>
        </w:tc>
        <w:tc>
          <w:tcPr>
            <w:tcW w:w="992" w:type="dxa"/>
            <w:shd w:val="clear" w:color="auto" w:fill="C6EFCE"/>
            <w:noWrap/>
          </w:tcPr>
          <w:p w14:paraId="2E428F0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A76F39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506AAF3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27D155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24B8E6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64617D57"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Portfolio Management Information System (PMIS) to the Ministry of Infrastructure and Transport. The system shall provide information in real time regarding deliverables, cost and schedule throughout all the life-cycle of the performed works allowing the Ministry to monitor, manage and administer its portfolio of technical works and assets.</w:t>
            </w:r>
          </w:p>
        </w:tc>
      </w:tr>
      <w:tr w:rsidR="00682269" w:rsidRPr="00DE4E4F" w14:paraId="5F0A8958" w14:textId="77777777" w:rsidTr="464ADBDD">
        <w:trPr>
          <w:trHeight w:val="313"/>
          <w:jc w:val="center"/>
        </w:trPr>
        <w:tc>
          <w:tcPr>
            <w:tcW w:w="591" w:type="dxa"/>
            <w:shd w:val="clear" w:color="auto" w:fill="C6EFCE"/>
            <w:noWrap/>
          </w:tcPr>
          <w:p w14:paraId="5D21A8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277</w:t>
            </w:r>
          </w:p>
        </w:tc>
        <w:tc>
          <w:tcPr>
            <w:tcW w:w="2665" w:type="dxa"/>
            <w:shd w:val="clear" w:color="auto" w:fill="C6EFCE"/>
            <w:noWrap/>
          </w:tcPr>
          <w:p w14:paraId="6F4A1C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- 16786_Simplification of the Procedures of the Ministry of Infrastructure &amp; Transport</w:t>
            </w:r>
          </w:p>
        </w:tc>
        <w:tc>
          <w:tcPr>
            <w:tcW w:w="1134" w:type="dxa"/>
            <w:shd w:val="clear" w:color="auto" w:fill="C6EFCE"/>
            <w:noWrap/>
          </w:tcPr>
          <w:p w14:paraId="0941B5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38E3B0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Simplification of procedures for Ministry of Transport</w:t>
            </w:r>
          </w:p>
        </w:tc>
        <w:tc>
          <w:tcPr>
            <w:tcW w:w="2127" w:type="dxa"/>
            <w:shd w:val="clear" w:color="auto" w:fill="C6EFCE"/>
            <w:noWrap/>
          </w:tcPr>
          <w:p w14:paraId="11E3B7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procedures in place in the Ministry of Infrastructure and Transport</w:t>
            </w:r>
          </w:p>
        </w:tc>
        <w:tc>
          <w:tcPr>
            <w:tcW w:w="992" w:type="dxa"/>
            <w:shd w:val="clear" w:color="auto" w:fill="C6EFCE"/>
            <w:noWrap/>
          </w:tcPr>
          <w:p w14:paraId="67F18F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3910EF2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59B281E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302E6E9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00561B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02" w:type="dxa"/>
            <w:shd w:val="clear" w:color="auto" w:fill="C6EFCE"/>
            <w:noWrap/>
          </w:tcPr>
          <w:p w14:paraId="026B077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Digital transformation and simplification of procedures in place concerning a) issuance, replacement and renewal of driving licenses, b) transferring vehicles, c) issuance of traffic registration licenses and plates, and d) driving license examinations.</w:t>
            </w:r>
          </w:p>
        </w:tc>
      </w:tr>
      <w:tr w:rsidR="00682269" w:rsidRPr="00DE4E4F" w14:paraId="25459C72" w14:textId="77777777" w:rsidTr="464ADBDD">
        <w:trPr>
          <w:trHeight w:val="313"/>
          <w:jc w:val="center"/>
        </w:trPr>
        <w:tc>
          <w:tcPr>
            <w:tcW w:w="591" w:type="dxa"/>
            <w:shd w:val="clear" w:color="auto" w:fill="C6EFCE"/>
            <w:noWrap/>
          </w:tcPr>
          <w:p w14:paraId="3243DBC3"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349</w:t>
            </w:r>
          </w:p>
        </w:tc>
        <w:tc>
          <w:tcPr>
            <w:tcW w:w="2665" w:type="dxa"/>
            <w:shd w:val="clear" w:color="auto" w:fill="C6EFCE"/>
            <w:noWrap/>
          </w:tcPr>
          <w:p w14:paraId="7052837B" w14:textId="68BBD5D6"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17 - 4.6. Modernise and improve resilience of key economic sectors - 16999_</w:t>
            </w:r>
            <w:r w:rsidR="4C3E9921" w:rsidRPr="00DE4E4F">
              <w:rPr>
                <w:rFonts w:ascii="Times New Roman" w:hAnsi="Times New Roman" w:cs="Times New Roman"/>
                <w:noProof/>
                <w:color w:val="006100"/>
                <w:sz w:val="18"/>
                <w:szCs w:val="18"/>
              </w:rPr>
              <w:t>Restoration works following</w:t>
            </w:r>
            <w:r w:rsidRPr="00DE4E4F">
              <w:rPr>
                <w:rFonts w:ascii="Times New Roman" w:hAnsi="Times New Roman" w:cs="Times New Roman"/>
                <w:noProof/>
                <w:color w:val="006100"/>
                <w:sz w:val="18"/>
                <w:szCs w:val="18"/>
              </w:rPr>
              <w:t xml:space="preserve"> the devastating effects of storms "DANIEL" and "ELIAS"</w:t>
            </w:r>
            <w:r w:rsidR="00C201D6" w:rsidRPr="00DE4E4F">
              <w:rPr>
                <w:rFonts w:ascii="Times New Roman" w:hAnsi="Times New Roman" w:cs="Times New Roman"/>
                <w:noProof/>
                <w:color w:val="006100"/>
                <w:sz w:val="18"/>
                <w:szCs w:val="18"/>
              </w:rPr>
              <w:t xml:space="preserve"> and "IANOS"</w:t>
            </w:r>
          </w:p>
        </w:tc>
        <w:tc>
          <w:tcPr>
            <w:tcW w:w="1134" w:type="dxa"/>
            <w:shd w:val="clear" w:color="auto" w:fill="C6EFCE"/>
            <w:noWrap/>
          </w:tcPr>
          <w:p w14:paraId="288AF6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760C42A0"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Road restoration projects </w:t>
            </w:r>
            <w:r w:rsidRPr="00DE4E4F">
              <w:rPr>
                <w:rFonts w:ascii="Times New Roman" w:eastAsia="Times New Roman" w:hAnsi="Times New Roman" w:cs="Times New Roman"/>
                <w:noProof/>
                <w:color w:val="006100"/>
                <w:sz w:val="18"/>
                <w:szCs w:val="18"/>
                <w:lang w:eastAsia="en-GB"/>
              </w:rPr>
              <w:t>constructed</w:t>
            </w:r>
          </w:p>
        </w:tc>
        <w:tc>
          <w:tcPr>
            <w:tcW w:w="2127" w:type="dxa"/>
            <w:shd w:val="clear" w:color="auto" w:fill="C6EFCE"/>
            <w:noWrap/>
          </w:tcPr>
          <w:p w14:paraId="4F64F227"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Restoration works executed</w:t>
            </w:r>
          </w:p>
        </w:tc>
        <w:tc>
          <w:tcPr>
            <w:tcW w:w="992" w:type="dxa"/>
            <w:shd w:val="clear" w:color="auto" w:fill="C6EFCE"/>
            <w:noWrap/>
          </w:tcPr>
          <w:p w14:paraId="6EAAB01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253227B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102B5F4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AF38D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noWrap/>
          </w:tcPr>
          <w:p w14:paraId="1C90C5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78E28642" w14:textId="5F437ED5"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Restoration works executed at 1</w:t>
            </w:r>
            <w:r w:rsidR="00027E15" w:rsidRPr="00DE4E4F">
              <w:rPr>
                <w:rFonts w:ascii="Times New Roman" w:hAnsi="Times New Roman" w:cs="Times New Roman"/>
                <w:noProof/>
                <w:color w:val="006100"/>
                <w:sz w:val="18"/>
                <w:szCs w:val="18"/>
              </w:rPr>
              <w:t>32</w:t>
            </w:r>
            <w:r w:rsidRPr="00DE4E4F">
              <w:rPr>
                <w:rFonts w:ascii="Times New Roman" w:hAnsi="Times New Roman" w:cs="Times New Roman"/>
                <w:noProof/>
                <w:color w:val="006100"/>
                <w:sz w:val="18"/>
                <w:szCs w:val="18"/>
              </w:rPr>
              <w:t xml:space="preserve"> locations of the road network in areas affected by the storms "DANIEL" and "ELIAS".</w:t>
            </w:r>
          </w:p>
        </w:tc>
      </w:tr>
      <w:tr w:rsidR="00F514DF" w:rsidRPr="00DE4E4F" w14:paraId="703ADBF0" w14:textId="77777777" w:rsidTr="5BCA4CDC">
        <w:trPr>
          <w:trHeight w:val="1815"/>
          <w:jc w:val="center"/>
        </w:trPr>
        <w:tc>
          <w:tcPr>
            <w:tcW w:w="591" w:type="dxa"/>
            <w:shd w:val="clear" w:color="auto" w:fill="C6EFCE"/>
            <w:noWrap/>
          </w:tcPr>
          <w:p w14:paraId="68F60A7B" w14:textId="33312516"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349a</w:t>
            </w:r>
          </w:p>
        </w:tc>
        <w:tc>
          <w:tcPr>
            <w:tcW w:w="2665" w:type="dxa"/>
            <w:shd w:val="clear" w:color="auto" w:fill="C6EFCE"/>
            <w:noWrap/>
          </w:tcPr>
          <w:p w14:paraId="41FD0233" w14:textId="45076D92"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- 16999_</w:t>
            </w:r>
            <w:r w:rsidR="4C3E9921" w:rsidRPr="00DE4E4F">
              <w:rPr>
                <w:rFonts w:ascii="Times New Roman" w:hAnsi="Times New Roman" w:cs="Times New Roman"/>
                <w:noProof/>
                <w:color w:val="006100"/>
                <w:sz w:val="18"/>
                <w:szCs w:val="18"/>
              </w:rPr>
              <w:t>Restoration works following</w:t>
            </w:r>
            <w:r w:rsidRPr="00DE4E4F">
              <w:rPr>
                <w:rFonts w:ascii="Times New Roman" w:hAnsi="Times New Roman" w:cs="Times New Roman"/>
                <w:noProof/>
                <w:color w:val="006100"/>
                <w:sz w:val="18"/>
                <w:szCs w:val="18"/>
              </w:rPr>
              <w:t xml:space="preserve"> the devastating effects of storms "DANIEL", "ELIAS" and "IANOS"</w:t>
            </w:r>
          </w:p>
        </w:tc>
        <w:tc>
          <w:tcPr>
            <w:tcW w:w="1134" w:type="dxa"/>
            <w:shd w:val="clear" w:color="auto" w:fill="C6EFCE"/>
            <w:noWrap/>
          </w:tcPr>
          <w:p w14:paraId="224A3F7D" w14:textId="670E01FA"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noWrap/>
          </w:tcPr>
          <w:p w14:paraId="1572538A" w14:textId="2100418A"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Restoration </w:t>
            </w:r>
            <w:r w:rsidR="00CC4AFB" w:rsidRPr="00DE4E4F">
              <w:rPr>
                <w:rFonts w:ascii="Times New Roman" w:hAnsi="Times New Roman" w:cs="Times New Roman"/>
                <w:noProof/>
                <w:color w:val="006100"/>
                <w:sz w:val="18"/>
                <w:szCs w:val="18"/>
              </w:rPr>
              <w:t>o</w:t>
            </w:r>
            <w:r w:rsidR="00723F7C" w:rsidRPr="00DE4E4F">
              <w:rPr>
                <w:rFonts w:ascii="Times New Roman" w:hAnsi="Times New Roman" w:cs="Times New Roman"/>
                <w:noProof/>
                <w:color w:val="006100"/>
                <w:sz w:val="18"/>
                <w:szCs w:val="18"/>
              </w:rPr>
              <w:t>f</w:t>
            </w:r>
            <w:r w:rsidR="00CC4AFB" w:rsidRPr="00DE4E4F">
              <w:rPr>
                <w:rFonts w:ascii="Times New Roman" w:hAnsi="Times New Roman" w:cs="Times New Roman"/>
                <w:noProof/>
                <w:color w:val="006100"/>
                <w:sz w:val="18"/>
                <w:szCs w:val="18"/>
              </w:rPr>
              <w:t xml:space="preserve"> road sections</w:t>
            </w:r>
          </w:p>
        </w:tc>
        <w:tc>
          <w:tcPr>
            <w:tcW w:w="2127" w:type="dxa"/>
            <w:shd w:val="clear" w:color="auto" w:fill="C6EFCE"/>
            <w:noWrap/>
          </w:tcPr>
          <w:p w14:paraId="5DFB804A" w14:textId="75E62898"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Restoration works executed </w:t>
            </w:r>
          </w:p>
        </w:tc>
        <w:tc>
          <w:tcPr>
            <w:tcW w:w="992" w:type="dxa"/>
            <w:shd w:val="clear" w:color="auto" w:fill="C6EFCE"/>
            <w:noWrap/>
          </w:tcPr>
          <w:p w14:paraId="147588B4"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C0A117E"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noWrap/>
          </w:tcPr>
          <w:p w14:paraId="294E0024"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3068382D" w14:textId="19B0556B"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13" w:type="dxa"/>
            <w:shd w:val="clear" w:color="auto" w:fill="C6EFCE"/>
            <w:noWrap/>
          </w:tcPr>
          <w:p w14:paraId="293FDAAF" w14:textId="1CC9A9A3"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noWrap/>
          </w:tcPr>
          <w:p w14:paraId="11B5383B" w14:textId="7F7D9BCA" w:rsidR="00F514DF" w:rsidRPr="00DE4E4F" w:rsidRDefault="00F514DF" w:rsidP="00F514D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Restoration works executed over 28 road sections of the network in areas affected by Cyclone “IANOS”.</w:t>
            </w:r>
          </w:p>
        </w:tc>
      </w:tr>
      <w:tr w:rsidR="00F514DF" w:rsidRPr="00DE4E4F" w14:paraId="55AE70B6" w14:textId="77777777" w:rsidTr="464ADBDD">
        <w:trPr>
          <w:trHeight w:val="313"/>
          <w:jc w:val="center"/>
        </w:trPr>
        <w:tc>
          <w:tcPr>
            <w:tcW w:w="591" w:type="dxa"/>
            <w:shd w:val="clear" w:color="auto" w:fill="C6EFCE"/>
          </w:tcPr>
          <w:p w14:paraId="7A8F8EA9"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350</w:t>
            </w:r>
          </w:p>
        </w:tc>
        <w:tc>
          <w:tcPr>
            <w:tcW w:w="2665" w:type="dxa"/>
            <w:shd w:val="clear" w:color="auto" w:fill="C6EFCE"/>
          </w:tcPr>
          <w:p w14:paraId="7060F402" w14:textId="0680AE51"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17 - 4.6. Modernise and improve resilience of key economic sectors - 16999_</w:t>
            </w:r>
            <w:r w:rsidR="4C3E9921" w:rsidRPr="00DE4E4F">
              <w:rPr>
                <w:rFonts w:ascii="Times New Roman" w:hAnsi="Times New Roman" w:cs="Times New Roman"/>
                <w:noProof/>
                <w:color w:val="006100"/>
                <w:sz w:val="18"/>
                <w:szCs w:val="18"/>
              </w:rPr>
              <w:t>Restoration works following</w:t>
            </w:r>
            <w:r w:rsidRPr="00DE4E4F">
              <w:rPr>
                <w:rFonts w:ascii="Times New Roman" w:hAnsi="Times New Roman" w:cs="Times New Roman"/>
                <w:noProof/>
                <w:color w:val="006100"/>
                <w:sz w:val="18"/>
                <w:szCs w:val="18"/>
              </w:rPr>
              <w:t xml:space="preserve"> the devastating effects of storms "DANIEL", "ELIAS" and “IANOS”</w:t>
            </w:r>
          </w:p>
        </w:tc>
        <w:tc>
          <w:tcPr>
            <w:tcW w:w="1134" w:type="dxa"/>
            <w:shd w:val="clear" w:color="auto" w:fill="C6EFCE"/>
          </w:tcPr>
          <w:p w14:paraId="527DF26D"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tcPr>
          <w:p w14:paraId="44CA299F" w14:textId="50465D45"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Railway restoration </w:t>
            </w:r>
            <w:r w:rsidR="00AC38F3" w:rsidRPr="00DE4E4F">
              <w:rPr>
                <w:rFonts w:ascii="Times New Roman" w:hAnsi="Times New Roman" w:cs="Times New Roman"/>
                <w:noProof/>
                <w:color w:val="006100"/>
                <w:sz w:val="18"/>
                <w:szCs w:val="18"/>
              </w:rPr>
              <w:t>works executed</w:t>
            </w:r>
          </w:p>
        </w:tc>
        <w:tc>
          <w:tcPr>
            <w:tcW w:w="2127" w:type="dxa"/>
            <w:shd w:val="clear" w:color="auto" w:fill="C6EFCE"/>
          </w:tcPr>
          <w:p w14:paraId="1AAB936D" w14:textId="4D85215B" w:rsidR="00F514DF" w:rsidRPr="00DE4E4F" w:rsidRDefault="00F514DF" w:rsidP="00F514DF">
            <w:pPr>
              <w:spacing w:after="0" w:line="240" w:lineRule="auto"/>
              <w:rPr>
                <w:noProof/>
              </w:rPr>
            </w:pPr>
            <w:r w:rsidRPr="00DE4E4F">
              <w:rPr>
                <w:rFonts w:ascii="Times New Roman" w:hAnsi="Times New Roman" w:cs="Times New Roman"/>
                <w:noProof/>
                <w:color w:val="006100"/>
                <w:sz w:val="18"/>
                <w:szCs w:val="18"/>
              </w:rPr>
              <w:t xml:space="preserve">Railway restoration </w:t>
            </w:r>
            <w:r w:rsidR="00AC38F3" w:rsidRPr="00DE4E4F">
              <w:rPr>
                <w:rFonts w:ascii="Times New Roman" w:hAnsi="Times New Roman" w:cs="Times New Roman"/>
                <w:noProof/>
                <w:color w:val="006100"/>
                <w:sz w:val="18"/>
                <w:szCs w:val="18"/>
              </w:rPr>
              <w:t>works executed</w:t>
            </w:r>
          </w:p>
        </w:tc>
        <w:tc>
          <w:tcPr>
            <w:tcW w:w="992" w:type="dxa"/>
            <w:shd w:val="clear" w:color="auto" w:fill="C6EFCE"/>
          </w:tcPr>
          <w:p w14:paraId="43438E32"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tcPr>
          <w:p w14:paraId="11B2E697"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tcPr>
          <w:p w14:paraId="1744DAD7"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tcPr>
          <w:p w14:paraId="478C357C"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tcPr>
          <w:p w14:paraId="68ECA58B"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tcPr>
          <w:p w14:paraId="7FC1CFFA" w14:textId="4EFD1D7C" w:rsidR="00AC38F3" w:rsidRPr="00DE4E4F" w:rsidRDefault="1D32FC67" w:rsidP="00AC38F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Completion certificates confirming the execution of </w:t>
            </w:r>
            <w:r w:rsidR="72E812E5" w:rsidRPr="00DE4E4F">
              <w:rPr>
                <w:rFonts w:ascii="Times New Roman" w:hAnsi="Times New Roman" w:cs="Times New Roman"/>
                <w:noProof/>
                <w:color w:val="006100"/>
                <w:sz w:val="18"/>
                <w:szCs w:val="18"/>
              </w:rPr>
              <w:t>r</w:t>
            </w:r>
            <w:r w:rsidR="091A7617" w:rsidRPr="00DE4E4F">
              <w:rPr>
                <w:rFonts w:ascii="Times New Roman" w:hAnsi="Times New Roman" w:cs="Times New Roman"/>
                <w:noProof/>
                <w:color w:val="006100"/>
                <w:sz w:val="18"/>
                <w:szCs w:val="18"/>
              </w:rPr>
              <w:t>estoration</w:t>
            </w:r>
            <w:r w:rsidR="00AC38F3" w:rsidRPr="00DE4E4F">
              <w:rPr>
                <w:rFonts w:ascii="Times New Roman" w:hAnsi="Times New Roman" w:cs="Times New Roman"/>
                <w:noProof/>
                <w:color w:val="006100"/>
                <w:sz w:val="18"/>
                <w:szCs w:val="18"/>
              </w:rPr>
              <w:t xml:space="preserve"> </w:t>
            </w:r>
            <w:r w:rsidR="7CFA60BC" w:rsidRPr="00DE4E4F">
              <w:rPr>
                <w:rFonts w:ascii="Times New Roman" w:hAnsi="Times New Roman" w:cs="Times New Roman"/>
                <w:noProof/>
                <w:color w:val="006100"/>
                <w:sz w:val="18"/>
                <w:szCs w:val="18"/>
              </w:rPr>
              <w:t>works</w:t>
            </w:r>
            <w:r w:rsidR="00C56954" w:rsidRPr="00DE4E4F">
              <w:rPr>
                <w:rFonts w:ascii="Times New Roman" w:hAnsi="Times New Roman" w:cs="Times New Roman"/>
                <w:noProof/>
                <w:color w:val="006100"/>
                <w:sz w:val="18"/>
                <w:szCs w:val="18"/>
              </w:rPr>
              <w:t xml:space="preserve"> </w:t>
            </w:r>
            <w:r w:rsidR="7CFA60BC" w:rsidRPr="00DE4E4F">
              <w:rPr>
                <w:rFonts w:ascii="Times New Roman" w:hAnsi="Times New Roman" w:cs="Times New Roman"/>
                <w:noProof/>
                <w:color w:val="006100"/>
                <w:sz w:val="18"/>
                <w:szCs w:val="18"/>
              </w:rPr>
              <w:t>at</w:t>
            </w:r>
            <w:r w:rsidR="00AC38F3" w:rsidRPr="00DE4E4F">
              <w:rPr>
                <w:rFonts w:ascii="Times New Roman" w:hAnsi="Times New Roman" w:cs="Times New Roman"/>
                <w:noProof/>
                <w:color w:val="006100"/>
                <w:sz w:val="18"/>
                <w:szCs w:val="18"/>
              </w:rPr>
              <w:t xml:space="preserve"> parts of the railway network and specifically:</w:t>
            </w:r>
          </w:p>
          <w:p w14:paraId="49549F02" w14:textId="0C6998E5" w:rsidR="00AC38F3" w:rsidRPr="00DE4E4F" w:rsidRDefault="00AC38F3" w:rsidP="00AC38F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the sections from Domokos to Krannona of the Athens-T</w:t>
            </w:r>
            <w:r w:rsidR="00C56954" w:rsidRPr="00DE4E4F">
              <w:rPr>
                <w:rFonts w:ascii="Times New Roman" w:hAnsi="Times New Roman" w:cs="Times New Roman"/>
                <w:noProof/>
                <w:color w:val="006100"/>
                <w:sz w:val="18"/>
                <w:szCs w:val="18"/>
              </w:rPr>
              <w:t>h</w:t>
            </w:r>
            <w:r w:rsidRPr="00DE4E4F">
              <w:rPr>
                <w:rFonts w:ascii="Times New Roman" w:hAnsi="Times New Roman" w:cs="Times New Roman"/>
                <w:noProof/>
                <w:color w:val="006100"/>
                <w:sz w:val="18"/>
                <w:szCs w:val="18"/>
              </w:rPr>
              <w:t>essaloniki Main Axis,</w:t>
            </w:r>
          </w:p>
          <w:p w14:paraId="4E64ECDD" w14:textId="77777777" w:rsidR="00AC38F3" w:rsidRPr="00DE4E4F" w:rsidRDefault="00AC38F3" w:rsidP="00AC38F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the sections from the Larissa to Kypseli of the Larissa-Volos Axis, restored to the track formation layer</w:t>
            </w:r>
          </w:p>
          <w:p w14:paraId="10DFABA9" w14:textId="77777777" w:rsidR="00AC38F3" w:rsidRPr="00DE4E4F" w:rsidRDefault="00AC38F3" w:rsidP="00AC38F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Paleofarsalos - Kalambaka,</w:t>
            </w:r>
          </w:p>
          <w:p w14:paraId="6FC92FE8" w14:textId="77777777" w:rsidR="00AC38F3" w:rsidRPr="00DE4E4F" w:rsidRDefault="00AC38F3" w:rsidP="00AC38F3">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Pelion line.</w:t>
            </w:r>
          </w:p>
          <w:p w14:paraId="2598101A" w14:textId="171713B1" w:rsidR="00F514DF" w:rsidRPr="00DE4E4F" w:rsidRDefault="00AC38F3" w:rsidP="00A70121">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Establishment of a procurement plan for accompanying railway safety investments and for the regular maintenance of these railway network sections, indicating the timeline for the procurement, installation, testing and commissioning of all ERTMS systems as well as for the establishment of a long-term agreement(s) for the provision of regular maintenance services.</w:t>
            </w:r>
          </w:p>
        </w:tc>
      </w:tr>
      <w:tr w:rsidR="00F514DF" w:rsidRPr="00DE4E4F" w14:paraId="0EC1BE1F" w14:textId="77777777" w:rsidTr="464ADBDD">
        <w:trPr>
          <w:trHeight w:val="300"/>
          <w:jc w:val="center"/>
        </w:trPr>
        <w:tc>
          <w:tcPr>
            <w:tcW w:w="591" w:type="dxa"/>
            <w:shd w:val="clear" w:color="auto" w:fill="C6EFCE"/>
          </w:tcPr>
          <w:p w14:paraId="2026E9F5"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350a</w:t>
            </w:r>
          </w:p>
          <w:p w14:paraId="0FEA2ECE"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2665" w:type="dxa"/>
            <w:shd w:val="clear" w:color="auto" w:fill="C6EFCE"/>
          </w:tcPr>
          <w:p w14:paraId="26123D4D" w14:textId="6FC87A3C"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- 4.6. Modernise and improve resilience of key economic sectors - 16999_</w:t>
            </w:r>
            <w:r w:rsidR="4C3E9921" w:rsidRPr="00DE4E4F">
              <w:rPr>
                <w:rFonts w:ascii="Times New Roman" w:hAnsi="Times New Roman" w:cs="Times New Roman"/>
                <w:noProof/>
                <w:color w:val="006100"/>
                <w:sz w:val="18"/>
                <w:szCs w:val="18"/>
              </w:rPr>
              <w:t>Restoration works following</w:t>
            </w:r>
            <w:r w:rsidRPr="00DE4E4F">
              <w:rPr>
                <w:rFonts w:ascii="Times New Roman" w:hAnsi="Times New Roman" w:cs="Times New Roman"/>
                <w:noProof/>
                <w:color w:val="006100"/>
                <w:sz w:val="18"/>
                <w:szCs w:val="18"/>
              </w:rPr>
              <w:t xml:space="preserve"> the devastating effects of storms "DANIEL"</w:t>
            </w:r>
            <w:r w:rsidR="00714CD9"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"ELIAS"</w:t>
            </w:r>
            <w:r w:rsidR="00DE4C0C" w:rsidRPr="00DE4E4F">
              <w:rPr>
                <w:rFonts w:ascii="Times New Roman" w:hAnsi="Times New Roman" w:cs="Times New Roman"/>
                <w:noProof/>
                <w:color w:val="006100"/>
                <w:sz w:val="18"/>
                <w:szCs w:val="18"/>
              </w:rPr>
              <w:t xml:space="preserve"> </w:t>
            </w:r>
            <w:r w:rsidR="00714CD9" w:rsidRPr="00DE4E4F">
              <w:rPr>
                <w:rFonts w:ascii="Times New Roman" w:hAnsi="Times New Roman" w:cs="Times New Roman"/>
                <w:noProof/>
                <w:color w:val="006100"/>
                <w:sz w:val="18"/>
                <w:szCs w:val="18"/>
              </w:rPr>
              <w:t>and “IANOS”</w:t>
            </w:r>
          </w:p>
          <w:p w14:paraId="24C669BF"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tcPr>
          <w:p w14:paraId="6AD395C2"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2" w:type="dxa"/>
            <w:shd w:val="clear" w:color="auto" w:fill="C6EFCE"/>
          </w:tcPr>
          <w:p w14:paraId="73FDDCD7" w14:textId="3EF7AB23" w:rsidR="00F514DF" w:rsidRPr="00DE4E4F" w:rsidRDefault="00F514DF" w:rsidP="00F514D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 xml:space="preserve">Railway </w:t>
            </w:r>
            <w:r w:rsidR="00DE4E4F" w:rsidRPr="00DE4E4F">
              <w:rPr>
                <w:rFonts w:ascii="Times New Roman" w:eastAsiaTheme="minorEastAsia" w:hAnsi="Times New Roman" w:cs="Times New Roman"/>
                <w:noProof/>
                <w:color w:val="006100"/>
                <w:sz w:val="18"/>
                <w:szCs w:val="18"/>
              </w:rPr>
              <w:t>signalling</w:t>
            </w:r>
            <w:r w:rsidR="1EBCA7A5" w:rsidRPr="00DE4E4F">
              <w:rPr>
                <w:rFonts w:ascii="Times New Roman" w:eastAsiaTheme="minorEastAsia" w:hAnsi="Times New Roman" w:cs="Times New Roman"/>
                <w:noProof/>
                <w:color w:val="006100"/>
                <w:sz w:val="18"/>
                <w:szCs w:val="18"/>
              </w:rPr>
              <w:t xml:space="preserve"> and train detection systems and</w:t>
            </w:r>
            <w:r w:rsidR="59A45474" w:rsidRPr="00DE4E4F">
              <w:rPr>
                <w:rFonts w:ascii="Times New Roman" w:eastAsiaTheme="minorEastAsia" w:hAnsi="Times New Roman" w:cs="Times New Roman"/>
                <w:noProof/>
                <w:color w:val="006100"/>
                <w:sz w:val="18"/>
                <w:szCs w:val="18"/>
              </w:rPr>
              <w:t xml:space="preserve"> ETCS</w:t>
            </w:r>
          </w:p>
        </w:tc>
        <w:tc>
          <w:tcPr>
            <w:tcW w:w="2127" w:type="dxa"/>
            <w:shd w:val="clear" w:color="auto" w:fill="C6EFCE"/>
          </w:tcPr>
          <w:p w14:paraId="6D0E1BB0" w14:textId="65E9FB90" w:rsidR="00F514DF" w:rsidRPr="00DE4E4F" w:rsidRDefault="00DE4E4F" w:rsidP="00F514DF">
            <w:pPr>
              <w:spacing w:after="0" w:line="240" w:lineRule="auto"/>
              <w:rPr>
                <w:rFonts w:ascii="Times New Roman" w:hAnsi="Times New Roman" w:cs="Times New Roman"/>
                <w:noProof/>
                <w:sz w:val="18"/>
                <w:szCs w:val="18"/>
              </w:rPr>
            </w:pPr>
            <w:r w:rsidRPr="00DE4E4F">
              <w:rPr>
                <w:rFonts w:ascii="Times New Roman" w:eastAsiaTheme="minorEastAsia" w:hAnsi="Times New Roman" w:cs="Times New Roman"/>
                <w:noProof/>
                <w:color w:val="006100"/>
                <w:sz w:val="18"/>
                <w:szCs w:val="18"/>
              </w:rPr>
              <w:t>Installation</w:t>
            </w:r>
            <w:r w:rsidR="003E75A4" w:rsidRPr="00DE4E4F">
              <w:rPr>
                <w:rFonts w:ascii="Times New Roman" w:eastAsiaTheme="minorEastAsia" w:hAnsi="Times New Roman" w:cs="Times New Roman"/>
                <w:noProof/>
                <w:color w:val="006100"/>
                <w:sz w:val="18"/>
                <w:szCs w:val="18"/>
              </w:rPr>
              <w:t xml:space="preserve"> of r</w:t>
            </w:r>
            <w:r w:rsidR="00F514DF" w:rsidRPr="00DE4E4F">
              <w:rPr>
                <w:rFonts w:ascii="Times New Roman" w:eastAsiaTheme="minorEastAsia" w:hAnsi="Times New Roman" w:cs="Times New Roman"/>
                <w:noProof/>
                <w:color w:val="006100"/>
                <w:sz w:val="18"/>
                <w:szCs w:val="18"/>
              </w:rPr>
              <w:t xml:space="preserve">ailway </w:t>
            </w:r>
            <w:r w:rsidR="699452F8" w:rsidRPr="00DE4E4F">
              <w:rPr>
                <w:rFonts w:ascii="Times New Roman" w:eastAsiaTheme="minorEastAsia" w:hAnsi="Times New Roman" w:cs="Times New Roman"/>
                <w:noProof/>
                <w:color w:val="006100"/>
                <w:sz w:val="18"/>
                <w:szCs w:val="18"/>
              </w:rPr>
              <w:t>s</w:t>
            </w:r>
            <w:r w:rsidR="59A45474" w:rsidRPr="00DE4E4F">
              <w:rPr>
                <w:rFonts w:ascii="Times New Roman" w:eastAsiaTheme="minorEastAsia" w:hAnsi="Times New Roman" w:cs="Times New Roman"/>
                <w:noProof/>
                <w:color w:val="006100"/>
                <w:sz w:val="18"/>
                <w:szCs w:val="18"/>
              </w:rPr>
              <w:t>igna</w:t>
            </w:r>
            <w:r w:rsidR="003E75A4" w:rsidRPr="00DE4E4F">
              <w:rPr>
                <w:rFonts w:ascii="Times New Roman" w:eastAsiaTheme="minorEastAsia" w:hAnsi="Times New Roman" w:cs="Times New Roman"/>
                <w:noProof/>
                <w:color w:val="006100"/>
                <w:sz w:val="18"/>
                <w:szCs w:val="18"/>
              </w:rPr>
              <w:t>l</w:t>
            </w:r>
            <w:r w:rsidR="59A45474" w:rsidRPr="00DE4E4F">
              <w:rPr>
                <w:rFonts w:ascii="Times New Roman" w:eastAsiaTheme="minorEastAsia" w:hAnsi="Times New Roman" w:cs="Times New Roman"/>
                <w:noProof/>
                <w:color w:val="006100"/>
                <w:sz w:val="18"/>
                <w:szCs w:val="18"/>
              </w:rPr>
              <w:t>ling</w:t>
            </w:r>
            <w:r w:rsidR="057CFFFA" w:rsidRPr="00DE4E4F">
              <w:rPr>
                <w:rFonts w:ascii="Times New Roman" w:eastAsiaTheme="minorEastAsia" w:hAnsi="Times New Roman" w:cs="Times New Roman"/>
                <w:noProof/>
                <w:color w:val="006100"/>
                <w:sz w:val="18"/>
                <w:szCs w:val="18"/>
              </w:rPr>
              <w:t xml:space="preserve"> and train detection systems and</w:t>
            </w:r>
            <w:r w:rsidR="00F514DF" w:rsidRPr="00DE4E4F">
              <w:rPr>
                <w:rFonts w:ascii="Times New Roman" w:eastAsiaTheme="minorEastAsia" w:hAnsi="Times New Roman" w:cs="Times New Roman"/>
                <w:noProof/>
                <w:color w:val="006100"/>
                <w:sz w:val="18"/>
                <w:szCs w:val="18"/>
              </w:rPr>
              <w:t xml:space="preserve"> ETCS</w:t>
            </w:r>
            <w:r w:rsidR="1D4689D0" w:rsidRPr="00DE4E4F">
              <w:rPr>
                <w:rFonts w:ascii="Times New Roman" w:eastAsiaTheme="minorEastAsia" w:hAnsi="Times New Roman" w:cs="Times New Roman"/>
                <w:noProof/>
                <w:color w:val="006100"/>
                <w:sz w:val="18"/>
                <w:szCs w:val="18"/>
              </w:rPr>
              <w:t xml:space="preserve"> Level 1 trackside equipment </w:t>
            </w:r>
            <w:r w:rsidR="00F514DF" w:rsidRPr="00DE4E4F">
              <w:rPr>
                <w:rFonts w:ascii="Times New Roman" w:eastAsiaTheme="minorEastAsia" w:hAnsi="Times New Roman" w:cs="Times New Roman"/>
                <w:noProof/>
                <w:color w:val="006100"/>
                <w:sz w:val="18"/>
                <w:szCs w:val="18"/>
              </w:rPr>
              <w:t>from Paleofarsalos to Krannona</w:t>
            </w:r>
          </w:p>
        </w:tc>
        <w:tc>
          <w:tcPr>
            <w:tcW w:w="992" w:type="dxa"/>
            <w:shd w:val="clear" w:color="auto" w:fill="C6EFCE"/>
          </w:tcPr>
          <w:p w14:paraId="51492B3E"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tcPr>
          <w:p w14:paraId="7F0CD08C"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4" w:type="dxa"/>
            <w:shd w:val="clear" w:color="auto" w:fill="C6EFCE"/>
          </w:tcPr>
          <w:p w14:paraId="29A981B3"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tcPr>
          <w:p w14:paraId="66E166CC"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13" w:type="dxa"/>
            <w:shd w:val="clear" w:color="auto" w:fill="C6EFCE"/>
          </w:tcPr>
          <w:p w14:paraId="703197D8" w14:textId="77777777" w:rsidR="00F514DF" w:rsidRPr="00DE4E4F" w:rsidRDefault="00F514DF" w:rsidP="00F514D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402" w:type="dxa"/>
            <w:shd w:val="clear" w:color="auto" w:fill="C6EFCE"/>
          </w:tcPr>
          <w:p w14:paraId="399B1D59" w14:textId="25CFD1AF" w:rsidR="00F514DF" w:rsidRPr="00DE4E4F" w:rsidRDefault="089936E2" w:rsidP="00F514D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Completion certificate(s) or acceptance protocol(s) confirming the i</w:t>
            </w:r>
            <w:r w:rsidR="59A45474" w:rsidRPr="00DE4E4F">
              <w:rPr>
                <w:rFonts w:ascii="Times New Roman" w:eastAsiaTheme="minorEastAsia" w:hAnsi="Times New Roman" w:cs="Times New Roman"/>
                <w:noProof/>
                <w:color w:val="006100"/>
                <w:sz w:val="18"/>
                <w:szCs w:val="18"/>
              </w:rPr>
              <w:t>nstallation</w:t>
            </w:r>
            <w:r w:rsidR="00F514DF" w:rsidRPr="00DE4E4F">
              <w:rPr>
                <w:rFonts w:ascii="Times New Roman" w:eastAsiaTheme="minorEastAsia" w:hAnsi="Times New Roman" w:cs="Times New Roman"/>
                <w:noProof/>
                <w:color w:val="006100"/>
                <w:sz w:val="18"/>
                <w:szCs w:val="18"/>
              </w:rPr>
              <w:t xml:space="preserve"> of the </w:t>
            </w:r>
            <w:r w:rsidR="003E75A4" w:rsidRPr="00DE4E4F">
              <w:rPr>
                <w:rFonts w:ascii="Times New Roman" w:eastAsiaTheme="minorEastAsia" w:hAnsi="Times New Roman" w:cs="Times New Roman"/>
                <w:noProof/>
                <w:color w:val="006100"/>
                <w:sz w:val="18"/>
                <w:szCs w:val="18"/>
              </w:rPr>
              <w:t xml:space="preserve">railway </w:t>
            </w:r>
            <w:r w:rsidR="410A4CD2" w:rsidRPr="00DE4E4F">
              <w:rPr>
                <w:rFonts w:ascii="Times New Roman" w:eastAsiaTheme="minorEastAsia" w:hAnsi="Times New Roman" w:cs="Times New Roman"/>
                <w:noProof/>
                <w:color w:val="006100"/>
                <w:sz w:val="18"/>
                <w:szCs w:val="18"/>
              </w:rPr>
              <w:t>s</w:t>
            </w:r>
            <w:r w:rsidR="59A45474" w:rsidRPr="00DE4E4F">
              <w:rPr>
                <w:rFonts w:ascii="Times New Roman" w:eastAsiaTheme="minorEastAsia" w:hAnsi="Times New Roman" w:cs="Times New Roman"/>
                <w:noProof/>
                <w:color w:val="006100"/>
                <w:sz w:val="18"/>
                <w:szCs w:val="18"/>
              </w:rPr>
              <w:t>igna</w:t>
            </w:r>
            <w:r w:rsidR="003E75A4" w:rsidRPr="00DE4E4F">
              <w:rPr>
                <w:rFonts w:ascii="Times New Roman" w:eastAsiaTheme="minorEastAsia" w:hAnsi="Times New Roman" w:cs="Times New Roman"/>
                <w:noProof/>
                <w:color w:val="006100"/>
                <w:sz w:val="18"/>
                <w:szCs w:val="18"/>
              </w:rPr>
              <w:t>l</w:t>
            </w:r>
            <w:r w:rsidR="59A45474" w:rsidRPr="00DE4E4F">
              <w:rPr>
                <w:rFonts w:ascii="Times New Roman" w:eastAsiaTheme="minorEastAsia" w:hAnsi="Times New Roman" w:cs="Times New Roman"/>
                <w:noProof/>
                <w:color w:val="006100"/>
                <w:sz w:val="18"/>
                <w:szCs w:val="18"/>
              </w:rPr>
              <w:t>ling</w:t>
            </w:r>
            <w:r w:rsidR="1032B843" w:rsidRPr="00DE4E4F">
              <w:rPr>
                <w:rFonts w:ascii="Times New Roman" w:eastAsiaTheme="minorEastAsia" w:hAnsi="Times New Roman" w:cs="Times New Roman"/>
                <w:noProof/>
                <w:color w:val="006100"/>
                <w:sz w:val="18"/>
                <w:szCs w:val="18"/>
              </w:rPr>
              <w:t xml:space="preserve"> and train detection systems and European Train Control </w:t>
            </w:r>
            <w:r w:rsidR="00C37225">
              <w:rPr>
                <w:rFonts w:ascii="Times New Roman" w:eastAsiaTheme="minorEastAsia" w:hAnsi="Times New Roman" w:cs="Times New Roman"/>
                <w:noProof/>
                <w:color w:val="006100"/>
                <w:sz w:val="18"/>
                <w:szCs w:val="18"/>
              </w:rPr>
              <w:t xml:space="preserve">System </w:t>
            </w:r>
            <w:r w:rsidR="426E2202" w:rsidRPr="00DE4E4F">
              <w:rPr>
                <w:rFonts w:ascii="Times New Roman" w:eastAsiaTheme="minorEastAsia" w:hAnsi="Times New Roman" w:cs="Times New Roman"/>
                <w:noProof/>
                <w:color w:val="006100"/>
                <w:sz w:val="18"/>
                <w:szCs w:val="18"/>
              </w:rPr>
              <w:t>-</w:t>
            </w:r>
            <w:r w:rsidR="00F514DF" w:rsidRPr="00DE4E4F">
              <w:rPr>
                <w:rFonts w:ascii="Times New Roman" w:eastAsiaTheme="minorEastAsia" w:hAnsi="Times New Roman" w:cs="Times New Roman"/>
                <w:noProof/>
                <w:color w:val="006100"/>
                <w:sz w:val="18"/>
                <w:szCs w:val="18"/>
              </w:rPr>
              <w:t xml:space="preserve"> ETCS Level 1</w:t>
            </w:r>
            <w:r w:rsidR="672D8597" w:rsidRPr="00DE4E4F">
              <w:rPr>
                <w:rFonts w:ascii="Times New Roman" w:eastAsiaTheme="minorEastAsia" w:hAnsi="Times New Roman" w:cs="Times New Roman"/>
                <w:noProof/>
                <w:color w:val="006100"/>
                <w:sz w:val="18"/>
                <w:szCs w:val="18"/>
              </w:rPr>
              <w:t xml:space="preserve"> trackside equipment</w:t>
            </w:r>
            <w:r w:rsidR="00F514DF" w:rsidRPr="00DE4E4F">
              <w:rPr>
                <w:rFonts w:ascii="Times New Roman" w:eastAsiaTheme="minorEastAsia" w:hAnsi="Times New Roman" w:cs="Times New Roman"/>
                <w:noProof/>
                <w:color w:val="006100"/>
                <w:sz w:val="18"/>
                <w:szCs w:val="18"/>
              </w:rPr>
              <w:t xml:space="preserve"> along the double-track railway section from Paleofarsalos to Krannona.</w:t>
            </w:r>
          </w:p>
        </w:tc>
      </w:tr>
    </w:tbl>
    <w:p w14:paraId="3BF5F66F" w14:textId="77777777" w:rsidR="00B116A1" w:rsidRPr="00DE4E4F" w:rsidRDefault="00B116A1">
      <w:pPr>
        <w:keepNext/>
        <w:keepLines/>
        <w:spacing w:before="40" w:after="0" w:line="240" w:lineRule="auto"/>
        <w:jc w:val="both"/>
        <w:outlineLvl w:val="4"/>
        <w:rPr>
          <w:rFonts w:ascii="Cambria" w:hAnsi="Cambria"/>
          <w:noProof/>
          <w:color w:val="365F91"/>
          <w:sz w:val="24"/>
        </w:rPr>
      </w:pPr>
    </w:p>
    <w:p w14:paraId="0190E6D9" w14:textId="65FBD178" w:rsidR="001B186F" w:rsidRPr="00DE4E4F" w:rsidRDefault="00B116A1" w:rsidP="00B116A1">
      <w:pPr>
        <w:rPr>
          <w:rFonts w:eastAsia="Times New Roman"/>
          <w:noProof/>
        </w:rPr>
      </w:pPr>
      <w:r w:rsidRPr="00DE4E4F">
        <w:rPr>
          <w:noProof/>
        </w:rPr>
        <w:br w:type="page"/>
      </w:r>
      <w:r w:rsidR="0074517F" w:rsidRPr="00DE4E4F">
        <w:rPr>
          <w:noProof/>
        </w:rPr>
        <w:t>Group 25: Culture</w:t>
      </w:r>
    </w:p>
    <w:p w14:paraId="2EF4B5FA"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Labor Reform in the Cultural Sector (ID:16715)</w:t>
      </w:r>
    </w:p>
    <w:p w14:paraId="7CF5F290"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Culture as a driver of growth (ID: 16293)</w:t>
      </w:r>
    </w:p>
    <w:p w14:paraId="1C8E3837" w14:textId="207F72B2" w:rsidR="006E5D62" w:rsidRPr="00DE4E4F" w:rsidRDefault="00DE4E4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cs="Times New Roman"/>
          <w:noProof/>
          <w:sz w:val="24"/>
        </w:rPr>
        <w:t>Museum</w:t>
      </w:r>
      <w:r w:rsidR="006E5D62" w:rsidRPr="00DE4E4F">
        <w:rPr>
          <w:rFonts w:ascii="Times New Roman" w:hAnsi="Times New Roman" w:cs="Times New Roman"/>
          <w:noProof/>
          <w:sz w:val="24"/>
        </w:rPr>
        <w:t xml:space="preserve"> of underwater antiquities (ID: 16486)</w:t>
      </w:r>
    </w:p>
    <w:p w14:paraId="55BCC333" w14:textId="3509E543" w:rsidR="001B186F" w:rsidRPr="00DE4E4F" w:rsidRDefault="00287C61">
      <w:pPr>
        <w:numPr>
          <w:ilvl w:val="0"/>
          <w:numId w:val="80"/>
        </w:numPr>
        <w:spacing w:before="120" w:after="0" w:line="240" w:lineRule="auto"/>
        <w:jc w:val="both"/>
        <w:rPr>
          <w:rFonts w:ascii="Times New Roman" w:hAnsi="Times New Roman" w:cs="Times New Roman"/>
          <w:noProof/>
          <w:sz w:val="24"/>
        </w:rPr>
      </w:pPr>
      <w:r w:rsidRPr="00DE4E4F" w:rsidDel="009B087F">
        <w:rPr>
          <w:rFonts w:ascii="Times New Roman" w:hAnsi="Times New Roman"/>
          <w:noProof/>
          <w:sz w:val="24"/>
          <w:szCs w:val="24"/>
        </w:rPr>
        <w:t xml:space="preserve">Utilizing </w:t>
      </w:r>
      <w:r w:rsidRPr="00DE4E4F">
        <w:rPr>
          <w:rFonts w:ascii="Times New Roman" w:hAnsi="Times New Roman"/>
          <w:noProof/>
          <w:sz w:val="24"/>
          <w:szCs w:val="24"/>
        </w:rPr>
        <w:t>“Pilot Actions of cultural</w:t>
      </w:r>
      <w:r w:rsidR="0074517F" w:rsidRPr="00DE4E4F">
        <w:rPr>
          <w:rFonts w:ascii="Times New Roman" w:hAnsi="Times New Roman"/>
          <w:noProof/>
          <w:sz w:val="24"/>
        </w:rPr>
        <w:t xml:space="preserve"> prescription”, promoting social cohesion, and tapping on the silver economy (ID: 16735)</w:t>
      </w:r>
    </w:p>
    <w:p w14:paraId="459965C7" w14:textId="7DF672AF" w:rsidR="001B186F" w:rsidRPr="00DE4E4F" w:rsidRDefault="0074517F">
      <w:pPr>
        <w:numPr>
          <w:ilvl w:val="0"/>
          <w:numId w:val="80"/>
        </w:num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Upgrade of infrastructure</w:t>
      </w:r>
      <w:r w:rsidR="71195F59" w:rsidRPr="00DE4E4F">
        <w:rPr>
          <w:rFonts w:ascii="Times New Roman" w:hAnsi="Times New Roman"/>
          <w:noProof/>
          <w:sz w:val="24"/>
          <w:szCs w:val="24"/>
        </w:rPr>
        <w:t xml:space="preserve"> and</w:t>
      </w:r>
      <w:r w:rsidR="00A06A56" w:rsidRPr="00DE4E4F">
        <w:rPr>
          <w:rFonts w:ascii="Times New Roman" w:hAnsi="Times New Roman"/>
          <w:noProof/>
          <w:sz w:val="24"/>
          <w:szCs w:val="24"/>
        </w:rPr>
        <w:t xml:space="preserve"> </w:t>
      </w:r>
      <w:r w:rsidRPr="00DE4E4F">
        <w:rPr>
          <w:rFonts w:ascii="Times New Roman" w:hAnsi="Times New Roman"/>
          <w:noProof/>
          <w:sz w:val="24"/>
          <w:szCs w:val="24"/>
        </w:rPr>
        <w:t>equipment</w:t>
      </w:r>
      <w:r w:rsidR="00DE4C0C" w:rsidRPr="00DE4E4F">
        <w:rPr>
          <w:rFonts w:ascii="Times New Roman" w:hAnsi="Times New Roman"/>
          <w:noProof/>
          <w:sz w:val="24"/>
          <w:szCs w:val="24"/>
        </w:rPr>
        <w:t xml:space="preserve"> </w:t>
      </w:r>
      <w:r w:rsidR="183CFAC8" w:rsidRPr="00DE4E4F">
        <w:rPr>
          <w:rFonts w:ascii="Times New Roman" w:hAnsi="Times New Roman"/>
          <w:noProof/>
          <w:sz w:val="24"/>
          <w:szCs w:val="24"/>
        </w:rPr>
        <w:t xml:space="preserve">of </w:t>
      </w:r>
      <w:r w:rsidRPr="00DE4E4F">
        <w:rPr>
          <w:rFonts w:ascii="Times New Roman" w:hAnsi="Times New Roman"/>
          <w:noProof/>
          <w:sz w:val="24"/>
          <w:szCs w:val="24"/>
        </w:rPr>
        <w:t xml:space="preserve">HOCRED </w:t>
      </w:r>
      <w:r w:rsidR="3A037DE8" w:rsidRPr="00DE4E4F">
        <w:rPr>
          <w:rFonts w:ascii="Times New Roman" w:hAnsi="Times New Roman"/>
          <w:noProof/>
          <w:sz w:val="24"/>
          <w:szCs w:val="24"/>
        </w:rPr>
        <w:t>stores</w:t>
      </w:r>
      <w:r w:rsidR="6A800042" w:rsidRPr="00DE4E4F">
        <w:rPr>
          <w:rFonts w:ascii="Times New Roman" w:hAnsi="Times New Roman"/>
          <w:noProof/>
          <w:sz w:val="24"/>
          <w:szCs w:val="24"/>
        </w:rPr>
        <w:t xml:space="preserve"> </w:t>
      </w:r>
      <w:r w:rsidRPr="00DE4E4F">
        <w:rPr>
          <w:rFonts w:ascii="Times New Roman" w:hAnsi="Times New Roman"/>
          <w:noProof/>
          <w:sz w:val="24"/>
          <w:szCs w:val="24"/>
        </w:rPr>
        <w:t>(ID: 16536)</w:t>
      </w:r>
    </w:p>
    <w:p w14:paraId="28E26381"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Protection of cultural monuments and archaeological sites from climate change (2nd Group) (ID: 16433)</w:t>
      </w:r>
    </w:p>
    <w:p w14:paraId="10100809"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Upgrading higher arts education (ID: 16725)</w:t>
      </w:r>
    </w:p>
    <w:p w14:paraId="5210EF46" w14:textId="1DABC079" w:rsidR="001B186F" w:rsidRPr="00DE4E4F" w:rsidRDefault="0074517F">
      <w:pPr>
        <w:numPr>
          <w:ilvl w:val="0"/>
          <w:numId w:val="80"/>
        </w:numPr>
        <w:spacing w:before="120" w:after="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Cultural Routes </w:t>
      </w:r>
      <w:r w:rsidR="00734D9F" w:rsidRPr="00DE4E4F">
        <w:rPr>
          <w:rFonts w:ascii="Times New Roman" w:hAnsi="Times New Roman"/>
          <w:noProof/>
          <w:sz w:val="24"/>
          <w:szCs w:val="24"/>
        </w:rPr>
        <w:t>at</w:t>
      </w:r>
      <w:r w:rsidRPr="00DE4E4F">
        <w:rPr>
          <w:rFonts w:ascii="Times New Roman" w:hAnsi="Times New Roman"/>
          <w:noProof/>
          <w:sz w:val="24"/>
          <w:szCs w:val="24"/>
        </w:rPr>
        <w:t xml:space="preserve"> Archaeological Sites and Monuments (ID: 16485)</w:t>
      </w:r>
    </w:p>
    <w:p w14:paraId="6EB83E7F"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Restoration - Conservation- Enhancement of the Acropolis Monuments (ID: 16435)</w:t>
      </w:r>
    </w:p>
    <w:tbl>
      <w:tblPr>
        <w:tblW w:w="161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2243"/>
        <w:gridCol w:w="975"/>
        <w:gridCol w:w="1276"/>
        <w:gridCol w:w="2438"/>
        <w:gridCol w:w="1106"/>
        <w:gridCol w:w="1559"/>
        <w:gridCol w:w="1134"/>
        <w:gridCol w:w="850"/>
        <w:gridCol w:w="709"/>
        <w:gridCol w:w="3289"/>
      </w:tblGrid>
      <w:tr w:rsidR="008C5316" w:rsidRPr="00DE4E4F" w14:paraId="6566461C" w14:textId="77777777" w:rsidTr="652754CA">
        <w:trPr>
          <w:trHeight w:val="615"/>
          <w:tblHeader/>
          <w:jc w:val="center"/>
        </w:trPr>
        <w:tc>
          <w:tcPr>
            <w:tcW w:w="527" w:type="dxa"/>
            <w:vMerge w:val="restart"/>
            <w:shd w:val="clear" w:color="auto" w:fill="BDD7EE"/>
            <w:vAlign w:val="center"/>
            <w:hideMark/>
          </w:tcPr>
          <w:p w14:paraId="2D4287D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243" w:type="dxa"/>
            <w:vMerge w:val="restart"/>
            <w:shd w:val="clear" w:color="auto" w:fill="BDD7EE"/>
            <w:vAlign w:val="center"/>
            <w:hideMark/>
          </w:tcPr>
          <w:p w14:paraId="6C615C8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975" w:type="dxa"/>
            <w:vMerge w:val="restart"/>
            <w:shd w:val="clear" w:color="auto" w:fill="BDD7EE"/>
            <w:vAlign w:val="center"/>
            <w:hideMark/>
          </w:tcPr>
          <w:p w14:paraId="6E278DB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276" w:type="dxa"/>
            <w:vMerge w:val="restart"/>
            <w:shd w:val="clear" w:color="auto" w:fill="BDD7EE"/>
            <w:vAlign w:val="center"/>
            <w:hideMark/>
          </w:tcPr>
          <w:p w14:paraId="7E73B9C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2438" w:type="dxa"/>
            <w:vMerge w:val="restart"/>
            <w:shd w:val="clear" w:color="auto" w:fill="BDD7EE"/>
            <w:vAlign w:val="center"/>
            <w:hideMark/>
          </w:tcPr>
          <w:p w14:paraId="38AC137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3799" w:type="dxa"/>
            <w:gridSpan w:val="3"/>
            <w:shd w:val="clear" w:color="auto" w:fill="BDD7EE"/>
            <w:vAlign w:val="center"/>
            <w:hideMark/>
          </w:tcPr>
          <w:p w14:paraId="3C72966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1559" w:type="dxa"/>
            <w:gridSpan w:val="2"/>
            <w:shd w:val="clear" w:color="auto" w:fill="BDD7EE"/>
            <w:vAlign w:val="center"/>
            <w:hideMark/>
          </w:tcPr>
          <w:p w14:paraId="13013B7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289" w:type="dxa"/>
            <w:vMerge w:val="restart"/>
            <w:shd w:val="clear" w:color="auto" w:fill="BDD7EE"/>
            <w:vAlign w:val="center"/>
            <w:hideMark/>
          </w:tcPr>
          <w:p w14:paraId="3153581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FF040E" w:rsidRPr="00DE4E4F" w14:paraId="1F967827" w14:textId="77777777" w:rsidTr="652754CA">
        <w:trPr>
          <w:trHeight w:val="516"/>
          <w:tblHeader/>
          <w:jc w:val="center"/>
        </w:trPr>
        <w:tc>
          <w:tcPr>
            <w:tcW w:w="527" w:type="dxa"/>
            <w:vMerge/>
            <w:vAlign w:val="center"/>
            <w:hideMark/>
          </w:tcPr>
          <w:p w14:paraId="1F9C9A62"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43" w:type="dxa"/>
            <w:vMerge/>
            <w:vAlign w:val="center"/>
            <w:hideMark/>
          </w:tcPr>
          <w:p w14:paraId="55DB5EE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75" w:type="dxa"/>
            <w:vMerge/>
            <w:vAlign w:val="center"/>
            <w:hideMark/>
          </w:tcPr>
          <w:p w14:paraId="5BD440F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76" w:type="dxa"/>
            <w:vMerge/>
            <w:vAlign w:val="center"/>
            <w:hideMark/>
          </w:tcPr>
          <w:p w14:paraId="78CE4D4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438" w:type="dxa"/>
            <w:vMerge/>
            <w:vAlign w:val="center"/>
            <w:hideMark/>
          </w:tcPr>
          <w:p w14:paraId="1D768F8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86E057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1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FD3852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A7555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81212D"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AE294E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289" w:type="dxa"/>
            <w:vMerge/>
            <w:vAlign w:val="center"/>
            <w:hideMark/>
          </w:tcPr>
          <w:p w14:paraId="6176A4A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B116A1" w:rsidRPr="00DE4E4F" w14:paraId="2848971C" w14:textId="77777777" w:rsidTr="652754CA">
        <w:trPr>
          <w:trHeight w:val="313"/>
          <w:jc w:val="center"/>
        </w:trPr>
        <w:tc>
          <w:tcPr>
            <w:tcW w:w="527" w:type="dxa"/>
            <w:shd w:val="clear" w:color="auto" w:fill="C6EFCE"/>
            <w:noWrap/>
          </w:tcPr>
          <w:p w14:paraId="6A8C247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278</w:t>
            </w:r>
          </w:p>
        </w:tc>
        <w:tc>
          <w:tcPr>
            <w:tcW w:w="2243" w:type="dxa"/>
            <w:shd w:val="clear" w:color="auto" w:fill="C6EFCE"/>
            <w:noWrap/>
          </w:tcPr>
          <w:p w14:paraId="1D5FE1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- 16715_Labor Reform in the Cultural Sector</w:t>
            </w:r>
          </w:p>
        </w:tc>
        <w:tc>
          <w:tcPr>
            <w:tcW w:w="975" w:type="dxa"/>
            <w:shd w:val="clear" w:color="auto" w:fill="C6EFCE"/>
            <w:noWrap/>
          </w:tcPr>
          <w:p w14:paraId="024EE73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280948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Legislation for Labour Reform in the Cultural sector</w:t>
            </w:r>
          </w:p>
        </w:tc>
        <w:tc>
          <w:tcPr>
            <w:tcW w:w="2438" w:type="dxa"/>
            <w:shd w:val="clear" w:color="auto" w:fill="C6EFCE"/>
            <w:noWrap/>
          </w:tcPr>
          <w:p w14:paraId="071E0C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and secondary legislation and set up of a system to credibly evaluate status of the “creative or cultural professional”</w:t>
            </w:r>
          </w:p>
        </w:tc>
        <w:tc>
          <w:tcPr>
            <w:tcW w:w="1106" w:type="dxa"/>
            <w:shd w:val="clear" w:color="auto" w:fill="C6EFCE"/>
            <w:noWrap/>
          </w:tcPr>
          <w:p w14:paraId="26D117B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3E884D5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0E0C6F8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0E1F753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67E0C3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289" w:type="dxa"/>
            <w:shd w:val="clear" w:color="auto" w:fill="C6EFCE"/>
            <w:noWrap/>
          </w:tcPr>
          <w:p w14:paraId="34C297D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 for Labour Reform in the Cultural sector, including definition of a status of “creative or cultural professionals” and proportionate tax and social security incentives.</w:t>
            </w:r>
          </w:p>
        </w:tc>
      </w:tr>
      <w:tr w:rsidR="00B116A1" w:rsidRPr="00DE4E4F" w14:paraId="23132315" w14:textId="77777777" w:rsidTr="652754CA">
        <w:trPr>
          <w:trHeight w:val="313"/>
          <w:jc w:val="center"/>
        </w:trPr>
        <w:tc>
          <w:tcPr>
            <w:tcW w:w="527" w:type="dxa"/>
            <w:shd w:val="clear" w:color="auto" w:fill="C6EFCE"/>
            <w:noWrap/>
          </w:tcPr>
          <w:p w14:paraId="03D9CBE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279</w:t>
            </w:r>
          </w:p>
        </w:tc>
        <w:tc>
          <w:tcPr>
            <w:tcW w:w="2243" w:type="dxa"/>
            <w:shd w:val="clear" w:color="auto" w:fill="C6EFCE"/>
            <w:noWrap/>
          </w:tcPr>
          <w:p w14:paraId="556F9E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- 16486_Museum of underwater antiquities</w:t>
            </w:r>
          </w:p>
        </w:tc>
        <w:tc>
          <w:tcPr>
            <w:tcW w:w="975" w:type="dxa"/>
            <w:shd w:val="clear" w:color="auto" w:fill="C6EFCE"/>
            <w:noWrap/>
          </w:tcPr>
          <w:p w14:paraId="362368C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0778AD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award for Museum of underwater antiquities</w:t>
            </w:r>
          </w:p>
        </w:tc>
        <w:tc>
          <w:tcPr>
            <w:tcW w:w="2438" w:type="dxa"/>
            <w:shd w:val="clear" w:color="auto" w:fill="C6EFCE"/>
            <w:noWrap/>
          </w:tcPr>
          <w:p w14:paraId="3B9B91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Notification of award for Museum of underwater antiquities and </w:t>
            </w:r>
            <w:r w:rsidRPr="00DE4E4F">
              <w:rPr>
                <w:rFonts w:ascii="Times New Roman" w:eastAsiaTheme="minorEastAsia" w:hAnsi="Times New Roman" w:cs="Times New Roman"/>
                <w:noProof/>
                <w:color w:val="006100"/>
                <w:sz w:val="18"/>
                <w:szCs w:val="18"/>
              </w:rPr>
              <w:t>technical specifications published</w:t>
            </w:r>
            <w:r w:rsidRPr="00DE4E4F">
              <w:rPr>
                <w:rFonts w:ascii="Times New Roman" w:hAnsi="Times New Roman" w:cs="Times New Roman"/>
                <w:noProof/>
                <w:color w:val="006100"/>
                <w:sz w:val="18"/>
                <w:szCs w:val="18"/>
              </w:rPr>
              <w:t xml:space="preserve"> for works on Museum of underwater antiquities</w:t>
            </w:r>
          </w:p>
        </w:tc>
        <w:tc>
          <w:tcPr>
            <w:tcW w:w="1106" w:type="dxa"/>
            <w:shd w:val="clear" w:color="auto" w:fill="C6EFCE"/>
            <w:noWrap/>
          </w:tcPr>
          <w:p w14:paraId="5A2C6AA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75044F9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416F877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EADA2A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164584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3289" w:type="dxa"/>
            <w:shd w:val="clear" w:color="auto" w:fill="C6EFCE"/>
            <w:noWrap/>
          </w:tcPr>
          <w:p w14:paraId="0403DB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Contract award on Museum of underwater antiquities. </w:t>
            </w:r>
          </w:p>
        </w:tc>
      </w:tr>
      <w:tr w:rsidR="00B116A1" w:rsidRPr="00DE4E4F" w14:paraId="7A2CF462" w14:textId="77777777" w:rsidTr="652754CA">
        <w:trPr>
          <w:trHeight w:val="313"/>
          <w:jc w:val="center"/>
        </w:trPr>
        <w:tc>
          <w:tcPr>
            <w:tcW w:w="527" w:type="dxa"/>
            <w:shd w:val="clear" w:color="auto" w:fill="C6EFCE"/>
            <w:noWrap/>
          </w:tcPr>
          <w:p w14:paraId="3035A28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283</w:t>
            </w:r>
          </w:p>
        </w:tc>
        <w:tc>
          <w:tcPr>
            <w:tcW w:w="2243" w:type="dxa"/>
            <w:shd w:val="clear" w:color="auto" w:fill="C6EFCE"/>
            <w:noWrap/>
          </w:tcPr>
          <w:p w14:paraId="14A94D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- 16293_Culture as a driver of growth</w:t>
            </w:r>
          </w:p>
        </w:tc>
        <w:tc>
          <w:tcPr>
            <w:tcW w:w="975" w:type="dxa"/>
            <w:shd w:val="clear" w:color="auto" w:fill="C6EFCE"/>
            <w:noWrap/>
          </w:tcPr>
          <w:p w14:paraId="3E1562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55643602" w14:textId="19F4D1B8"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Cultur</w:t>
            </w:r>
            <w:r w:rsidR="005B38AC" w:rsidRPr="00DE4E4F">
              <w:rPr>
                <w:rFonts w:ascii="Times New Roman" w:hAnsi="Times New Roman" w:cs="Times New Roman"/>
                <w:noProof/>
                <w:color w:val="006100"/>
                <w:sz w:val="18"/>
                <w:szCs w:val="18"/>
              </w:rPr>
              <w:t xml:space="preserve">al master plans </w:t>
            </w:r>
            <w:r w:rsidR="009341D3" w:rsidRPr="00DE4E4F">
              <w:rPr>
                <w:rFonts w:ascii="Times New Roman" w:hAnsi="Times New Roman" w:cs="Times New Roman"/>
                <w:noProof/>
                <w:color w:val="006100"/>
                <w:sz w:val="18"/>
                <w:szCs w:val="18"/>
              </w:rPr>
              <w:t xml:space="preserve">and works </w:t>
            </w:r>
          </w:p>
        </w:tc>
        <w:tc>
          <w:tcPr>
            <w:tcW w:w="2438" w:type="dxa"/>
            <w:shd w:val="clear" w:color="auto" w:fill="C6EFCE"/>
            <w:noWrap/>
          </w:tcPr>
          <w:p w14:paraId="0078C685" w14:textId="369DC8DB" w:rsidR="001B186F" w:rsidRPr="00DE4E4F" w:rsidRDefault="002108F5">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cultural master plans,</w:t>
            </w:r>
            <w:r w:rsidR="000460E1" w:rsidRPr="00DE4E4F">
              <w:rPr>
                <w:rFonts w:ascii="Times New Roman" w:hAnsi="Times New Roman" w:cs="Times New Roman"/>
                <w:noProof/>
                <w:color w:val="006100"/>
                <w:sz w:val="18"/>
                <w:szCs w:val="18"/>
              </w:rPr>
              <w:t xml:space="preserve"> a study on Greek Handicraft;</w:t>
            </w:r>
            <w:r w:rsidRPr="00DE4E4F">
              <w:rPr>
                <w:rFonts w:ascii="Times New Roman" w:hAnsi="Times New Roman" w:cs="Times New Roman"/>
                <w:noProof/>
                <w:color w:val="006100"/>
                <w:sz w:val="18"/>
                <w:szCs w:val="18"/>
              </w:rPr>
              <w:t xml:space="preserve"> </w:t>
            </w:r>
            <w:r w:rsidR="000460E1" w:rsidRPr="00DE4E4F">
              <w:rPr>
                <w:rFonts w:ascii="Times New Roman" w:hAnsi="Times New Roman" w:cs="Times New Roman"/>
                <w:noProof/>
                <w:color w:val="006100"/>
                <w:sz w:val="18"/>
                <w:szCs w:val="18"/>
              </w:rPr>
              <w:t>e</w:t>
            </w:r>
            <w:r w:rsidR="0074517F" w:rsidRPr="00DE4E4F">
              <w:rPr>
                <w:rFonts w:ascii="Times New Roman" w:hAnsi="Times New Roman" w:cs="Times New Roman"/>
                <w:noProof/>
                <w:color w:val="006100"/>
                <w:sz w:val="18"/>
                <w:szCs w:val="18"/>
              </w:rPr>
              <w:t xml:space="preserve">xecution of </w:t>
            </w:r>
            <w:r w:rsidR="000460E1" w:rsidRPr="00DE4E4F">
              <w:rPr>
                <w:rFonts w:ascii="Times New Roman" w:hAnsi="Times New Roman" w:cs="Times New Roman"/>
                <w:noProof/>
                <w:color w:val="006100"/>
                <w:sz w:val="18"/>
                <w:szCs w:val="18"/>
              </w:rPr>
              <w:t>interventions</w:t>
            </w:r>
            <w:r w:rsidR="009608E0" w:rsidRPr="00DE4E4F">
              <w:rPr>
                <w:rFonts w:ascii="Times New Roman" w:hAnsi="Times New Roman" w:cs="Times New Roman"/>
                <w:noProof/>
                <w:color w:val="006100"/>
                <w:sz w:val="18"/>
                <w:szCs w:val="18"/>
              </w:rPr>
              <w:t xml:space="preserve">; </w:t>
            </w:r>
            <w:r w:rsidR="00047E10" w:rsidRPr="00DE4E4F">
              <w:rPr>
                <w:rFonts w:ascii="Times New Roman" w:hAnsi="Times New Roman" w:cs="Times New Roman"/>
                <w:noProof/>
                <w:color w:val="006100"/>
                <w:sz w:val="18"/>
                <w:szCs w:val="18"/>
              </w:rPr>
              <w:t xml:space="preserve">investment in production of films; accessibility of </w:t>
            </w:r>
            <w:r w:rsidR="000857FC" w:rsidRPr="00DE4E4F">
              <w:rPr>
                <w:rFonts w:ascii="Times New Roman" w:hAnsi="Times New Roman" w:cs="Times New Roman"/>
                <w:noProof/>
                <w:color w:val="006100"/>
                <w:sz w:val="18"/>
                <w:szCs w:val="18"/>
              </w:rPr>
              <w:t>the Contemporary Greek Culture platform online</w:t>
            </w:r>
            <w:r w:rsidR="00DE4C0C" w:rsidRPr="00DE4E4F">
              <w:rPr>
                <w:rFonts w:ascii="Times New Roman" w:hAnsi="Times New Roman" w:cs="Times New Roman"/>
                <w:noProof/>
                <w:color w:val="006100"/>
                <w:sz w:val="18"/>
                <w:szCs w:val="18"/>
              </w:rPr>
              <w:t xml:space="preserve"> </w:t>
            </w:r>
          </w:p>
        </w:tc>
        <w:tc>
          <w:tcPr>
            <w:tcW w:w="1106" w:type="dxa"/>
            <w:shd w:val="clear" w:color="auto" w:fill="C6EFCE"/>
            <w:noWrap/>
          </w:tcPr>
          <w:p w14:paraId="34647CF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0E1BB0E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75D8B3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3AB23BD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2ADB5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3D08157B" w14:textId="3C3B869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 Cultural master plans for </w:t>
            </w:r>
            <w:r w:rsidR="00A07459" w:rsidRPr="00DE4E4F">
              <w:rPr>
                <w:rFonts w:ascii="Times New Roman" w:hAnsi="Times New Roman" w:cs="Times New Roman"/>
                <w:noProof/>
                <w:color w:val="006100"/>
                <w:sz w:val="18"/>
                <w:szCs w:val="18"/>
              </w:rPr>
              <w:t xml:space="preserve">15 areas </w:t>
            </w:r>
            <w:r w:rsidRPr="00DE4E4F">
              <w:rPr>
                <w:rFonts w:ascii="Times New Roman" w:hAnsi="Times New Roman" w:cs="Times New Roman"/>
                <w:noProof/>
                <w:color w:val="006100"/>
                <w:sz w:val="18"/>
                <w:szCs w:val="18"/>
              </w:rPr>
              <w:t xml:space="preserve">are created; ii) </w:t>
            </w:r>
            <w:r w:rsidR="00F7539C" w:rsidRPr="00DE4E4F">
              <w:rPr>
                <w:rFonts w:ascii="Times New Roman" w:hAnsi="Times New Roman" w:cs="Times New Roman"/>
                <w:noProof/>
                <w:color w:val="006100"/>
                <w:sz w:val="18"/>
                <w:szCs w:val="18"/>
              </w:rPr>
              <w:t xml:space="preserve">execution of </w:t>
            </w:r>
            <w:r w:rsidR="004C68E9" w:rsidRPr="00DE4E4F">
              <w:rPr>
                <w:rFonts w:ascii="Times New Roman" w:hAnsi="Times New Roman" w:cs="Times New Roman"/>
                <w:noProof/>
                <w:color w:val="006100"/>
                <w:sz w:val="18"/>
                <w:szCs w:val="18"/>
              </w:rPr>
              <w:t xml:space="preserve">70 </w:t>
            </w:r>
            <w:r w:rsidRPr="00DE4E4F">
              <w:rPr>
                <w:rFonts w:ascii="Times New Roman" w:hAnsi="Times New Roman" w:cs="Times New Roman"/>
                <w:noProof/>
                <w:color w:val="006100"/>
                <w:sz w:val="18"/>
                <w:szCs w:val="18"/>
              </w:rPr>
              <w:t>interventions</w:t>
            </w:r>
            <w:r w:rsidR="00A07459" w:rsidRPr="00DE4E4F">
              <w:rPr>
                <w:rFonts w:ascii="Times New Roman" w:hAnsi="Times New Roman" w:cs="Times New Roman"/>
                <w:noProof/>
                <w:color w:val="006100"/>
                <w:sz w:val="18"/>
                <w:szCs w:val="18"/>
              </w:rPr>
              <w:t xml:space="preserve"> </w:t>
            </w:r>
            <w:r w:rsidR="004C68E9" w:rsidRPr="00DE4E4F">
              <w:rPr>
                <w:rFonts w:ascii="Times New Roman" w:hAnsi="Times New Roman" w:cs="Times New Roman"/>
                <w:noProof/>
                <w:color w:val="006100"/>
                <w:sz w:val="18"/>
                <w:szCs w:val="18"/>
              </w:rPr>
              <w:t xml:space="preserve">including construction works </w:t>
            </w:r>
            <w:r w:rsidR="00A07459" w:rsidRPr="00DE4E4F">
              <w:rPr>
                <w:rFonts w:ascii="Times New Roman" w:hAnsi="Times New Roman" w:cs="Times New Roman"/>
                <w:noProof/>
                <w:color w:val="006100"/>
                <w:sz w:val="18"/>
                <w:szCs w:val="18"/>
              </w:rPr>
              <w:t xml:space="preserve">or </w:t>
            </w:r>
            <w:r w:rsidR="006E5D62" w:rsidRPr="00DE4E4F">
              <w:rPr>
                <w:rFonts w:ascii="Times New Roman" w:hAnsi="Times New Roman" w:cs="Times New Roman"/>
                <w:noProof/>
                <w:color w:val="006100"/>
                <w:sz w:val="18"/>
                <w:szCs w:val="18"/>
              </w:rPr>
              <w:t xml:space="preserve">delivery of </w:t>
            </w:r>
            <w:r w:rsidR="00A07459" w:rsidRPr="00DE4E4F">
              <w:rPr>
                <w:rFonts w:ascii="Times New Roman" w:hAnsi="Times New Roman" w:cs="Times New Roman"/>
                <w:noProof/>
                <w:color w:val="006100"/>
                <w:sz w:val="18"/>
                <w:szCs w:val="18"/>
              </w:rPr>
              <w:t>equipment</w:t>
            </w:r>
            <w:r w:rsidR="0072500F" w:rsidRPr="00DE4E4F">
              <w:rPr>
                <w:rFonts w:ascii="Times New Roman" w:hAnsi="Times New Roman" w:cs="Times New Roman"/>
                <w:noProof/>
                <w:color w:val="006100"/>
                <w:sz w:val="18"/>
                <w:szCs w:val="18"/>
              </w:rPr>
              <w:t xml:space="preserve"> (including digital equipment)</w:t>
            </w:r>
            <w:r w:rsidRPr="00DE4E4F">
              <w:rPr>
                <w:rFonts w:ascii="Times New Roman" w:hAnsi="Times New Roman" w:cs="Times New Roman"/>
                <w:noProof/>
                <w:color w:val="006100"/>
                <w:sz w:val="18"/>
                <w:szCs w:val="18"/>
              </w:rPr>
              <w:t xml:space="preserve"> </w:t>
            </w:r>
            <w:r w:rsidR="00882959" w:rsidRPr="00DE4E4F">
              <w:rPr>
                <w:rFonts w:ascii="Times New Roman" w:hAnsi="Times New Roman" w:cs="Times New Roman"/>
                <w:noProof/>
                <w:color w:val="006100"/>
                <w:sz w:val="18"/>
                <w:szCs w:val="18"/>
              </w:rPr>
              <w:t>at cultural venues</w:t>
            </w:r>
            <w:r w:rsidRPr="00DE4E4F">
              <w:rPr>
                <w:rFonts w:ascii="Times New Roman" w:hAnsi="Times New Roman" w:cs="Times New Roman"/>
                <w:noProof/>
                <w:color w:val="006100"/>
                <w:sz w:val="18"/>
                <w:szCs w:val="18"/>
              </w:rPr>
              <w:t xml:space="preserve">; iii) a </w:t>
            </w:r>
            <w:r w:rsidR="00C0583A" w:rsidRPr="00DE4E4F">
              <w:rPr>
                <w:rFonts w:ascii="Times New Roman" w:hAnsi="Times New Roman" w:cs="Times New Roman"/>
                <w:noProof/>
                <w:color w:val="006100"/>
                <w:sz w:val="18"/>
                <w:szCs w:val="18"/>
              </w:rPr>
              <w:t xml:space="preserve">study for </w:t>
            </w:r>
            <w:r w:rsidR="4C71C350" w:rsidRPr="00DE4E4F">
              <w:rPr>
                <w:rFonts w:ascii="Times New Roman" w:hAnsi="Times New Roman" w:cs="Times New Roman"/>
                <w:noProof/>
                <w:color w:val="006100"/>
                <w:sz w:val="18"/>
                <w:szCs w:val="18"/>
              </w:rPr>
              <w:t>the design and implementation of</w:t>
            </w:r>
            <w:r w:rsidR="257800A4" w:rsidRPr="00DE4E4F">
              <w:rPr>
                <w:rFonts w:ascii="Times New Roman" w:hAnsi="Times New Roman" w:cs="Times New Roman"/>
                <w:noProof/>
                <w:color w:val="006100"/>
                <w:sz w:val="18"/>
                <w:szCs w:val="18"/>
              </w:rPr>
              <w:t xml:space="preserve"> </w:t>
            </w:r>
            <w:r w:rsidR="00C0583A" w:rsidRPr="00DE4E4F">
              <w:rPr>
                <w:rFonts w:ascii="Times New Roman" w:hAnsi="Times New Roman" w:cs="Times New Roman"/>
                <w:noProof/>
                <w:color w:val="006100"/>
                <w:sz w:val="18"/>
                <w:szCs w:val="18"/>
              </w:rPr>
              <w:t xml:space="preserve">a </w:t>
            </w:r>
            <w:r w:rsidR="26A87A76" w:rsidRPr="00DE4E4F">
              <w:rPr>
                <w:rFonts w:ascii="Times New Roman" w:hAnsi="Times New Roman" w:cs="Times New Roman"/>
                <w:noProof/>
                <w:color w:val="006100"/>
                <w:sz w:val="18"/>
                <w:szCs w:val="18"/>
              </w:rPr>
              <w:t>M</w:t>
            </w:r>
            <w:r w:rsidR="257800A4" w:rsidRPr="00DE4E4F">
              <w:rPr>
                <w:rFonts w:ascii="Times New Roman" w:hAnsi="Times New Roman" w:cs="Times New Roman"/>
                <w:noProof/>
                <w:color w:val="006100"/>
                <w:sz w:val="18"/>
                <w:szCs w:val="18"/>
              </w:rPr>
              <w:t>odel</w:t>
            </w:r>
            <w:r w:rsidR="00C0583A" w:rsidRPr="00DE4E4F">
              <w:rPr>
                <w:rFonts w:ascii="Times New Roman" w:hAnsi="Times New Roman" w:cs="Times New Roman"/>
                <w:noProof/>
                <w:color w:val="006100"/>
                <w:sz w:val="18"/>
                <w:szCs w:val="18"/>
              </w:rPr>
              <w:t xml:space="preserve"> </w:t>
            </w:r>
            <w:r w:rsidR="00DC58C1" w:rsidRPr="00DE4E4F">
              <w:rPr>
                <w:rFonts w:ascii="Times New Roman" w:hAnsi="Times New Roman" w:cs="Times New Roman"/>
                <w:noProof/>
                <w:color w:val="006100"/>
                <w:sz w:val="18"/>
                <w:szCs w:val="18"/>
              </w:rPr>
              <w:t>S</w:t>
            </w:r>
            <w:r w:rsidRPr="00DE4E4F">
              <w:rPr>
                <w:rFonts w:ascii="Times New Roman" w:hAnsi="Times New Roman" w:cs="Times New Roman"/>
                <w:noProof/>
                <w:color w:val="006100"/>
                <w:sz w:val="18"/>
                <w:szCs w:val="18"/>
              </w:rPr>
              <w:t xml:space="preserve">trategy </w:t>
            </w:r>
            <w:r w:rsidRPr="00DE4E4F" w:rsidDel="006F4B67">
              <w:rPr>
                <w:rFonts w:ascii="Times New Roman" w:hAnsi="Times New Roman" w:cs="Times New Roman"/>
                <w:noProof/>
                <w:color w:val="006100"/>
                <w:sz w:val="18"/>
                <w:szCs w:val="18"/>
              </w:rPr>
              <w:t xml:space="preserve">for </w:t>
            </w:r>
            <w:r w:rsidR="0A01C092" w:rsidRPr="00DE4E4F">
              <w:rPr>
                <w:rFonts w:ascii="Times New Roman" w:hAnsi="Times New Roman" w:cs="Times New Roman"/>
                <w:noProof/>
                <w:color w:val="006100"/>
                <w:sz w:val="18"/>
                <w:szCs w:val="18"/>
              </w:rPr>
              <w:t>the Reconstruction – Development and Redefinition of Greek Handicraft</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is </w:t>
            </w:r>
            <w:r w:rsidR="00DA0967" w:rsidRPr="00DE4E4F">
              <w:rPr>
                <w:rFonts w:ascii="Times New Roman" w:hAnsi="Times New Roman" w:cs="Times New Roman"/>
                <w:noProof/>
                <w:color w:val="006100"/>
                <w:sz w:val="18"/>
                <w:szCs w:val="18"/>
              </w:rPr>
              <w:t>conducted</w:t>
            </w:r>
            <w:r w:rsidRPr="00DE4E4F">
              <w:rPr>
                <w:rFonts w:ascii="Times New Roman" w:hAnsi="Times New Roman" w:cs="Times New Roman"/>
                <w:noProof/>
                <w:color w:val="006100"/>
                <w:sz w:val="18"/>
                <w:szCs w:val="18"/>
              </w:rPr>
              <w:t xml:space="preserve">; iv) </w:t>
            </w:r>
            <w:r w:rsidR="00CE7F54" w:rsidRPr="00DE4E4F">
              <w:rPr>
                <w:rFonts w:ascii="Times New Roman" w:hAnsi="Times New Roman" w:cs="Times New Roman"/>
                <w:noProof/>
                <w:color w:val="006100"/>
                <w:sz w:val="18"/>
                <w:szCs w:val="18"/>
              </w:rPr>
              <w:t>financial support</w:t>
            </w:r>
            <w:r w:rsidR="009B70B3" w:rsidRPr="00DE4E4F">
              <w:rPr>
                <w:rFonts w:ascii="Times New Roman" w:hAnsi="Times New Roman" w:cs="Times New Roman"/>
                <w:noProof/>
                <w:color w:val="006100"/>
                <w:sz w:val="18"/>
                <w:szCs w:val="18"/>
              </w:rPr>
              <w:t xml:space="preserve"> to</w:t>
            </w:r>
            <w:r w:rsidR="009F1606"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selected Greek films</w:t>
            </w:r>
            <w:r w:rsidR="009B70B3" w:rsidRPr="00DE4E4F">
              <w:rPr>
                <w:rFonts w:ascii="Times New Roman" w:hAnsi="Times New Roman" w:cs="Times New Roman"/>
                <w:noProof/>
                <w:color w:val="006100"/>
                <w:sz w:val="18"/>
                <w:szCs w:val="18"/>
              </w:rPr>
              <w:t xml:space="preserve"> projects </w:t>
            </w:r>
            <w:r w:rsidR="00C65ECC" w:rsidRPr="00DE4E4F">
              <w:rPr>
                <w:rFonts w:ascii="Times New Roman" w:hAnsi="Times New Roman" w:cs="Times New Roman"/>
                <w:noProof/>
                <w:color w:val="006100"/>
                <w:sz w:val="18"/>
                <w:szCs w:val="18"/>
              </w:rPr>
              <w:t>is provided</w:t>
            </w:r>
            <w:r w:rsidRPr="00DE4E4F">
              <w:rPr>
                <w:rFonts w:ascii="Times New Roman" w:hAnsi="Times New Roman" w:cs="Times New Roman"/>
                <w:noProof/>
                <w:color w:val="006100"/>
                <w:sz w:val="18"/>
                <w:szCs w:val="18"/>
              </w:rPr>
              <w:t>; v) Contemporary Greek Culture platform is accessible online.</w:t>
            </w:r>
          </w:p>
        </w:tc>
      </w:tr>
      <w:tr w:rsidR="00B116A1" w:rsidRPr="00DE4E4F" w14:paraId="6B5341EC" w14:textId="77777777" w:rsidTr="652754CA">
        <w:trPr>
          <w:trHeight w:val="313"/>
          <w:jc w:val="center"/>
        </w:trPr>
        <w:tc>
          <w:tcPr>
            <w:tcW w:w="527" w:type="dxa"/>
            <w:shd w:val="clear" w:color="auto" w:fill="C6EFCE"/>
            <w:noWrap/>
          </w:tcPr>
          <w:p w14:paraId="29A8589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284</w:t>
            </w:r>
          </w:p>
        </w:tc>
        <w:tc>
          <w:tcPr>
            <w:tcW w:w="2243" w:type="dxa"/>
            <w:shd w:val="clear" w:color="auto" w:fill="C6EFCE"/>
            <w:noWrap/>
          </w:tcPr>
          <w:p w14:paraId="3A5BCF4E" w14:textId="5E63A1CD"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- 16536_Upgrade of infrastructure</w:t>
            </w:r>
            <w:r w:rsidR="5B310940" w:rsidRPr="00DE4E4F">
              <w:rPr>
                <w:rFonts w:ascii="Times New Roman" w:hAnsi="Times New Roman" w:cs="Times New Roman"/>
                <w:noProof/>
                <w:color w:val="006100"/>
                <w:sz w:val="18"/>
                <w:szCs w:val="18"/>
              </w:rPr>
              <w:t xml:space="preserve"> and </w:t>
            </w:r>
            <w:r w:rsidRPr="00DE4E4F">
              <w:rPr>
                <w:rFonts w:ascii="Times New Roman" w:hAnsi="Times New Roman" w:cs="Times New Roman"/>
                <w:noProof/>
                <w:color w:val="006100"/>
                <w:sz w:val="18"/>
                <w:szCs w:val="18"/>
              </w:rPr>
              <w:t>equipment</w:t>
            </w:r>
            <w:r w:rsidR="00E001A9" w:rsidRPr="00DE4E4F">
              <w:rPr>
                <w:rFonts w:ascii="Times New Roman" w:hAnsi="Times New Roman" w:cs="Times New Roman"/>
                <w:noProof/>
                <w:color w:val="006100"/>
                <w:sz w:val="18"/>
                <w:szCs w:val="18"/>
              </w:rPr>
              <w:t xml:space="preserve"> </w:t>
            </w:r>
            <w:r w:rsidR="116D8E08" w:rsidRPr="00DE4E4F">
              <w:rPr>
                <w:rFonts w:ascii="Times New Roman" w:hAnsi="Times New Roman" w:cs="Times New Roman"/>
                <w:noProof/>
                <w:color w:val="006100"/>
                <w:sz w:val="18"/>
                <w:szCs w:val="18"/>
              </w:rPr>
              <w:t xml:space="preserve">of </w:t>
            </w:r>
            <w:r w:rsidRPr="00DE4E4F">
              <w:rPr>
                <w:rFonts w:ascii="Times New Roman" w:hAnsi="Times New Roman" w:cs="Times New Roman"/>
                <w:noProof/>
                <w:color w:val="006100"/>
                <w:sz w:val="18"/>
                <w:szCs w:val="18"/>
              </w:rPr>
              <w:t xml:space="preserve">HOCRED </w:t>
            </w:r>
            <w:r w:rsidR="002D4647" w:rsidRPr="00DE4E4F">
              <w:rPr>
                <w:rFonts w:ascii="Times New Roman" w:hAnsi="Times New Roman" w:cs="Times New Roman"/>
                <w:noProof/>
                <w:color w:val="006100"/>
                <w:sz w:val="18"/>
                <w:szCs w:val="18"/>
              </w:rPr>
              <w:t>s</w:t>
            </w:r>
            <w:r w:rsidRPr="00DE4E4F">
              <w:rPr>
                <w:rFonts w:ascii="Times New Roman" w:hAnsi="Times New Roman" w:cs="Times New Roman"/>
                <w:noProof/>
                <w:color w:val="006100"/>
                <w:sz w:val="18"/>
                <w:szCs w:val="18"/>
              </w:rPr>
              <w:t xml:space="preserve">tores </w:t>
            </w:r>
          </w:p>
        </w:tc>
        <w:tc>
          <w:tcPr>
            <w:tcW w:w="975" w:type="dxa"/>
            <w:shd w:val="clear" w:color="auto" w:fill="C6EFCE"/>
            <w:noWrap/>
          </w:tcPr>
          <w:p w14:paraId="6F2CC87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2414457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Upgrade of Hellenic Organisation of Cultural Resources Development (HOCRED) </w:t>
            </w:r>
          </w:p>
        </w:tc>
        <w:tc>
          <w:tcPr>
            <w:tcW w:w="2438" w:type="dxa"/>
            <w:shd w:val="clear" w:color="auto" w:fill="C6EFCE"/>
            <w:noWrap/>
          </w:tcPr>
          <w:p w14:paraId="38BAC3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Upgrade of Hellenic Organization of Cultural Resources Development (HOCRED) operations</w:t>
            </w:r>
            <w:r w:rsidRPr="00DE4E4F" w:rsidDel="0045216F">
              <w:rPr>
                <w:rFonts w:ascii="Times New Roman" w:hAnsi="Times New Roman" w:cs="Times New Roman"/>
                <w:noProof/>
                <w:color w:val="006100"/>
                <w:sz w:val="18"/>
                <w:szCs w:val="18"/>
              </w:rPr>
              <w:t xml:space="preserve"> </w:t>
            </w:r>
          </w:p>
        </w:tc>
        <w:tc>
          <w:tcPr>
            <w:tcW w:w="1106" w:type="dxa"/>
            <w:shd w:val="clear" w:color="auto" w:fill="C6EFCE"/>
            <w:noWrap/>
          </w:tcPr>
          <w:p w14:paraId="6FF543F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2F3D4E0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DE7EAD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2528203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0F6841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2D9D518E" w14:textId="29DD0958" w:rsidR="001B186F" w:rsidRPr="00DE4E4F" w:rsidRDefault="24B326FB">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U</w:t>
            </w:r>
            <w:r w:rsidR="3CADF01F" w:rsidRPr="00DE4E4F">
              <w:rPr>
                <w:rFonts w:ascii="Times New Roman" w:hAnsi="Times New Roman" w:cs="Times New Roman"/>
                <w:noProof/>
                <w:color w:val="006100"/>
                <w:sz w:val="18"/>
                <w:szCs w:val="18"/>
              </w:rPr>
              <w:t>pgrading</w:t>
            </w:r>
            <w:r w:rsidR="00DE4C0C" w:rsidRPr="00DE4E4F">
              <w:rPr>
                <w:rFonts w:ascii="Times New Roman" w:hAnsi="Times New Roman" w:cs="Times New Roman"/>
                <w:noProof/>
                <w:color w:val="006100"/>
                <w:sz w:val="18"/>
                <w:szCs w:val="18"/>
              </w:rPr>
              <w:t xml:space="preserve"> </w:t>
            </w:r>
            <w:r w:rsidR="3CADF01F" w:rsidRPr="00DE4E4F">
              <w:rPr>
                <w:rFonts w:ascii="Times New Roman" w:hAnsi="Times New Roman" w:cs="Times New Roman"/>
                <w:noProof/>
                <w:color w:val="006100"/>
                <w:sz w:val="18"/>
                <w:szCs w:val="18"/>
              </w:rPr>
              <w:t xml:space="preserve">the infrastructure and equipment </w:t>
            </w:r>
            <w:r w:rsidR="239921F3" w:rsidRPr="00DE4E4F">
              <w:rPr>
                <w:rFonts w:ascii="Times New Roman" w:hAnsi="Times New Roman" w:cs="Times New Roman"/>
                <w:noProof/>
                <w:color w:val="006100"/>
                <w:sz w:val="18"/>
                <w:szCs w:val="18"/>
              </w:rPr>
              <w:t>of</w:t>
            </w:r>
            <w:r w:rsidR="00DE4C0C" w:rsidRPr="00DE4E4F">
              <w:rPr>
                <w:rFonts w:ascii="Times New Roman" w:hAnsi="Times New Roman" w:cs="Times New Roman"/>
                <w:noProof/>
                <w:color w:val="006100"/>
                <w:sz w:val="18"/>
                <w:szCs w:val="18"/>
              </w:rPr>
              <w:t xml:space="preserve"> </w:t>
            </w:r>
            <w:r w:rsidR="0C3CA18F" w:rsidRPr="00DE4E4F">
              <w:rPr>
                <w:rFonts w:ascii="Times New Roman" w:hAnsi="Times New Roman" w:cs="Times New Roman"/>
                <w:noProof/>
                <w:color w:val="006100"/>
                <w:sz w:val="18"/>
                <w:szCs w:val="18"/>
              </w:rPr>
              <w:t>2</w:t>
            </w:r>
            <w:r w:rsidR="2286C09D" w:rsidRPr="00DE4E4F">
              <w:rPr>
                <w:rFonts w:ascii="Times New Roman" w:hAnsi="Times New Roman" w:cs="Times New Roman"/>
                <w:noProof/>
                <w:color w:val="006100"/>
                <w:sz w:val="18"/>
                <w:szCs w:val="18"/>
              </w:rPr>
              <w:t>0</w:t>
            </w:r>
            <w:r w:rsidR="0C3CA18F" w:rsidRPr="00DE4E4F">
              <w:rPr>
                <w:rFonts w:ascii="Times New Roman" w:hAnsi="Times New Roman" w:cs="Times New Roman"/>
                <w:noProof/>
                <w:color w:val="006100"/>
                <w:sz w:val="18"/>
                <w:szCs w:val="18"/>
              </w:rPr>
              <w:t xml:space="preserve"> stores</w:t>
            </w:r>
            <w:r w:rsidR="446AC0CB" w:rsidRPr="00DE4E4F">
              <w:rPr>
                <w:rFonts w:ascii="Times New Roman" w:hAnsi="Times New Roman" w:cs="Times New Roman"/>
                <w:noProof/>
                <w:color w:val="006100"/>
                <w:sz w:val="18"/>
                <w:szCs w:val="18"/>
              </w:rPr>
              <w:t>,</w:t>
            </w:r>
            <w:r w:rsidR="0C3CA18F" w:rsidRPr="00DE4E4F">
              <w:rPr>
                <w:rFonts w:ascii="Times New Roman" w:hAnsi="Times New Roman" w:cs="Times New Roman"/>
                <w:noProof/>
                <w:color w:val="006100"/>
                <w:sz w:val="18"/>
                <w:szCs w:val="18"/>
              </w:rPr>
              <w:t xml:space="preserve"> including energy </w:t>
            </w:r>
            <w:r w:rsidR="23677C02" w:rsidRPr="00DE4E4F">
              <w:rPr>
                <w:rFonts w:ascii="Times New Roman" w:hAnsi="Times New Roman" w:cs="Times New Roman"/>
                <w:noProof/>
                <w:color w:val="006100"/>
                <w:sz w:val="18"/>
                <w:szCs w:val="18"/>
              </w:rPr>
              <w:t>effi</w:t>
            </w:r>
            <w:r w:rsidR="62A545A9" w:rsidRPr="00DE4E4F">
              <w:rPr>
                <w:rFonts w:ascii="Times New Roman" w:hAnsi="Times New Roman" w:cs="Times New Roman"/>
                <w:noProof/>
                <w:color w:val="006100"/>
                <w:sz w:val="18"/>
                <w:szCs w:val="18"/>
              </w:rPr>
              <w:t>ciency</w:t>
            </w:r>
            <w:r w:rsidR="00DE4C0C" w:rsidRPr="00DE4E4F">
              <w:rPr>
                <w:rFonts w:ascii="Times New Roman" w:hAnsi="Times New Roman" w:cs="Times New Roman"/>
                <w:noProof/>
                <w:color w:val="006100"/>
                <w:sz w:val="18"/>
                <w:szCs w:val="18"/>
              </w:rPr>
              <w:t xml:space="preserve"> </w:t>
            </w:r>
            <w:r w:rsidR="3C7357C7" w:rsidRPr="00DE4E4F">
              <w:rPr>
                <w:rFonts w:ascii="Times New Roman" w:hAnsi="Times New Roman" w:cs="Times New Roman"/>
                <w:noProof/>
                <w:color w:val="006100"/>
                <w:sz w:val="18"/>
                <w:szCs w:val="18"/>
              </w:rPr>
              <w:t>renovations</w:t>
            </w:r>
            <w:r w:rsidR="688F2AF8" w:rsidRPr="00DE4E4F">
              <w:rPr>
                <w:rFonts w:ascii="Times New Roman" w:hAnsi="Times New Roman" w:cs="Times New Roman"/>
                <w:noProof/>
                <w:color w:val="006100"/>
                <w:sz w:val="18"/>
                <w:szCs w:val="18"/>
              </w:rPr>
              <w:t xml:space="preserve"> in </w:t>
            </w:r>
            <w:r w:rsidR="00D27F03" w:rsidRPr="00DE4E4F">
              <w:rPr>
                <w:rFonts w:ascii="Times New Roman" w:hAnsi="Times New Roman" w:cs="Times New Roman"/>
                <w:noProof/>
                <w:color w:val="006100"/>
                <w:sz w:val="18"/>
                <w:szCs w:val="18"/>
              </w:rPr>
              <w:t>six</w:t>
            </w:r>
            <w:r w:rsidR="688F2AF8" w:rsidRPr="00DE4E4F">
              <w:rPr>
                <w:rFonts w:ascii="Times New Roman" w:hAnsi="Times New Roman" w:cs="Times New Roman"/>
                <w:noProof/>
                <w:color w:val="006100"/>
                <w:sz w:val="18"/>
                <w:szCs w:val="18"/>
              </w:rPr>
              <w:t xml:space="preserve"> stores</w:t>
            </w:r>
            <w:r w:rsidR="3CADF01F" w:rsidRPr="00DE4E4F">
              <w:rPr>
                <w:rFonts w:ascii="Times New Roman" w:hAnsi="Times New Roman" w:cs="Times New Roman"/>
                <w:noProof/>
                <w:color w:val="006100"/>
                <w:sz w:val="18"/>
                <w:szCs w:val="18"/>
              </w:rPr>
              <w:t>, and acquisition of an industrial complex to be used for the housing of HOCRED facilities.</w:t>
            </w:r>
            <w:r w:rsidR="3CADF01F" w:rsidRPr="00DE4E4F">
              <w:rPr>
                <w:rFonts w:ascii="Times New Roman" w:hAnsi="Times New Roman" w:cs="Times New Roman"/>
                <w:noProof/>
                <w:sz w:val="18"/>
                <w:szCs w:val="18"/>
              </w:rPr>
              <w:t xml:space="preserve"> </w:t>
            </w:r>
          </w:p>
          <w:p w14:paraId="074E8BBB" w14:textId="77777777" w:rsidR="001B186F" w:rsidRPr="00DE4E4F" w:rsidRDefault="001B186F">
            <w:pPr>
              <w:spacing w:after="0" w:line="240" w:lineRule="auto"/>
              <w:rPr>
                <w:rFonts w:ascii="Times New Roman" w:hAnsi="Times New Roman" w:cs="Times New Roman"/>
                <w:noProof/>
                <w:color w:val="006100"/>
                <w:sz w:val="18"/>
                <w:szCs w:val="18"/>
              </w:rPr>
            </w:pPr>
          </w:p>
        </w:tc>
      </w:tr>
      <w:tr w:rsidR="00B116A1" w:rsidRPr="00DE4E4F" w14:paraId="6CE039D5" w14:textId="77777777" w:rsidTr="652754CA">
        <w:trPr>
          <w:trHeight w:val="313"/>
          <w:jc w:val="center"/>
        </w:trPr>
        <w:tc>
          <w:tcPr>
            <w:tcW w:w="527" w:type="dxa"/>
            <w:shd w:val="clear" w:color="auto" w:fill="C6EFCE"/>
            <w:noWrap/>
          </w:tcPr>
          <w:p w14:paraId="7414F5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285</w:t>
            </w:r>
          </w:p>
        </w:tc>
        <w:tc>
          <w:tcPr>
            <w:tcW w:w="2243" w:type="dxa"/>
            <w:shd w:val="clear" w:color="auto" w:fill="C6EFCE"/>
            <w:noWrap/>
          </w:tcPr>
          <w:p w14:paraId="6316E4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- 16725_Upgrading higher arts education</w:t>
            </w:r>
          </w:p>
        </w:tc>
        <w:tc>
          <w:tcPr>
            <w:tcW w:w="975" w:type="dxa"/>
            <w:shd w:val="clear" w:color="auto" w:fill="C6EFCE"/>
            <w:noWrap/>
          </w:tcPr>
          <w:p w14:paraId="004907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0CABBD0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Upgrading higher arts education</w:t>
            </w:r>
          </w:p>
        </w:tc>
        <w:tc>
          <w:tcPr>
            <w:tcW w:w="2438" w:type="dxa"/>
            <w:shd w:val="clear" w:color="auto" w:fill="C6EFCE"/>
            <w:noWrap/>
          </w:tcPr>
          <w:p w14:paraId="3380356D" w14:textId="6EB1AD18"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sidDel="0074517F">
              <w:rPr>
                <w:rFonts w:ascii="Times New Roman" w:hAnsi="Times New Roman" w:cs="Times New Roman"/>
                <w:noProof/>
                <w:color w:val="006100"/>
                <w:sz w:val="18"/>
                <w:szCs w:val="18"/>
              </w:rPr>
              <w:t>Entry into force</w:t>
            </w:r>
            <w:r w:rsidRPr="00DE4E4F">
              <w:rPr>
                <w:rFonts w:ascii="Times New Roman" w:hAnsi="Times New Roman" w:cs="Times New Roman"/>
                <w:noProof/>
                <w:color w:val="006100"/>
                <w:sz w:val="18"/>
                <w:szCs w:val="18"/>
              </w:rPr>
              <w:t xml:space="preserve"> of</w:t>
            </w:r>
            <w:r w:rsidR="4FD58A8A" w:rsidRPr="00DE4E4F">
              <w:rPr>
                <w:rFonts w:ascii="Times New Roman" w:hAnsi="Times New Roman" w:cs="Times New Roman"/>
                <w:noProof/>
                <w:color w:val="006100"/>
                <w:sz w:val="18"/>
                <w:szCs w:val="18"/>
              </w:rPr>
              <w:t xml:space="preserve"> the</w:t>
            </w:r>
            <w:r w:rsidRPr="00DE4E4F">
              <w:rPr>
                <w:rFonts w:ascii="Times New Roman" w:hAnsi="Times New Roman" w:cs="Times New Roman"/>
                <w:noProof/>
                <w:color w:val="006100"/>
                <w:sz w:val="18"/>
                <w:szCs w:val="18"/>
              </w:rPr>
              <w:t xml:space="preserve"> legal act</w:t>
            </w:r>
            <w:r w:rsidR="74D1FF06"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s</w:t>
            </w:r>
            <w:r w:rsidR="5A5F8897" w:rsidRPr="00DE4E4F">
              <w:rPr>
                <w:rFonts w:ascii="Times New Roman" w:hAnsi="Times New Roman" w:cs="Times New Roman"/>
                <w:noProof/>
                <w:color w:val="006100"/>
                <w:sz w:val="18"/>
                <w:szCs w:val="18"/>
              </w:rPr>
              <w:t>)</w:t>
            </w:r>
            <w:r w:rsidR="00FA5553" w:rsidRPr="00DE4E4F">
              <w:rPr>
                <w:rFonts w:ascii="Times New Roman" w:hAnsi="Times New Roman" w:cs="Times New Roman"/>
                <w:noProof/>
                <w:color w:val="006100"/>
                <w:sz w:val="18"/>
                <w:szCs w:val="18"/>
              </w:rPr>
              <w:t xml:space="preserve"> for the establishment of a University of Performing Arts. B</w:t>
            </w:r>
            <w:r w:rsidRPr="00DE4E4F">
              <w:rPr>
                <w:rFonts w:ascii="Times New Roman" w:hAnsi="Times New Roman" w:cs="Times New Roman"/>
                <w:noProof/>
                <w:color w:val="006100"/>
                <w:sz w:val="18"/>
                <w:szCs w:val="18"/>
              </w:rPr>
              <w:t xml:space="preserve">uilding </w:t>
            </w:r>
            <w:r w:rsidR="16E2AED6" w:rsidRPr="00DE4E4F">
              <w:rPr>
                <w:rFonts w:ascii="Times New Roman" w:hAnsi="Times New Roman" w:cs="Times New Roman"/>
                <w:noProof/>
                <w:color w:val="006100"/>
                <w:sz w:val="18"/>
                <w:szCs w:val="18"/>
              </w:rPr>
              <w:t xml:space="preserve">and digital infrastructure </w:t>
            </w:r>
            <w:r w:rsidRPr="00DE4E4F">
              <w:rPr>
                <w:rFonts w:ascii="Times New Roman" w:hAnsi="Times New Roman" w:cs="Times New Roman"/>
                <w:noProof/>
                <w:color w:val="006100"/>
                <w:sz w:val="18"/>
                <w:szCs w:val="18"/>
              </w:rPr>
              <w:t>upgrades</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of institutions</w:t>
            </w:r>
            <w:r w:rsidR="00FA5553" w:rsidRPr="00DE4E4F">
              <w:rPr>
                <w:rFonts w:ascii="Times New Roman" w:hAnsi="Times New Roman" w:cs="Times New Roman"/>
                <w:noProof/>
                <w:color w:val="006100"/>
                <w:sz w:val="18"/>
                <w:szCs w:val="18"/>
              </w:rPr>
              <w:t>.</w:t>
            </w:r>
          </w:p>
        </w:tc>
        <w:tc>
          <w:tcPr>
            <w:tcW w:w="1106" w:type="dxa"/>
            <w:shd w:val="clear" w:color="auto" w:fill="C6EFCE"/>
            <w:noWrap/>
          </w:tcPr>
          <w:p w14:paraId="588E641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69A1A3B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7912D38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shd w:val="clear" w:color="auto" w:fill="C6EFCE"/>
            <w:noWrap/>
          </w:tcPr>
          <w:p w14:paraId="624B0F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74A2947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27875840" w14:textId="01029353"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w:t>
            </w:r>
            <w:r w:rsidR="6415F026" w:rsidRPr="00DE4E4F">
              <w:rPr>
                <w:rFonts w:ascii="Times New Roman" w:hAnsi="Times New Roman" w:cs="Times New Roman"/>
                <w:noProof/>
                <w:color w:val="006100"/>
                <w:sz w:val="18"/>
                <w:szCs w:val="18"/>
              </w:rPr>
              <w:t xml:space="preserve">the </w:t>
            </w:r>
            <w:r w:rsidRPr="00DE4E4F">
              <w:rPr>
                <w:rFonts w:ascii="Times New Roman" w:hAnsi="Times New Roman" w:cs="Times New Roman"/>
                <w:noProof/>
                <w:color w:val="006100"/>
                <w:sz w:val="18"/>
                <w:szCs w:val="18"/>
              </w:rPr>
              <w:t xml:space="preserve">legal </w:t>
            </w:r>
            <w:r w:rsidR="603EF1A7" w:rsidRPr="00DE4E4F">
              <w:rPr>
                <w:rFonts w:ascii="Times New Roman" w:hAnsi="Times New Roman" w:cs="Times New Roman"/>
                <w:noProof/>
                <w:color w:val="006100"/>
                <w:sz w:val="18"/>
                <w:szCs w:val="18"/>
              </w:rPr>
              <w:t>act</w:t>
            </w:r>
            <w:r w:rsidR="0CDBB728" w:rsidRPr="00DE4E4F">
              <w:rPr>
                <w:rFonts w:ascii="Times New Roman" w:hAnsi="Times New Roman" w:cs="Times New Roman"/>
                <w:noProof/>
                <w:color w:val="006100"/>
                <w:sz w:val="18"/>
                <w:szCs w:val="18"/>
              </w:rPr>
              <w:t>(</w:t>
            </w:r>
            <w:r w:rsidR="603EF1A7" w:rsidRPr="00DE4E4F">
              <w:rPr>
                <w:rFonts w:ascii="Times New Roman" w:hAnsi="Times New Roman" w:cs="Times New Roman"/>
                <w:noProof/>
                <w:color w:val="006100"/>
                <w:sz w:val="18"/>
                <w:szCs w:val="18"/>
              </w:rPr>
              <w:t>s</w:t>
            </w:r>
            <w:r w:rsidR="10ADF2F9"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for</w:t>
            </w:r>
            <w:r w:rsidR="00DE4C0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the establishment of a University</w:t>
            </w:r>
            <w:r w:rsidR="09A74639"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of Performing Arts and</w:t>
            </w:r>
            <w:r w:rsidR="3B4FCEB8" w:rsidRPr="00DE4E4F">
              <w:rPr>
                <w:rFonts w:ascii="Times New Roman" w:hAnsi="Times New Roman" w:cs="Times New Roman"/>
                <w:noProof/>
                <w:color w:val="006100"/>
                <w:sz w:val="18"/>
                <w:szCs w:val="18"/>
              </w:rPr>
              <w:t xml:space="preserve"> submission of the University’s study programs to the Hellenic Authority for Higher Education for accreditation.</w:t>
            </w:r>
          </w:p>
          <w:p w14:paraId="58F4AB17" w14:textId="77777777" w:rsidR="002833EE" w:rsidRPr="00DE4E4F" w:rsidRDefault="002833EE">
            <w:pPr>
              <w:spacing w:after="0" w:line="240" w:lineRule="auto"/>
              <w:rPr>
                <w:rFonts w:ascii="Times New Roman" w:eastAsiaTheme="minorEastAsia" w:hAnsi="Times New Roman" w:cs="Times New Roman"/>
                <w:noProof/>
                <w:color w:val="006100"/>
                <w:sz w:val="18"/>
                <w:szCs w:val="18"/>
                <w:lang w:eastAsia="en-GB"/>
              </w:rPr>
            </w:pPr>
          </w:p>
          <w:p w14:paraId="0E515370" w14:textId="2DD9BF32" w:rsidR="001B186F" w:rsidRPr="00DE4E4F" w:rsidRDefault="0074517F" w:rsidP="464ADBDD">
            <w:p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 xml:space="preserve">Building upgrade of the </w:t>
            </w:r>
            <w:r w:rsidR="191068ED" w:rsidRPr="00DE4E4F">
              <w:rPr>
                <w:rFonts w:ascii="Times New Roman" w:hAnsi="Times New Roman" w:cs="Times New Roman"/>
                <w:noProof/>
                <w:color w:val="006100"/>
                <w:sz w:val="18"/>
                <w:szCs w:val="18"/>
              </w:rPr>
              <w:t xml:space="preserve">State </w:t>
            </w:r>
            <w:r w:rsidRPr="00DE4E4F">
              <w:rPr>
                <w:rFonts w:ascii="Times New Roman" w:hAnsi="Times New Roman" w:cs="Times New Roman"/>
                <w:noProof/>
                <w:color w:val="006100"/>
                <w:sz w:val="18"/>
                <w:szCs w:val="18"/>
              </w:rPr>
              <w:t xml:space="preserve">School of </w:t>
            </w:r>
            <w:r w:rsidR="52E6BA6F" w:rsidRPr="00DE4E4F">
              <w:rPr>
                <w:rFonts w:ascii="Times New Roman" w:hAnsi="Times New Roman" w:cs="Times New Roman"/>
                <w:noProof/>
                <w:color w:val="006100"/>
                <w:sz w:val="18"/>
                <w:szCs w:val="18"/>
              </w:rPr>
              <w:t>Orchest</w:t>
            </w:r>
            <w:r w:rsidR="1BC8235E" w:rsidRPr="00DE4E4F">
              <w:rPr>
                <w:rFonts w:ascii="Times New Roman" w:hAnsi="Times New Roman" w:cs="Times New Roman"/>
                <w:noProof/>
                <w:color w:val="006100"/>
                <w:sz w:val="18"/>
                <w:szCs w:val="18"/>
              </w:rPr>
              <w:t xml:space="preserve">ic </w:t>
            </w:r>
            <w:r w:rsidR="61F25F63" w:rsidRPr="00DE4E4F">
              <w:rPr>
                <w:rFonts w:ascii="Times New Roman" w:hAnsi="Times New Roman" w:cs="Times New Roman"/>
                <w:noProof/>
                <w:color w:val="006100"/>
                <w:sz w:val="18"/>
                <w:szCs w:val="18"/>
              </w:rPr>
              <w:t>Art,</w:t>
            </w:r>
            <w:r w:rsidR="52E6BA6F"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the State Conservatory of Thessaloniki</w:t>
            </w:r>
            <w:r w:rsidR="6FFBE364" w:rsidRPr="00DE4E4F">
              <w:rPr>
                <w:rFonts w:ascii="Times New Roman" w:hAnsi="Times New Roman" w:cs="Times New Roman"/>
                <w:noProof/>
                <w:color w:val="006100"/>
                <w:sz w:val="18"/>
                <w:szCs w:val="18"/>
              </w:rPr>
              <w:t>, and the Prepa</w:t>
            </w:r>
            <w:r w:rsidR="00DE4E4F">
              <w:rPr>
                <w:rFonts w:ascii="Times New Roman" w:hAnsi="Times New Roman" w:cs="Times New Roman"/>
                <w:noProof/>
                <w:color w:val="006100"/>
                <w:sz w:val="18"/>
                <w:szCs w:val="18"/>
              </w:rPr>
              <w:t>ra</w:t>
            </w:r>
            <w:r w:rsidR="6FFBE364" w:rsidRPr="00DE4E4F">
              <w:rPr>
                <w:rFonts w:ascii="Times New Roman" w:hAnsi="Times New Roman" w:cs="Times New Roman"/>
                <w:noProof/>
                <w:color w:val="006100"/>
                <w:sz w:val="18"/>
                <w:szCs w:val="18"/>
              </w:rPr>
              <w:t>tory and Professional School of Fine Arts of Pan</w:t>
            </w:r>
            <w:r w:rsidR="009568C9">
              <w:rPr>
                <w:rFonts w:ascii="Times New Roman" w:hAnsi="Times New Roman" w:cs="Times New Roman"/>
                <w:noProof/>
                <w:color w:val="006100"/>
                <w:sz w:val="18"/>
                <w:szCs w:val="18"/>
              </w:rPr>
              <w:t>o</w:t>
            </w:r>
            <w:r w:rsidR="6FFBE364" w:rsidRPr="00DE4E4F">
              <w:rPr>
                <w:rFonts w:ascii="Times New Roman" w:hAnsi="Times New Roman" w:cs="Times New Roman"/>
                <w:noProof/>
                <w:color w:val="006100"/>
                <w:sz w:val="18"/>
                <w:szCs w:val="18"/>
              </w:rPr>
              <w:t>rmos, Tinos</w:t>
            </w:r>
            <w:r w:rsidRPr="00DE4E4F">
              <w:rPr>
                <w:rFonts w:ascii="Times New Roman" w:hAnsi="Times New Roman" w:cs="Times New Roman"/>
                <w:noProof/>
                <w:color w:val="006100"/>
                <w:sz w:val="18"/>
                <w:szCs w:val="18"/>
              </w:rPr>
              <w:t xml:space="preserve">. </w:t>
            </w:r>
          </w:p>
          <w:p w14:paraId="60FAAE67" w14:textId="77777777" w:rsidR="001B186F" w:rsidRPr="00DE4E4F" w:rsidRDefault="001B186F">
            <w:pPr>
              <w:spacing w:after="0" w:line="240" w:lineRule="auto"/>
              <w:rPr>
                <w:rFonts w:ascii="Times New Roman" w:eastAsiaTheme="minorEastAsia" w:hAnsi="Times New Roman" w:cs="Times New Roman"/>
                <w:noProof/>
                <w:color w:val="006100"/>
                <w:sz w:val="18"/>
                <w:szCs w:val="18"/>
                <w:lang w:eastAsia="en-GB"/>
              </w:rPr>
            </w:pPr>
          </w:p>
          <w:p w14:paraId="30ACB673" w14:textId="1DD7764D" w:rsidR="001B186F" w:rsidRPr="00DE4E4F" w:rsidRDefault="57963663" w:rsidP="000771A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Digital infrastructure upgrades</w:t>
            </w:r>
            <w:r w:rsidR="00DE4C0C"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of</w:t>
            </w:r>
            <w:r w:rsidR="00DE4C0C" w:rsidRPr="00DE4E4F">
              <w:rPr>
                <w:rFonts w:ascii="Times New Roman" w:hAnsi="Times New Roman" w:cs="Times New Roman"/>
                <w:noProof/>
                <w:color w:val="006100"/>
                <w:sz w:val="18"/>
                <w:szCs w:val="18"/>
              </w:rPr>
              <w:t xml:space="preserve"> </w:t>
            </w:r>
            <w:r w:rsidR="336E958C" w:rsidRPr="00DE4E4F">
              <w:rPr>
                <w:rFonts w:ascii="Times New Roman" w:hAnsi="Times New Roman" w:cs="Times New Roman"/>
                <w:noProof/>
                <w:color w:val="006100"/>
                <w:sz w:val="18"/>
                <w:szCs w:val="18"/>
              </w:rPr>
              <w:t xml:space="preserve">the </w:t>
            </w:r>
            <w:r w:rsidR="0074517F" w:rsidRPr="00DE4E4F">
              <w:rPr>
                <w:rFonts w:ascii="Times New Roman" w:hAnsi="Times New Roman" w:cs="Times New Roman"/>
                <w:noProof/>
                <w:color w:val="006100"/>
                <w:sz w:val="18"/>
                <w:szCs w:val="18"/>
              </w:rPr>
              <w:t>Drama School of the National Theatre</w:t>
            </w:r>
            <w:r w:rsidR="6EBD5B34" w:rsidRPr="00DE4E4F">
              <w:rPr>
                <w:rFonts w:ascii="Times New Roman" w:hAnsi="Times New Roman" w:cs="Times New Roman"/>
                <w:noProof/>
                <w:color w:val="006100"/>
                <w:sz w:val="18"/>
                <w:szCs w:val="18"/>
              </w:rPr>
              <w:t xml:space="preserve"> and</w:t>
            </w:r>
            <w:r w:rsidR="043C6686" w:rsidRPr="00DE4E4F">
              <w:rPr>
                <w:rFonts w:ascii="Times New Roman" w:hAnsi="Times New Roman" w:cs="Times New Roman"/>
                <w:noProof/>
                <w:color w:val="006100"/>
                <w:sz w:val="18"/>
                <w:szCs w:val="18"/>
              </w:rPr>
              <w:t xml:space="preserve"> the Drama School of the</w:t>
            </w:r>
            <w:r w:rsidR="00700773" w:rsidRPr="00DE4E4F">
              <w:rPr>
                <w:rFonts w:ascii="Times New Roman" w:hAnsi="Times New Roman" w:cs="Times New Roman"/>
                <w:noProof/>
                <w:color w:val="006100"/>
                <w:sz w:val="18"/>
                <w:szCs w:val="18"/>
              </w:rPr>
              <w:t xml:space="preserve"> </w:t>
            </w:r>
            <w:r w:rsidR="0074517F" w:rsidRPr="00DE4E4F">
              <w:rPr>
                <w:rFonts w:ascii="Times New Roman" w:hAnsi="Times New Roman" w:cs="Times New Roman"/>
                <w:noProof/>
                <w:color w:val="006100"/>
                <w:sz w:val="18"/>
                <w:szCs w:val="18"/>
              </w:rPr>
              <w:t>State Theatre of Northern Greece</w:t>
            </w:r>
            <w:r w:rsidR="181B329E" w:rsidRPr="00DE4E4F">
              <w:rPr>
                <w:rFonts w:ascii="Times New Roman" w:hAnsi="Times New Roman" w:cs="Times New Roman"/>
                <w:noProof/>
                <w:color w:val="006100"/>
                <w:sz w:val="18"/>
                <w:szCs w:val="18"/>
              </w:rPr>
              <w:t>.</w:t>
            </w:r>
          </w:p>
        </w:tc>
      </w:tr>
      <w:tr w:rsidR="003F4E36" w:rsidRPr="00DE4E4F" w14:paraId="2A5F69C0" w14:textId="77777777" w:rsidTr="652754CA">
        <w:trPr>
          <w:trHeight w:val="313"/>
          <w:jc w:val="center"/>
        </w:trPr>
        <w:tc>
          <w:tcPr>
            <w:tcW w:w="527" w:type="dxa"/>
            <w:shd w:val="clear" w:color="auto" w:fill="C6EFCE"/>
            <w:noWrap/>
          </w:tcPr>
          <w:p w14:paraId="60D8C8B7" w14:textId="1C77D0F3"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287</w:t>
            </w:r>
          </w:p>
        </w:tc>
        <w:tc>
          <w:tcPr>
            <w:tcW w:w="2243" w:type="dxa"/>
            <w:shd w:val="clear" w:color="auto" w:fill="C6EFCE"/>
            <w:noWrap/>
          </w:tcPr>
          <w:p w14:paraId="77990073" w14:textId="0BC13225"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- 16486_Museum of underwater antiquities</w:t>
            </w:r>
          </w:p>
        </w:tc>
        <w:tc>
          <w:tcPr>
            <w:tcW w:w="975" w:type="dxa"/>
            <w:shd w:val="clear" w:color="auto" w:fill="C6EFCE"/>
            <w:noWrap/>
          </w:tcPr>
          <w:p w14:paraId="43B3322A" w14:textId="77FFE89D" w:rsidR="00996B8D" w:rsidRPr="00DE4E4F" w:rsidRDefault="006B5A03"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76" w:type="dxa"/>
            <w:shd w:val="clear" w:color="auto" w:fill="C6EFCE"/>
            <w:noWrap/>
          </w:tcPr>
          <w:p w14:paraId="4C984ECC" w14:textId="10ADB465"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Museum of underwater antiquities</w:t>
            </w:r>
          </w:p>
        </w:tc>
        <w:tc>
          <w:tcPr>
            <w:tcW w:w="2438" w:type="dxa"/>
            <w:shd w:val="clear" w:color="auto" w:fill="C6EFCE"/>
            <w:noWrap/>
          </w:tcPr>
          <w:p w14:paraId="335D74F1" w14:textId="2F8BCE31" w:rsidR="00996B8D" w:rsidRPr="00DE4E4F" w:rsidRDefault="00996B8D" w:rsidP="00996B8D">
            <w:pPr>
              <w:spacing w:after="0" w:line="240" w:lineRule="auto"/>
              <w:rPr>
                <w:rFonts w:ascii="Times New Roman" w:eastAsia="Times New Roman" w:hAnsi="Times New Roman" w:cs="Times New Roman"/>
                <w:noProof/>
                <w:color w:val="006100"/>
                <w:sz w:val="18"/>
                <w:szCs w:val="18"/>
                <w:lang w:eastAsia="en-GB"/>
              </w:rPr>
            </w:pPr>
          </w:p>
        </w:tc>
        <w:tc>
          <w:tcPr>
            <w:tcW w:w="1106" w:type="dxa"/>
            <w:shd w:val="clear" w:color="auto" w:fill="C6EFCE"/>
            <w:noWrap/>
          </w:tcPr>
          <w:p w14:paraId="235C0E48" w14:textId="31F84146" w:rsidR="00996B8D" w:rsidRPr="00DE4E4F" w:rsidRDefault="00996B8D" w:rsidP="00996B8D">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EUR</w:t>
            </w:r>
          </w:p>
        </w:tc>
        <w:tc>
          <w:tcPr>
            <w:tcW w:w="1559" w:type="dxa"/>
            <w:shd w:val="clear" w:color="auto" w:fill="C6EFCE"/>
            <w:noWrap/>
          </w:tcPr>
          <w:p w14:paraId="1D9C93A2" w14:textId="1BECEC67" w:rsidR="00996B8D" w:rsidRPr="00DE4E4F" w:rsidRDefault="00996B8D" w:rsidP="00996B8D">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0</w:t>
            </w:r>
          </w:p>
        </w:tc>
        <w:tc>
          <w:tcPr>
            <w:tcW w:w="1134" w:type="dxa"/>
            <w:shd w:val="clear" w:color="auto" w:fill="C6EFCE"/>
            <w:noWrap/>
          </w:tcPr>
          <w:p w14:paraId="7C9CCFEF" w14:textId="130375D3"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45.8 million</w:t>
            </w:r>
          </w:p>
        </w:tc>
        <w:tc>
          <w:tcPr>
            <w:tcW w:w="850" w:type="dxa"/>
            <w:shd w:val="clear" w:color="auto" w:fill="C6EFCE"/>
          </w:tcPr>
          <w:p w14:paraId="26E20693" w14:textId="4E08A324"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tcPr>
          <w:p w14:paraId="1AD87F87" w14:textId="59D42584" w:rsidR="00996B8D" w:rsidRPr="00DE4E4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0418ADC5" w14:textId="2C63782D" w:rsidR="00996B8D" w:rsidRPr="00DE4E4F" w:rsidDel="0074517F" w:rsidRDefault="00996B8D" w:rsidP="00996B8D">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Works and materials amounting to EUR</w:t>
            </w:r>
            <w:r w:rsidR="00B116A1"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45.8 million for the Museum of Underwater Antiquities.</w:t>
            </w:r>
          </w:p>
        </w:tc>
      </w:tr>
      <w:tr w:rsidR="00B116A1" w:rsidRPr="00DE4E4F" w14:paraId="24891436" w14:textId="77777777" w:rsidTr="652754CA">
        <w:trPr>
          <w:trHeight w:val="313"/>
          <w:jc w:val="center"/>
        </w:trPr>
        <w:tc>
          <w:tcPr>
            <w:tcW w:w="527" w:type="dxa"/>
            <w:shd w:val="clear" w:color="auto" w:fill="C6EFCE"/>
            <w:noWrap/>
          </w:tcPr>
          <w:p w14:paraId="79FD22BD" w14:textId="47DDE0AF"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288</w:t>
            </w:r>
          </w:p>
        </w:tc>
        <w:tc>
          <w:tcPr>
            <w:tcW w:w="2243" w:type="dxa"/>
            <w:shd w:val="clear" w:color="auto" w:fill="C6EFCE"/>
            <w:noWrap/>
          </w:tcPr>
          <w:p w14:paraId="7F2A9435" w14:textId="63BBFBA5"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17 - 4.6. Modernise and improve resilience of key economic sectors - 16485_Cultural Routes </w:t>
            </w:r>
            <w:r w:rsidR="00734D9F" w:rsidRPr="00DE4E4F">
              <w:rPr>
                <w:rFonts w:ascii="Times New Roman" w:hAnsi="Times New Roman" w:cs="Times New Roman"/>
                <w:noProof/>
                <w:color w:val="006100"/>
                <w:sz w:val="18"/>
                <w:szCs w:val="18"/>
              </w:rPr>
              <w:t>at</w:t>
            </w:r>
            <w:r w:rsidRPr="00DE4E4F">
              <w:rPr>
                <w:rFonts w:ascii="Times New Roman" w:hAnsi="Times New Roman" w:cs="Times New Roman"/>
                <w:noProof/>
                <w:color w:val="006100"/>
                <w:sz w:val="18"/>
                <w:szCs w:val="18"/>
              </w:rPr>
              <w:t xml:space="preserve"> Archaeological Sites And Monuments</w:t>
            </w:r>
          </w:p>
        </w:tc>
        <w:tc>
          <w:tcPr>
            <w:tcW w:w="975" w:type="dxa"/>
            <w:shd w:val="clear" w:color="auto" w:fill="C6EFCE"/>
            <w:noWrap/>
          </w:tcPr>
          <w:p w14:paraId="1F84B6A8" w14:textId="200EC2AF"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4160192F" w14:textId="714F6F70"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Cultural Routes at Archaeological Sites</w:t>
            </w:r>
          </w:p>
        </w:tc>
        <w:tc>
          <w:tcPr>
            <w:tcW w:w="2438" w:type="dxa"/>
            <w:shd w:val="clear" w:color="auto" w:fill="C6EFCE"/>
            <w:noWrap/>
          </w:tcPr>
          <w:p w14:paraId="50029C05" w14:textId="2CF7447A" w:rsidR="00787DD6" w:rsidRPr="00DE4E4F" w:rsidRDefault="00A95A9A" w:rsidP="00787DD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Establishment of cultural routes </w:t>
            </w:r>
          </w:p>
        </w:tc>
        <w:tc>
          <w:tcPr>
            <w:tcW w:w="1106" w:type="dxa"/>
            <w:shd w:val="clear" w:color="auto" w:fill="C6EFCE"/>
            <w:noWrap/>
          </w:tcPr>
          <w:p w14:paraId="0F284C54"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1804E432"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68A6CFC6" w14:textId="028B6D09" w:rsidR="00A95A9A" w:rsidRPr="00DE4E4F" w:rsidRDefault="00A95A9A" w:rsidP="00787DD6">
            <w:pPr>
              <w:spacing w:after="0" w:line="240" w:lineRule="auto"/>
              <w:rPr>
                <w:rFonts w:ascii="Times New Roman" w:hAnsi="Times New Roman" w:cs="Times New Roman"/>
                <w:noProof/>
                <w:color w:val="006100"/>
                <w:sz w:val="18"/>
                <w:szCs w:val="18"/>
              </w:rPr>
            </w:pPr>
          </w:p>
        </w:tc>
        <w:tc>
          <w:tcPr>
            <w:tcW w:w="850" w:type="dxa"/>
            <w:shd w:val="clear" w:color="auto" w:fill="C6EFCE"/>
          </w:tcPr>
          <w:p w14:paraId="627DD670" w14:textId="3C678368" w:rsidR="00A95A9A" w:rsidRPr="00DE4E4F" w:rsidRDefault="00996B8D"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tcPr>
          <w:p w14:paraId="0EB3160D" w14:textId="2EE1187B" w:rsidR="00787DD6" w:rsidRPr="00DE4E4F" w:rsidRDefault="00C606C3"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4B26A4B2" w14:textId="1EB7CDF8"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Five cultural routes with thematic narratives from Greek history are established, along with digital applications. </w:t>
            </w:r>
          </w:p>
        </w:tc>
      </w:tr>
      <w:tr w:rsidR="00B116A1" w:rsidRPr="00DE4E4F" w14:paraId="39D43AA7" w14:textId="77777777" w:rsidTr="652754CA">
        <w:trPr>
          <w:trHeight w:val="313"/>
          <w:jc w:val="center"/>
        </w:trPr>
        <w:tc>
          <w:tcPr>
            <w:tcW w:w="527" w:type="dxa"/>
            <w:shd w:val="clear" w:color="auto" w:fill="C6EFCE"/>
            <w:noWrap/>
          </w:tcPr>
          <w:p w14:paraId="578A8067" w14:textId="06EEA275"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289</w:t>
            </w:r>
          </w:p>
        </w:tc>
        <w:tc>
          <w:tcPr>
            <w:tcW w:w="2243" w:type="dxa"/>
            <w:shd w:val="clear" w:color="auto" w:fill="C6EFCE"/>
            <w:noWrap/>
          </w:tcPr>
          <w:p w14:paraId="776CC8CE" w14:textId="6E6E8CC2"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17 - 4.6. Modernise and improve resilience of key economic sectors - 16735_ </w:t>
            </w:r>
            <w:r w:rsidR="00287C61" w:rsidRPr="00DE4E4F">
              <w:rPr>
                <w:rFonts w:ascii="Times New Roman" w:hAnsi="Times New Roman" w:cs="Times New Roman"/>
                <w:noProof/>
                <w:color w:val="006100"/>
                <w:sz w:val="18"/>
                <w:szCs w:val="18"/>
              </w:rPr>
              <w:t>Utilizing “Pilot Actions of cultural</w:t>
            </w:r>
            <w:r w:rsidRPr="00DE4E4F">
              <w:rPr>
                <w:rFonts w:ascii="Times New Roman" w:hAnsi="Times New Roman" w:cs="Times New Roman"/>
                <w:noProof/>
                <w:color w:val="006100"/>
                <w:sz w:val="18"/>
                <w:szCs w:val="18"/>
              </w:rPr>
              <w:t xml:space="preserve"> prescription</w:t>
            </w:r>
            <w:r w:rsidR="00287C61" w:rsidRPr="00DE4E4F">
              <w:rPr>
                <w:rFonts w:ascii="Times New Roman" w:hAnsi="Times New Roman" w:cs="Times New Roman"/>
                <w:noProof/>
                <w:color w:val="006100"/>
                <w:sz w:val="18"/>
                <w:szCs w:val="18"/>
              </w:rPr>
              <w:t>”, promoting social cohesion</w:t>
            </w:r>
            <w:r w:rsidRPr="00DE4E4F">
              <w:rPr>
                <w:rFonts w:ascii="Times New Roman" w:hAnsi="Times New Roman" w:cs="Times New Roman"/>
                <w:noProof/>
                <w:color w:val="006100"/>
                <w:sz w:val="18"/>
                <w:szCs w:val="18"/>
              </w:rPr>
              <w:t xml:space="preserve">, and </w:t>
            </w:r>
            <w:r w:rsidR="00287C61" w:rsidRPr="00DE4E4F">
              <w:rPr>
                <w:rFonts w:ascii="Times New Roman" w:hAnsi="Times New Roman" w:cs="Times New Roman"/>
                <w:noProof/>
                <w:color w:val="006100"/>
                <w:sz w:val="18"/>
                <w:szCs w:val="18"/>
              </w:rPr>
              <w:t>tapping</w:t>
            </w:r>
            <w:r w:rsidRPr="00DE4E4F">
              <w:rPr>
                <w:rFonts w:ascii="Times New Roman" w:hAnsi="Times New Roman" w:cs="Times New Roman"/>
                <w:noProof/>
                <w:color w:val="006100"/>
                <w:sz w:val="18"/>
                <w:szCs w:val="18"/>
              </w:rPr>
              <w:t xml:space="preserve"> on the silver economy</w:t>
            </w:r>
          </w:p>
        </w:tc>
        <w:tc>
          <w:tcPr>
            <w:tcW w:w="975" w:type="dxa"/>
            <w:shd w:val="clear" w:color="auto" w:fill="C6EFCE"/>
            <w:noWrap/>
          </w:tcPr>
          <w:p w14:paraId="23607B6D" w14:textId="6D5D4192"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6" w:type="dxa"/>
            <w:shd w:val="clear" w:color="auto" w:fill="C6EFCE"/>
            <w:noWrap/>
          </w:tcPr>
          <w:p w14:paraId="476BD05A" w14:textId="622182DB"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r w:rsidR="00A70887" w:rsidRPr="00DE4E4F">
              <w:rPr>
                <w:rFonts w:ascii="Times New Roman" w:hAnsi="Times New Roman" w:cs="Times New Roman"/>
                <w:noProof/>
                <w:color w:val="006100"/>
                <w:sz w:val="18"/>
                <w:szCs w:val="18"/>
              </w:rPr>
              <w:t>Pilot Actions of cultural</w:t>
            </w:r>
            <w:r w:rsidRPr="00DE4E4F">
              <w:rPr>
                <w:rFonts w:ascii="Times New Roman" w:hAnsi="Times New Roman" w:cs="Times New Roman"/>
                <w:noProof/>
                <w:color w:val="006100"/>
                <w:sz w:val="18"/>
                <w:szCs w:val="18"/>
              </w:rPr>
              <w:t xml:space="preserve"> prescription” program, and infrastructure works </w:t>
            </w:r>
          </w:p>
        </w:tc>
        <w:tc>
          <w:tcPr>
            <w:tcW w:w="2438" w:type="dxa"/>
            <w:shd w:val="clear" w:color="auto" w:fill="C6EFCE"/>
            <w:noWrap/>
          </w:tcPr>
          <w:p w14:paraId="36991F5E" w14:textId="70C31D76" w:rsidR="00787DD6" w:rsidRPr="00DE4E4F" w:rsidRDefault="00A95A9A" w:rsidP="00787DD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Infrastructure works and workshops</w:t>
            </w:r>
          </w:p>
        </w:tc>
        <w:tc>
          <w:tcPr>
            <w:tcW w:w="1106" w:type="dxa"/>
            <w:shd w:val="clear" w:color="auto" w:fill="C6EFCE"/>
            <w:noWrap/>
          </w:tcPr>
          <w:p w14:paraId="2B552DAB"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7DC5CEC3"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7572E0F7" w14:textId="3AA5FA74" w:rsidR="00A95A9A" w:rsidRPr="00DE4E4F" w:rsidRDefault="00A95A9A" w:rsidP="00787DD6">
            <w:pPr>
              <w:spacing w:after="0" w:line="240" w:lineRule="auto"/>
              <w:rPr>
                <w:rFonts w:ascii="Times New Roman" w:hAnsi="Times New Roman" w:cs="Times New Roman"/>
                <w:noProof/>
                <w:color w:val="006100"/>
                <w:sz w:val="18"/>
                <w:szCs w:val="18"/>
              </w:rPr>
            </w:pPr>
          </w:p>
        </w:tc>
        <w:tc>
          <w:tcPr>
            <w:tcW w:w="850" w:type="dxa"/>
            <w:shd w:val="clear" w:color="auto" w:fill="C6EFCE"/>
          </w:tcPr>
          <w:p w14:paraId="532D4A28" w14:textId="6A28F2C3" w:rsidR="00A95A9A" w:rsidRPr="00DE4E4F" w:rsidRDefault="00996B8D"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tcPr>
          <w:p w14:paraId="289A0048" w14:textId="14524CC9" w:rsidR="00787DD6" w:rsidRPr="00DE4E4F" w:rsidRDefault="00C606C3"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07F0BECC" w14:textId="792A4E6E"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Infrastructure works in 12 cultural venues are executed; extension/upgrade of the Hellenic Heritage Digital Guide application with guided services in International Sign (IS); </w:t>
            </w:r>
            <w:r w:rsidR="00904067" w:rsidRPr="00DE4E4F">
              <w:rPr>
                <w:rFonts w:ascii="Times New Roman" w:hAnsi="Times New Roman" w:cs="Times New Roman"/>
                <w:noProof/>
                <w:color w:val="006100"/>
                <w:sz w:val="18"/>
                <w:szCs w:val="18"/>
              </w:rPr>
              <w:t>“Pilot Actions of</w:t>
            </w:r>
            <w:r w:rsidR="00904067" w:rsidRPr="00DE4E4F">
              <w:rPr>
                <w:rFonts w:ascii="Times New Roman" w:hAnsi="Times New Roman" w:cs="Times New Roman"/>
                <w:noProof/>
                <w:color w:val="006100"/>
                <w:sz w:val="18"/>
                <w:szCs w:val="18"/>
                <w:u w:val="single"/>
              </w:rPr>
              <w:t xml:space="preserve"> </w:t>
            </w:r>
            <w:r w:rsidR="00904067" w:rsidRPr="00DE4E4F">
              <w:rPr>
                <w:rFonts w:ascii="Times New Roman" w:hAnsi="Times New Roman" w:cs="Times New Roman"/>
                <w:noProof/>
                <w:color w:val="006100"/>
                <w:sz w:val="18"/>
                <w:szCs w:val="18"/>
              </w:rPr>
              <w:t xml:space="preserve">cultural </w:t>
            </w:r>
            <w:r w:rsidRPr="00DE4E4F">
              <w:rPr>
                <w:rFonts w:ascii="Times New Roman" w:hAnsi="Times New Roman" w:cs="Times New Roman"/>
                <w:noProof/>
                <w:color w:val="006100"/>
                <w:sz w:val="18"/>
                <w:szCs w:val="18"/>
              </w:rPr>
              <w:t>Prescription</w:t>
            </w:r>
            <w:r w:rsidR="00D04C09"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program </w:t>
            </w:r>
            <w:r w:rsidR="006B102A" w:rsidRPr="00DE4E4F">
              <w:rPr>
                <w:rFonts w:ascii="Times New Roman" w:hAnsi="Times New Roman" w:cs="Times New Roman"/>
                <w:noProof/>
                <w:color w:val="006100"/>
                <w:sz w:val="18"/>
                <w:szCs w:val="18"/>
              </w:rPr>
              <w:t>shall be de</w:t>
            </w:r>
            <w:r w:rsidR="00745CB5" w:rsidRPr="00DE4E4F">
              <w:rPr>
                <w:rFonts w:ascii="Times New Roman" w:hAnsi="Times New Roman" w:cs="Times New Roman"/>
                <w:noProof/>
                <w:color w:val="006100"/>
                <w:sz w:val="18"/>
                <w:szCs w:val="18"/>
              </w:rPr>
              <w:t>eme</w:t>
            </w:r>
            <w:r w:rsidR="006B102A" w:rsidRPr="00DE4E4F">
              <w:rPr>
                <w:rFonts w:ascii="Times New Roman" w:hAnsi="Times New Roman" w:cs="Times New Roman"/>
                <w:noProof/>
                <w:color w:val="006100"/>
                <w:sz w:val="18"/>
                <w:szCs w:val="18"/>
              </w:rPr>
              <w:t>d implemented once at least 100 workshops have been delivered</w:t>
            </w:r>
            <w:r w:rsidR="002F73F5" w:rsidRPr="00DE4E4F">
              <w:rPr>
                <w:rFonts w:ascii="Times New Roman" w:hAnsi="Times New Roman" w:cs="Times New Roman"/>
                <w:noProof/>
                <w:color w:val="006100"/>
                <w:sz w:val="18"/>
                <w:szCs w:val="18"/>
              </w:rPr>
              <w:t xml:space="preserve">. </w:t>
            </w:r>
          </w:p>
        </w:tc>
      </w:tr>
      <w:tr w:rsidR="00B116A1" w:rsidRPr="00DE4E4F" w14:paraId="79E5FE3F" w14:textId="77777777" w:rsidTr="652754CA">
        <w:trPr>
          <w:trHeight w:val="313"/>
          <w:jc w:val="center"/>
        </w:trPr>
        <w:tc>
          <w:tcPr>
            <w:tcW w:w="527" w:type="dxa"/>
            <w:shd w:val="clear" w:color="auto" w:fill="C6EFCE"/>
            <w:noWrap/>
          </w:tcPr>
          <w:p w14:paraId="77E8F3DE" w14:textId="3BE700F2"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290</w:t>
            </w:r>
          </w:p>
        </w:tc>
        <w:tc>
          <w:tcPr>
            <w:tcW w:w="2243" w:type="dxa"/>
            <w:shd w:val="clear" w:color="auto" w:fill="C6EFCE"/>
            <w:noWrap/>
          </w:tcPr>
          <w:p w14:paraId="3EE09059" w14:textId="281C0CBF"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- 16433_Protection of cultural monuments and archaeological sites from climate change</w:t>
            </w:r>
          </w:p>
        </w:tc>
        <w:tc>
          <w:tcPr>
            <w:tcW w:w="975" w:type="dxa"/>
            <w:shd w:val="clear" w:color="auto" w:fill="C6EFCE"/>
            <w:noWrap/>
          </w:tcPr>
          <w:p w14:paraId="480E742F" w14:textId="5721C424"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Milestone </w:t>
            </w:r>
          </w:p>
        </w:tc>
        <w:tc>
          <w:tcPr>
            <w:tcW w:w="1276" w:type="dxa"/>
            <w:shd w:val="clear" w:color="auto" w:fill="C6EFCE"/>
            <w:noWrap/>
          </w:tcPr>
          <w:p w14:paraId="6D8BFE59" w14:textId="456E813A"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Protection of cultural monuments from climate change</w:t>
            </w:r>
          </w:p>
        </w:tc>
        <w:tc>
          <w:tcPr>
            <w:tcW w:w="2438" w:type="dxa"/>
            <w:shd w:val="clear" w:color="auto" w:fill="C6EFCE"/>
            <w:noWrap/>
          </w:tcPr>
          <w:p w14:paraId="3729FC18" w14:textId="45D8DFA2" w:rsidR="00787DD6" w:rsidRPr="00DE4E4F" w:rsidRDefault="00A95A9A" w:rsidP="00787DD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Execution of works and delivery of climate change adaptation plans</w:t>
            </w:r>
          </w:p>
        </w:tc>
        <w:tc>
          <w:tcPr>
            <w:tcW w:w="1106" w:type="dxa"/>
            <w:shd w:val="clear" w:color="auto" w:fill="C6EFCE"/>
            <w:noWrap/>
          </w:tcPr>
          <w:p w14:paraId="60B8EB73"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312D869A"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54A8F0C6" w14:textId="4EC5A946" w:rsidR="00A95A9A" w:rsidRPr="00DE4E4F" w:rsidRDefault="00A95A9A" w:rsidP="00787DD6">
            <w:pPr>
              <w:spacing w:after="0" w:line="240" w:lineRule="auto"/>
              <w:rPr>
                <w:rFonts w:ascii="Times New Roman" w:hAnsi="Times New Roman" w:cs="Times New Roman"/>
                <w:noProof/>
                <w:color w:val="006100"/>
                <w:sz w:val="18"/>
                <w:szCs w:val="18"/>
              </w:rPr>
            </w:pPr>
          </w:p>
        </w:tc>
        <w:tc>
          <w:tcPr>
            <w:tcW w:w="850" w:type="dxa"/>
            <w:shd w:val="clear" w:color="auto" w:fill="C6EFCE"/>
          </w:tcPr>
          <w:p w14:paraId="7029B817" w14:textId="3FF615B5" w:rsidR="00A95A9A" w:rsidRPr="00DE4E4F" w:rsidRDefault="00996B8D"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tcPr>
          <w:p w14:paraId="3A918408" w14:textId="4A990ED7" w:rsidR="00787DD6" w:rsidRPr="00DE4E4F" w:rsidRDefault="00C606C3"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0C9D5D1C" w14:textId="77777777" w:rsidR="0075630A" w:rsidRPr="00DE4E4F" w:rsidRDefault="0075630A" w:rsidP="0075630A">
            <w:pPr>
              <w:pStyle w:val="ListParagraph"/>
              <w:numPr>
                <w:ilvl w:val="0"/>
                <w:numId w:val="81"/>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Works for 5 cultural monuments are executed; </w:t>
            </w:r>
          </w:p>
          <w:p w14:paraId="6CF12359" w14:textId="32DD3DD4" w:rsidR="00787DD6" w:rsidRPr="00DE4E4F" w:rsidRDefault="0075630A" w:rsidP="00B116A1">
            <w:pPr>
              <w:pStyle w:val="ListParagraph"/>
              <w:numPr>
                <w:ilvl w:val="0"/>
                <w:numId w:val="81"/>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climate change adaptation plans for 19 cultural heritage sites; </w:t>
            </w:r>
          </w:p>
        </w:tc>
      </w:tr>
      <w:tr w:rsidR="00B116A1" w:rsidRPr="00DE4E4F" w14:paraId="48E6867F" w14:textId="77777777" w:rsidTr="652754CA">
        <w:trPr>
          <w:trHeight w:val="313"/>
          <w:jc w:val="center"/>
        </w:trPr>
        <w:tc>
          <w:tcPr>
            <w:tcW w:w="527" w:type="dxa"/>
            <w:shd w:val="clear" w:color="auto" w:fill="C6EFCE"/>
            <w:noWrap/>
          </w:tcPr>
          <w:p w14:paraId="1E475BD7" w14:textId="6BD3F896"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291</w:t>
            </w:r>
          </w:p>
        </w:tc>
        <w:tc>
          <w:tcPr>
            <w:tcW w:w="2243" w:type="dxa"/>
            <w:shd w:val="clear" w:color="auto" w:fill="C6EFCE"/>
            <w:noWrap/>
          </w:tcPr>
          <w:p w14:paraId="329B0D2A" w14:textId="3DF47433"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16435 _Restoration - Conservation- Enhancement of the Acropolis Monuments</w:t>
            </w:r>
          </w:p>
        </w:tc>
        <w:tc>
          <w:tcPr>
            <w:tcW w:w="975" w:type="dxa"/>
            <w:shd w:val="clear" w:color="auto" w:fill="C6EFCE"/>
            <w:noWrap/>
          </w:tcPr>
          <w:p w14:paraId="661A9CF8" w14:textId="77777777" w:rsidR="0075630A" w:rsidRPr="00DE4E4F" w:rsidRDefault="0075630A" w:rsidP="0075630A">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p w14:paraId="0154D7BB" w14:textId="77777777" w:rsidR="00787DD6" w:rsidRPr="00DE4E4F" w:rsidRDefault="00787DD6" w:rsidP="00787DD6">
            <w:pPr>
              <w:spacing w:after="0" w:line="240" w:lineRule="auto"/>
              <w:rPr>
                <w:rFonts w:ascii="Times New Roman" w:hAnsi="Times New Roman" w:cs="Times New Roman"/>
                <w:noProof/>
                <w:color w:val="006100"/>
                <w:sz w:val="18"/>
                <w:szCs w:val="18"/>
              </w:rPr>
            </w:pPr>
          </w:p>
        </w:tc>
        <w:tc>
          <w:tcPr>
            <w:tcW w:w="1276" w:type="dxa"/>
            <w:shd w:val="clear" w:color="auto" w:fill="C6EFCE"/>
            <w:noWrap/>
          </w:tcPr>
          <w:p w14:paraId="2EE4E1BF" w14:textId="2604CB22"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Restoration - Conservation- Enhancement of the Acropolis</w:t>
            </w:r>
          </w:p>
        </w:tc>
        <w:tc>
          <w:tcPr>
            <w:tcW w:w="2438" w:type="dxa"/>
            <w:shd w:val="clear" w:color="auto" w:fill="C6EFCE"/>
            <w:noWrap/>
          </w:tcPr>
          <w:p w14:paraId="4C9D845B" w14:textId="22968E98" w:rsidR="00787DD6" w:rsidRPr="00DE4E4F" w:rsidRDefault="00D24A97" w:rsidP="00787DD6">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Completion</w:t>
            </w:r>
            <w:r w:rsidR="00A95A9A" w:rsidRPr="00DE4E4F">
              <w:rPr>
                <w:rFonts w:ascii="Times New Roman" w:hAnsi="Times New Roman" w:cs="Times New Roman"/>
                <w:noProof/>
                <w:color w:val="006100"/>
                <w:sz w:val="18"/>
                <w:szCs w:val="18"/>
              </w:rPr>
              <w:t xml:space="preserve"> of restoration, conservation and visitor accessibility works </w:t>
            </w:r>
          </w:p>
        </w:tc>
        <w:tc>
          <w:tcPr>
            <w:tcW w:w="1106" w:type="dxa"/>
            <w:shd w:val="clear" w:color="auto" w:fill="C6EFCE"/>
            <w:noWrap/>
          </w:tcPr>
          <w:p w14:paraId="51EB69E4"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559" w:type="dxa"/>
            <w:shd w:val="clear" w:color="auto" w:fill="C6EFCE"/>
            <w:noWrap/>
          </w:tcPr>
          <w:p w14:paraId="4F4A3548" w14:textId="77777777" w:rsidR="00787DD6" w:rsidRPr="00DE4E4F" w:rsidRDefault="00787DD6" w:rsidP="00787DD6">
            <w:pPr>
              <w:spacing w:after="0" w:line="240" w:lineRule="auto"/>
              <w:rPr>
                <w:rFonts w:ascii="Times New Roman" w:eastAsia="Times New Roman" w:hAnsi="Times New Roman" w:cs="Times New Roman"/>
                <w:noProof/>
                <w:color w:val="006100"/>
                <w:sz w:val="18"/>
                <w:szCs w:val="18"/>
                <w:lang w:eastAsia="en-GB"/>
              </w:rPr>
            </w:pPr>
          </w:p>
        </w:tc>
        <w:tc>
          <w:tcPr>
            <w:tcW w:w="1134" w:type="dxa"/>
            <w:shd w:val="clear" w:color="auto" w:fill="C6EFCE"/>
            <w:noWrap/>
          </w:tcPr>
          <w:p w14:paraId="1A7E1F78" w14:textId="47ABF227" w:rsidR="00A95A9A" w:rsidRPr="00DE4E4F" w:rsidRDefault="00A95A9A" w:rsidP="00787DD6">
            <w:pPr>
              <w:spacing w:after="0" w:line="240" w:lineRule="auto"/>
              <w:rPr>
                <w:rFonts w:ascii="Times New Roman" w:hAnsi="Times New Roman" w:cs="Times New Roman"/>
                <w:noProof/>
                <w:color w:val="006100"/>
                <w:sz w:val="18"/>
                <w:szCs w:val="18"/>
              </w:rPr>
            </w:pPr>
          </w:p>
        </w:tc>
        <w:tc>
          <w:tcPr>
            <w:tcW w:w="850" w:type="dxa"/>
            <w:shd w:val="clear" w:color="auto" w:fill="C6EFCE"/>
          </w:tcPr>
          <w:p w14:paraId="7389EFAB" w14:textId="5EAB85B0" w:rsidR="00A95A9A" w:rsidRPr="00DE4E4F" w:rsidRDefault="00996B8D"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tcPr>
          <w:p w14:paraId="6CEAE2BF" w14:textId="79A37761" w:rsidR="00787DD6" w:rsidRPr="00DE4E4F" w:rsidRDefault="00C606C3"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89" w:type="dxa"/>
            <w:shd w:val="clear" w:color="auto" w:fill="C6EFCE"/>
            <w:noWrap/>
          </w:tcPr>
          <w:p w14:paraId="2E53335F" w14:textId="3C3E73CC" w:rsidR="00787DD6" w:rsidRPr="00DE4E4F" w:rsidRDefault="0075630A" w:rsidP="00787DD6">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Restoration, conservation and visitor accessibility works at the Acropolis monuments</w:t>
            </w:r>
            <w:r w:rsidR="61819947" w:rsidRPr="00DE4E4F">
              <w:rPr>
                <w:rFonts w:ascii="Times New Roman" w:hAnsi="Times New Roman" w:cs="Times New Roman"/>
                <w:noProof/>
                <w:color w:val="006100"/>
                <w:sz w:val="18"/>
                <w:szCs w:val="18"/>
              </w:rPr>
              <w:t xml:space="preserve"> are certified through certificates of </w:t>
            </w:r>
            <w:r w:rsidR="004E489F" w:rsidRPr="00DE4E4F">
              <w:rPr>
                <w:rFonts w:ascii="Times New Roman" w:hAnsi="Times New Roman" w:cs="Times New Roman"/>
                <w:noProof/>
                <w:color w:val="006100"/>
                <w:sz w:val="18"/>
                <w:szCs w:val="18"/>
              </w:rPr>
              <w:t>completion</w:t>
            </w:r>
            <w:r w:rsidR="004E489F" w:rsidRPr="00DE4E4F">
              <w:rPr>
                <w:rFonts w:ascii="Times New Roman" w:hAnsi="Times New Roman" w:cs="Times New Roman"/>
                <w:b/>
                <w:noProof/>
                <w:color w:val="006100"/>
                <w:sz w:val="18"/>
                <w:szCs w:val="18"/>
              </w:rPr>
              <w:t>.</w:t>
            </w:r>
          </w:p>
        </w:tc>
      </w:tr>
    </w:tbl>
    <w:p w14:paraId="41DD2A29" w14:textId="77777777" w:rsidR="001B186F" w:rsidRPr="00DE4E4F" w:rsidRDefault="001B186F">
      <w:pPr>
        <w:spacing w:before="120" w:after="0" w:line="240" w:lineRule="auto"/>
        <w:jc w:val="both"/>
        <w:rPr>
          <w:rFonts w:ascii="Times New Roman" w:hAnsi="Times New Roman" w:cs="Times New Roman"/>
          <w:noProof/>
          <w:sz w:val="24"/>
        </w:rPr>
        <w:sectPr w:rsidR="001B186F" w:rsidRPr="00DE4E4F">
          <w:headerReference w:type="even" r:id="rId336"/>
          <w:headerReference w:type="default" r:id="rId337"/>
          <w:footerReference w:type="even" r:id="rId338"/>
          <w:footerReference w:type="default" r:id="rId339"/>
          <w:headerReference w:type="first" r:id="rId340"/>
          <w:footerReference w:type="first" r:id="rId341"/>
          <w:pgSz w:w="16839" w:h="11907" w:orient="landscape"/>
          <w:pgMar w:top="1134" w:right="1134" w:bottom="1134" w:left="1134" w:header="567" w:footer="567" w:gutter="0"/>
          <w:cols w:space="720"/>
          <w:docGrid w:linePitch="360"/>
        </w:sectPr>
      </w:pPr>
    </w:p>
    <w:p w14:paraId="5CA74886"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26: Tourism and Shipping</w:t>
      </w:r>
    </w:p>
    <w:p w14:paraId="18963086"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Tourism Development (includes sub-project Upgrade interventions to tourist ports) (ID: 16931)</w:t>
      </w:r>
    </w:p>
    <w:p w14:paraId="54D0311C"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Reskilling and Upskilling in Tourism (ID: 16921)</w:t>
      </w:r>
    </w:p>
    <w:p w14:paraId="51F8F45C"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Upgrade Interventions for Regional Ports (ID: 16975)</w:t>
      </w:r>
    </w:p>
    <w:p w14:paraId="56C34A8F" w14:textId="77777777" w:rsidR="001B186F" w:rsidRPr="00DE4E4F" w:rsidRDefault="0074517F">
      <w:pPr>
        <w:numPr>
          <w:ilvl w:val="0"/>
          <w:numId w:val="80"/>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Master plan for the renewal of the Greek passenger shipping fleet (ID: 16944)</w:t>
      </w:r>
    </w:p>
    <w:tbl>
      <w:tblPr>
        <w:tblW w:w="1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500"/>
        <w:gridCol w:w="1230"/>
        <w:gridCol w:w="1628"/>
        <w:gridCol w:w="1909"/>
        <w:gridCol w:w="1741"/>
        <w:gridCol w:w="857"/>
        <w:gridCol w:w="713"/>
        <w:gridCol w:w="986"/>
        <w:gridCol w:w="662"/>
        <w:gridCol w:w="3536"/>
      </w:tblGrid>
      <w:tr w:rsidR="00682269" w:rsidRPr="00DE4E4F" w14:paraId="098F17C2" w14:textId="77777777">
        <w:trPr>
          <w:trHeight w:val="594"/>
          <w:tblHeader/>
          <w:jc w:val="center"/>
        </w:trPr>
        <w:tc>
          <w:tcPr>
            <w:tcW w:w="583" w:type="dxa"/>
            <w:vMerge w:val="restart"/>
            <w:shd w:val="clear" w:color="auto" w:fill="BDD7EE"/>
            <w:vAlign w:val="center"/>
            <w:hideMark/>
          </w:tcPr>
          <w:p w14:paraId="1D10215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500" w:type="dxa"/>
            <w:vMerge w:val="restart"/>
            <w:shd w:val="clear" w:color="auto" w:fill="BDD7EE"/>
            <w:vAlign w:val="center"/>
            <w:hideMark/>
          </w:tcPr>
          <w:p w14:paraId="0EDB2AA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1230" w:type="dxa"/>
            <w:vMerge w:val="restart"/>
            <w:shd w:val="clear" w:color="auto" w:fill="BDD7EE"/>
            <w:vAlign w:val="center"/>
            <w:hideMark/>
          </w:tcPr>
          <w:p w14:paraId="0900C0D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628" w:type="dxa"/>
            <w:vMerge w:val="restart"/>
            <w:shd w:val="clear" w:color="auto" w:fill="BDD7EE"/>
            <w:vAlign w:val="center"/>
            <w:hideMark/>
          </w:tcPr>
          <w:p w14:paraId="7CF275A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909" w:type="dxa"/>
            <w:vMerge w:val="restart"/>
            <w:shd w:val="clear" w:color="auto" w:fill="BDD7EE"/>
            <w:vAlign w:val="center"/>
            <w:hideMark/>
          </w:tcPr>
          <w:p w14:paraId="7C97A1E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3311" w:type="dxa"/>
            <w:gridSpan w:val="3"/>
            <w:shd w:val="clear" w:color="auto" w:fill="BDD7EE"/>
            <w:vAlign w:val="center"/>
            <w:hideMark/>
          </w:tcPr>
          <w:p w14:paraId="602B74B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1648" w:type="dxa"/>
            <w:gridSpan w:val="2"/>
            <w:shd w:val="clear" w:color="auto" w:fill="BDD7EE"/>
            <w:vAlign w:val="center"/>
            <w:hideMark/>
          </w:tcPr>
          <w:p w14:paraId="7E2A2B5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3536" w:type="dxa"/>
            <w:vMerge w:val="restart"/>
            <w:shd w:val="clear" w:color="auto" w:fill="BDD7EE"/>
            <w:vAlign w:val="center"/>
            <w:hideMark/>
          </w:tcPr>
          <w:p w14:paraId="32CD505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5C4774D5" w14:textId="77777777">
        <w:trPr>
          <w:trHeight w:val="508"/>
          <w:tblHeader/>
          <w:jc w:val="center"/>
        </w:trPr>
        <w:tc>
          <w:tcPr>
            <w:tcW w:w="583" w:type="dxa"/>
            <w:vMerge/>
            <w:vAlign w:val="center"/>
            <w:hideMark/>
          </w:tcPr>
          <w:p w14:paraId="518F294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500" w:type="dxa"/>
            <w:vMerge/>
            <w:vAlign w:val="center"/>
            <w:hideMark/>
          </w:tcPr>
          <w:p w14:paraId="7C2F13F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30" w:type="dxa"/>
            <w:vMerge/>
            <w:vAlign w:val="center"/>
            <w:hideMark/>
          </w:tcPr>
          <w:p w14:paraId="351D7A5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28" w:type="dxa"/>
            <w:vMerge/>
            <w:vAlign w:val="center"/>
            <w:hideMark/>
          </w:tcPr>
          <w:p w14:paraId="46EA46D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909" w:type="dxa"/>
            <w:vMerge/>
            <w:vAlign w:val="center"/>
            <w:hideMark/>
          </w:tcPr>
          <w:p w14:paraId="24ADC3D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741" w:type="dxa"/>
            <w:shd w:val="clear" w:color="auto" w:fill="BDD7EE"/>
            <w:vAlign w:val="center"/>
            <w:hideMark/>
          </w:tcPr>
          <w:p w14:paraId="393FA98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5A56D13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713" w:type="dxa"/>
            <w:shd w:val="clear" w:color="auto" w:fill="BDD7EE"/>
            <w:vAlign w:val="center"/>
            <w:hideMark/>
          </w:tcPr>
          <w:p w14:paraId="4FA527E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986" w:type="dxa"/>
            <w:shd w:val="clear" w:color="auto" w:fill="BDD7EE"/>
            <w:vAlign w:val="center"/>
            <w:hideMark/>
          </w:tcPr>
          <w:p w14:paraId="0DF8017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662" w:type="dxa"/>
            <w:shd w:val="clear" w:color="auto" w:fill="BDD7EE"/>
            <w:vAlign w:val="center"/>
            <w:hideMark/>
          </w:tcPr>
          <w:p w14:paraId="7E5BF49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3536" w:type="dxa"/>
            <w:vMerge/>
            <w:vAlign w:val="center"/>
            <w:hideMark/>
          </w:tcPr>
          <w:p w14:paraId="28C3029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2391480A" w14:textId="77777777">
        <w:trPr>
          <w:trHeight w:val="313"/>
          <w:jc w:val="center"/>
        </w:trPr>
        <w:tc>
          <w:tcPr>
            <w:tcW w:w="583" w:type="dxa"/>
            <w:shd w:val="clear" w:color="auto" w:fill="C6EFCE"/>
            <w:noWrap/>
          </w:tcPr>
          <w:p w14:paraId="3C59F3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292</w:t>
            </w:r>
          </w:p>
        </w:tc>
        <w:tc>
          <w:tcPr>
            <w:tcW w:w="2500" w:type="dxa"/>
            <w:shd w:val="clear" w:color="auto" w:fill="C6EFCE"/>
            <w:noWrap/>
          </w:tcPr>
          <w:p w14:paraId="61E469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- 16931_Tourism Development</w:t>
            </w:r>
          </w:p>
        </w:tc>
        <w:tc>
          <w:tcPr>
            <w:tcW w:w="1230" w:type="dxa"/>
            <w:shd w:val="clear" w:color="auto" w:fill="C6EFCE"/>
            <w:noWrap/>
          </w:tcPr>
          <w:p w14:paraId="129E80A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p w14:paraId="65BA15E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628" w:type="dxa"/>
            <w:shd w:val="clear" w:color="auto" w:fill="C6EFCE"/>
            <w:noWrap/>
          </w:tcPr>
          <w:p w14:paraId="2EE62D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Tourist development: reforms for tourist ports</w:t>
            </w:r>
          </w:p>
        </w:tc>
        <w:tc>
          <w:tcPr>
            <w:tcW w:w="1909" w:type="dxa"/>
            <w:shd w:val="clear" w:color="auto" w:fill="C6EFCE"/>
            <w:noWrap/>
          </w:tcPr>
          <w:p w14:paraId="4F7451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Entry into force of amendments to law 2160/1993 on tourist ports.</w:t>
            </w:r>
          </w:p>
          <w:p w14:paraId="3C74A4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Entry into force of amendments to laws 4179/2013 and 4276/2014 concerning ski resorts.</w:t>
            </w:r>
          </w:p>
          <w:p w14:paraId="61CB7B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Report attesting the establishment of the Project Management Office.</w:t>
            </w:r>
          </w:p>
        </w:tc>
        <w:tc>
          <w:tcPr>
            <w:tcW w:w="1741" w:type="dxa"/>
            <w:shd w:val="clear" w:color="auto" w:fill="C6EFCE"/>
            <w:noWrap/>
          </w:tcPr>
          <w:p w14:paraId="5646768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83E7B1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40056EA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6" w:type="dxa"/>
            <w:shd w:val="clear" w:color="auto" w:fill="C6EFCE"/>
            <w:noWrap/>
          </w:tcPr>
          <w:p w14:paraId="2B73178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662" w:type="dxa"/>
            <w:shd w:val="clear" w:color="auto" w:fill="C6EFCE"/>
            <w:noWrap/>
          </w:tcPr>
          <w:p w14:paraId="795B1A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3536" w:type="dxa"/>
            <w:shd w:val="clear" w:color="auto" w:fill="C6EFCE"/>
            <w:noWrap/>
          </w:tcPr>
          <w:p w14:paraId="3719FC0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 Tourist Development: Entry into force of legislation to reform the legal framework for tourist ports law to encourage new investments, including amendment of provisions relating to installation and operation licensing in line with the Investment Licensing Law 4442/2016.</w:t>
            </w:r>
          </w:p>
          <w:p w14:paraId="7AE6EC3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 Tourist Development: Entry into force of legislation to reform the legal framework for ski resorts to encourage new investments, including amendment of provisions relating to installation and operation licensing in line with the Investment Licensing Law 4442/2016.</w:t>
            </w:r>
            <w:r w:rsidRPr="00DE4E4F">
              <w:rPr>
                <w:rFonts w:ascii="Times New Roman" w:hAnsi="Times New Roman" w:cs="Times New Roman"/>
                <w:noProof/>
                <w:sz w:val="18"/>
                <w:szCs w:val="18"/>
              </w:rPr>
              <w:t xml:space="preserve"> </w:t>
            </w:r>
          </w:p>
          <w:p w14:paraId="0800D8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Tourism Development: Establishment of Project Management Office for supervision of investments in upgrade of Tourist ports.</w:t>
            </w:r>
          </w:p>
        </w:tc>
      </w:tr>
      <w:tr w:rsidR="00682269" w:rsidRPr="00DE4E4F" w14:paraId="600DEF33" w14:textId="77777777">
        <w:trPr>
          <w:trHeight w:val="313"/>
          <w:jc w:val="center"/>
        </w:trPr>
        <w:tc>
          <w:tcPr>
            <w:tcW w:w="583" w:type="dxa"/>
            <w:shd w:val="clear" w:color="auto" w:fill="C6EFCE"/>
            <w:noWrap/>
          </w:tcPr>
          <w:p w14:paraId="178571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294</w:t>
            </w:r>
          </w:p>
        </w:tc>
        <w:tc>
          <w:tcPr>
            <w:tcW w:w="2500" w:type="dxa"/>
            <w:shd w:val="clear" w:color="auto" w:fill="C6EFCE"/>
            <w:noWrap/>
          </w:tcPr>
          <w:p w14:paraId="75550CB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- 16944_Master plan for the renewal of the Greek passenger shipping fleet</w:t>
            </w:r>
          </w:p>
        </w:tc>
        <w:tc>
          <w:tcPr>
            <w:tcW w:w="1230" w:type="dxa"/>
            <w:shd w:val="clear" w:color="auto" w:fill="C6EFCE"/>
            <w:noWrap/>
          </w:tcPr>
          <w:p w14:paraId="5AD4C79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28" w:type="dxa"/>
            <w:shd w:val="clear" w:color="auto" w:fill="C6EFCE"/>
            <w:noWrap/>
          </w:tcPr>
          <w:p w14:paraId="2FFA4E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Master plan for the renewal of the Greek passenger shipping fleet</w:t>
            </w:r>
          </w:p>
        </w:tc>
        <w:tc>
          <w:tcPr>
            <w:tcW w:w="1909" w:type="dxa"/>
            <w:shd w:val="clear" w:color="auto" w:fill="C6EFCE"/>
            <w:noWrap/>
          </w:tcPr>
          <w:p w14:paraId="30B4226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Published master plan for the renewal of the Greek passenger shipping fleet</w:t>
            </w:r>
          </w:p>
          <w:p w14:paraId="0998F755" w14:textId="77777777" w:rsidR="001B186F" w:rsidRPr="00DE4E4F" w:rsidRDefault="001B186F">
            <w:pPr>
              <w:spacing w:after="0" w:line="240" w:lineRule="auto"/>
              <w:rPr>
                <w:rFonts w:ascii="Times New Roman" w:hAnsi="Times New Roman" w:cs="Times New Roman"/>
                <w:noProof/>
                <w:color w:val="006100"/>
                <w:sz w:val="18"/>
                <w:szCs w:val="18"/>
              </w:rPr>
            </w:pPr>
          </w:p>
        </w:tc>
        <w:tc>
          <w:tcPr>
            <w:tcW w:w="1741" w:type="dxa"/>
            <w:shd w:val="clear" w:color="auto" w:fill="C6EFCE"/>
            <w:noWrap/>
          </w:tcPr>
          <w:p w14:paraId="4C551B8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80E8F0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61917F6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6" w:type="dxa"/>
            <w:shd w:val="clear" w:color="auto" w:fill="C6EFCE"/>
            <w:noWrap/>
          </w:tcPr>
          <w:p w14:paraId="25D111B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62" w:type="dxa"/>
            <w:shd w:val="clear" w:color="auto" w:fill="C6EFCE"/>
            <w:noWrap/>
          </w:tcPr>
          <w:p w14:paraId="60A28D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36" w:type="dxa"/>
            <w:shd w:val="clear" w:color="auto" w:fill="C6EFCE"/>
            <w:noWrap/>
          </w:tcPr>
          <w:p w14:paraId="57299AC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a master plan for the renewal of the Greek passenger shipping fleet.</w:t>
            </w:r>
          </w:p>
          <w:p w14:paraId="722373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master plan shall be based on a</w:t>
            </w:r>
            <w:r w:rsidRPr="00DE4E4F">
              <w:rPr>
                <w:rFonts w:ascii="Times New Roman" w:eastAsiaTheme="minorEastAsia" w:hAnsi="Times New Roman" w:cs="Times New Roman"/>
                <w:noProof/>
                <w:color w:val="006100"/>
                <w:sz w:val="18"/>
                <w:szCs w:val="18"/>
              </w:rPr>
              <w:t xml:space="preserve"> study, and include a financing mechanism for the gradual renewal of the country's passenger shipping fleet. The study shall </w:t>
            </w:r>
            <w:r w:rsidRPr="00DE4E4F">
              <w:rPr>
                <w:rFonts w:ascii="Times New Roman" w:hAnsi="Times New Roman" w:cs="Times New Roman"/>
                <w:noProof/>
                <w:color w:val="006100"/>
                <w:sz w:val="18"/>
                <w:szCs w:val="18"/>
              </w:rPr>
              <w:t>outline</w:t>
            </w:r>
            <w:r w:rsidRPr="00DE4E4F">
              <w:rPr>
                <w:rFonts w:ascii="Times New Roman" w:eastAsiaTheme="minorEastAsia" w:hAnsi="Times New Roman" w:cs="Times New Roman"/>
                <w:noProof/>
                <w:color w:val="006100"/>
                <w:sz w:val="18"/>
                <w:szCs w:val="18"/>
              </w:rPr>
              <w:t>: i) upgrade needs of the vessels ii) the time horizon of the investment, iii) the financing needs of the operators and the potential revenue, iv) the infrastructure renewal that should take place in the ports in order to support the operation of the new vessels, and v) financing mechanism to facilitate the access to finance for operators.</w:t>
            </w:r>
          </w:p>
          <w:p w14:paraId="5523F8D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 summary of the stakeholders’ consultation process that took place before the master plan’s publication shall be also provided.</w:t>
            </w:r>
          </w:p>
        </w:tc>
      </w:tr>
      <w:tr w:rsidR="00682269" w:rsidRPr="00DE4E4F" w14:paraId="72D8A3B5" w14:textId="77777777">
        <w:trPr>
          <w:trHeight w:val="313"/>
          <w:jc w:val="center"/>
        </w:trPr>
        <w:tc>
          <w:tcPr>
            <w:tcW w:w="583" w:type="dxa"/>
            <w:shd w:val="clear" w:color="auto" w:fill="C6EFCE"/>
            <w:noWrap/>
          </w:tcPr>
          <w:p w14:paraId="119E5F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295</w:t>
            </w:r>
          </w:p>
        </w:tc>
        <w:tc>
          <w:tcPr>
            <w:tcW w:w="2500" w:type="dxa"/>
            <w:shd w:val="clear" w:color="auto" w:fill="C6EFCE"/>
            <w:noWrap/>
          </w:tcPr>
          <w:p w14:paraId="03D4DB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- 16931_Tourism Development</w:t>
            </w:r>
          </w:p>
        </w:tc>
        <w:tc>
          <w:tcPr>
            <w:tcW w:w="1230" w:type="dxa"/>
            <w:shd w:val="clear" w:color="auto" w:fill="C6EFCE"/>
            <w:noWrap/>
          </w:tcPr>
          <w:p w14:paraId="17F97E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28" w:type="dxa"/>
            <w:shd w:val="clear" w:color="auto" w:fill="C6EFCE"/>
            <w:noWrap/>
          </w:tcPr>
          <w:p w14:paraId="597159F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Tourism development: Publication of approval decisions for tourist ports</w:t>
            </w:r>
          </w:p>
        </w:tc>
        <w:tc>
          <w:tcPr>
            <w:tcW w:w="1909" w:type="dxa"/>
            <w:shd w:val="clear" w:color="auto" w:fill="C6EFCE"/>
            <w:noWrap/>
          </w:tcPr>
          <w:p w14:paraId="6C959B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Approval Decisions </w:t>
            </w:r>
          </w:p>
        </w:tc>
        <w:tc>
          <w:tcPr>
            <w:tcW w:w="1741" w:type="dxa"/>
            <w:shd w:val="clear" w:color="auto" w:fill="C6EFCE"/>
            <w:noWrap/>
          </w:tcPr>
          <w:p w14:paraId="427747C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7509B89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10FC73F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6" w:type="dxa"/>
            <w:shd w:val="clear" w:color="auto" w:fill="C6EFCE"/>
            <w:noWrap/>
          </w:tcPr>
          <w:p w14:paraId="3FFAB50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662" w:type="dxa"/>
            <w:shd w:val="clear" w:color="auto" w:fill="C6EFCE"/>
            <w:noWrap/>
          </w:tcPr>
          <w:p w14:paraId="0FFEF07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536" w:type="dxa"/>
            <w:shd w:val="clear" w:color="auto" w:fill="C6EFCE"/>
            <w:noWrap/>
          </w:tcPr>
          <w:p w14:paraId="425C87F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Publication of approval decisions for the selected beneficiaries to upgrade tourist ports’ infrastructure and improve, among others, their energy efficiency. </w:t>
            </w:r>
          </w:p>
        </w:tc>
      </w:tr>
      <w:tr w:rsidR="00682269" w:rsidRPr="00DE4E4F" w14:paraId="5D2661C4" w14:textId="77777777">
        <w:trPr>
          <w:trHeight w:val="313"/>
          <w:jc w:val="center"/>
        </w:trPr>
        <w:tc>
          <w:tcPr>
            <w:tcW w:w="583" w:type="dxa"/>
            <w:shd w:val="clear" w:color="auto" w:fill="C6EFCE"/>
            <w:noWrap/>
          </w:tcPr>
          <w:p w14:paraId="7C0D51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296</w:t>
            </w:r>
          </w:p>
        </w:tc>
        <w:tc>
          <w:tcPr>
            <w:tcW w:w="2500" w:type="dxa"/>
            <w:shd w:val="clear" w:color="auto" w:fill="C6EFCE"/>
            <w:noWrap/>
          </w:tcPr>
          <w:p w14:paraId="25FED0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- 16921_Reskilling and Upskilling in Tourism</w:t>
            </w:r>
          </w:p>
        </w:tc>
        <w:tc>
          <w:tcPr>
            <w:tcW w:w="1230" w:type="dxa"/>
            <w:shd w:val="clear" w:color="auto" w:fill="C6EFCE"/>
            <w:noWrap/>
          </w:tcPr>
          <w:p w14:paraId="3B80CC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28" w:type="dxa"/>
            <w:shd w:val="clear" w:color="auto" w:fill="C6EFCE"/>
            <w:noWrap/>
          </w:tcPr>
          <w:p w14:paraId="5721118C" w14:textId="7C03150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Reskilling and Upskilling in Tourism </w:t>
            </w:r>
          </w:p>
        </w:tc>
        <w:tc>
          <w:tcPr>
            <w:tcW w:w="1909" w:type="dxa"/>
            <w:shd w:val="clear" w:color="auto" w:fill="C6EFCE"/>
            <w:noWrap/>
          </w:tcPr>
          <w:p w14:paraId="2AAB073F" w14:textId="2B8F2717" w:rsidR="001B186F" w:rsidRPr="00DE4E4F" w:rsidRDefault="540AB0D3">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w:t>
            </w:r>
            <w:r w:rsidR="0074517F" w:rsidRPr="00DE4E4F">
              <w:rPr>
                <w:rFonts w:ascii="Times New Roman" w:hAnsi="Times New Roman" w:cs="Times New Roman"/>
                <w:noProof/>
                <w:color w:val="006100"/>
                <w:sz w:val="18"/>
                <w:szCs w:val="18"/>
              </w:rPr>
              <w:t>ertificates</w:t>
            </w:r>
            <w:r w:rsidR="000B1B31" w:rsidRPr="00DE4E4F">
              <w:rPr>
                <w:rFonts w:ascii="Times New Roman" w:hAnsi="Times New Roman" w:cs="Times New Roman"/>
                <w:noProof/>
                <w:color w:val="006100"/>
                <w:sz w:val="18"/>
                <w:szCs w:val="18"/>
              </w:rPr>
              <w:t xml:space="preserve"> issued</w:t>
            </w:r>
          </w:p>
        </w:tc>
        <w:tc>
          <w:tcPr>
            <w:tcW w:w="1741" w:type="dxa"/>
            <w:shd w:val="clear" w:color="auto" w:fill="C6EFCE"/>
            <w:noWrap/>
          </w:tcPr>
          <w:p w14:paraId="7E41B820"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3A41A55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03704B2E"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0600D80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62" w:type="dxa"/>
            <w:shd w:val="clear" w:color="auto" w:fill="C6EFCE"/>
            <w:noWrap/>
          </w:tcPr>
          <w:p w14:paraId="696BBC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36" w:type="dxa"/>
            <w:shd w:val="clear" w:color="auto" w:fill="C6EFCE"/>
            <w:noWrap/>
          </w:tcPr>
          <w:p w14:paraId="65327E5B" w14:textId="6081262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18</w:t>
            </w:r>
            <w:r w:rsidR="00B116A1"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000 participants have successfully completed the training </w:t>
            </w:r>
            <w:r w:rsidR="004276E0" w:rsidRPr="00DE4E4F">
              <w:rPr>
                <w:rFonts w:ascii="Times New Roman" w:hAnsi="Times New Roman" w:cs="Times New Roman"/>
                <w:noProof/>
                <w:color w:val="006100"/>
                <w:sz w:val="18"/>
                <w:szCs w:val="18"/>
              </w:rPr>
              <w:t>programmes</w:t>
            </w:r>
          </w:p>
        </w:tc>
      </w:tr>
      <w:tr w:rsidR="00682269" w:rsidRPr="00DE4E4F" w14:paraId="70ED76FE" w14:textId="77777777">
        <w:trPr>
          <w:trHeight w:val="313"/>
          <w:jc w:val="center"/>
        </w:trPr>
        <w:tc>
          <w:tcPr>
            <w:tcW w:w="583" w:type="dxa"/>
            <w:shd w:val="clear" w:color="auto" w:fill="C6EFCE"/>
            <w:noWrap/>
          </w:tcPr>
          <w:p w14:paraId="24818DF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297</w:t>
            </w:r>
          </w:p>
        </w:tc>
        <w:tc>
          <w:tcPr>
            <w:tcW w:w="2500" w:type="dxa"/>
            <w:shd w:val="clear" w:color="auto" w:fill="C6EFCE"/>
            <w:noWrap/>
          </w:tcPr>
          <w:p w14:paraId="192F4C6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- 16931_Tourism Development</w:t>
            </w:r>
          </w:p>
        </w:tc>
        <w:tc>
          <w:tcPr>
            <w:tcW w:w="1230" w:type="dxa"/>
            <w:shd w:val="clear" w:color="auto" w:fill="C6EFCE"/>
            <w:noWrap/>
          </w:tcPr>
          <w:p w14:paraId="46934DA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28" w:type="dxa"/>
            <w:shd w:val="clear" w:color="auto" w:fill="C6EFCE"/>
            <w:noWrap/>
          </w:tcPr>
          <w:p w14:paraId="1C161280" w14:textId="54CC9EE4"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Tourism Projects</w:t>
            </w:r>
            <w:r w:rsidR="00DE4C0C" w:rsidRPr="00DE4E4F">
              <w:rPr>
                <w:rFonts w:ascii="Times New Roman" w:hAnsi="Times New Roman" w:cs="Times New Roman"/>
                <w:noProof/>
                <w:color w:val="006100"/>
                <w:sz w:val="18"/>
                <w:szCs w:val="18"/>
              </w:rPr>
              <w:t xml:space="preserve"> </w:t>
            </w:r>
          </w:p>
        </w:tc>
        <w:tc>
          <w:tcPr>
            <w:tcW w:w="1909" w:type="dxa"/>
            <w:shd w:val="clear" w:color="auto" w:fill="C6EFCE"/>
            <w:noWrap/>
          </w:tcPr>
          <w:p w14:paraId="15D07964" w14:textId="56466A60" w:rsidR="001B186F" w:rsidRPr="00DE4E4F" w:rsidRDefault="00AB570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Execution of works and creation of local Destination Management offices and Sustainable Tourism Observatories</w:t>
            </w:r>
          </w:p>
        </w:tc>
        <w:tc>
          <w:tcPr>
            <w:tcW w:w="1741" w:type="dxa"/>
            <w:shd w:val="clear" w:color="auto" w:fill="C6EFCE"/>
            <w:noWrap/>
          </w:tcPr>
          <w:p w14:paraId="79CDB05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2F2F09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1D04BBC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6" w:type="dxa"/>
            <w:shd w:val="clear" w:color="auto" w:fill="C6EFCE"/>
            <w:noWrap/>
          </w:tcPr>
          <w:p w14:paraId="59A4A2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62" w:type="dxa"/>
            <w:shd w:val="clear" w:color="auto" w:fill="C6EFCE"/>
            <w:noWrap/>
          </w:tcPr>
          <w:p w14:paraId="1C084B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36" w:type="dxa"/>
            <w:shd w:val="clear" w:color="auto" w:fill="C6EFCE"/>
            <w:noWrap/>
          </w:tcPr>
          <w:p w14:paraId="054D0F50" w14:textId="7EA39333" w:rsidR="001B186F" w:rsidRPr="00DE4E4F" w:rsidRDefault="0074517F">
            <w:pPr>
              <w:spacing w:after="0" w:line="240" w:lineRule="auto"/>
              <w:rPr>
                <w:rFonts w:ascii="Times New Roman" w:hAnsi="Times New Roman" w:cs="Times New Roman"/>
                <w:noProof/>
                <w:color w:val="006100"/>
                <w:sz w:val="8"/>
                <w:szCs w:val="8"/>
              </w:rPr>
            </w:pPr>
            <w:r w:rsidRPr="00DE4E4F">
              <w:rPr>
                <w:rFonts w:ascii="Times New Roman" w:hAnsi="Times New Roman"/>
                <w:noProof/>
                <w:sz w:val="18"/>
                <w:szCs w:val="18"/>
              </w:rPr>
              <w:t xml:space="preserve">- </w:t>
            </w:r>
            <w:r w:rsidRPr="00DE4E4F">
              <w:rPr>
                <w:rFonts w:ascii="Times New Roman" w:hAnsi="Times New Roman" w:cs="Times New Roman"/>
                <w:noProof/>
                <w:color w:val="006100"/>
                <w:sz w:val="18"/>
                <w:szCs w:val="18"/>
              </w:rPr>
              <w:t xml:space="preserve">Green Development: create local Destination Management offices and Sustainable Tourism Observatories; </w:t>
            </w:r>
            <w:r w:rsidRPr="00DE4E4F">
              <w:rPr>
                <w:rFonts w:ascii="Times New Roman" w:eastAsiaTheme="minorEastAsia" w:hAnsi="Times New Roman" w:cs="Times New Roman"/>
                <w:noProof/>
                <w:color w:val="006100"/>
                <w:sz w:val="18"/>
                <w:szCs w:val="18"/>
              </w:rPr>
              <w:t xml:space="preserve">upgrade </w:t>
            </w:r>
            <w:r w:rsidRPr="00DE4E4F">
              <w:rPr>
                <w:rFonts w:ascii="Times New Roman" w:hAnsi="Times New Roman" w:cs="Times New Roman"/>
                <w:noProof/>
                <w:color w:val="006100"/>
                <w:sz w:val="18"/>
                <w:szCs w:val="18"/>
              </w:rPr>
              <w:t xml:space="preserve">4 </w:t>
            </w:r>
            <w:r w:rsidRPr="00DE4E4F">
              <w:rPr>
                <w:rFonts w:ascii="Times New Roman" w:eastAsiaTheme="minorEastAsia" w:hAnsi="Times New Roman" w:cs="Times New Roman"/>
                <w:noProof/>
                <w:color w:val="006100"/>
                <w:sz w:val="18"/>
                <w:szCs w:val="18"/>
              </w:rPr>
              <w:t xml:space="preserve">ski centers </w:t>
            </w:r>
            <w:r w:rsidRPr="00DE4E4F">
              <w:rPr>
                <w:rFonts w:ascii="Times New Roman" w:hAnsi="Times New Roman" w:cs="Times New Roman"/>
                <w:noProof/>
                <w:color w:val="006100"/>
                <w:sz w:val="18"/>
                <w:szCs w:val="18"/>
              </w:rPr>
              <w:t>covering energy efficient renovations of public and private infrastructure/equipment and/or installation of new renewable energy sources’ capacity</w:t>
            </w:r>
            <w:r w:rsidR="00F71195" w:rsidRPr="00DE4E4F">
              <w:rPr>
                <w:rFonts w:ascii="Times New Roman" w:hAnsi="Times New Roman" w:cs="Times New Roman"/>
                <w:noProof/>
                <w:color w:val="006100"/>
                <w:sz w:val="18"/>
                <w:szCs w:val="18"/>
              </w:rPr>
              <w:t>.</w:t>
            </w:r>
          </w:p>
          <w:p w14:paraId="78511825" w14:textId="47891A9E" w:rsidR="001B186F" w:rsidRPr="00DE4E4F" w:rsidRDefault="001B186F">
            <w:pPr>
              <w:spacing w:after="0" w:line="240" w:lineRule="auto"/>
              <w:rPr>
                <w:rFonts w:ascii="Times New Roman" w:eastAsia="Times New Roman" w:hAnsi="Times New Roman" w:cs="Times New Roman"/>
                <w:noProof/>
                <w:color w:val="006100"/>
                <w:sz w:val="8"/>
                <w:szCs w:val="8"/>
              </w:rPr>
            </w:pPr>
          </w:p>
          <w:p w14:paraId="5A184A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Blue Development: upgrade infrastructure of 18 tourist ports, install infrastructure and facilities for accessibility to beaches for older people and persons with disabilities, and renovate or construct the infrastructure or acquire equipment for diving activities.</w:t>
            </w:r>
          </w:p>
        </w:tc>
      </w:tr>
      <w:tr w:rsidR="00682269" w:rsidRPr="00DE4E4F" w14:paraId="723F4DEE" w14:textId="77777777">
        <w:trPr>
          <w:trHeight w:val="313"/>
          <w:jc w:val="center"/>
        </w:trPr>
        <w:tc>
          <w:tcPr>
            <w:tcW w:w="583" w:type="dxa"/>
            <w:shd w:val="clear" w:color="auto" w:fill="C6EFCE"/>
            <w:noWrap/>
          </w:tcPr>
          <w:p w14:paraId="60FADE3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298</w:t>
            </w:r>
          </w:p>
        </w:tc>
        <w:tc>
          <w:tcPr>
            <w:tcW w:w="2500" w:type="dxa"/>
            <w:shd w:val="clear" w:color="auto" w:fill="C6EFCE"/>
            <w:noWrap/>
          </w:tcPr>
          <w:p w14:paraId="132BCC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- 16975_Upgrade Interventions for Regional Ports</w:t>
            </w:r>
          </w:p>
        </w:tc>
        <w:tc>
          <w:tcPr>
            <w:tcW w:w="1230" w:type="dxa"/>
            <w:shd w:val="clear" w:color="auto" w:fill="C6EFCE"/>
            <w:noWrap/>
          </w:tcPr>
          <w:p w14:paraId="1245DA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28" w:type="dxa"/>
            <w:shd w:val="clear" w:color="auto" w:fill="C6EFCE"/>
            <w:noWrap/>
          </w:tcPr>
          <w:p w14:paraId="1CCE0BC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Construction of infrastructure works in ports</w:t>
            </w:r>
          </w:p>
        </w:tc>
        <w:tc>
          <w:tcPr>
            <w:tcW w:w="1909" w:type="dxa"/>
            <w:shd w:val="clear" w:color="auto" w:fill="C6EFCE"/>
            <w:noWrap/>
          </w:tcPr>
          <w:p w14:paraId="27A627A2" w14:textId="77777777"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eastAsiaTheme="minorEastAsia" w:hAnsi="Times New Roman" w:cs="Times New Roman"/>
                <w:noProof/>
                <w:color w:val="006100"/>
                <w:sz w:val="18"/>
                <w:szCs w:val="18"/>
              </w:rPr>
              <w:t>Infrastructure works in ports constructed</w:t>
            </w:r>
          </w:p>
        </w:tc>
        <w:tc>
          <w:tcPr>
            <w:tcW w:w="1741" w:type="dxa"/>
            <w:shd w:val="clear" w:color="auto" w:fill="C6EFCE"/>
            <w:noWrap/>
          </w:tcPr>
          <w:p w14:paraId="2C4B4BFE"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857" w:type="dxa"/>
            <w:shd w:val="clear" w:color="auto" w:fill="C6EFCE"/>
            <w:noWrap/>
          </w:tcPr>
          <w:p w14:paraId="5FAF167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5AFD4F68"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86" w:type="dxa"/>
            <w:shd w:val="clear" w:color="auto" w:fill="C6EFCE"/>
            <w:noWrap/>
          </w:tcPr>
          <w:p w14:paraId="42DC3E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62" w:type="dxa"/>
            <w:shd w:val="clear" w:color="auto" w:fill="C6EFCE"/>
            <w:noWrap/>
          </w:tcPr>
          <w:p w14:paraId="1664AE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36" w:type="dxa"/>
            <w:shd w:val="clear" w:color="auto" w:fill="C6EFCE"/>
            <w:noWrap/>
          </w:tcPr>
          <w:p w14:paraId="2F8E0F7F" w14:textId="6D7A7EFC" w:rsidR="001B186F" w:rsidRPr="00DE4E4F" w:rsidRDefault="0074517F">
            <w:pPr>
              <w:spacing w:after="0" w:line="240" w:lineRule="auto"/>
              <w:rPr>
                <w:rFonts w:ascii="Times New Roman" w:eastAsiaTheme="minorEastAsia" w:hAnsi="Times New Roman" w:cs="Times New Roman"/>
                <w:noProof/>
                <w:color w:val="006100"/>
                <w:sz w:val="18"/>
                <w:szCs w:val="18"/>
              </w:rPr>
            </w:pPr>
            <w:r w:rsidRPr="00DE4E4F">
              <w:rPr>
                <w:rFonts w:ascii="Times New Roman" w:hAnsi="Times New Roman" w:cs="Times New Roman"/>
                <w:noProof/>
                <w:color w:val="006100"/>
                <w:sz w:val="18"/>
                <w:szCs w:val="18"/>
              </w:rPr>
              <w:t>C</w:t>
            </w:r>
            <w:r w:rsidR="2616F4BF" w:rsidRPr="00DE4E4F">
              <w:rPr>
                <w:rFonts w:ascii="Times New Roman" w:hAnsi="Times New Roman" w:cs="Times New Roman"/>
                <w:noProof/>
                <w:color w:val="006100"/>
                <w:sz w:val="18"/>
                <w:szCs w:val="18"/>
              </w:rPr>
              <w:t>ompletion certificates confirming the c</w:t>
            </w:r>
            <w:r w:rsidRPr="00DE4E4F">
              <w:rPr>
                <w:rFonts w:ascii="Times New Roman" w:hAnsi="Times New Roman" w:cs="Times New Roman"/>
                <w:noProof/>
                <w:color w:val="006100"/>
                <w:sz w:val="18"/>
                <w:szCs w:val="18"/>
              </w:rPr>
              <w:t>onstruction of infrastructure works in 13 port</w:t>
            </w:r>
            <w:r w:rsidRPr="00DE4E4F" w:rsidDel="000B2924">
              <w:rPr>
                <w:rFonts w:ascii="Times New Roman" w:hAnsi="Times New Roman" w:cs="Times New Roman"/>
                <w:noProof/>
                <w:color w:val="006100"/>
                <w:sz w:val="18"/>
                <w:szCs w:val="18"/>
              </w:rPr>
              <w:t>s</w:t>
            </w:r>
            <w:r w:rsidRPr="00DE4E4F">
              <w:rPr>
                <w:rFonts w:ascii="Times New Roman" w:hAnsi="Times New Roman" w:cs="Times New Roman"/>
                <w:noProof/>
                <w:color w:val="006100"/>
                <w:sz w:val="18"/>
                <w:szCs w:val="18"/>
              </w:rPr>
              <w:t xml:space="preserve">, </w:t>
            </w:r>
            <w:r w:rsidR="013A6F99" w:rsidRPr="00DE4E4F">
              <w:rPr>
                <w:rFonts w:ascii="Times New Roman" w:hAnsi="Times New Roman" w:cs="Times New Roman"/>
                <w:noProof/>
                <w:color w:val="006100"/>
                <w:sz w:val="18"/>
                <w:szCs w:val="18"/>
              </w:rPr>
              <w:t>including</w:t>
            </w:r>
            <w:r w:rsidRPr="00DE4E4F">
              <w:rPr>
                <w:rFonts w:ascii="Times New Roman" w:hAnsi="Times New Roman" w:cs="Times New Roman"/>
                <w:noProof/>
                <w:color w:val="006100"/>
                <w:sz w:val="18"/>
                <w:szCs w:val="18"/>
              </w:rPr>
              <w:t xml:space="preserve"> </w:t>
            </w:r>
            <w:r w:rsidRPr="00DE4E4F">
              <w:rPr>
                <w:rFonts w:ascii="Times New Roman" w:eastAsiaTheme="minorEastAsia" w:hAnsi="Times New Roman" w:cs="Times New Roman"/>
                <w:noProof/>
                <w:color w:val="006100"/>
                <w:sz w:val="18"/>
                <w:szCs w:val="18"/>
              </w:rPr>
              <w:t xml:space="preserve">restoration of the quays of ports, wave-breaks, </w:t>
            </w:r>
            <w:r w:rsidR="00523A15" w:rsidRPr="00DE4E4F">
              <w:rPr>
                <w:rFonts w:ascii="Times New Roman" w:eastAsiaTheme="minorEastAsia" w:hAnsi="Times New Roman" w:cs="Times New Roman"/>
                <w:noProof/>
                <w:color w:val="006100"/>
                <w:sz w:val="18"/>
                <w:szCs w:val="18"/>
              </w:rPr>
              <w:t>waterfront redevelopment works and enhancement of port-side infrastructure</w:t>
            </w:r>
            <w:r w:rsidRPr="00DE4E4F">
              <w:rPr>
                <w:rFonts w:ascii="Times New Roman" w:eastAsiaTheme="minorEastAsia" w:hAnsi="Times New Roman" w:cs="Times New Roman"/>
                <w:noProof/>
                <w:color w:val="006100"/>
                <w:sz w:val="18"/>
                <w:szCs w:val="18"/>
              </w:rPr>
              <w:t>,</w:t>
            </w:r>
            <w:r w:rsidR="00523A15" w:rsidRPr="00DE4E4F">
              <w:rPr>
                <w:rFonts w:ascii="Times New Roman" w:eastAsiaTheme="minorEastAsia" w:hAnsi="Times New Roman" w:cs="Times New Roman"/>
                <w:noProof/>
                <w:color w:val="006100"/>
                <w:sz w:val="18"/>
                <w:szCs w:val="18"/>
              </w:rPr>
              <w:t xml:space="preserve"> restoration of depths and dredging works</w:t>
            </w:r>
            <w:r w:rsidRPr="00DE4E4F">
              <w:rPr>
                <w:rFonts w:ascii="Times New Roman" w:eastAsiaTheme="minorEastAsia" w:hAnsi="Times New Roman" w:cs="Times New Roman"/>
                <w:noProof/>
                <w:color w:val="006100"/>
                <w:sz w:val="18"/>
                <w:szCs w:val="18"/>
              </w:rPr>
              <w:t>, construction of service ramps, quay walls and coastal protection works, or restoration of the port basin after extensive flooding.</w:t>
            </w:r>
          </w:p>
          <w:p w14:paraId="77F53D25" w14:textId="77777777" w:rsidR="001B186F" w:rsidRPr="00DE4E4F" w:rsidRDefault="001B186F">
            <w:pPr>
              <w:spacing w:after="0" w:line="240" w:lineRule="auto"/>
              <w:rPr>
                <w:rFonts w:ascii="Times New Roman" w:eastAsiaTheme="minorEastAsia" w:hAnsi="Times New Roman" w:cs="Times New Roman"/>
                <w:noProof/>
                <w:color w:val="006100"/>
                <w:sz w:val="6"/>
                <w:szCs w:val="6"/>
              </w:rPr>
            </w:pPr>
          </w:p>
          <w:p w14:paraId="1637B59F" w14:textId="77777777" w:rsidR="001B186F" w:rsidRPr="00DE4E4F" w:rsidRDefault="0074517F">
            <w:pPr>
              <w:spacing w:after="0"/>
              <w:rPr>
                <w:rFonts w:ascii="Times New Roman" w:hAnsi="Times New Roman" w:cs="Times New Roman"/>
                <w:noProof/>
                <w:sz w:val="18"/>
                <w:szCs w:val="18"/>
              </w:rPr>
            </w:pPr>
            <w:r w:rsidRPr="00DE4E4F">
              <w:rPr>
                <w:rFonts w:ascii="Times New Roman" w:hAnsi="Times New Roman" w:cs="Times New Roman"/>
                <w:noProof/>
                <w:color w:val="006100"/>
                <w:sz w:val="18"/>
                <w:szCs w:val="18"/>
              </w:rPr>
              <w:t>The mitigation and compensatory measures required under the Environmental Impact Assessment pursuant to Directive 2011/92/EU shall have been implemented.</w:t>
            </w:r>
            <w:r w:rsidRPr="00DE4E4F">
              <w:rPr>
                <w:rFonts w:ascii="Times New Roman" w:hAnsi="Times New Roman" w:cs="Times New Roman"/>
                <w:noProof/>
                <w:sz w:val="18"/>
                <w:szCs w:val="18"/>
              </w:rPr>
              <w:t xml:space="preserve"> </w:t>
            </w:r>
          </w:p>
        </w:tc>
      </w:tr>
    </w:tbl>
    <w:p w14:paraId="62CDDBF1"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27: Industry &amp; Investments</w:t>
      </w:r>
    </w:p>
    <w:p w14:paraId="0E7BA2D4" w14:textId="77777777" w:rsidR="001B186F" w:rsidRPr="00DE4E4F" w:rsidRDefault="0074517F">
      <w:pPr>
        <w:numPr>
          <w:ilvl w:val="0"/>
          <w:numId w:val="82"/>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Amendment of the legal framework for the attraction of strategic investment (ID: 16593)</w:t>
      </w:r>
    </w:p>
    <w:p w14:paraId="38225AF6" w14:textId="77777777" w:rsidR="001B186F" w:rsidRPr="00DE4E4F" w:rsidRDefault="0074517F">
      <w:pPr>
        <w:numPr>
          <w:ilvl w:val="0"/>
          <w:numId w:val="82"/>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Industrial Parks (ID: 16634)</w:t>
      </w:r>
    </w:p>
    <w:p w14:paraId="19084ED6" w14:textId="77777777" w:rsidR="001B186F" w:rsidRPr="00DE4E4F" w:rsidRDefault="0074517F">
      <w:pPr>
        <w:numPr>
          <w:ilvl w:val="0"/>
          <w:numId w:val="82"/>
        </w:num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Acceleration of smart manufacturing (ID: 16721) </w:t>
      </w:r>
    </w:p>
    <w:tbl>
      <w:tblPr>
        <w:tblW w:w="15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
        <w:gridCol w:w="2084"/>
        <w:gridCol w:w="1298"/>
        <w:gridCol w:w="1396"/>
        <w:gridCol w:w="1823"/>
        <w:gridCol w:w="866"/>
        <w:gridCol w:w="857"/>
        <w:gridCol w:w="691"/>
        <w:gridCol w:w="851"/>
        <w:gridCol w:w="709"/>
        <w:gridCol w:w="4308"/>
      </w:tblGrid>
      <w:tr w:rsidR="00682269" w:rsidRPr="00DE4E4F" w14:paraId="4C93C45D" w14:textId="77777777">
        <w:trPr>
          <w:trHeight w:val="839"/>
          <w:tblHeader/>
          <w:jc w:val="center"/>
        </w:trPr>
        <w:tc>
          <w:tcPr>
            <w:tcW w:w="619" w:type="dxa"/>
            <w:vMerge w:val="restart"/>
            <w:shd w:val="clear" w:color="auto" w:fill="BDD7EE"/>
            <w:vAlign w:val="center"/>
            <w:hideMark/>
          </w:tcPr>
          <w:p w14:paraId="6EC5157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084" w:type="dxa"/>
            <w:vMerge w:val="restart"/>
            <w:shd w:val="clear" w:color="auto" w:fill="BDD7EE"/>
            <w:vAlign w:val="center"/>
            <w:hideMark/>
          </w:tcPr>
          <w:p w14:paraId="19D4AEF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1298" w:type="dxa"/>
            <w:vMerge w:val="restart"/>
            <w:shd w:val="clear" w:color="auto" w:fill="BDD7EE"/>
            <w:vAlign w:val="center"/>
            <w:hideMark/>
          </w:tcPr>
          <w:p w14:paraId="0F496A5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396" w:type="dxa"/>
            <w:vMerge w:val="restart"/>
            <w:shd w:val="clear" w:color="auto" w:fill="BDD7EE"/>
            <w:vAlign w:val="center"/>
            <w:hideMark/>
          </w:tcPr>
          <w:p w14:paraId="0E8143F4"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823" w:type="dxa"/>
            <w:vMerge w:val="restart"/>
            <w:shd w:val="clear" w:color="auto" w:fill="BDD7EE"/>
            <w:vAlign w:val="center"/>
            <w:hideMark/>
          </w:tcPr>
          <w:p w14:paraId="1018B1E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2414" w:type="dxa"/>
            <w:gridSpan w:val="3"/>
            <w:shd w:val="clear" w:color="auto" w:fill="BDD7EE"/>
            <w:vAlign w:val="center"/>
            <w:hideMark/>
          </w:tcPr>
          <w:p w14:paraId="1E6D784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1560" w:type="dxa"/>
            <w:gridSpan w:val="2"/>
            <w:shd w:val="clear" w:color="auto" w:fill="BDD7EE"/>
            <w:vAlign w:val="center"/>
            <w:hideMark/>
          </w:tcPr>
          <w:p w14:paraId="68AB3C3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4308" w:type="dxa"/>
            <w:vMerge w:val="restart"/>
            <w:shd w:val="clear" w:color="auto" w:fill="BDD7EE"/>
            <w:vAlign w:val="center"/>
            <w:hideMark/>
          </w:tcPr>
          <w:p w14:paraId="0C30F0D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682269" w:rsidRPr="00DE4E4F" w14:paraId="659B3C89" w14:textId="77777777">
        <w:trPr>
          <w:trHeight w:val="456"/>
          <w:tblHeader/>
          <w:jc w:val="center"/>
        </w:trPr>
        <w:tc>
          <w:tcPr>
            <w:tcW w:w="619" w:type="dxa"/>
            <w:vMerge/>
            <w:vAlign w:val="center"/>
            <w:hideMark/>
          </w:tcPr>
          <w:p w14:paraId="5BE10B56"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084" w:type="dxa"/>
            <w:vMerge/>
            <w:vAlign w:val="center"/>
            <w:hideMark/>
          </w:tcPr>
          <w:p w14:paraId="637CBD21"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98" w:type="dxa"/>
            <w:vMerge/>
            <w:vAlign w:val="center"/>
            <w:hideMark/>
          </w:tcPr>
          <w:p w14:paraId="4370817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96" w:type="dxa"/>
            <w:vMerge/>
            <w:vAlign w:val="center"/>
            <w:hideMark/>
          </w:tcPr>
          <w:p w14:paraId="4E2484D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823" w:type="dxa"/>
            <w:vMerge/>
            <w:vAlign w:val="center"/>
            <w:hideMark/>
          </w:tcPr>
          <w:p w14:paraId="6A08B2D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866" w:type="dxa"/>
            <w:shd w:val="clear" w:color="auto" w:fill="BDD7EE"/>
            <w:vAlign w:val="center"/>
            <w:hideMark/>
          </w:tcPr>
          <w:p w14:paraId="6AC2160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32D3292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691" w:type="dxa"/>
            <w:shd w:val="clear" w:color="auto" w:fill="BDD7EE"/>
            <w:vAlign w:val="center"/>
            <w:hideMark/>
          </w:tcPr>
          <w:p w14:paraId="69DDF87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851" w:type="dxa"/>
            <w:shd w:val="clear" w:color="auto" w:fill="BDD7EE"/>
            <w:vAlign w:val="center"/>
            <w:hideMark/>
          </w:tcPr>
          <w:p w14:paraId="03918B0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709" w:type="dxa"/>
            <w:shd w:val="clear" w:color="auto" w:fill="BDD7EE"/>
            <w:vAlign w:val="center"/>
            <w:hideMark/>
          </w:tcPr>
          <w:p w14:paraId="019056C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4308" w:type="dxa"/>
            <w:vMerge/>
            <w:vAlign w:val="center"/>
            <w:hideMark/>
          </w:tcPr>
          <w:p w14:paraId="195ED197"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6D41D90A" w14:textId="77777777">
        <w:trPr>
          <w:trHeight w:val="313"/>
          <w:jc w:val="center"/>
        </w:trPr>
        <w:tc>
          <w:tcPr>
            <w:tcW w:w="619" w:type="dxa"/>
            <w:shd w:val="clear" w:color="auto" w:fill="C6EFCE"/>
            <w:noWrap/>
          </w:tcPr>
          <w:p w14:paraId="0F6E3F5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299</w:t>
            </w:r>
          </w:p>
        </w:tc>
        <w:tc>
          <w:tcPr>
            <w:tcW w:w="2084" w:type="dxa"/>
            <w:shd w:val="clear" w:color="auto" w:fill="C6EFCE"/>
            <w:noWrap/>
          </w:tcPr>
          <w:p w14:paraId="13805CB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- 16593_Amendment of the legal framework for the attraction of strategic investment</w:t>
            </w:r>
          </w:p>
        </w:tc>
        <w:tc>
          <w:tcPr>
            <w:tcW w:w="1298" w:type="dxa"/>
            <w:shd w:val="clear" w:color="auto" w:fill="C6EFCE"/>
            <w:noWrap/>
          </w:tcPr>
          <w:p w14:paraId="3E71EB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3366E2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Strategic investments –legislative reform</w:t>
            </w:r>
          </w:p>
        </w:tc>
        <w:tc>
          <w:tcPr>
            <w:tcW w:w="1823" w:type="dxa"/>
            <w:shd w:val="clear" w:color="auto" w:fill="C6EFCE"/>
            <w:noWrap/>
          </w:tcPr>
          <w:p w14:paraId="0D121D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legislative amendments</w:t>
            </w:r>
          </w:p>
        </w:tc>
        <w:tc>
          <w:tcPr>
            <w:tcW w:w="866" w:type="dxa"/>
            <w:shd w:val="clear" w:color="auto" w:fill="C6EFCE"/>
            <w:noWrap/>
          </w:tcPr>
          <w:p w14:paraId="0B0B221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5289F8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427DEF7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7457884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5D132D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308" w:type="dxa"/>
            <w:shd w:val="clear" w:color="auto" w:fill="C6EFCE"/>
            <w:noWrap/>
          </w:tcPr>
          <w:p w14:paraId="43C0E78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legislative amendments to reform the legislative framework for attracting strategic investments (Law 3894/2010 and Law 4608/2019), including through legal codification to create a uniform and cohesive framework and legal amendments to introduce a new strategic investments category ‘Emblematic Investment of Great Significance’. </w:t>
            </w:r>
          </w:p>
          <w:p w14:paraId="5A7F51E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29423D99" w14:textId="55A1A120" w:rsidR="001B186F" w:rsidRPr="00DE4E4F" w:rsidRDefault="0074517F" w:rsidP="00B116A1">
            <w:pPr>
              <w:spacing w:after="0" w:line="240" w:lineRule="auto"/>
              <w:rPr>
                <w:rFonts w:ascii="Times New Roman" w:eastAsia="Times New Roman" w:hAnsi="Times New Roman" w:cs="Times New Roman"/>
                <w:noProof/>
                <w:color w:val="006100"/>
                <w:sz w:val="18"/>
                <w:szCs w:val="18"/>
                <w:highlight w:val="yellow"/>
                <w:lang w:eastAsia="en-GB"/>
              </w:rPr>
            </w:pPr>
            <w:r w:rsidRPr="00DE4E4F">
              <w:rPr>
                <w:rFonts w:ascii="Times New Roman" w:hAnsi="Times New Roman" w:cs="Times New Roman"/>
                <w:noProof/>
                <w:color w:val="006100"/>
                <w:sz w:val="18"/>
                <w:szCs w:val="18"/>
              </w:rPr>
              <w:t>The reform of the strategic investment framework shall also introduce provisions to help accelerate the administrative procedure related to the approval and licensing of a Strategic Investment (i.e. to improve the fast-track procedure). New categories of strategic investments shall be introduced in the law on the basis of criteria conducive to innovation or technology diffusion, use of renewables and transition to low carbon economy, and/or to significantly promote the competitiveness of the Greek economy at international level.</w:t>
            </w:r>
          </w:p>
        </w:tc>
      </w:tr>
      <w:tr w:rsidR="00682269" w:rsidRPr="00DE4E4F" w14:paraId="34FA76C0" w14:textId="77777777">
        <w:trPr>
          <w:trHeight w:val="313"/>
          <w:jc w:val="center"/>
        </w:trPr>
        <w:tc>
          <w:tcPr>
            <w:tcW w:w="619" w:type="dxa"/>
            <w:shd w:val="clear" w:color="auto" w:fill="C6EFCE"/>
            <w:noWrap/>
          </w:tcPr>
          <w:p w14:paraId="1230594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300</w:t>
            </w:r>
          </w:p>
        </w:tc>
        <w:tc>
          <w:tcPr>
            <w:tcW w:w="2084" w:type="dxa"/>
            <w:shd w:val="clear" w:color="auto" w:fill="C6EFCE"/>
            <w:noWrap/>
          </w:tcPr>
          <w:p w14:paraId="63DCFF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-16721_Acceleration of smart manufacturing</w:t>
            </w:r>
          </w:p>
        </w:tc>
        <w:tc>
          <w:tcPr>
            <w:tcW w:w="1298" w:type="dxa"/>
            <w:shd w:val="clear" w:color="auto" w:fill="C6EFCE"/>
            <w:noWrap/>
          </w:tcPr>
          <w:p w14:paraId="30534E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06EB63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calls for manufacturing</w:t>
            </w:r>
          </w:p>
        </w:tc>
        <w:tc>
          <w:tcPr>
            <w:tcW w:w="1823" w:type="dxa"/>
            <w:shd w:val="clear" w:color="auto" w:fill="C6EFCE"/>
            <w:noWrap/>
          </w:tcPr>
          <w:p w14:paraId="0F55EE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Launch of calls for manufacturing firms </w:t>
            </w:r>
          </w:p>
        </w:tc>
        <w:tc>
          <w:tcPr>
            <w:tcW w:w="866" w:type="dxa"/>
            <w:shd w:val="clear" w:color="auto" w:fill="C6EFCE"/>
            <w:noWrap/>
          </w:tcPr>
          <w:p w14:paraId="6EAEC15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13C001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35DB87E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1F8BEA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shd w:val="clear" w:color="auto" w:fill="C6EFCE"/>
            <w:noWrap/>
          </w:tcPr>
          <w:p w14:paraId="7EB7909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08" w:type="dxa"/>
            <w:shd w:val="clear" w:color="auto" w:fill="C6EFCE"/>
            <w:noWrap/>
          </w:tcPr>
          <w:p w14:paraId="6332F55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all competitive calls for proposals for the manufacturing sector in investments regarding digitalisation of production lines, automation and interconnection of supply chains, designing and production of smart products and services, implementation of smart manufacturing technologies in ultra-high-speed/ 5G network mechanical, laboratory &amp; manufacturing equipment, quality control equipment, ICT &amp; software equipment, software licenses, cloud licenses, implementation services for the new IT infrastructure and S/W, IT Security services, product design, intellectual property, patent and certification costs,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682269" w:rsidRPr="00DE4E4F" w14:paraId="020AB5F5" w14:textId="77777777">
        <w:trPr>
          <w:trHeight w:val="313"/>
          <w:jc w:val="center"/>
        </w:trPr>
        <w:tc>
          <w:tcPr>
            <w:tcW w:w="619" w:type="dxa"/>
            <w:shd w:val="clear" w:color="auto" w:fill="C6EFCE"/>
            <w:noWrap/>
          </w:tcPr>
          <w:p w14:paraId="07AA78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301</w:t>
            </w:r>
          </w:p>
        </w:tc>
        <w:tc>
          <w:tcPr>
            <w:tcW w:w="2084" w:type="dxa"/>
            <w:shd w:val="clear" w:color="auto" w:fill="C6EFCE"/>
            <w:noWrap/>
          </w:tcPr>
          <w:p w14:paraId="31DA847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- 16634_New Industrial Parks</w:t>
            </w:r>
          </w:p>
          <w:p w14:paraId="271818F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298" w:type="dxa"/>
            <w:shd w:val="clear" w:color="auto" w:fill="C6EFCE"/>
            <w:noWrap/>
          </w:tcPr>
          <w:p w14:paraId="628309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58128B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calls for Industrial parks</w:t>
            </w:r>
          </w:p>
        </w:tc>
        <w:tc>
          <w:tcPr>
            <w:tcW w:w="1823" w:type="dxa"/>
            <w:shd w:val="clear" w:color="auto" w:fill="C6EFCE"/>
            <w:noWrap/>
          </w:tcPr>
          <w:p w14:paraId="5A7F15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Launch of calls for proposals for industrial parks </w:t>
            </w:r>
          </w:p>
        </w:tc>
        <w:tc>
          <w:tcPr>
            <w:tcW w:w="866" w:type="dxa"/>
            <w:shd w:val="clear" w:color="auto" w:fill="C6EFCE"/>
            <w:noWrap/>
          </w:tcPr>
          <w:p w14:paraId="585F315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6F4781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7BB0385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326E32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shd w:val="clear" w:color="auto" w:fill="C6EFCE"/>
            <w:noWrap/>
          </w:tcPr>
          <w:p w14:paraId="489825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08" w:type="dxa"/>
            <w:shd w:val="clear" w:color="auto" w:fill="C6EFCE"/>
            <w:noWrap/>
          </w:tcPr>
          <w:p w14:paraId="0FE0742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all competitive calls for proposals for the development of industrial parks for investments in a) infrastructure for the establishment of the new generation parks (including the acquisition of the land) with specific energy efficiency criteria for the construction of new buildings and energy efficiency and demonstration projects in large enterprises and supporting measures, b) infrastructure to digitally transform and create smart industrial areas, c) solar renewable energy, d) water management and water resource conservation (investments shall have an average Infrastructure Leakage Index (ILI) of &lt;= 1,5), e) waste water collection and treatment systems compliant with energy efficiency criteria, f) electromobility (development of refuelling networks for electric or hydrogen vehicles or refuelling points for biomethane for transport), g) projects for the rehabilitation of industrial sites and contaminated lands. Terms of reference including eligibility criteria shall ensure that the selected projects comply with the Do No Significant Harm Technical Guidance (2021/C58/01) through the use of an exclusion list and the requirement of compliance with the relevant EU and national environmental legislation.</w:t>
            </w:r>
          </w:p>
          <w:p w14:paraId="30D4E6C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72A6BF6D" w14:textId="12EC6A9E"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The construction of new buildings shall comply with a Primary Energy Demand (PED) that is at least 20% lower than the NZEB requirement (nearly zero-energy building, national directives). In the case of construction of front-to-end </w:t>
            </w:r>
            <w:r w:rsidR="00734D9F" w:rsidRPr="00DE4E4F">
              <w:rPr>
                <w:rFonts w:ascii="Times New Roman" w:hAnsi="Times New Roman" w:cs="Times New Roman"/>
                <w:noProof/>
                <w:color w:val="006100"/>
                <w:sz w:val="18"/>
                <w:szCs w:val="18"/>
              </w:rPr>
              <w:t>wastewater</w:t>
            </w:r>
            <w:r w:rsidRPr="00DE4E4F">
              <w:rPr>
                <w:rFonts w:ascii="Times New Roman" w:hAnsi="Times New Roman" w:cs="Times New Roman"/>
                <w:noProof/>
                <w:color w:val="006100"/>
                <w:sz w:val="18"/>
                <w:szCs w:val="18"/>
              </w:rPr>
              <w:t xml:space="preserve"> systems, the measure shall have net zero energy use, and in the case of the renewal of the front-to-end </w:t>
            </w:r>
            <w:r w:rsidR="00734D9F" w:rsidRPr="00DE4E4F">
              <w:rPr>
                <w:rFonts w:ascii="Times New Roman" w:hAnsi="Times New Roman" w:cs="Times New Roman"/>
                <w:noProof/>
                <w:color w:val="006100"/>
                <w:sz w:val="18"/>
                <w:szCs w:val="18"/>
              </w:rPr>
              <w:t>wastewater</w:t>
            </w:r>
            <w:r w:rsidRPr="00DE4E4F">
              <w:rPr>
                <w:rFonts w:ascii="Times New Roman" w:hAnsi="Times New Roman" w:cs="Times New Roman"/>
                <w:noProof/>
                <w:color w:val="006100"/>
                <w:sz w:val="18"/>
                <w:szCs w:val="18"/>
              </w:rPr>
              <w:t xml:space="preserve"> systems, the measure shall lead to a decreased average energy use by at least 10% (solely by energy efficiency measures and not by material changes or changes in load). Investments in electromobility shall be in in line with Directive (EU) 2018/2001 and shall relate to alternative fuel for transport.</w:t>
            </w:r>
          </w:p>
        </w:tc>
      </w:tr>
      <w:tr w:rsidR="00682269" w:rsidRPr="00DE4E4F" w14:paraId="65887A85" w14:textId="77777777">
        <w:trPr>
          <w:trHeight w:val="313"/>
          <w:jc w:val="center"/>
        </w:trPr>
        <w:tc>
          <w:tcPr>
            <w:tcW w:w="619" w:type="dxa"/>
            <w:shd w:val="clear" w:color="auto" w:fill="C6EFCE"/>
            <w:noWrap/>
          </w:tcPr>
          <w:p w14:paraId="6FF327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302</w:t>
            </w:r>
          </w:p>
        </w:tc>
        <w:tc>
          <w:tcPr>
            <w:tcW w:w="2084" w:type="dxa"/>
            <w:shd w:val="clear" w:color="auto" w:fill="C6EFCE"/>
            <w:noWrap/>
          </w:tcPr>
          <w:p w14:paraId="5E3126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- 16634_New Industrial Parks</w:t>
            </w:r>
          </w:p>
        </w:tc>
        <w:tc>
          <w:tcPr>
            <w:tcW w:w="1298" w:type="dxa"/>
            <w:shd w:val="clear" w:color="auto" w:fill="C6EFCE"/>
            <w:noWrap/>
          </w:tcPr>
          <w:p w14:paraId="1EAC98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5E7159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Industrial Parks – legislative reform (primary law)</w:t>
            </w:r>
          </w:p>
        </w:tc>
        <w:tc>
          <w:tcPr>
            <w:tcW w:w="1823" w:type="dxa"/>
            <w:shd w:val="clear" w:color="auto" w:fill="C6EFCE"/>
            <w:noWrap/>
          </w:tcPr>
          <w:p w14:paraId="3D7FE60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Publication of legislation in Official Journal</w:t>
            </w:r>
          </w:p>
        </w:tc>
        <w:tc>
          <w:tcPr>
            <w:tcW w:w="866" w:type="dxa"/>
            <w:shd w:val="clear" w:color="auto" w:fill="C6EFCE"/>
            <w:noWrap/>
          </w:tcPr>
          <w:p w14:paraId="6EA8DFC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F9CCBF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1D49053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1559E3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shd w:val="clear" w:color="auto" w:fill="C6EFCE"/>
            <w:noWrap/>
          </w:tcPr>
          <w:p w14:paraId="348ABA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08" w:type="dxa"/>
            <w:shd w:val="clear" w:color="auto" w:fill="C6EFCE"/>
            <w:noWrap/>
          </w:tcPr>
          <w:p w14:paraId="491C80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Enactment of primary legislation to improve the regulatory framework for Industrial Business Parks, including addressing legal uncertainties, resolving governance issues, and providing effective incentives for the resolution of informal industrial concentrations</w:t>
            </w:r>
          </w:p>
        </w:tc>
      </w:tr>
      <w:tr w:rsidR="00682269" w:rsidRPr="00DE4E4F" w14:paraId="5773FD83" w14:textId="77777777">
        <w:trPr>
          <w:trHeight w:val="313"/>
          <w:jc w:val="center"/>
        </w:trPr>
        <w:tc>
          <w:tcPr>
            <w:tcW w:w="619" w:type="dxa"/>
            <w:shd w:val="clear" w:color="auto" w:fill="C6EFCE"/>
            <w:noWrap/>
            <w:hideMark/>
          </w:tcPr>
          <w:p w14:paraId="3FD131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303</w:t>
            </w:r>
          </w:p>
        </w:tc>
        <w:tc>
          <w:tcPr>
            <w:tcW w:w="2084" w:type="dxa"/>
            <w:shd w:val="clear" w:color="auto" w:fill="C6EFCE"/>
            <w:noWrap/>
            <w:hideMark/>
          </w:tcPr>
          <w:p w14:paraId="5757BA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- 16593_Amendment of the legal framework for the attraction of strategic investment</w:t>
            </w:r>
          </w:p>
        </w:tc>
        <w:tc>
          <w:tcPr>
            <w:tcW w:w="1298" w:type="dxa"/>
            <w:shd w:val="clear" w:color="auto" w:fill="C6EFCE"/>
            <w:noWrap/>
            <w:hideMark/>
          </w:tcPr>
          <w:p w14:paraId="5B9A9A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hideMark/>
          </w:tcPr>
          <w:p w14:paraId="552E2C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Strategic investments -selection of eligible projects</w:t>
            </w:r>
          </w:p>
        </w:tc>
        <w:tc>
          <w:tcPr>
            <w:tcW w:w="1823" w:type="dxa"/>
            <w:shd w:val="clear" w:color="auto" w:fill="C6EFCE"/>
            <w:noWrap/>
            <w:hideMark/>
          </w:tcPr>
          <w:p w14:paraId="677307A2" w14:textId="34AF253D"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Selection of ’Emblematic Investments of Great Significance’ eligible for financing </w:t>
            </w:r>
          </w:p>
        </w:tc>
        <w:tc>
          <w:tcPr>
            <w:tcW w:w="866" w:type="dxa"/>
            <w:shd w:val="clear" w:color="auto" w:fill="C6EFCE"/>
            <w:noWrap/>
            <w:hideMark/>
          </w:tcPr>
          <w:p w14:paraId="42F8C8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7" w:type="dxa"/>
            <w:shd w:val="clear" w:color="auto" w:fill="C6EFCE"/>
            <w:noWrap/>
            <w:hideMark/>
          </w:tcPr>
          <w:p w14:paraId="5D2985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691" w:type="dxa"/>
            <w:shd w:val="clear" w:color="auto" w:fill="C6EFCE"/>
            <w:noWrap/>
            <w:hideMark/>
          </w:tcPr>
          <w:p w14:paraId="1CF60A1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1" w:type="dxa"/>
            <w:shd w:val="clear" w:color="auto" w:fill="C6EFCE"/>
            <w:noWrap/>
            <w:hideMark/>
          </w:tcPr>
          <w:p w14:paraId="25ED8B8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hideMark/>
          </w:tcPr>
          <w:p w14:paraId="250E10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4308" w:type="dxa"/>
            <w:shd w:val="clear" w:color="auto" w:fill="C6EFCE"/>
            <w:noWrap/>
            <w:hideMark/>
          </w:tcPr>
          <w:p w14:paraId="278EBA2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Selection of “Emblematic Investments of Great Significance” via the approval decision of the Interministerial Committee for Strategic Investments (attested by publication of decision). Regarding the energy investments, eligible investments shall comprise of investments in a) infrastructure with specific energy criteria for the construction of new buildings, b) hybrid power generation projects from RES in unconnected islands, c) investments for the production of green hydrogen, d) systems for electric power storage produced from RES, or e) installations of offshore wind parks and offshore photovoltaic parks in compliance with the ’Do no significant harm’ Technical Guidance (2021/C58/01) through the use of an exclusion list and the requirement of compliance with the relevant EU and national environmental legislation. </w:t>
            </w:r>
          </w:p>
          <w:p w14:paraId="298757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4835EA8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construction of new buildings shall comply with a Primary Energy Demand (PED) that is at least 20% lower than the NZEB requirement (nearly zero-energy building, national directives).</w:t>
            </w:r>
          </w:p>
        </w:tc>
      </w:tr>
      <w:tr w:rsidR="00682269" w:rsidRPr="00DE4E4F" w14:paraId="05831A8B" w14:textId="77777777">
        <w:trPr>
          <w:trHeight w:val="313"/>
          <w:jc w:val="center"/>
        </w:trPr>
        <w:tc>
          <w:tcPr>
            <w:tcW w:w="619" w:type="dxa"/>
            <w:shd w:val="clear" w:color="auto" w:fill="C6EFCE"/>
            <w:noWrap/>
            <w:hideMark/>
          </w:tcPr>
          <w:p w14:paraId="17D15F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304</w:t>
            </w:r>
          </w:p>
        </w:tc>
        <w:tc>
          <w:tcPr>
            <w:tcW w:w="2084" w:type="dxa"/>
            <w:shd w:val="clear" w:color="auto" w:fill="C6EFCE"/>
            <w:noWrap/>
            <w:hideMark/>
          </w:tcPr>
          <w:p w14:paraId="565189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- 16634_New Industrial Parks</w:t>
            </w:r>
          </w:p>
        </w:tc>
        <w:tc>
          <w:tcPr>
            <w:tcW w:w="1298" w:type="dxa"/>
            <w:shd w:val="clear" w:color="auto" w:fill="C6EFCE"/>
            <w:noWrap/>
            <w:hideMark/>
          </w:tcPr>
          <w:p w14:paraId="111F8E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hideMark/>
          </w:tcPr>
          <w:p w14:paraId="029C64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Industrial Parks – legislative reform (secondary legislation)</w:t>
            </w:r>
          </w:p>
        </w:tc>
        <w:tc>
          <w:tcPr>
            <w:tcW w:w="1823" w:type="dxa"/>
            <w:shd w:val="clear" w:color="auto" w:fill="C6EFCE"/>
            <w:noWrap/>
            <w:hideMark/>
          </w:tcPr>
          <w:p w14:paraId="44DA8E4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all required legislation </w:t>
            </w:r>
          </w:p>
        </w:tc>
        <w:tc>
          <w:tcPr>
            <w:tcW w:w="866" w:type="dxa"/>
            <w:shd w:val="clear" w:color="auto" w:fill="C6EFCE"/>
            <w:noWrap/>
            <w:hideMark/>
          </w:tcPr>
          <w:p w14:paraId="0F903FB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7" w:type="dxa"/>
            <w:shd w:val="clear" w:color="auto" w:fill="C6EFCE"/>
            <w:noWrap/>
            <w:hideMark/>
          </w:tcPr>
          <w:p w14:paraId="2BEA044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691" w:type="dxa"/>
            <w:shd w:val="clear" w:color="auto" w:fill="C6EFCE"/>
            <w:noWrap/>
            <w:hideMark/>
          </w:tcPr>
          <w:p w14:paraId="4BB246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851" w:type="dxa"/>
            <w:shd w:val="clear" w:color="auto" w:fill="C6EFCE"/>
            <w:noWrap/>
            <w:hideMark/>
          </w:tcPr>
          <w:p w14:paraId="114A2C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shd w:val="clear" w:color="auto" w:fill="C6EFCE"/>
            <w:noWrap/>
            <w:hideMark/>
          </w:tcPr>
          <w:p w14:paraId="65A48A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308" w:type="dxa"/>
            <w:shd w:val="clear" w:color="auto" w:fill="C6EFCE"/>
            <w:noWrap/>
            <w:hideMark/>
          </w:tcPr>
          <w:p w14:paraId="746944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all necessary secondary legislation to operationalise the new framework to improve the regulatory framework for Industrial Business Parks, including addressing legal uncertainties, resolving governance issues, and providing effective incentives for the resolution of informal industrial concentrations.</w:t>
            </w:r>
          </w:p>
        </w:tc>
      </w:tr>
      <w:tr w:rsidR="00682269" w:rsidRPr="00DE4E4F" w14:paraId="210F8154" w14:textId="77777777">
        <w:trPr>
          <w:trHeight w:val="313"/>
          <w:jc w:val="center"/>
        </w:trPr>
        <w:tc>
          <w:tcPr>
            <w:tcW w:w="619" w:type="dxa"/>
            <w:shd w:val="clear" w:color="auto" w:fill="C6EFCE"/>
            <w:noWrap/>
          </w:tcPr>
          <w:p w14:paraId="119DF49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307</w:t>
            </w:r>
          </w:p>
        </w:tc>
        <w:tc>
          <w:tcPr>
            <w:tcW w:w="2084" w:type="dxa"/>
            <w:shd w:val="clear" w:color="auto" w:fill="C6EFCE"/>
            <w:noWrap/>
          </w:tcPr>
          <w:p w14:paraId="73BCA0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- 16634_ Industrial Parks</w:t>
            </w:r>
          </w:p>
        </w:tc>
        <w:tc>
          <w:tcPr>
            <w:tcW w:w="1298" w:type="dxa"/>
            <w:shd w:val="clear" w:color="auto" w:fill="C6EFCE"/>
            <w:noWrap/>
          </w:tcPr>
          <w:p w14:paraId="2663DE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605216F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Industrial parks– execution of investment plans</w:t>
            </w:r>
          </w:p>
        </w:tc>
        <w:tc>
          <w:tcPr>
            <w:tcW w:w="1823" w:type="dxa"/>
            <w:shd w:val="clear" w:color="auto" w:fill="C6EFCE"/>
            <w:noWrap/>
          </w:tcPr>
          <w:p w14:paraId="4846DF49" w14:textId="64530968" w:rsidR="001B186F" w:rsidRPr="00DE4E4F" w:rsidRDefault="00B201AE">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Certification Report verifying the execution of the investment plans </w:t>
            </w:r>
          </w:p>
          <w:p w14:paraId="61F0D526" w14:textId="77777777" w:rsidR="001B186F" w:rsidRPr="00DE4E4F" w:rsidRDefault="001B186F">
            <w:pPr>
              <w:spacing w:after="0" w:line="240" w:lineRule="auto"/>
              <w:ind w:left="198" w:hanging="198"/>
              <w:rPr>
                <w:rFonts w:ascii="Times New Roman" w:eastAsia="Times New Roman" w:hAnsi="Times New Roman" w:cs="Times New Roman"/>
                <w:noProof/>
                <w:color w:val="006100"/>
                <w:sz w:val="18"/>
                <w:szCs w:val="18"/>
                <w:lang w:eastAsia="en-GB"/>
              </w:rPr>
            </w:pPr>
          </w:p>
        </w:tc>
        <w:tc>
          <w:tcPr>
            <w:tcW w:w="866" w:type="dxa"/>
            <w:shd w:val="clear" w:color="auto" w:fill="C6EFCE"/>
            <w:noWrap/>
          </w:tcPr>
          <w:p w14:paraId="6F2E06A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53C1BAB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4A25B38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2366590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28733B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08" w:type="dxa"/>
            <w:shd w:val="clear" w:color="auto" w:fill="C6EFCE"/>
            <w:noWrap/>
          </w:tcPr>
          <w:p w14:paraId="67B8367F" w14:textId="77AFFF16"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the investment plans for a combined total of 22 industrial parks and electricity transmission substations. </w:t>
            </w:r>
          </w:p>
        </w:tc>
      </w:tr>
      <w:tr w:rsidR="00682269" w:rsidRPr="00DE4E4F" w14:paraId="0F0BB2BE" w14:textId="77777777">
        <w:trPr>
          <w:trHeight w:val="313"/>
          <w:jc w:val="center"/>
        </w:trPr>
        <w:tc>
          <w:tcPr>
            <w:tcW w:w="619" w:type="dxa"/>
            <w:shd w:val="clear" w:color="auto" w:fill="C6EFCE"/>
            <w:noWrap/>
          </w:tcPr>
          <w:p w14:paraId="6AE1292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308</w:t>
            </w:r>
          </w:p>
        </w:tc>
        <w:tc>
          <w:tcPr>
            <w:tcW w:w="2084" w:type="dxa"/>
            <w:shd w:val="clear" w:color="auto" w:fill="C6EFCE"/>
            <w:noWrap/>
          </w:tcPr>
          <w:p w14:paraId="5AF50C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- 16593_Amendment of the legal framework for the attraction of strategic investment</w:t>
            </w:r>
          </w:p>
        </w:tc>
        <w:tc>
          <w:tcPr>
            <w:tcW w:w="1298" w:type="dxa"/>
            <w:shd w:val="clear" w:color="auto" w:fill="C6EFCE"/>
            <w:noWrap/>
          </w:tcPr>
          <w:p w14:paraId="05E1AF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3E0B64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Strategic investments – Execution of investment plans</w:t>
            </w:r>
          </w:p>
        </w:tc>
        <w:tc>
          <w:tcPr>
            <w:tcW w:w="1823" w:type="dxa"/>
            <w:shd w:val="clear" w:color="auto" w:fill="C6EFCE"/>
            <w:noWrap/>
          </w:tcPr>
          <w:p w14:paraId="561425A8" w14:textId="35D9D7F8" w:rsidR="001B186F" w:rsidRPr="00DE4E4F" w:rsidRDefault="00406C5B">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Technical certifications and reports verifying execution of the RRF part of 5 investment plans.</w:t>
            </w:r>
          </w:p>
        </w:tc>
        <w:tc>
          <w:tcPr>
            <w:tcW w:w="866" w:type="dxa"/>
            <w:shd w:val="clear" w:color="auto" w:fill="C6EFCE"/>
            <w:noWrap/>
          </w:tcPr>
          <w:p w14:paraId="5DF57AA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2D6ED2E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0F9D9BE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2C7362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619505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08" w:type="dxa"/>
            <w:shd w:val="clear" w:color="auto" w:fill="C6EFCE"/>
            <w:noWrap/>
          </w:tcPr>
          <w:p w14:paraId="438501F1" w14:textId="013F0B02"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the investment plans for </w:t>
            </w:r>
            <w:r w:rsidR="007966AD" w:rsidRPr="00DE4E4F">
              <w:rPr>
                <w:rFonts w:ascii="Times New Roman" w:hAnsi="Times New Roman" w:cs="Times New Roman"/>
                <w:noProof/>
                <w:color w:val="006100"/>
                <w:sz w:val="18"/>
                <w:szCs w:val="18"/>
              </w:rPr>
              <w:t>4</w:t>
            </w:r>
            <w:r w:rsidRPr="00DE4E4F">
              <w:rPr>
                <w:rFonts w:ascii="Times New Roman" w:hAnsi="Times New Roman" w:cs="Times New Roman"/>
                <w:noProof/>
                <w:color w:val="006100"/>
                <w:sz w:val="18"/>
                <w:szCs w:val="18"/>
              </w:rPr>
              <w:t xml:space="preserve"> Emblematic Investments of Great Significance selected in line with the approval decisions of the Interministerial Committee for Strategic Investments.</w:t>
            </w:r>
            <w:r w:rsidR="006059D0" w:rsidRPr="00DE4E4F">
              <w:rPr>
                <w:rFonts w:ascii="Times New Roman" w:hAnsi="Times New Roman" w:cs="Times New Roman"/>
                <w:noProof/>
                <w:color w:val="006100"/>
                <w:sz w:val="18"/>
                <w:szCs w:val="18"/>
              </w:rPr>
              <w:t xml:space="preserve"> </w:t>
            </w:r>
          </w:p>
          <w:p w14:paraId="71203643" w14:textId="77777777" w:rsidR="007966AD" w:rsidRPr="00DE4E4F" w:rsidRDefault="007966AD">
            <w:pPr>
              <w:spacing w:after="0" w:line="240" w:lineRule="auto"/>
              <w:rPr>
                <w:rFonts w:ascii="Times New Roman" w:hAnsi="Times New Roman" w:cs="Times New Roman"/>
                <w:noProof/>
                <w:color w:val="006100"/>
                <w:sz w:val="18"/>
                <w:szCs w:val="18"/>
              </w:rPr>
            </w:pPr>
          </w:p>
          <w:p w14:paraId="2CFD5DFE" w14:textId="1F0E711C" w:rsidR="001B186F" w:rsidRPr="00DE4E4F" w:rsidRDefault="007966AD">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Execution of the RRF supported part for a 5</w:t>
            </w:r>
            <w:r w:rsidRPr="00DE4E4F">
              <w:rPr>
                <w:rFonts w:ascii="Times New Roman" w:eastAsia="Times New Roman" w:hAnsi="Times New Roman" w:cs="Times New Roman"/>
                <w:noProof/>
                <w:color w:val="006100"/>
                <w:sz w:val="18"/>
                <w:szCs w:val="18"/>
                <w:vertAlign w:val="superscript"/>
              </w:rPr>
              <w:t>th</w:t>
            </w:r>
            <w:r w:rsidRPr="00DE4E4F">
              <w:rPr>
                <w:rFonts w:ascii="Times New Roman" w:eastAsia="Times New Roman" w:hAnsi="Times New Roman" w:cs="Times New Roman"/>
                <w:noProof/>
                <w:color w:val="006100"/>
                <w:sz w:val="18"/>
                <w:szCs w:val="18"/>
              </w:rPr>
              <w:t xml:space="preserve"> Emblematic Investment of Great Significance selected in line with the approval decision of the Interministerial Committee for Strategic Investments and as described in the relevant Ministerial Decision for the Granting of Incentives.</w:t>
            </w:r>
          </w:p>
        </w:tc>
      </w:tr>
      <w:tr w:rsidR="00682269" w:rsidRPr="00DE4E4F" w14:paraId="10B0C2AA" w14:textId="77777777">
        <w:trPr>
          <w:trHeight w:val="313"/>
          <w:jc w:val="center"/>
        </w:trPr>
        <w:tc>
          <w:tcPr>
            <w:tcW w:w="619" w:type="dxa"/>
            <w:shd w:val="clear" w:color="auto" w:fill="C6EFCE"/>
            <w:noWrap/>
          </w:tcPr>
          <w:p w14:paraId="4ED4D1D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309</w:t>
            </w:r>
          </w:p>
        </w:tc>
        <w:tc>
          <w:tcPr>
            <w:tcW w:w="2084" w:type="dxa"/>
            <w:shd w:val="clear" w:color="auto" w:fill="C6EFCE"/>
            <w:noWrap/>
          </w:tcPr>
          <w:p w14:paraId="5583863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- 16721_Acceleration of smart manufacturing</w:t>
            </w:r>
          </w:p>
        </w:tc>
        <w:tc>
          <w:tcPr>
            <w:tcW w:w="1298" w:type="dxa"/>
            <w:shd w:val="clear" w:color="auto" w:fill="C6EFCE"/>
            <w:noWrap/>
          </w:tcPr>
          <w:p w14:paraId="31BFD22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96" w:type="dxa"/>
            <w:shd w:val="clear" w:color="auto" w:fill="C6EFCE"/>
            <w:noWrap/>
          </w:tcPr>
          <w:p w14:paraId="26EDFF8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Manufacturing sector – Execution of investment plans</w:t>
            </w:r>
          </w:p>
        </w:tc>
        <w:tc>
          <w:tcPr>
            <w:tcW w:w="1823" w:type="dxa"/>
            <w:shd w:val="clear" w:color="auto" w:fill="C6EFCE"/>
            <w:noWrap/>
          </w:tcPr>
          <w:p w14:paraId="1370C453" w14:textId="6A95EAE5" w:rsidR="001B186F" w:rsidRPr="00DE4E4F" w:rsidRDefault="00B201AE">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Certification Report verifying the execution of the investment plans</w:t>
            </w:r>
          </w:p>
        </w:tc>
        <w:tc>
          <w:tcPr>
            <w:tcW w:w="866" w:type="dxa"/>
            <w:shd w:val="clear" w:color="auto" w:fill="C6EFCE"/>
            <w:noWrap/>
          </w:tcPr>
          <w:p w14:paraId="6828554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E5D71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691" w:type="dxa"/>
            <w:shd w:val="clear" w:color="auto" w:fill="C6EFCE"/>
            <w:noWrap/>
          </w:tcPr>
          <w:p w14:paraId="11CB64A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42E2039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shd w:val="clear" w:color="auto" w:fill="C6EFCE"/>
            <w:noWrap/>
          </w:tcPr>
          <w:p w14:paraId="73B14B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08" w:type="dxa"/>
            <w:shd w:val="clear" w:color="auto" w:fill="C6EFCE"/>
            <w:noWrap/>
          </w:tcPr>
          <w:p w14:paraId="73A80ABC" w14:textId="6646BCE1"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Execution of at least </w:t>
            </w:r>
            <w:r w:rsidR="001C3238" w:rsidRPr="00DE4E4F">
              <w:rPr>
                <w:rFonts w:ascii="Times New Roman" w:hAnsi="Times New Roman" w:cs="Times New Roman"/>
                <w:noProof/>
                <w:color w:val="006100"/>
                <w:sz w:val="18"/>
                <w:szCs w:val="18"/>
              </w:rPr>
              <w:t xml:space="preserve">36 </w:t>
            </w:r>
            <w:r w:rsidRPr="00DE4E4F">
              <w:rPr>
                <w:rFonts w:ascii="Times New Roman" w:hAnsi="Times New Roman" w:cs="Times New Roman"/>
                <w:noProof/>
                <w:color w:val="006100"/>
                <w:sz w:val="18"/>
                <w:szCs w:val="18"/>
              </w:rPr>
              <w:t>investment plans.</w:t>
            </w:r>
          </w:p>
        </w:tc>
      </w:tr>
    </w:tbl>
    <w:p w14:paraId="6828AAAE" w14:textId="77777777" w:rsidR="001B186F" w:rsidRPr="00DE4E4F" w:rsidRDefault="001B186F">
      <w:pPr>
        <w:spacing w:before="120" w:after="0" w:line="240" w:lineRule="auto"/>
        <w:jc w:val="both"/>
        <w:rPr>
          <w:rFonts w:ascii="Times New Roman" w:hAnsi="Times New Roman" w:cs="Times New Roman"/>
          <w:noProof/>
          <w:sz w:val="24"/>
        </w:rPr>
      </w:pPr>
    </w:p>
    <w:p w14:paraId="7B28B484" w14:textId="77777777" w:rsidR="001B186F" w:rsidRPr="00DE4E4F" w:rsidRDefault="001B186F">
      <w:pPr>
        <w:spacing w:before="120" w:after="0" w:line="240" w:lineRule="auto"/>
        <w:jc w:val="both"/>
        <w:rPr>
          <w:rFonts w:ascii="Times New Roman" w:hAnsi="Times New Roman" w:cs="Times New Roman"/>
          <w:noProof/>
          <w:sz w:val="24"/>
        </w:rPr>
        <w:sectPr w:rsidR="001B186F" w:rsidRPr="00DE4E4F">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63A22DF4"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Group 28: Agriculture</w:t>
      </w:r>
    </w:p>
    <w:p w14:paraId="5FC9C92C" w14:textId="77777777" w:rsidR="001B186F" w:rsidRPr="00DE4E4F" w:rsidRDefault="0074517F">
      <w:pPr>
        <w:numPr>
          <w:ilvl w:val="0"/>
          <w:numId w:val="83"/>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 xml:space="preserve">Economic transformation of the Agricultural </w:t>
      </w:r>
      <w:r w:rsidRPr="00DE4E4F">
        <w:rPr>
          <w:rFonts w:ascii="Times New Roman" w:hAnsi="Times New Roman"/>
          <w:noProof/>
          <w:sz w:val="24"/>
          <w:szCs w:val="24"/>
        </w:rPr>
        <w:t xml:space="preserve">and Aquaculture </w:t>
      </w:r>
      <w:r w:rsidRPr="00DE4E4F">
        <w:rPr>
          <w:rFonts w:ascii="Times New Roman" w:hAnsi="Times New Roman"/>
          <w:noProof/>
          <w:sz w:val="24"/>
        </w:rPr>
        <w:t>Sectors (ID: 16626)</w:t>
      </w:r>
    </w:p>
    <w:p w14:paraId="5B378D86" w14:textId="77777777" w:rsidR="001B186F" w:rsidRPr="00DE4E4F" w:rsidRDefault="0074517F">
      <w:pPr>
        <w:numPr>
          <w:ilvl w:val="0"/>
          <w:numId w:val="83"/>
        </w:numPr>
        <w:spacing w:before="120" w:after="0" w:line="240" w:lineRule="auto"/>
        <w:jc w:val="both"/>
        <w:rPr>
          <w:rFonts w:ascii="Times New Roman" w:hAnsi="Times New Roman" w:cs="Times New Roman"/>
          <w:noProof/>
          <w:sz w:val="24"/>
        </w:rPr>
      </w:pPr>
      <w:r w:rsidRPr="00DE4E4F">
        <w:rPr>
          <w:rFonts w:ascii="Times New Roman" w:hAnsi="Times New Roman"/>
          <w:noProof/>
          <w:sz w:val="24"/>
        </w:rPr>
        <w:t>Digital Transformation of the Agri-Food Sector (ID: 16653)</w:t>
      </w:r>
    </w:p>
    <w:tbl>
      <w:tblPr>
        <w:tblW w:w="162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2298"/>
        <w:gridCol w:w="1589"/>
        <w:gridCol w:w="1666"/>
        <w:gridCol w:w="1704"/>
        <w:gridCol w:w="899"/>
        <w:gridCol w:w="857"/>
        <w:gridCol w:w="587"/>
        <w:gridCol w:w="846"/>
        <w:gridCol w:w="687"/>
        <w:gridCol w:w="4332"/>
      </w:tblGrid>
      <w:tr w:rsidR="00682269" w:rsidRPr="00DE4E4F" w14:paraId="4C38A5E7" w14:textId="77777777">
        <w:trPr>
          <w:trHeight w:val="731"/>
          <w:tblHeader/>
          <w:jc w:val="center"/>
        </w:trPr>
        <w:tc>
          <w:tcPr>
            <w:tcW w:w="786" w:type="dxa"/>
            <w:vMerge w:val="restart"/>
            <w:shd w:val="clear" w:color="auto" w:fill="BDD7EE"/>
            <w:vAlign w:val="center"/>
            <w:hideMark/>
          </w:tcPr>
          <w:p w14:paraId="7D3D4723"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Seq. No.</w:t>
            </w:r>
          </w:p>
        </w:tc>
        <w:tc>
          <w:tcPr>
            <w:tcW w:w="2298" w:type="dxa"/>
            <w:vMerge w:val="restart"/>
            <w:shd w:val="clear" w:color="auto" w:fill="BDD7EE"/>
            <w:vAlign w:val="center"/>
            <w:hideMark/>
          </w:tcPr>
          <w:p w14:paraId="32DEF46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Related Measure (Reform or Investment)</w:t>
            </w:r>
          </w:p>
        </w:tc>
        <w:tc>
          <w:tcPr>
            <w:tcW w:w="1589" w:type="dxa"/>
            <w:vMerge w:val="restart"/>
            <w:shd w:val="clear" w:color="auto" w:fill="BDD7EE"/>
            <w:vAlign w:val="center"/>
            <w:hideMark/>
          </w:tcPr>
          <w:p w14:paraId="2E53532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Milestone / Target</w:t>
            </w:r>
          </w:p>
        </w:tc>
        <w:tc>
          <w:tcPr>
            <w:tcW w:w="1666" w:type="dxa"/>
            <w:vMerge w:val="restart"/>
            <w:shd w:val="clear" w:color="auto" w:fill="BDD7EE"/>
            <w:vAlign w:val="center"/>
            <w:hideMark/>
          </w:tcPr>
          <w:p w14:paraId="4DAA1EC4"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Name</w:t>
            </w:r>
          </w:p>
        </w:tc>
        <w:tc>
          <w:tcPr>
            <w:tcW w:w="1704" w:type="dxa"/>
            <w:vMerge w:val="restart"/>
            <w:shd w:val="clear" w:color="auto" w:fill="BDD7EE"/>
            <w:vAlign w:val="center"/>
            <w:hideMark/>
          </w:tcPr>
          <w:p w14:paraId="126B1B0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Qualitative indicators (for milestones)</w:t>
            </w:r>
          </w:p>
        </w:tc>
        <w:tc>
          <w:tcPr>
            <w:tcW w:w="2343" w:type="dxa"/>
            <w:gridSpan w:val="3"/>
            <w:shd w:val="clear" w:color="auto" w:fill="BDD7EE"/>
            <w:vAlign w:val="center"/>
            <w:hideMark/>
          </w:tcPr>
          <w:p w14:paraId="31F781A7" w14:textId="1DA2C58A"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Quantitative indicators</w:t>
            </w:r>
            <w:r w:rsidR="00DE4C0C" w:rsidRPr="00DE4E4F">
              <w:rPr>
                <w:rFonts w:ascii="Times New Roman" w:hAnsi="Times New Roman"/>
                <w:b/>
                <w:noProof/>
                <w:sz w:val="18"/>
                <w:szCs w:val="18"/>
              </w:rPr>
              <w:t xml:space="preserve"> </w:t>
            </w:r>
            <w:r w:rsidRPr="00DE4E4F">
              <w:rPr>
                <w:rFonts w:ascii="Times New Roman" w:hAnsi="Times New Roman"/>
                <w:b/>
                <w:noProof/>
                <w:sz w:val="18"/>
                <w:szCs w:val="18"/>
              </w:rPr>
              <w:t>(for targets)</w:t>
            </w:r>
          </w:p>
        </w:tc>
        <w:tc>
          <w:tcPr>
            <w:tcW w:w="1533" w:type="dxa"/>
            <w:gridSpan w:val="2"/>
            <w:shd w:val="clear" w:color="auto" w:fill="BDD7EE"/>
            <w:vAlign w:val="center"/>
            <w:hideMark/>
          </w:tcPr>
          <w:p w14:paraId="7F35B56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 xml:space="preserve">Indicative timeline for completion </w:t>
            </w:r>
          </w:p>
        </w:tc>
        <w:tc>
          <w:tcPr>
            <w:tcW w:w="4332" w:type="dxa"/>
            <w:vMerge w:val="restart"/>
            <w:shd w:val="clear" w:color="auto" w:fill="BDD7EE"/>
            <w:vAlign w:val="center"/>
            <w:hideMark/>
          </w:tcPr>
          <w:p w14:paraId="4A7D83D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Description of each milestone and target</w:t>
            </w:r>
          </w:p>
        </w:tc>
      </w:tr>
      <w:tr w:rsidR="00682269" w:rsidRPr="00DE4E4F" w14:paraId="00CF71A8" w14:textId="77777777">
        <w:trPr>
          <w:trHeight w:val="504"/>
          <w:tblHeader/>
          <w:jc w:val="center"/>
        </w:trPr>
        <w:tc>
          <w:tcPr>
            <w:tcW w:w="786" w:type="dxa"/>
            <w:vMerge/>
            <w:vAlign w:val="center"/>
            <w:hideMark/>
          </w:tcPr>
          <w:p w14:paraId="344168FC"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2298" w:type="dxa"/>
            <w:vMerge/>
            <w:vAlign w:val="center"/>
            <w:hideMark/>
          </w:tcPr>
          <w:p w14:paraId="4C654BC3"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589" w:type="dxa"/>
            <w:vMerge/>
            <w:vAlign w:val="center"/>
            <w:hideMark/>
          </w:tcPr>
          <w:p w14:paraId="651844DD"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666" w:type="dxa"/>
            <w:vMerge/>
            <w:vAlign w:val="center"/>
            <w:hideMark/>
          </w:tcPr>
          <w:p w14:paraId="6F16C7FF"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704" w:type="dxa"/>
            <w:vMerge/>
            <w:vAlign w:val="center"/>
            <w:hideMark/>
          </w:tcPr>
          <w:p w14:paraId="58036930"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899" w:type="dxa"/>
            <w:shd w:val="clear" w:color="auto" w:fill="BDD7EE"/>
            <w:vAlign w:val="center"/>
            <w:hideMark/>
          </w:tcPr>
          <w:p w14:paraId="15E7317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Unit of measure</w:t>
            </w:r>
          </w:p>
        </w:tc>
        <w:tc>
          <w:tcPr>
            <w:tcW w:w="857" w:type="dxa"/>
            <w:shd w:val="clear" w:color="auto" w:fill="BDD7EE"/>
            <w:vAlign w:val="center"/>
            <w:hideMark/>
          </w:tcPr>
          <w:p w14:paraId="6161E36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 xml:space="preserve">Baseline </w:t>
            </w:r>
          </w:p>
        </w:tc>
        <w:tc>
          <w:tcPr>
            <w:tcW w:w="587" w:type="dxa"/>
            <w:shd w:val="clear" w:color="auto" w:fill="BDD7EE"/>
            <w:vAlign w:val="center"/>
            <w:hideMark/>
          </w:tcPr>
          <w:p w14:paraId="035D7DE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 xml:space="preserve">Goal </w:t>
            </w:r>
          </w:p>
        </w:tc>
        <w:tc>
          <w:tcPr>
            <w:tcW w:w="846" w:type="dxa"/>
            <w:shd w:val="clear" w:color="auto" w:fill="BDD7EE"/>
            <w:vAlign w:val="center"/>
            <w:hideMark/>
          </w:tcPr>
          <w:p w14:paraId="34B2A83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Quarter</w:t>
            </w:r>
          </w:p>
        </w:tc>
        <w:tc>
          <w:tcPr>
            <w:tcW w:w="687" w:type="dxa"/>
            <w:shd w:val="clear" w:color="auto" w:fill="BDD7EE"/>
            <w:vAlign w:val="center"/>
            <w:hideMark/>
          </w:tcPr>
          <w:p w14:paraId="44ECBF9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szCs w:val="18"/>
              </w:rPr>
              <w:t>Year</w:t>
            </w:r>
          </w:p>
        </w:tc>
        <w:tc>
          <w:tcPr>
            <w:tcW w:w="4332" w:type="dxa"/>
            <w:vMerge/>
            <w:vAlign w:val="center"/>
            <w:hideMark/>
          </w:tcPr>
          <w:p w14:paraId="497DF93D"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r>
      <w:tr w:rsidR="00682269" w:rsidRPr="00DE4E4F" w14:paraId="3FAD1573" w14:textId="77777777">
        <w:trPr>
          <w:trHeight w:val="309"/>
          <w:jc w:val="center"/>
        </w:trPr>
        <w:tc>
          <w:tcPr>
            <w:tcW w:w="786" w:type="dxa"/>
            <w:shd w:val="clear" w:color="auto" w:fill="C6EFCE"/>
            <w:noWrap/>
          </w:tcPr>
          <w:p w14:paraId="3147DB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310</w:t>
            </w:r>
          </w:p>
        </w:tc>
        <w:tc>
          <w:tcPr>
            <w:tcW w:w="2298" w:type="dxa"/>
            <w:shd w:val="clear" w:color="auto" w:fill="C6EFCE"/>
            <w:noWrap/>
          </w:tcPr>
          <w:p w14:paraId="2CA965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- 16626_Economic transformation on the Agricultural Sector</w:t>
            </w:r>
          </w:p>
        </w:tc>
        <w:tc>
          <w:tcPr>
            <w:tcW w:w="1589" w:type="dxa"/>
            <w:shd w:val="clear" w:color="auto" w:fill="C6EFCE"/>
            <w:noWrap/>
          </w:tcPr>
          <w:p w14:paraId="79B4E27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66" w:type="dxa"/>
            <w:shd w:val="clear" w:color="auto" w:fill="C6EFCE"/>
            <w:noWrap/>
          </w:tcPr>
          <w:p w14:paraId="2B6049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Economic transformation of agriculture: Launching of the programme</w:t>
            </w:r>
          </w:p>
        </w:tc>
        <w:tc>
          <w:tcPr>
            <w:tcW w:w="1704" w:type="dxa"/>
            <w:shd w:val="clear" w:color="auto" w:fill="C6EFCE"/>
            <w:noWrap/>
          </w:tcPr>
          <w:p w14:paraId="27E5360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Contract with implementing partner signed</w:t>
            </w:r>
          </w:p>
          <w:p w14:paraId="1F562766" w14:textId="77777777" w:rsidR="001B186F" w:rsidRPr="00DE4E4F" w:rsidRDefault="001B186F">
            <w:pPr>
              <w:spacing w:after="0" w:line="240" w:lineRule="auto"/>
              <w:rPr>
                <w:rFonts w:ascii="Times New Roman" w:hAnsi="Times New Roman" w:cs="Times New Roman"/>
                <w:noProof/>
                <w:color w:val="006100"/>
                <w:sz w:val="18"/>
                <w:szCs w:val="18"/>
              </w:rPr>
            </w:pPr>
          </w:p>
          <w:p w14:paraId="473235C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99" w:type="dxa"/>
            <w:shd w:val="clear" w:color="auto" w:fill="C6EFCE"/>
            <w:noWrap/>
          </w:tcPr>
          <w:p w14:paraId="6C45858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21F95E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tcPr>
          <w:p w14:paraId="50C5C7D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4E9104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687" w:type="dxa"/>
            <w:shd w:val="clear" w:color="auto" w:fill="C6EFCE"/>
            <w:noWrap/>
          </w:tcPr>
          <w:p w14:paraId="2C6E80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32" w:type="dxa"/>
            <w:shd w:val="clear" w:color="auto" w:fill="C6EFCE"/>
            <w:noWrap/>
          </w:tcPr>
          <w:p w14:paraId="2632521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the Calls for the Economic Transformation of the Agricultural sector:</w:t>
            </w:r>
          </w:p>
          <w:p w14:paraId="7383925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Competitive calls for proposals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19913174" w14:textId="77777777" w:rsidR="001B186F" w:rsidRPr="00DE4E4F" w:rsidRDefault="001B186F">
            <w:pPr>
              <w:spacing w:after="0" w:line="240" w:lineRule="auto"/>
              <w:rPr>
                <w:rFonts w:ascii="Times New Roman" w:hAnsi="Times New Roman" w:cs="Times New Roman"/>
                <w:noProof/>
                <w:color w:val="006100"/>
                <w:sz w:val="18"/>
                <w:szCs w:val="18"/>
              </w:rPr>
            </w:pPr>
          </w:p>
          <w:p w14:paraId="7222E4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competitive calls shall include the following actions: actions related to energy upgrade of production units, buildings and mechanical equipment with low energy consumption, energy upgrade of tourism facilities (buildings), environmentally friendly means of transportation (electric cars, bicycles, etc.), support for environmentally friendly production processes and resource efficiency in SMEs, renewable energy (solar), climate change adaptation and prevention measures and management of climate related risks, biodiversity protection, and natural heritage and resources.</w:t>
            </w:r>
          </w:p>
        </w:tc>
      </w:tr>
      <w:tr w:rsidR="00682269" w:rsidRPr="00DE4E4F" w14:paraId="0E6C20AD" w14:textId="77777777">
        <w:trPr>
          <w:trHeight w:val="309"/>
          <w:jc w:val="center"/>
        </w:trPr>
        <w:tc>
          <w:tcPr>
            <w:tcW w:w="786" w:type="dxa"/>
            <w:shd w:val="clear" w:color="auto" w:fill="C6EFCE"/>
            <w:noWrap/>
            <w:hideMark/>
          </w:tcPr>
          <w:p w14:paraId="6E1CB60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311</w:t>
            </w:r>
          </w:p>
        </w:tc>
        <w:tc>
          <w:tcPr>
            <w:tcW w:w="2298" w:type="dxa"/>
            <w:shd w:val="clear" w:color="auto" w:fill="C6EFCE"/>
            <w:noWrap/>
            <w:hideMark/>
          </w:tcPr>
          <w:p w14:paraId="5E7F9E1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17 - 4.6. Modernise and improve resilience of key economic sectors - 16653_Digital Transformation of the Agri-Food Sector </w:t>
            </w:r>
          </w:p>
        </w:tc>
        <w:tc>
          <w:tcPr>
            <w:tcW w:w="1589" w:type="dxa"/>
            <w:shd w:val="clear" w:color="auto" w:fill="C6EFCE"/>
            <w:noWrap/>
            <w:hideMark/>
          </w:tcPr>
          <w:p w14:paraId="60E145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Milestone</w:t>
            </w:r>
          </w:p>
        </w:tc>
        <w:tc>
          <w:tcPr>
            <w:tcW w:w="1666" w:type="dxa"/>
            <w:shd w:val="clear" w:color="auto" w:fill="C6EFCE"/>
            <w:noWrap/>
            <w:hideMark/>
          </w:tcPr>
          <w:p w14:paraId="3D457A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Launch of the call for the digital transformation of the agri-food sector </w:t>
            </w:r>
          </w:p>
        </w:tc>
        <w:tc>
          <w:tcPr>
            <w:tcW w:w="1704" w:type="dxa"/>
            <w:shd w:val="clear" w:color="auto" w:fill="C6EFCE"/>
            <w:noWrap/>
            <w:hideMark/>
          </w:tcPr>
          <w:p w14:paraId="2D8510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Launch of the call </w:t>
            </w:r>
          </w:p>
        </w:tc>
        <w:tc>
          <w:tcPr>
            <w:tcW w:w="899" w:type="dxa"/>
            <w:shd w:val="clear" w:color="auto" w:fill="C6EFCE"/>
            <w:noWrap/>
          </w:tcPr>
          <w:p w14:paraId="64D7966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3DB2EB2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tcPr>
          <w:p w14:paraId="13F508C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hideMark/>
          </w:tcPr>
          <w:p w14:paraId="3A5F3FB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687" w:type="dxa"/>
            <w:shd w:val="clear" w:color="auto" w:fill="C6EFCE"/>
            <w:noWrap/>
            <w:hideMark/>
          </w:tcPr>
          <w:p w14:paraId="731C45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2022 </w:t>
            </w:r>
          </w:p>
        </w:tc>
        <w:tc>
          <w:tcPr>
            <w:tcW w:w="4332" w:type="dxa"/>
            <w:shd w:val="clear" w:color="auto" w:fill="C6EFCE"/>
            <w:noWrap/>
            <w:hideMark/>
          </w:tcPr>
          <w:p w14:paraId="1EB12F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the call for the digital transformation project for the development of a large-scale open digital agricultural infrastructure and a cognitive agriculture environment for the production process and management of natural resources.</w:t>
            </w:r>
          </w:p>
        </w:tc>
      </w:tr>
      <w:tr w:rsidR="00682269" w:rsidRPr="00DE4E4F" w14:paraId="53565CBF" w14:textId="77777777">
        <w:trPr>
          <w:trHeight w:val="3855"/>
          <w:jc w:val="center"/>
        </w:trPr>
        <w:tc>
          <w:tcPr>
            <w:tcW w:w="786" w:type="dxa"/>
            <w:shd w:val="clear" w:color="auto" w:fill="C6EFCE"/>
            <w:noWrap/>
            <w:hideMark/>
          </w:tcPr>
          <w:p w14:paraId="652E575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313</w:t>
            </w:r>
          </w:p>
        </w:tc>
        <w:tc>
          <w:tcPr>
            <w:tcW w:w="2298" w:type="dxa"/>
            <w:shd w:val="clear" w:color="auto" w:fill="C6EFCE"/>
            <w:noWrap/>
            <w:hideMark/>
          </w:tcPr>
          <w:p w14:paraId="3DD8FA1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17 - 4.6. Modernise and improve resilience of key economic sectors - 16653_Digital Transformation of the Agri-Food Sector</w:t>
            </w:r>
          </w:p>
        </w:tc>
        <w:tc>
          <w:tcPr>
            <w:tcW w:w="1589" w:type="dxa"/>
            <w:shd w:val="clear" w:color="auto" w:fill="C6EFCE"/>
            <w:noWrap/>
            <w:hideMark/>
          </w:tcPr>
          <w:p w14:paraId="4800517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66" w:type="dxa"/>
            <w:shd w:val="clear" w:color="auto" w:fill="C6EFCE"/>
            <w:noWrap/>
            <w:hideMark/>
          </w:tcPr>
          <w:p w14:paraId="4F42837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Digital transformation of Agri-Food Sector projects</w:t>
            </w:r>
          </w:p>
        </w:tc>
        <w:tc>
          <w:tcPr>
            <w:tcW w:w="1704" w:type="dxa"/>
            <w:shd w:val="clear" w:color="auto" w:fill="C6EFCE"/>
            <w:noWrap/>
            <w:hideMark/>
          </w:tcPr>
          <w:p w14:paraId="45BA7DB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1) Digital Transformation of the Agricultural Sector and 2) Outward Looking Agriculture projects</w:t>
            </w:r>
          </w:p>
        </w:tc>
        <w:tc>
          <w:tcPr>
            <w:tcW w:w="899" w:type="dxa"/>
            <w:shd w:val="clear" w:color="auto" w:fill="C6EFCE"/>
            <w:noWrap/>
            <w:hideMark/>
          </w:tcPr>
          <w:p w14:paraId="1E76B22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hideMark/>
          </w:tcPr>
          <w:p w14:paraId="4A9C2FC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hideMark/>
          </w:tcPr>
          <w:p w14:paraId="64E1709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hideMark/>
          </w:tcPr>
          <w:p w14:paraId="37A9D48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87" w:type="dxa"/>
            <w:shd w:val="clear" w:color="auto" w:fill="C6EFCE"/>
            <w:noWrap/>
            <w:hideMark/>
          </w:tcPr>
          <w:p w14:paraId="094C3B2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2024 </w:t>
            </w:r>
          </w:p>
        </w:tc>
        <w:tc>
          <w:tcPr>
            <w:tcW w:w="4332" w:type="dxa"/>
            <w:shd w:val="clear" w:color="auto" w:fill="C6EFCE"/>
            <w:noWrap/>
            <w:hideMark/>
          </w:tcPr>
          <w:p w14:paraId="4C8632C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1) Digital Transformation of the Agricultural Sector and 2) Outward Looking Agriculture projects.</w:t>
            </w:r>
          </w:p>
        </w:tc>
      </w:tr>
      <w:tr w:rsidR="00682269" w:rsidRPr="00DE4E4F" w14:paraId="4A90AF16" w14:textId="77777777">
        <w:trPr>
          <w:trHeight w:val="309"/>
          <w:jc w:val="center"/>
        </w:trPr>
        <w:tc>
          <w:tcPr>
            <w:tcW w:w="786" w:type="dxa"/>
            <w:shd w:val="clear" w:color="auto" w:fill="C6EFCE"/>
            <w:noWrap/>
            <w:hideMark/>
          </w:tcPr>
          <w:p w14:paraId="3330F988"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313a</w:t>
            </w:r>
          </w:p>
        </w:tc>
        <w:tc>
          <w:tcPr>
            <w:tcW w:w="2298" w:type="dxa"/>
            <w:shd w:val="clear" w:color="auto" w:fill="C6EFCE"/>
            <w:noWrap/>
            <w:hideMark/>
          </w:tcPr>
          <w:p w14:paraId="78E1B0B1" w14:textId="77777777" w:rsidR="001B186F" w:rsidRPr="00DE4E4F" w:rsidRDefault="0074517F">
            <w:pPr>
              <w:spacing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- 16653_Digital Transformation of the Agri-Food Sector</w:t>
            </w:r>
          </w:p>
        </w:tc>
        <w:tc>
          <w:tcPr>
            <w:tcW w:w="1589" w:type="dxa"/>
            <w:shd w:val="clear" w:color="auto" w:fill="C6EFCE"/>
            <w:noWrap/>
            <w:hideMark/>
          </w:tcPr>
          <w:p w14:paraId="054471C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66" w:type="dxa"/>
            <w:shd w:val="clear" w:color="auto" w:fill="C6EFCE"/>
            <w:noWrap/>
            <w:hideMark/>
          </w:tcPr>
          <w:p w14:paraId="2DCDEC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Digital transformation of Agri-Food Sector projects</w:t>
            </w:r>
          </w:p>
        </w:tc>
        <w:tc>
          <w:tcPr>
            <w:tcW w:w="1704" w:type="dxa"/>
            <w:shd w:val="clear" w:color="auto" w:fill="C6EFCE"/>
            <w:noWrap/>
            <w:hideMark/>
          </w:tcPr>
          <w:p w14:paraId="4FFDC60C"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extension of the Digital Transformation of the Agricultural Sector project</w:t>
            </w:r>
          </w:p>
        </w:tc>
        <w:tc>
          <w:tcPr>
            <w:tcW w:w="899" w:type="dxa"/>
            <w:shd w:val="clear" w:color="auto" w:fill="C6EFCE"/>
            <w:noWrap/>
            <w:hideMark/>
          </w:tcPr>
          <w:p w14:paraId="55A39758"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hideMark/>
          </w:tcPr>
          <w:p w14:paraId="7FF1F4C4"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hideMark/>
          </w:tcPr>
          <w:p w14:paraId="0047EF54" w14:textId="77777777" w:rsidR="001B186F" w:rsidRPr="00DE4E4F" w:rsidRDefault="001B186F">
            <w:pPr>
              <w:spacing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hideMark/>
          </w:tcPr>
          <w:p w14:paraId="62B52130"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87" w:type="dxa"/>
            <w:shd w:val="clear" w:color="auto" w:fill="C6EFCE"/>
            <w:noWrap/>
            <w:hideMark/>
          </w:tcPr>
          <w:p w14:paraId="59C706B4"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32" w:type="dxa"/>
            <w:shd w:val="clear" w:color="auto" w:fill="C6EFCE"/>
            <w:noWrap/>
            <w:hideMark/>
          </w:tcPr>
          <w:p w14:paraId="43590E91" w14:textId="77777777" w:rsidR="001B186F" w:rsidRPr="00DE4E4F" w:rsidRDefault="0074517F">
            <w:pPr>
              <w:spacing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the extension of the Digital Transformation of the Agricultural Sector.</w:t>
            </w:r>
          </w:p>
        </w:tc>
      </w:tr>
      <w:tr w:rsidR="00682269" w:rsidRPr="00DE4E4F" w14:paraId="3F62D974" w14:textId="77777777">
        <w:trPr>
          <w:trHeight w:val="309"/>
          <w:jc w:val="center"/>
        </w:trPr>
        <w:tc>
          <w:tcPr>
            <w:tcW w:w="786" w:type="dxa"/>
            <w:shd w:val="clear" w:color="auto" w:fill="C6EFCE"/>
            <w:noWrap/>
            <w:hideMark/>
          </w:tcPr>
          <w:p w14:paraId="2B99B3B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314</w:t>
            </w:r>
          </w:p>
        </w:tc>
        <w:tc>
          <w:tcPr>
            <w:tcW w:w="2298" w:type="dxa"/>
            <w:shd w:val="clear" w:color="auto" w:fill="C6EFCE"/>
            <w:noWrap/>
            <w:hideMark/>
          </w:tcPr>
          <w:p w14:paraId="42911DD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17 - 4.6. Modernise and improve resilience of key economic sectors - 16626_Economic transformation of the Agricultural and Aquaculture Sectors</w:t>
            </w:r>
          </w:p>
        </w:tc>
        <w:tc>
          <w:tcPr>
            <w:tcW w:w="1589" w:type="dxa"/>
            <w:shd w:val="clear" w:color="auto" w:fill="C6EFCE"/>
            <w:noWrap/>
            <w:hideMark/>
          </w:tcPr>
          <w:p w14:paraId="5432CC8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66" w:type="dxa"/>
            <w:shd w:val="clear" w:color="auto" w:fill="C6EFCE"/>
            <w:noWrap/>
            <w:hideMark/>
          </w:tcPr>
          <w:p w14:paraId="3BDDF1F9" w14:textId="5D4A66D0" w:rsidR="001B186F" w:rsidRPr="00DE4E4F" w:rsidRDefault="00DF561A">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Delivery of economic transformation of agriculture and aquaculture projects</w:t>
            </w:r>
          </w:p>
        </w:tc>
        <w:tc>
          <w:tcPr>
            <w:tcW w:w="1704" w:type="dxa"/>
            <w:shd w:val="clear" w:color="auto" w:fill="C6EFCE"/>
            <w:noWrap/>
            <w:hideMark/>
          </w:tcPr>
          <w:p w14:paraId="4C98B280" w14:textId="2F5C4344" w:rsidR="001B186F" w:rsidRPr="00DE4E4F" w:rsidRDefault="328A1D81">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Certification Report verifying the project execution</w:t>
            </w:r>
          </w:p>
        </w:tc>
        <w:tc>
          <w:tcPr>
            <w:tcW w:w="899" w:type="dxa"/>
            <w:shd w:val="clear" w:color="auto" w:fill="C6EFCE"/>
            <w:noWrap/>
            <w:hideMark/>
          </w:tcPr>
          <w:p w14:paraId="1904B89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hideMark/>
          </w:tcPr>
          <w:p w14:paraId="65291A8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587" w:type="dxa"/>
            <w:shd w:val="clear" w:color="auto" w:fill="C6EFCE"/>
            <w:noWrap/>
            <w:hideMark/>
          </w:tcPr>
          <w:p w14:paraId="74EC231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hideMark/>
          </w:tcPr>
          <w:p w14:paraId="220BB02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87" w:type="dxa"/>
            <w:shd w:val="clear" w:color="auto" w:fill="C6EFCE"/>
            <w:noWrap/>
            <w:hideMark/>
          </w:tcPr>
          <w:p w14:paraId="3570BC6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32" w:type="dxa"/>
            <w:shd w:val="clear" w:color="auto" w:fill="C6EFCE"/>
            <w:noWrap/>
            <w:hideMark/>
          </w:tcPr>
          <w:p w14:paraId="40F984A7" w14:textId="261DB79A" w:rsidR="001B186F" w:rsidRPr="00DE4E4F" w:rsidRDefault="088F6425">
            <w:pPr>
              <w:spacing w:before="120" w:after="0" w:line="240" w:lineRule="auto"/>
              <w:jc w:val="both"/>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225</w:t>
            </w:r>
            <w:r w:rsidR="0074517F" w:rsidRPr="00DE4E4F">
              <w:rPr>
                <w:rFonts w:ascii="Times New Roman" w:hAnsi="Times New Roman" w:cs="Times New Roman"/>
                <w:noProof/>
                <w:color w:val="006100"/>
                <w:sz w:val="18"/>
                <w:szCs w:val="18"/>
              </w:rPr>
              <w:t xml:space="preserve"> projects executed </w:t>
            </w:r>
          </w:p>
        </w:tc>
      </w:tr>
    </w:tbl>
    <w:p w14:paraId="4E3D085D"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1676ADBB"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48"/>
          <w:headerReference w:type="default" r:id="rId349"/>
          <w:footerReference w:type="even" r:id="rId350"/>
          <w:footerReference w:type="default" r:id="rId351"/>
          <w:headerReference w:type="first" r:id="rId352"/>
          <w:footerReference w:type="first" r:id="rId353"/>
          <w:pgSz w:w="16839" w:h="11907" w:orient="landscape"/>
          <w:pgMar w:top="1134" w:right="1134" w:bottom="1134" w:left="1134" w:header="567" w:footer="567" w:gutter="0"/>
          <w:cols w:space="720"/>
          <w:docGrid w:linePitch="360"/>
        </w:sectPr>
      </w:pPr>
    </w:p>
    <w:p w14:paraId="61F39F85"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R. COMPONENT 4.7: IMPROVE COMPETITIVENESS AND PROMOTE PRIVATE INVESTMENTS AND EXPORTS</w:t>
      </w:r>
    </w:p>
    <w:p w14:paraId="5A3BA12F"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aims to incentivise private investment and increase economic extroversion by addressing long-term structural issues and creating a business environment conducive to development of economic activity. It consists of measures to encourage the growth of firms' size to achieve economies of scale and help them penetrate foreign markets, lift excessive administrative burdens to businesses, foster compliance and a level-playing field through effective market surveillance, and create a simpler and more predictable regulatory framework. These measures are complemented by the proposal to use loan support under the Recovery and Resilience Facility to facilitate the provision of financial incentives to the private sector, aiming to promote private investments. This loan support is expected to be channelled to the economy through three different channels, namely financial institutions (through corporate bond purchases or syndicated loans), an equity platform, and the utilisation of a part of Greece’s InvestEU national compartment. The component supports addressing the country-specific recommendation on public and private investment (Country Specific Recommendation 3 2020, and Country Specific Recommendation 2 2019). 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CA3692F"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R.1. Description of the reforms and investments for non-repayable financial support</w:t>
      </w:r>
    </w:p>
    <w:p w14:paraId="6406F322"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Actions for the simplification of the business environment and its upgrading in quality and safety (measure ID 16543)</w:t>
      </w:r>
    </w:p>
    <w:p w14:paraId="79AA4EFE" w14:textId="01BEBDB3"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 xml:space="preserve">The objective of the reform is to make the business environment more conducive to investment, to facilitate firm entry and job creation, and to ensure effective market surveillance. The reform comprises of regulatory and administrative interventions to simplify procedures and requirements relating to business activity, to facilitate regulatory certainty, and to address gaps in the market surveillance framework. </w:t>
      </w:r>
    </w:p>
    <w:p w14:paraId="15A558D7"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Ease of doing business (measure ID 16591)</w:t>
      </w:r>
    </w:p>
    <w:p w14:paraId="2B977AF7" w14:textId="77777777" w:rsidR="000D6FD8" w:rsidRPr="00DE4E4F" w:rsidRDefault="0074517F">
      <w:pPr>
        <w:spacing w:before="120" w:after="120" w:line="240" w:lineRule="auto"/>
        <w:jc w:val="both"/>
        <w:rPr>
          <w:rFonts w:ascii="Times New Roman" w:hAnsi="Times New Roman"/>
          <w:noProof/>
          <w:sz w:val="24"/>
        </w:rPr>
      </w:pPr>
      <w:r w:rsidRPr="00DE4E4F">
        <w:rPr>
          <w:rFonts w:ascii="Times New Roman" w:hAnsi="Times New Roman"/>
          <w:noProof/>
          <w:sz w:val="24"/>
        </w:rPr>
        <w:t>The reform aims to improve the business environment and to ease the administrative and regulatory burden on businesses. The reform also aims to improve Greece’s ranking in international indicators, in particular the World Bank’s Doing Business, namely getting credit, getting electricity, registering property, and getting a construction permit, by reducing procedures, time and the cost and ensuring a stable and predictable legislative framework. Specifically, it comprises of a series of interventions to reduce the complexity of processes, the cost, and time involved in each of the abovementioned areas, as well as training of public sector staff involved in such processes and outreach activities to key stakeholders. The implementation of the reform shall be completed by 30 June 2024.</w:t>
      </w:r>
    </w:p>
    <w:p w14:paraId="6253AC6E" w14:textId="32DEE22C"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Reform:</w:t>
      </w:r>
      <w:r w:rsidRPr="00DE4E4F">
        <w:rPr>
          <w:rFonts w:ascii="Times New Roman" w:hAnsi="Times New Roman"/>
          <w:noProof/>
          <w:sz w:val="24"/>
        </w:rPr>
        <w:t xml:space="preserve"> Incentivisation regime for productivity and extroversion of enterprises (increasing the size of enterprises) (measure ID 16598)</w:t>
      </w:r>
    </w:p>
    <w:p w14:paraId="21CB585A" w14:textId="6D552C6C" w:rsidR="001B186F" w:rsidRPr="00DE4E4F" w:rsidRDefault="0074517F" w:rsidP="000D6FD8">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reform aims to tackle weaknesses associated with the predominantly small size of Greek enterprises. It shall create an array of tax, and other, incentives to encourage the self-employed and micro, small and medium sized enterprises to increase economies of scale through mergers, conversions, acquisitions and cooperation schemes and platforms such as joint ventures, clusters that shall also promote higher productivity and increased exports. The implementation of the reform shall be completed by 31 March 2022.</w:t>
      </w:r>
    </w:p>
    <w:p w14:paraId="11092AA6"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54"/>
          <w:headerReference w:type="default" r:id="rId355"/>
          <w:footerReference w:type="even" r:id="rId356"/>
          <w:footerReference w:type="default" r:id="rId357"/>
          <w:headerReference w:type="first" r:id="rId358"/>
          <w:footerReference w:type="first" r:id="rId359"/>
          <w:pgSz w:w="11907" w:h="16839"/>
          <w:pgMar w:top="1134" w:right="1134" w:bottom="1134" w:left="1134" w:header="567" w:footer="567" w:gutter="0"/>
          <w:cols w:space="720"/>
          <w:docGrid w:linePitch="360"/>
        </w:sectPr>
      </w:pPr>
    </w:p>
    <w:p w14:paraId="27B5CD64" w14:textId="77777777" w:rsidR="001B186F" w:rsidRPr="00DE4E4F" w:rsidRDefault="0074517F">
      <w:pPr>
        <w:spacing w:before="120" w:after="120" w:line="240" w:lineRule="auto"/>
        <w:jc w:val="both"/>
        <w:rPr>
          <w:rFonts w:ascii="Times New Roman" w:hAnsi="Times New Roman" w:cs="Times New Roman"/>
          <w:b/>
          <w:noProof/>
          <w:sz w:val="24"/>
          <w:u w:val="single"/>
        </w:rPr>
      </w:pPr>
      <w:r w:rsidRPr="00DE4E4F">
        <w:rPr>
          <w:rFonts w:ascii="Times New Roman" w:hAnsi="Times New Roman"/>
          <w:b/>
          <w:noProof/>
          <w:sz w:val="24"/>
          <w:u w:val="single"/>
        </w:rPr>
        <w:t>R.2. Milestones, targets, indicators, and timetable for monitoring and implementation for non-repayable financial support</w:t>
      </w:r>
    </w:p>
    <w:p w14:paraId="049539D1"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szCs w:val="24"/>
        </w:rPr>
      </w:pPr>
      <w:r w:rsidRPr="00DE4E4F">
        <w:rPr>
          <w:rFonts w:ascii="Cambria" w:hAnsi="Cambria"/>
          <w:noProof/>
          <w:color w:val="365F91"/>
          <w:sz w:val="24"/>
        </w:rPr>
        <w:t>Key reform 10: Actions for the simplification of the business environment and its upgrading in quality and safety - Ease of doing business</w:t>
      </w:r>
    </w:p>
    <w:tbl>
      <w:tblPr>
        <w:tblW w:w="1556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684"/>
        <w:gridCol w:w="1680"/>
        <w:gridCol w:w="1107"/>
        <w:gridCol w:w="1592"/>
        <w:gridCol w:w="1694"/>
        <w:gridCol w:w="983"/>
        <w:gridCol w:w="857"/>
        <w:gridCol w:w="827"/>
        <w:gridCol w:w="987"/>
        <w:gridCol w:w="707"/>
        <w:gridCol w:w="4449"/>
      </w:tblGrid>
      <w:tr w:rsidR="00682269" w:rsidRPr="00DE4E4F" w14:paraId="006DE12F" w14:textId="77777777" w:rsidTr="00B116A1">
        <w:trPr>
          <w:trHeight w:val="685"/>
          <w:tblHeader/>
          <w:jc w:val="center"/>
        </w:trPr>
        <w:tc>
          <w:tcPr>
            <w:tcW w:w="684" w:type="dxa"/>
            <w:vMerge w:val="restart"/>
            <w:shd w:val="clear" w:color="auto" w:fill="BDD7EE"/>
            <w:vAlign w:val="center"/>
            <w:hideMark/>
          </w:tcPr>
          <w:p w14:paraId="6BD7BB2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No. </w:t>
            </w:r>
          </w:p>
        </w:tc>
        <w:tc>
          <w:tcPr>
            <w:tcW w:w="1680" w:type="dxa"/>
            <w:vMerge w:val="restart"/>
            <w:shd w:val="clear" w:color="auto" w:fill="BDD7EE"/>
            <w:vAlign w:val="center"/>
            <w:hideMark/>
          </w:tcPr>
          <w:p w14:paraId="4E3391C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07" w:type="dxa"/>
            <w:vMerge w:val="restart"/>
            <w:shd w:val="clear" w:color="auto" w:fill="BDD7EE"/>
            <w:vAlign w:val="center"/>
            <w:hideMark/>
          </w:tcPr>
          <w:p w14:paraId="2B6D15A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592" w:type="dxa"/>
            <w:vMerge w:val="restart"/>
            <w:shd w:val="clear" w:color="auto" w:fill="BDD7EE"/>
            <w:vAlign w:val="center"/>
            <w:hideMark/>
          </w:tcPr>
          <w:p w14:paraId="12E479A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694" w:type="dxa"/>
            <w:vMerge w:val="restart"/>
            <w:shd w:val="clear" w:color="auto" w:fill="BDD7EE"/>
            <w:vAlign w:val="center"/>
            <w:hideMark/>
          </w:tcPr>
          <w:p w14:paraId="621B577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667" w:type="dxa"/>
            <w:gridSpan w:val="3"/>
            <w:shd w:val="clear" w:color="auto" w:fill="BDD7EE"/>
            <w:vAlign w:val="center"/>
            <w:hideMark/>
          </w:tcPr>
          <w:p w14:paraId="4DF7C76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94" w:type="dxa"/>
            <w:gridSpan w:val="2"/>
            <w:shd w:val="clear" w:color="auto" w:fill="BDD7EE"/>
            <w:vAlign w:val="center"/>
            <w:hideMark/>
          </w:tcPr>
          <w:p w14:paraId="35AA6DDA"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4449" w:type="dxa"/>
            <w:vMerge w:val="restart"/>
            <w:shd w:val="clear" w:color="auto" w:fill="BDD7EE"/>
            <w:vAlign w:val="center"/>
            <w:hideMark/>
          </w:tcPr>
          <w:p w14:paraId="6645021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682269" w:rsidRPr="00DE4E4F" w14:paraId="1669BD5F" w14:textId="77777777" w:rsidTr="00B116A1">
        <w:trPr>
          <w:trHeight w:val="458"/>
          <w:tblHeader/>
          <w:jc w:val="center"/>
        </w:trPr>
        <w:tc>
          <w:tcPr>
            <w:tcW w:w="684" w:type="dxa"/>
            <w:vMerge/>
            <w:vAlign w:val="center"/>
            <w:hideMark/>
          </w:tcPr>
          <w:p w14:paraId="12647DB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80" w:type="dxa"/>
            <w:vMerge/>
            <w:vAlign w:val="center"/>
            <w:hideMark/>
          </w:tcPr>
          <w:p w14:paraId="3437FE2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107" w:type="dxa"/>
            <w:vMerge/>
            <w:vAlign w:val="center"/>
            <w:hideMark/>
          </w:tcPr>
          <w:p w14:paraId="631DB1E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92" w:type="dxa"/>
            <w:vMerge/>
            <w:vAlign w:val="center"/>
            <w:hideMark/>
          </w:tcPr>
          <w:p w14:paraId="053F1F6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94" w:type="dxa"/>
            <w:vMerge/>
            <w:vAlign w:val="center"/>
            <w:hideMark/>
          </w:tcPr>
          <w:p w14:paraId="61A3CBC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83" w:type="dxa"/>
            <w:shd w:val="clear" w:color="auto" w:fill="BDD7EE"/>
            <w:vAlign w:val="center"/>
            <w:hideMark/>
          </w:tcPr>
          <w:p w14:paraId="63CCFDE2"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57" w:type="dxa"/>
            <w:shd w:val="clear" w:color="auto" w:fill="BDD7EE"/>
            <w:vAlign w:val="center"/>
            <w:hideMark/>
          </w:tcPr>
          <w:p w14:paraId="4A34C59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827" w:type="dxa"/>
            <w:shd w:val="clear" w:color="auto" w:fill="BDD7EE"/>
            <w:vAlign w:val="center"/>
            <w:hideMark/>
          </w:tcPr>
          <w:p w14:paraId="658CAFFB"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87" w:type="dxa"/>
            <w:shd w:val="clear" w:color="auto" w:fill="BDD7EE"/>
            <w:vAlign w:val="center"/>
            <w:hideMark/>
          </w:tcPr>
          <w:p w14:paraId="61481BA1"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07" w:type="dxa"/>
            <w:shd w:val="clear" w:color="auto" w:fill="BDD7EE"/>
            <w:vAlign w:val="center"/>
            <w:hideMark/>
          </w:tcPr>
          <w:p w14:paraId="2658DB7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4449" w:type="dxa"/>
            <w:vMerge/>
            <w:vAlign w:val="center"/>
            <w:hideMark/>
          </w:tcPr>
          <w:p w14:paraId="39E80DE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2627AEB0" w14:textId="77777777" w:rsidTr="00B116A1">
        <w:trPr>
          <w:trHeight w:val="309"/>
          <w:jc w:val="center"/>
        </w:trPr>
        <w:tc>
          <w:tcPr>
            <w:tcW w:w="684" w:type="dxa"/>
            <w:shd w:val="clear" w:color="auto" w:fill="C6EFCE"/>
            <w:noWrap/>
          </w:tcPr>
          <w:p w14:paraId="71929B4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317</w:t>
            </w:r>
          </w:p>
        </w:tc>
        <w:tc>
          <w:tcPr>
            <w:tcW w:w="1680" w:type="dxa"/>
            <w:shd w:val="clear" w:color="auto" w:fill="C6EFCE"/>
            <w:noWrap/>
          </w:tcPr>
          <w:p w14:paraId="205D0F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18 - 4.7. Improve competitiveness and promote private investments and exports - 16543_Actions for the simplification of the business environment and its upgrading in quality and safety</w:t>
            </w:r>
          </w:p>
        </w:tc>
        <w:tc>
          <w:tcPr>
            <w:tcW w:w="1107" w:type="dxa"/>
            <w:shd w:val="clear" w:color="auto" w:fill="C6EFCE"/>
            <w:noWrap/>
          </w:tcPr>
          <w:p w14:paraId="2D2B473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92" w:type="dxa"/>
            <w:shd w:val="clear" w:color="auto" w:fill="C6EFCE"/>
            <w:noWrap/>
          </w:tcPr>
          <w:p w14:paraId="705776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Establishment of the quality policy and new regulatory framework for Quality infrastructure </w:t>
            </w:r>
          </w:p>
        </w:tc>
        <w:tc>
          <w:tcPr>
            <w:tcW w:w="1694" w:type="dxa"/>
            <w:shd w:val="clear" w:color="auto" w:fill="C6EFCE"/>
            <w:noWrap/>
          </w:tcPr>
          <w:p w14:paraId="66717E9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 a national strategy on quality infrastructure in Greece), and adopt necessary enabling regulation on standardization, metrology, accreditation and conformity assessment through necessary legislative acts (provide Official Journal reference); and adopt legislative amendments to law 3325/2005 (Part B concerning the establishment, extension and modernisation of manufacturing activities in the Attica Region)</w:t>
            </w:r>
          </w:p>
        </w:tc>
        <w:tc>
          <w:tcPr>
            <w:tcW w:w="983" w:type="dxa"/>
            <w:shd w:val="clear" w:color="auto" w:fill="C6EFCE"/>
            <w:noWrap/>
          </w:tcPr>
          <w:p w14:paraId="2B11CD9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650984F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7" w:type="dxa"/>
            <w:shd w:val="clear" w:color="auto" w:fill="C6EFCE"/>
            <w:noWrap/>
          </w:tcPr>
          <w:p w14:paraId="393F6A9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7" w:type="dxa"/>
            <w:shd w:val="clear" w:color="auto" w:fill="C6EFCE"/>
            <w:noWrap/>
          </w:tcPr>
          <w:p w14:paraId="50E857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7" w:type="dxa"/>
            <w:shd w:val="clear" w:color="auto" w:fill="C6EFCE"/>
            <w:noWrap/>
          </w:tcPr>
          <w:p w14:paraId="7C7687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449" w:type="dxa"/>
            <w:shd w:val="clear" w:color="auto" w:fill="C6EFCE"/>
            <w:noWrap/>
          </w:tcPr>
          <w:p w14:paraId="6A2F218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Develop a modern regulatory, organizational and operational framework for Quality Infrastructure in Greece, in line with Regulation 765/2008 concerning accreditation of conformity assessment bodies; and (b) entry into force of legislation to reform the regulatory framework concerning the installation of manufacturing activities in Attica with a view to eliminating excessively high restrictions that are non-proportional to policy objectives.</w:t>
            </w:r>
          </w:p>
          <w:p w14:paraId="2D250C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015E9F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scope of (b) shall cover the establishment of new industrial units and the modernisation of existing ones operating in Attica, as well as relocation and extension of existing installations in Attica.</w:t>
            </w:r>
          </w:p>
        </w:tc>
      </w:tr>
      <w:tr w:rsidR="00682269" w:rsidRPr="00DE4E4F" w14:paraId="7233B63B" w14:textId="77777777" w:rsidTr="00B116A1">
        <w:trPr>
          <w:trHeight w:val="309"/>
          <w:jc w:val="center"/>
        </w:trPr>
        <w:tc>
          <w:tcPr>
            <w:tcW w:w="684" w:type="dxa"/>
            <w:shd w:val="clear" w:color="auto" w:fill="C6EFCE"/>
            <w:noWrap/>
          </w:tcPr>
          <w:p w14:paraId="5B6561C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318</w:t>
            </w:r>
          </w:p>
        </w:tc>
        <w:tc>
          <w:tcPr>
            <w:tcW w:w="1680" w:type="dxa"/>
            <w:shd w:val="clear" w:color="auto" w:fill="C6EFCE"/>
            <w:noWrap/>
          </w:tcPr>
          <w:p w14:paraId="5B647AA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18 - 4.7. Improve competitiveness and promote private investments and exports - 16591_Ease of doing business</w:t>
            </w:r>
          </w:p>
        </w:tc>
        <w:tc>
          <w:tcPr>
            <w:tcW w:w="1107" w:type="dxa"/>
            <w:shd w:val="clear" w:color="auto" w:fill="C6EFCE"/>
            <w:noWrap/>
          </w:tcPr>
          <w:p w14:paraId="38C21D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92" w:type="dxa"/>
            <w:shd w:val="clear" w:color="auto" w:fill="C6EFCE"/>
            <w:noWrap/>
          </w:tcPr>
          <w:p w14:paraId="09FC3A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Improvement of business environment – ease doing business</w:t>
            </w:r>
          </w:p>
        </w:tc>
        <w:tc>
          <w:tcPr>
            <w:tcW w:w="1694" w:type="dxa"/>
            <w:shd w:val="clear" w:color="auto" w:fill="C6EFCE"/>
            <w:noWrap/>
          </w:tcPr>
          <w:p w14:paraId="2C659B3B" w14:textId="77777777" w:rsidR="001B186F" w:rsidRPr="00DE4E4F" w:rsidRDefault="0074517F">
            <w:pPr>
              <w:spacing w:after="0" w:line="259" w:lineRule="auto"/>
              <w:rPr>
                <w:rFonts w:ascii="Times New Roman" w:hAnsi="Times New Roman" w:cs="Times New Roman"/>
                <w:noProof/>
                <w:color w:val="006100"/>
                <w:sz w:val="18"/>
                <w:szCs w:val="18"/>
              </w:rPr>
            </w:pPr>
            <w:r w:rsidRPr="00DE4E4F">
              <w:rPr>
                <w:rFonts w:ascii="Times New Roman" w:hAnsi="Times New Roman" w:cs="Times New Roman"/>
                <w:noProof/>
                <w:sz w:val="18"/>
                <w:szCs w:val="18"/>
              </w:rPr>
              <w:t>-</w:t>
            </w:r>
            <w:r w:rsidRPr="00DE4E4F">
              <w:rPr>
                <w:rFonts w:ascii="Times New Roman" w:hAnsi="Times New Roman" w:cs="Times New Roman"/>
                <w:noProof/>
                <w:color w:val="006100"/>
                <w:sz w:val="18"/>
                <w:szCs w:val="18"/>
              </w:rPr>
              <w:t>For actions that require legislation: Publication of legislation in Official Journal (Official Journal reference)</w:t>
            </w:r>
          </w:p>
          <w:p w14:paraId="5100FFF9" w14:textId="77777777" w:rsidR="001B186F" w:rsidRPr="00DE4E4F" w:rsidRDefault="0074517F">
            <w:pPr>
              <w:spacing w:after="0" w:line="259" w:lineRule="auto"/>
              <w:rPr>
                <w:rFonts w:ascii="Times New Roman" w:hAnsi="Times New Roman" w:cs="Times New Roman"/>
                <w:noProof/>
                <w:color w:val="006100"/>
                <w:sz w:val="18"/>
                <w:szCs w:val="18"/>
              </w:rPr>
            </w:pPr>
            <w:r w:rsidRPr="00DE4E4F">
              <w:rPr>
                <w:rFonts w:ascii="Times New Roman" w:hAnsi="Times New Roman" w:cs="Times New Roman"/>
                <w:noProof/>
                <w:sz w:val="18"/>
                <w:szCs w:val="18"/>
              </w:rPr>
              <w:t>-</w:t>
            </w:r>
            <w:r w:rsidRPr="00DE4E4F">
              <w:rPr>
                <w:rFonts w:ascii="Times New Roman" w:hAnsi="Times New Roman" w:cs="Times New Roman"/>
                <w:noProof/>
                <w:color w:val="006100"/>
                <w:sz w:val="18"/>
                <w:szCs w:val="18"/>
              </w:rPr>
              <w:t xml:space="preserve">For interoperability functions, platforms and registries: Operationalisation of systems (attested by a report) </w:t>
            </w:r>
          </w:p>
          <w:p w14:paraId="2E68CF9F" w14:textId="77777777" w:rsidR="001B186F" w:rsidRPr="00DE4E4F" w:rsidRDefault="0074517F">
            <w:pPr>
              <w:spacing w:after="0" w:line="259" w:lineRule="auto"/>
              <w:rPr>
                <w:rFonts w:ascii="Times New Roman" w:hAnsi="Times New Roman" w:cs="Times New Roman"/>
                <w:noProof/>
                <w:color w:val="006100"/>
                <w:sz w:val="18"/>
                <w:szCs w:val="18"/>
              </w:rPr>
            </w:pPr>
            <w:r w:rsidRPr="00DE4E4F">
              <w:rPr>
                <w:rFonts w:ascii="Times New Roman" w:hAnsi="Times New Roman" w:cs="Times New Roman"/>
                <w:noProof/>
                <w:sz w:val="18"/>
                <w:szCs w:val="18"/>
              </w:rPr>
              <w:t>-</w:t>
            </w:r>
            <w:r w:rsidRPr="00DE4E4F">
              <w:rPr>
                <w:rFonts w:ascii="Times New Roman" w:hAnsi="Times New Roman" w:cs="Times New Roman"/>
                <w:noProof/>
                <w:color w:val="006100"/>
                <w:sz w:val="18"/>
                <w:szCs w:val="18"/>
              </w:rPr>
              <w:t>Delivery of equipment for equipment (attested by report and proof of purchase)</w:t>
            </w:r>
          </w:p>
          <w:p w14:paraId="05F1CA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sz w:val="18"/>
                <w:szCs w:val="18"/>
              </w:rPr>
              <w:t>-</w:t>
            </w:r>
            <w:r w:rsidRPr="00DE4E4F">
              <w:rPr>
                <w:rFonts w:ascii="Times New Roman" w:hAnsi="Times New Roman" w:cs="Times New Roman"/>
                <w:noProof/>
                <w:color w:val="006100"/>
                <w:sz w:val="18"/>
                <w:szCs w:val="18"/>
              </w:rPr>
              <w:t>Completion of campaigns and issuance of guidelines (attested by issued guidelines/circulars)</w:t>
            </w:r>
            <w:r w:rsidRPr="00DE4E4F">
              <w:rPr>
                <w:rFonts w:ascii="Times New Roman" w:hAnsi="Times New Roman" w:cs="Times New Roman"/>
                <w:noProof/>
                <w:sz w:val="18"/>
                <w:szCs w:val="18"/>
              </w:rPr>
              <w:t xml:space="preserve"> </w:t>
            </w:r>
          </w:p>
        </w:tc>
        <w:tc>
          <w:tcPr>
            <w:tcW w:w="983" w:type="dxa"/>
            <w:shd w:val="clear" w:color="auto" w:fill="C6EFCE"/>
            <w:noWrap/>
          </w:tcPr>
          <w:p w14:paraId="27E9AC2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4A7E545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7" w:type="dxa"/>
            <w:shd w:val="clear" w:color="auto" w:fill="C6EFCE"/>
            <w:noWrap/>
          </w:tcPr>
          <w:p w14:paraId="6B77922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7" w:type="dxa"/>
            <w:shd w:val="clear" w:color="auto" w:fill="C6EFCE"/>
            <w:noWrap/>
          </w:tcPr>
          <w:p w14:paraId="652FEE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7" w:type="dxa"/>
            <w:shd w:val="clear" w:color="auto" w:fill="C6EFCE"/>
            <w:noWrap/>
          </w:tcPr>
          <w:p w14:paraId="7ADC19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4449" w:type="dxa"/>
            <w:shd w:val="clear" w:color="auto" w:fill="C6EFCE"/>
            <w:noWrap/>
          </w:tcPr>
          <w:p w14:paraId="68CC492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Complete the reform to reduce complexity of procedures, time and cost in four sub-areas: getting credit, obtaining an electricity connection, registering property, and getting a construction permit</w:t>
            </w:r>
          </w:p>
          <w:p w14:paraId="001E3E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Specifically, the reform shall include the following subprojects and actions:</w:t>
            </w:r>
          </w:p>
          <w:p w14:paraId="235DC5B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Getting credit</w:t>
            </w:r>
          </w:p>
          <w:p w14:paraId="5F7741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Establish modern and reliable regulatory framework on securities in movable assets</w:t>
            </w:r>
          </w:p>
          <w:p w14:paraId="7D1B4D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Establish a register of secure transactions</w:t>
            </w:r>
          </w:p>
          <w:p w14:paraId="1B7796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 Getting Construction Permit</w:t>
            </w:r>
          </w:p>
          <w:p w14:paraId="55D12A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Achieve operational interoperability between e-adeies system for construction permits with other public systems</w:t>
            </w:r>
          </w:p>
          <w:p w14:paraId="54640E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Implement outreach campaigns with private sector stakeholders</w:t>
            </w:r>
          </w:p>
          <w:p w14:paraId="1D940DF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Equipping and training of staff </w:t>
            </w:r>
          </w:p>
          <w:p w14:paraId="53E988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Guidelines made available online</w:t>
            </w:r>
          </w:p>
          <w:p w14:paraId="4126EF1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Fee schedule available online</w:t>
            </w:r>
          </w:p>
          <w:p w14:paraId="0DB030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Instate digital inspection functions for the Fire Department</w:t>
            </w:r>
          </w:p>
          <w:p w14:paraId="3B3FDB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 Getting Electricity</w:t>
            </w:r>
          </w:p>
          <w:p w14:paraId="1BC87C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Simplify/reduce the requirements for application to HEDNO and unify the system for declaring square meters to Municipalities</w:t>
            </w:r>
          </w:p>
          <w:p w14:paraId="75587B1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 Registering property</w:t>
            </w:r>
          </w:p>
          <w:p w14:paraId="5E760F3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Create e-platform enabling purchasers to complete all requirements for transferring property online</w:t>
            </w:r>
          </w:p>
        </w:tc>
      </w:tr>
      <w:tr w:rsidR="00682269" w:rsidRPr="00DE4E4F" w14:paraId="7282A516" w14:textId="77777777" w:rsidTr="00B116A1">
        <w:trPr>
          <w:trHeight w:val="309"/>
          <w:jc w:val="center"/>
        </w:trPr>
        <w:tc>
          <w:tcPr>
            <w:tcW w:w="684" w:type="dxa"/>
            <w:shd w:val="clear" w:color="auto" w:fill="C6EFCE"/>
            <w:noWrap/>
          </w:tcPr>
          <w:p w14:paraId="44E2E7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319</w:t>
            </w:r>
          </w:p>
        </w:tc>
        <w:tc>
          <w:tcPr>
            <w:tcW w:w="1680" w:type="dxa"/>
            <w:shd w:val="clear" w:color="auto" w:fill="C6EFCE"/>
            <w:noWrap/>
          </w:tcPr>
          <w:p w14:paraId="4FCB78F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18 - 4.7. Improve competitiveness and promote private investments and exports - 16543_Actions for the simplification of the business environment and its upgrading in quality and safety</w:t>
            </w:r>
          </w:p>
        </w:tc>
        <w:tc>
          <w:tcPr>
            <w:tcW w:w="1107" w:type="dxa"/>
            <w:shd w:val="clear" w:color="auto" w:fill="C6EFCE"/>
            <w:noWrap/>
          </w:tcPr>
          <w:p w14:paraId="4BEDAB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92" w:type="dxa"/>
            <w:shd w:val="clear" w:color="auto" w:fill="C6EFCE"/>
            <w:noWrap/>
          </w:tcPr>
          <w:p w14:paraId="77E0BC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Business environment –licensing simplification and market surveillance</w:t>
            </w:r>
          </w:p>
        </w:tc>
        <w:tc>
          <w:tcPr>
            <w:tcW w:w="1694" w:type="dxa"/>
            <w:shd w:val="clear" w:color="auto" w:fill="C6EFCE"/>
            <w:noWrap/>
          </w:tcPr>
          <w:p w14:paraId="03A9AFF7" w14:textId="76DE165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acts and delivery of administrative actions under the reforms </w:t>
            </w:r>
          </w:p>
        </w:tc>
        <w:tc>
          <w:tcPr>
            <w:tcW w:w="983" w:type="dxa"/>
            <w:shd w:val="clear" w:color="auto" w:fill="C6EFCE"/>
            <w:noWrap/>
          </w:tcPr>
          <w:p w14:paraId="1FD04EB4"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7" w:type="dxa"/>
            <w:shd w:val="clear" w:color="auto" w:fill="C6EFCE"/>
            <w:noWrap/>
          </w:tcPr>
          <w:p w14:paraId="15681D2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27" w:type="dxa"/>
            <w:shd w:val="clear" w:color="auto" w:fill="C6EFCE"/>
            <w:noWrap/>
          </w:tcPr>
          <w:p w14:paraId="5633C2E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87" w:type="dxa"/>
            <w:shd w:val="clear" w:color="auto" w:fill="C6EFCE"/>
            <w:noWrap/>
          </w:tcPr>
          <w:p w14:paraId="1AC9E2C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7" w:type="dxa"/>
            <w:shd w:val="clear" w:color="auto" w:fill="C6EFCE"/>
            <w:noWrap/>
          </w:tcPr>
          <w:p w14:paraId="4E0EB11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449" w:type="dxa"/>
            <w:shd w:val="clear" w:color="auto" w:fill="C6EFCE"/>
            <w:noWrap/>
          </w:tcPr>
          <w:p w14:paraId="24AD42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Integrate into the digital system for the licensing of economic activities, the new functionalities recommended by the ex-post impact assessment of the licensing reform that has taken place,</w:t>
            </w:r>
          </w:p>
          <w:p w14:paraId="25DB60B1" w14:textId="77777777" w:rsidR="001B186F" w:rsidRPr="00DE4E4F" w:rsidRDefault="0074517F">
            <w:pPr>
              <w:spacing w:after="0" w:line="259" w:lineRule="auto"/>
              <w:ind w:left="12"/>
              <w:contextualSpacing/>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Entry into force of the amended law 4442/16 to include the licensing processes for new economic activities, (canteens, internet rooms, organization of conventions and trade shows, child care activities, social care housing facilities for the elderly and for people with disabilities, non-therapeutical spas and massage centres, artificial tanning units, and storage of boats in land areas), in line with the principles of Laws 4442/2016 and 4512/2018, </w:t>
            </w:r>
          </w:p>
          <w:p w14:paraId="6C19262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Publication of the administrative codification (</w:t>
            </w:r>
            <w:r w:rsidRPr="00DE4E4F">
              <w:rPr>
                <w:rFonts w:ascii="Times New Roman" w:hAnsi="Times New Roman" w:cs="Times New Roman"/>
                <w:i/>
                <w:noProof/>
                <w:color w:val="006100"/>
                <w:sz w:val="18"/>
                <w:szCs w:val="18"/>
              </w:rPr>
              <w:t>διοικητική κωδικοποίηση</w:t>
            </w:r>
            <w:r w:rsidRPr="00DE4E4F">
              <w:rPr>
                <w:rFonts w:ascii="Times New Roman" w:hAnsi="Times New Roman" w:cs="Times New Roman"/>
                <w:noProof/>
                <w:color w:val="006100"/>
                <w:sz w:val="18"/>
                <w:szCs w:val="18"/>
              </w:rPr>
              <w:t xml:space="preserve">) acts of laws 3325/2005, 3982/2011, 4302/2014 and 4442/2016, </w:t>
            </w:r>
          </w:p>
          <w:p w14:paraId="1BD903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Publication of a national product market surveillance strategy referred to in Regulation 1020/2019, and </w:t>
            </w:r>
          </w:p>
          <w:p w14:paraId="4205C5D0" w14:textId="64CFAFBB" w:rsidR="001B186F" w:rsidRPr="00DE4E4F" w:rsidRDefault="0074517F" w:rsidP="000D6FD8">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Entry into application of the new surveillance system of economic activities under 4512/18 legislation, through entry into force of legal acts for the inspection domains of consumer protection, public health, occupational health and safety, and safety of infrastructures; and for the setting into force a system for the evaluation of inspecting authorities for the inspection domains of consumer protection, public health, occupational health and safety, safety of infrastructures, food safety, environmental protection, and product safety</w:t>
            </w:r>
            <w:r w:rsidR="004B4E13" w:rsidRPr="00DE4E4F">
              <w:rPr>
                <w:rFonts w:ascii="Times New Roman" w:hAnsi="Times New Roman" w:cs="Times New Roman"/>
                <w:noProof/>
                <w:color w:val="006100"/>
                <w:sz w:val="18"/>
                <w:szCs w:val="18"/>
              </w:rPr>
              <w:t>.</w:t>
            </w:r>
          </w:p>
        </w:tc>
      </w:tr>
    </w:tbl>
    <w:p w14:paraId="190425BF"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4F28C177" w14:textId="77777777" w:rsidR="001B186F" w:rsidRPr="00DE4E4F" w:rsidRDefault="001B186F">
      <w:pPr>
        <w:spacing w:before="120" w:after="120" w:line="240" w:lineRule="auto"/>
        <w:ind w:left="709"/>
        <w:jc w:val="both"/>
        <w:rPr>
          <w:rFonts w:ascii="Times New Roman" w:hAnsi="Times New Roman" w:cs="Times New Roman"/>
          <w:noProof/>
          <w:sz w:val="24"/>
        </w:rPr>
        <w:sectPr w:rsidR="001B186F" w:rsidRPr="00DE4E4F">
          <w:headerReference w:type="even" r:id="rId360"/>
          <w:headerReference w:type="default" r:id="rId361"/>
          <w:footerReference w:type="even" r:id="rId362"/>
          <w:footerReference w:type="default" r:id="rId363"/>
          <w:headerReference w:type="first" r:id="rId364"/>
          <w:footerReference w:type="first" r:id="rId365"/>
          <w:pgSz w:w="16839" w:h="11907" w:orient="landscape"/>
          <w:pgMar w:top="1134" w:right="1134" w:bottom="1134" w:left="1134" w:header="567" w:footer="567" w:gutter="0"/>
          <w:cols w:space="720"/>
          <w:docGrid w:linePitch="360"/>
        </w:sectPr>
      </w:pPr>
    </w:p>
    <w:p w14:paraId="6992CB18"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 xml:space="preserve">R.3. Description of the reforms and investments for the loan </w:t>
      </w:r>
    </w:p>
    <w:p w14:paraId="3F8641E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Loan Facility (measure ID 16980)</w:t>
      </w:r>
    </w:p>
    <w:p w14:paraId="1C9AB06E" w14:textId="0C8E8998"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investment concerns the use of loan support under the Recovery and Resilience Facility to facilitate the provision of financial incentives to the private sector, and promote private investments. The Loan Facility shall make use of different distribution channels, namely financial institutions (through corporate bond purchases or syndicated loans (EUR</w:t>
      </w:r>
      <w:r w:rsidR="000D6FD8" w:rsidRPr="00DE4E4F">
        <w:rPr>
          <w:rFonts w:ascii="Times New Roman" w:hAnsi="Times New Roman"/>
          <w:noProof/>
          <w:sz w:val="24"/>
          <w:szCs w:val="24"/>
        </w:rPr>
        <w:t> </w:t>
      </w:r>
      <w:r w:rsidRPr="00DE4E4F">
        <w:rPr>
          <w:rFonts w:ascii="Times New Roman" w:hAnsi="Times New Roman"/>
          <w:noProof/>
          <w:sz w:val="24"/>
          <w:szCs w:val="24"/>
        </w:rPr>
        <w:t>13</w:t>
      </w:r>
      <w:r w:rsidR="000D6FD8" w:rsidRPr="00DE4E4F">
        <w:rPr>
          <w:rFonts w:ascii="Times New Roman" w:hAnsi="Times New Roman"/>
          <w:noProof/>
          <w:sz w:val="24"/>
          <w:szCs w:val="24"/>
        </w:rPr>
        <w:t> </w:t>
      </w:r>
      <w:r w:rsidR="00C702B3" w:rsidRPr="00DE4E4F">
        <w:rPr>
          <w:rFonts w:ascii="Times New Roman" w:hAnsi="Times New Roman"/>
          <w:noProof/>
          <w:sz w:val="24"/>
          <w:szCs w:val="24"/>
        </w:rPr>
        <w:t>36</w:t>
      </w:r>
      <w:r w:rsidR="005128AE" w:rsidRPr="00DE4E4F">
        <w:rPr>
          <w:rFonts w:ascii="Times New Roman" w:hAnsi="Times New Roman"/>
          <w:noProof/>
          <w:sz w:val="24"/>
          <w:szCs w:val="24"/>
        </w:rPr>
        <w:t>6</w:t>
      </w:r>
      <w:r w:rsidR="000D6FD8" w:rsidRPr="00DE4E4F">
        <w:rPr>
          <w:rFonts w:ascii="Times New Roman" w:hAnsi="Times New Roman"/>
          <w:noProof/>
          <w:sz w:val="24"/>
          <w:szCs w:val="24"/>
        </w:rPr>
        <w:t> </w:t>
      </w:r>
      <w:r w:rsidR="00C26783" w:rsidRPr="00DE4E4F">
        <w:rPr>
          <w:rFonts w:ascii="Times New Roman" w:hAnsi="Times New Roman"/>
          <w:noProof/>
          <w:sz w:val="24"/>
          <w:szCs w:val="24"/>
        </w:rPr>
        <w:t>446</w:t>
      </w:r>
      <w:r w:rsidR="000D6FD8" w:rsidRPr="00DE4E4F">
        <w:rPr>
          <w:rFonts w:ascii="Times New Roman" w:hAnsi="Times New Roman"/>
          <w:noProof/>
          <w:sz w:val="24"/>
          <w:szCs w:val="24"/>
        </w:rPr>
        <w:t> </w:t>
      </w:r>
      <w:r w:rsidR="00C26783" w:rsidRPr="00DE4E4F">
        <w:rPr>
          <w:rFonts w:ascii="Times New Roman" w:hAnsi="Times New Roman"/>
          <w:noProof/>
          <w:sz w:val="24"/>
          <w:szCs w:val="24"/>
        </w:rPr>
        <w:t>891</w:t>
      </w:r>
      <w:r w:rsidRPr="00DE4E4F">
        <w:rPr>
          <w:rFonts w:ascii="Times New Roman" w:hAnsi="Times New Roman"/>
          <w:noProof/>
          <w:sz w:val="24"/>
          <w:szCs w:val="24"/>
        </w:rPr>
        <w:t>), an equity platform (EUR</w:t>
      </w:r>
      <w:r w:rsidR="000D6FD8" w:rsidRPr="00DE4E4F">
        <w:rPr>
          <w:rFonts w:ascii="Times New Roman" w:hAnsi="Times New Roman"/>
          <w:noProof/>
          <w:sz w:val="24"/>
          <w:szCs w:val="24"/>
        </w:rPr>
        <w:t> </w:t>
      </w:r>
      <w:r w:rsidRPr="00DE4E4F">
        <w:rPr>
          <w:rFonts w:ascii="Times New Roman" w:hAnsi="Times New Roman"/>
          <w:noProof/>
          <w:sz w:val="24"/>
          <w:szCs w:val="24"/>
        </w:rPr>
        <w:t>6</w:t>
      </w:r>
      <w:r w:rsidR="006D0242" w:rsidRPr="00DE4E4F">
        <w:rPr>
          <w:rFonts w:ascii="Times New Roman" w:hAnsi="Times New Roman"/>
          <w:noProof/>
          <w:sz w:val="24"/>
          <w:szCs w:val="24"/>
        </w:rPr>
        <w:t>5</w:t>
      </w:r>
      <w:r w:rsidRPr="00DE4E4F">
        <w:rPr>
          <w:rFonts w:ascii="Times New Roman" w:hAnsi="Times New Roman"/>
          <w:noProof/>
          <w:sz w:val="24"/>
          <w:szCs w:val="24"/>
        </w:rPr>
        <w:t>0</w:t>
      </w:r>
      <w:r w:rsidR="000D6FD8" w:rsidRPr="00DE4E4F">
        <w:rPr>
          <w:rFonts w:ascii="Times New Roman" w:hAnsi="Times New Roman"/>
          <w:noProof/>
          <w:sz w:val="24"/>
          <w:szCs w:val="24"/>
        </w:rPr>
        <w:t> </w:t>
      </w:r>
      <w:r w:rsidR="00B10363" w:rsidRPr="00DE4E4F">
        <w:rPr>
          <w:rFonts w:ascii="Times New Roman" w:hAnsi="Times New Roman"/>
          <w:noProof/>
          <w:sz w:val="24"/>
          <w:szCs w:val="24"/>
        </w:rPr>
        <w:t>000</w:t>
      </w:r>
      <w:r w:rsidR="000D6FD8" w:rsidRPr="00DE4E4F">
        <w:rPr>
          <w:rFonts w:ascii="Times New Roman" w:hAnsi="Times New Roman"/>
          <w:noProof/>
          <w:sz w:val="24"/>
          <w:szCs w:val="24"/>
        </w:rPr>
        <w:t> </w:t>
      </w:r>
      <w:r w:rsidR="00B10363" w:rsidRPr="00DE4E4F">
        <w:rPr>
          <w:rFonts w:ascii="Times New Roman" w:hAnsi="Times New Roman"/>
          <w:noProof/>
          <w:sz w:val="24"/>
          <w:szCs w:val="24"/>
        </w:rPr>
        <w:t>000</w:t>
      </w:r>
      <w:r w:rsidRPr="00DE4E4F">
        <w:rPr>
          <w:rFonts w:ascii="Times New Roman" w:hAnsi="Times New Roman"/>
          <w:noProof/>
          <w:sz w:val="24"/>
          <w:szCs w:val="24"/>
        </w:rPr>
        <w:t>), and the Member State compartment of the InvestEU Programme (EUR</w:t>
      </w:r>
      <w:r w:rsidR="000D6FD8" w:rsidRPr="00DE4E4F">
        <w:rPr>
          <w:rFonts w:ascii="Times New Roman" w:hAnsi="Times New Roman"/>
          <w:noProof/>
          <w:sz w:val="24"/>
          <w:szCs w:val="24"/>
        </w:rPr>
        <w:t> </w:t>
      </w:r>
      <w:r w:rsidR="00B10363" w:rsidRPr="00DE4E4F">
        <w:rPr>
          <w:rFonts w:ascii="Times New Roman" w:hAnsi="Times New Roman"/>
          <w:noProof/>
          <w:sz w:val="24"/>
          <w:szCs w:val="24"/>
        </w:rPr>
        <w:t>9</w:t>
      </w:r>
      <w:r w:rsidRPr="00DE4E4F">
        <w:rPr>
          <w:rFonts w:ascii="Times New Roman" w:hAnsi="Times New Roman"/>
          <w:noProof/>
          <w:sz w:val="24"/>
          <w:szCs w:val="24"/>
        </w:rPr>
        <w:t>00</w:t>
      </w:r>
      <w:r w:rsidR="000D6FD8" w:rsidRPr="00DE4E4F">
        <w:rPr>
          <w:rFonts w:ascii="Times New Roman" w:hAnsi="Times New Roman"/>
          <w:noProof/>
          <w:sz w:val="24"/>
          <w:szCs w:val="24"/>
        </w:rPr>
        <w:t> </w:t>
      </w:r>
      <w:r w:rsidR="00B10363" w:rsidRPr="00DE4E4F">
        <w:rPr>
          <w:rFonts w:ascii="Times New Roman" w:hAnsi="Times New Roman"/>
          <w:noProof/>
          <w:sz w:val="24"/>
          <w:szCs w:val="24"/>
        </w:rPr>
        <w:t>000</w:t>
      </w:r>
      <w:r w:rsidR="000D6FD8" w:rsidRPr="00DE4E4F">
        <w:rPr>
          <w:rFonts w:ascii="Times New Roman" w:hAnsi="Times New Roman"/>
          <w:noProof/>
          <w:sz w:val="24"/>
          <w:szCs w:val="24"/>
        </w:rPr>
        <w:t> </w:t>
      </w:r>
      <w:r w:rsidR="00B10363" w:rsidRPr="00DE4E4F">
        <w:rPr>
          <w:rFonts w:ascii="Times New Roman" w:hAnsi="Times New Roman"/>
          <w:noProof/>
          <w:sz w:val="24"/>
          <w:szCs w:val="24"/>
        </w:rPr>
        <w:t>000</w:t>
      </w:r>
      <w:r w:rsidRPr="00DE4E4F">
        <w:rPr>
          <w:rFonts w:ascii="Times New Roman" w:hAnsi="Times New Roman"/>
          <w:noProof/>
          <w:sz w:val="24"/>
          <w:szCs w:val="24"/>
        </w:rPr>
        <w:t xml:space="preserve">). </w:t>
      </w:r>
    </w:p>
    <w:p w14:paraId="756F355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 xml:space="preserve">For the financial institutions’ distribution channel, loans shall be channelled through International Financial Institutions (IFI) and commercial banks (CB). The loans provided by the State shall cover a maximum of 50% of the investment costs, with the financial institutions’ participation at a minimum 30%, and debtor participation amounting to at least 20%. </w:t>
      </w:r>
    </w:p>
    <w:p w14:paraId="465D3799" w14:textId="22D03D8A" w:rsidR="001B186F" w:rsidRPr="00DE4E4F" w:rsidRDefault="0074517F">
      <w:pPr>
        <w:tabs>
          <w:tab w:val="left" w:pos="0"/>
        </w:tabs>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 xml:space="preserve">Loans extended under the Loan Facility repaid within the initial 3 years from the set-up of the Loan Facility may be re-used for new Loan Facility loan disbursements. Otherwise, all reflows of the Loan Facility shall be </w:t>
      </w:r>
      <w:r w:rsidR="00DE4E4F" w:rsidRPr="00DE4E4F">
        <w:rPr>
          <w:rFonts w:ascii="Times New Roman" w:hAnsi="Times New Roman"/>
          <w:noProof/>
          <w:sz w:val="24"/>
        </w:rPr>
        <w:t>channelled</w:t>
      </w:r>
      <w:r w:rsidRPr="00DE4E4F">
        <w:rPr>
          <w:rFonts w:ascii="Times New Roman" w:hAnsi="Times New Roman"/>
          <w:noProof/>
          <w:sz w:val="24"/>
        </w:rPr>
        <w:t xml:space="preserve"> to the segregated account which shall be used exclusively to service public debt and thus help support the sustainability of public finances.</w:t>
      </w:r>
    </w:p>
    <w:p w14:paraId="012AB40A" w14:textId="77777777" w:rsidR="001B186F" w:rsidRPr="00DE4E4F" w:rsidRDefault="0074517F">
      <w:pPr>
        <w:tabs>
          <w:tab w:val="left" w:pos="0"/>
        </w:tabs>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 xml:space="preserve">The Loan Facility shall finance only eligible projects. Specifically, IFI and CB shall ensure that the funded investments: </w:t>
      </w:r>
    </w:p>
    <w:p w14:paraId="5E4993BC" w14:textId="77777777" w:rsidR="001B186F" w:rsidRPr="00DE4E4F" w:rsidRDefault="0074517F">
      <w:pPr>
        <w:numPr>
          <w:ilvl w:val="0"/>
          <w:numId w:val="84"/>
        </w:numPr>
        <w:tabs>
          <w:tab w:val="left" w:pos="0"/>
        </w:tabs>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have a positive net present value, ensuring that the decision to finance is based on sound economic criteria;</w:t>
      </w:r>
    </w:p>
    <w:p w14:paraId="47B584AA" w14:textId="77777777" w:rsidR="001B186F" w:rsidRPr="00DE4E4F" w:rsidRDefault="0074517F">
      <w:pPr>
        <w:numPr>
          <w:ilvl w:val="0"/>
          <w:numId w:val="84"/>
        </w:numPr>
        <w:tabs>
          <w:tab w:val="left" w:pos="0"/>
        </w:tabs>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are aligned with the five strategic pillars set for the Loan Facility, namely green transition, digitalisation, extroversion, economies of scale through mergers and acquisitions, innovation (R&amp;D);</w:t>
      </w:r>
    </w:p>
    <w:p w14:paraId="19AF4C3F" w14:textId="77777777" w:rsidR="001B186F" w:rsidRPr="00DE4E4F" w:rsidRDefault="0074517F">
      <w:pPr>
        <w:numPr>
          <w:ilvl w:val="0"/>
          <w:numId w:val="84"/>
        </w:numPr>
        <w:tabs>
          <w:tab w:val="left" w:pos="0"/>
        </w:tabs>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 xml:space="preserve">comply with State aid rules. </w:t>
      </w:r>
    </w:p>
    <w:p w14:paraId="750CC23C"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In order to ensure that the measure complies with the Do No Significant Harm Technical Guidance (2021/C58/01), the agreements in the context of the Loan Facility shall:</w:t>
      </w:r>
    </w:p>
    <w:p w14:paraId="05845E3A" w14:textId="77777777" w:rsidR="001B186F" w:rsidRPr="00DE4E4F" w:rsidRDefault="0074517F">
      <w:pPr>
        <w:numPr>
          <w:ilvl w:val="0"/>
          <w:numId w:val="85"/>
        </w:numPr>
        <w:tabs>
          <w:tab w:val="left" w:pos="0"/>
        </w:tabs>
        <w:spacing w:before="120" w:after="120" w:line="240" w:lineRule="auto"/>
        <w:jc w:val="both"/>
        <w:rPr>
          <w:rFonts w:ascii="Times New Roman" w:hAnsi="Times New Roman" w:cs="Times New Roman"/>
          <w:noProof/>
          <w:sz w:val="24"/>
        </w:rPr>
      </w:pPr>
      <w:r w:rsidRPr="00DE4E4F">
        <w:rPr>
          <w:rFonts w:ascii="Times New Roman" w:hAnsi="Times New Roman"/>
          <w:noProof/>
          <w:sz w:val="24"/>
        </w:rPr>
        <w:t>require the application of the Commission’s technical guidance on sustainability proofing for the InvestEU Fund;</w:t>
      </w:r>
    </w:p>
    <w:p w14:paraId="421F963C" w14:textId="77777777" w:rsidR="001B186F" w:rsidRPr="00DE4E4F" w:rsidRDefault="0074517F">
      <w:pPr>
        <w:numPr>
          <w:ilvl w:val="0"/>
          <w:numId w:val="85"/>
        </w:numPr>
        <w:tabs>
          <w:tab w:val="left" w:pos="0"/>
        </w:tabs>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exclude the following list of activities and assets from eligibility: (i) activities and assets related to fossil fuels, including downstream use</w:t>
      </w:r>
      <w:r w:rsidRPr="00DE4E4F">
        <w:rPr>
          <w:rFonts w:ascii="Times New Roman" w:hAnsi="Times New Roman" w:cs="Times New Roman"/>
          <w:noProof/>
          <w:sz w:val="24"/>
          <w:szCs w:val="24"/>
          <w:vertAlign w:val="superscript"/>
        </w:rPr>
        <w:footnoteReference w:id="3"/>
      </w:r>
      <w:r w:rsidRPr="00DE4E4F">
        <w:rPr>
          <w:rFonts w:ascii="Times New Roman" w:hAnsi="Times New Roman"/>
          <w:noProof/>
          <w:sz w:val="24"/>
          <w:szCs w:val="24"/>
        </w:rPr>
        <w:t>; (ii) activities and assets under the EU Emission Trading System (ETS) achieving projected greenhouse gas emissions that are not lower than the relevant benchmarks</w:t>
      </w:r>
      <w:r w:rsidRPr="00DE4E4F">
        <w:rPr>
          <w:rFonts w:ascii="Times New Roman" w:hAnsi="Times New Roman" w:cs="Times New Roman"/>
          <w:noProof/>
          <w:sz w:val="24"/>
          <w:szCs w:val="24"/>
          <w:vertAlign w:val="superscript"/>
        </w:rPr>
        <w:footnoteReference w:id="4"/>
      </w:r>
      <w:r w:rsidRPr="00DE4E4F">
        <w:rPr>
          <w:rFonts w:ascii="Times New Roman" w:hAnsi="Times New Roman"/>
          <w:noProof/>
          <w:sz w:val="24"/>
          <w:szCs w:val="24"/>
        </w:rPr>
        <w:t>; (iii) activities and assets related to waste landfills, incinerators</w:t>
      </w:r>
      <w:r w:rsidRPr="00DE4E4F">
        <w:rPr>
          <w:rFonts w:ascii="Times New Roman" w:hAnsi="Times New Roman" w:cs="Times New Roman"/>
          <w:noProof/>
          <w:sz w:val="24"/>
          <w:szCs w:val="24"/>
          <w:vertAlign w:val="superscript"/>
        </w:rPr>
        <w:footnoteReference w:id="5"/>
      </w:r>
      <w:r w:rsidRPr="00DE4E4F">
        <w:rPr>
          <w:rFonts w:ascii="Times New Roman" w:hAnsi="Times New Roman"/>
          <w:noProof/>
          <w:sz w:val="24"/>
          <w:szCs w:val="24"/>
        </w:rPr>
        <w:t xml:space="preserve"> and mechanical biological treatment plants</w:t>
      </w:r>
      <w:r w:rsidRPr="00DE4E4F">
        <w:rPr>
          <w:rFonts w:ascii="Times New Roman" w:hAnsi="Times New Roman" w:cs="Times New Roman"/>
          <w:noProof/>
          <w:sz w:val="24"/>
          <w:szCs w:val="24"/>
          <w:vertAlign w:val="superscript"/>
        </w:rPr>
        <w:footnoteReference w:id="6"/>
      </w:r>
      <w:r w:rsidRPr="00DE4E4F">
        <w:rPr>
          <w:rFonts w:ascii="Times New Roman" w:hAnsi="Times New Roman"/>
          <w:noProof/>
          <w:sz w:val="24"/>
          <w:szCs w:val="24"/>
        </w:rPr>
        <w:t>; and (iv) activities and assets where the long-term disposal of waste may cause harm to the environment; and</w:t>
      </w:r>
    </w:p>
    <w:p w14:paraId="50D35A5B" w14:textId="77777777" w:rsidR="001B186F" w:rsidRPr="00DE4E4F" w:rsidRDefault="0074517F">
      <w:pPr>
        <w:numPr>
          <w:ilvl w:val="0"/>
          <w:numId w:val="85"/>
        </w:numPr>
        <w:tabs>
          <w:tab w:val="left" w:pos="0"/>
        </w:tabs>
        <w:spacing w:before="120" w:after="120" w:line="240" w:lineRule="auto"/>
        <w:jc w:val="both"/>
        <w:rPr>
          <w:rFonts w:ascii="Times New Roman" w:hAnsi="Times New Roman" w:cs="Times New Roman"/>
          <w:noProof/>
          <w:sz w:val="24"/>
        </w:rPr>
      </w:pPr>
      <w:r w:rsidRPr="00DE4E4F">
        <w:rPr>
          <w:rFonts w:ascii="Times New Roman" w:hAnsi="Times New Roman"/>
          <w:noProof/>
          <w:sz w:val="24"/>
        </w:rPr>
        <w:t>require the verification of legal compliance with the relevant EU and national environmental legislation of the projects for all transactions, including those exempted from sustainability proofing.</w:t>
      </w:r>
    </w:p>
    <w:p w14:paraId="573E37BD" w14:textId="7B20D0D0"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In addition, the Loan Facility shall provide for a commitment for the financial institutions’ distribution channel to invest at least </w:t>
      </w:r>
      <w:r w:rsidR="00DA6680" w:rsidRPr="00DE4E4F">
        <w:rPr>
          <w:rFonts w:ascii="Times New Roman" w:hAnsi="Times New Roman"/>
          <w:noProof/>
          <w:sz w:val="24"/>
          <w:szCs w:val="24"/>
        </w:rPr>
        <w:t>5</w:t>
      </w:r>
      <w:r w:rsidR="00821398" w:rsidRPr="00DE4E4F">
        <w:rPr>
          <w:rFonts w:ascii="Times New Roman" w:hAnsi="Times New Roman"/>
          <w:noProof/>
          <w:sz w:val="24"/>
          <w:szCs w:val="24"/>
        </w:rPr>
        <w:t>5</w:t>
      </w:r>
      <w:r w:rsidRPr="00DE4E4F">
        <w:rPr>
          <w:rFonts w:ascii="Times New Roman" w:hAnsi="Times New Roman"/>
          <w:noProof/>
          <w:sz w:val="24"/>
          <w:szCs w:val="24"/>
        </w:rPr>
        <w:t xml:space="preserve">% of the funds to support the climate transition and </w:t>
      </w:r>
      <w:r w:rsidR="00DA6680" w:rsidRPr="00DE4E4F">
        <w:rPr>
          <w:rFonts w:ascii="Times New Roman" w:hAnsi="Times New Roman"/>
          <w:noProof/>
          <w:sz w:val="24"/>
          <w:szCs w:val="24"/>
        </w:rPr>
        <w:t>28</w:t>
      </w:r>
      <w:r w:rsidRPr="00DE4E4F">
        <w:rPr>
          <w:rFonts w:ascii="Times New Roman" w:hAnsi="Times New Roman"/>
          <w:noProof/>
          <w:sz w:val="24"/>
          <w:szCs w:val="24"/>
        </w:rPr>
        <w:t xml:space="preserve">% of the funds to support the digital transition, using the methodology in Annexes VI and VII of the Recovery and Resilience Facility Regulation. </w:t>
      </w:r>
    </w:p>
    <w:p w14:paraId="08ED2FF8" w14:textId="202FF143"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Independent auditors shall verify compliance with DNSH and with the </w:t>
      </w:r>
      <w:r w:rsidR="00DA6680" w:rsidRPr="00DE4E4F">
        <w:rPr>
          <w:rFonts w:ascii="Times New Roman" w:hAnsi="Times New Roman"/>
          <w:noProof/>
          <w:sz w:val="24"/>
          <w:szCs w:val="24"/>
        </w:rPr>
        <w:t>5</w:t>
      </w:r>
      <w:r w:rsidR="00821398" w:rsidRPr="00DE4E4F">
        <w:rPr>
          <w:rFonts w:ascii="Times New Roman" w:hAnsi="Times New Roman"/>
          <w:noProof/>
          <w:sz w:val="24"/>
          <w:szCs w:val="24"/>
        </w:rPr>
        <w:t>5</w:t>
      </w:r>
      <w:r w:rsidRPr="00DE4E4F">
        <w:rPr>
          <w:rFonts w:ascii="Times New Roman" w:hAnsi="Times New Roman"/>
          <w:noProof/>
          <w:sz w:val="24"/>
          <w:szCs w:val="24"/>
        </w:rPr>
        <w:t xml:space="preserve">% climate target and </w:t>
      </w:r>
      <w:r w:rsidR="00DA6680" w:rsidRPr="00DE4E4F">
        <w:rPr>
          <w:rFonts w:ascii="Times New Roman" w:hAnsi="Times New Roman"/>
          <w:noProof/>
          <w:sz w:val="24"/>
          <w:szCs w:val="24"/>
        </w:rPr>
        <w:t>28</w:t>
      </w:r>
      <w:r w:rsidRPr="00DE4E4F">
        <w:rPr>
          <w:rFonts w:ascii="Times New Roman" w:hAnsi="Times New Roman"/>
          <w:noProof/>
          <w:sz w:val="24"/>
          <w:szCs w:val="24"/>
        </w:rPr>
        <w:t>% digital target before each request for disbursement.</w:t>
      </w:r>
    </w:p>
    <w:p w14:paraId="0E55FC90" w14:textId="77777777" w:rsidR="001B186F" w:rsidRPr="00DE4E4F" w:rsidRDefault="0074517F">
      <w:pPr>
        <w:rPr>
          <w:rFonts w:ascii="Times New Roman" w:hAnsi="Times New Roman" w:cs="Times New Roman"/>
          <w:b/>
          <w:bCs/>
          <w:noProof/>
          <w:sz w:val="24"/>
          <w:szCs w:val="24"/>
          <w:u w:val="single"/>
        </w:rPr>
      </w:pPr>
      <w:r w:rsidRPr="00DE4E4F">
        <w:rPr>
          <w:rFonts w:ascii="Times New Roman" w:hAnsi="Times New Roman" w:cs="Times New Roman"/>
          <w:b/>
          <w:bCs/>
          <w:noProof/>
          <w:sz w:val="24"/>
          <w:szCs w:val="24"/>
        </w:rPr>
        <w:t xml:space="preserve">Investment: </w:t>
      </w:r>
      <w:r w:rsidRPr="00DE4E4F">
        <w:rPr>
          <w:rFonts w:ascii="Times New Roman" w:hAnsi="Times New Roman" w:cs="Times New Roman"/>
          <w:noProof/>
          <w:sz w:val="24"/>
          <w:szCs w:val="24"/>
        </w:rPr>
        <w:t>Capital injection into the Hellenic Development Bank</w:t>
      </w:r>
      <w:r w:rsidRPr="00DE4E4F">
        <w:rPr>
          <w:rFonts w:ascii="Times New Roman" w:hAnsi="Times New Roman" w:cs="Times New Roman"/>
          <w:b/>
          <w:bCs/>
          <w:noProof/>
          <w:sz w:val="24"/>
          <w:szCs w:val="24"/>
        </w:rPr>
        <w:t xml:space="preserve"> </w:t>
      </w:r>
      <w:r w:rsidRPr="00DE4E4F">
        <w:rPr>
          <w:rFonts w:ascii="Times New Roman" w:hAnsi="Times New Roman"/>
          <w:noProof/>
          <w:sz w:val="24"/>
        </w:rPr>
        <w:t>(measure ID 16403)</w:t>
      </w:r>
      <w:r w:rsidRPr="00DE4E4F">
        <w:rPr>
          <w:rFonts w:ascii="Times New Roman" w:hAnsi="Times New Roman" w:cs="Times New Roman"/>
          <w:b/>
          <w:bCs/>
          <w:noProof/>
          <w:sz w:val="24"/>
          <w:szCs w:val="24"/>
          <w:u w:val="single"/>
        </w:rPr>
        <w:t xml:space="preserve"> </w:t>
      </w:r>
    </w:p>
    <w:p w14:paraId="13C6CE06" w14:textId="7FCE446D"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This measure aims at supporting the growth potential of the Greek economy by structurally adjusting the level of public support available to address market failures and inefficiencies within the economy. The measure shall consist of a capital injection of EUR</w:t>
      </w:r>
      <w:r w:rsidR="000D6FD8" w:rsidRPr="00DE4E4F">
        <w:rPr>
          <w:rFonts w:ascii="Times New Roman" w:hAnsi="Times New Roman" w:cs="Times New Roman"/>
          <w:noProof/>
          <w:sz w:val="24"/>
          <w:szCs w:val="24"/>
        </w:rPr>
        <w:t> </w:t>
      </w:r>
      <w:r w:rsidR="009C2806" w:rsidRPr="00DE4E4F">
        <w:rPr>
          <w:rFonts w:ascii="Times New Roman" w:hAnsi="Times New Roman" w:cs="Times New Roman"/>
          <w:noProof/>
          <w:sz w:val="24"/>
          <w:szCs w:val="24"/>
        </w:rPr>
        <w:t>1</w:t>
      </w:r>
      <w:r w:rsidR="000D6FD8" w:rsidRPr="00DE4E4F">
        <w:rPr>
          <w:rFonts w:ascii="Times New Roman" w:hAnsi="Times New Roman" w:cs="Times New Roman"/>
          <w:noProof/>
          <w:sz w:val="24"/>
          <w:szCs w:val="24"/>
        </w:rPr>
        <w:t> </w:t>
      </w:r>
      <w:r w:rsidR="009C2806" w:rsidRPr="00DE4E4F">
        <w:rPr>
          <w:rFonts w:ascii="Times New Roman" w:hAnsi="Times New Roman" w:cs="Times New Roman"/>
          <w:noProof/>
          <w:sz w:val="24"/>
          <w:szCs w:val="24"/>
        </w:rPr>
        <w:t>989</w:t>
      </w:r>
      <w:r w:rsidR="000D6FD8" w:rsidRPr="00DE4E4F">
        <w:rPr>
          <w:rFonts w:ascii="Times New Roman" w:hAnsi="Times New Roman" w:cs="Times New Roman"/>
          <w:noProof/>
          <w:sz w:val="24"/>
          <w:szCs w:val="24"/>
        </w:rPr>
        <w:t> </w:t>
      </w:r>
      <w:r w:rsidR="009C2806" w:rsidRPr="00DE4E4F">
        <w:rPr>
          <w:rFonts w:ascii="Times New Roman" w:hAnsi="Times New Roman" w:cs="Times New Roman"/>
          <w:noProof/>
          <w:sz w:val="24"/>
          <w:szCs w:val="24"/>
        </w:rPr>
        <w:t>092</w:t>
      </w:r>
      <w:r w:rsidR="000D6FD8" w:rsidRPr="00DE4E4F">
        <w:rPr>
          <w:rFonts w:ascii="Times New Roman" w:hAnsi="Times New Roman" w:cs="Times New Roman"/>
          <w:noProof/>
          <w:sz w:val="24"/>
          <w:szCs w:val="24"/>
        </w:rPr>
        <w:t> </w:t>
      </w:r>
      <w:r w:rsidR="009C2806" w:rsidRPr="00DE4E4F">
        <w:rPr>
          <w:rFonts w:ascii="Times New Roman" w:hAnsi="Times New Roman" w:cs="Times New Roman"/>
          <w:noProof/>
          <w:sz w:val="24"/>
          <w:szCs w:val="24"/>
        </w:rPr>
        <w:t>029</w:t>
      </w:r>
      <w:r w:rsidR="00B243F1" w:rsidRPr="00DE4E4F">
        <w:rPr>
          <w:rFonts w:ascii="Times New Roman" w:hAnsi="Times New Roman" w:cs="Times New Roman"/>
          <w:noProof/>
          <w:sz w:val="24"/>
          <w:szCs w:val="24"/>
        </w:rPr>
        <w:t xml:space="preserve"> </w:t>
      </w:r>
      <w:r w:rsidRPr="00DE4E4F">
        <w:rPr>
          <w:rFonts w:ascii="Times New Roman" w:hAnsi="Times New Roman" w:cs="Times New Roman"/>
          <w:noProof/>
          <w:sz w:val="24"/>
          <w:szCs w:val="24"/>
        </w:rPr>
        <w:t xml:space="preserve">into the Hellenic Development Bank. </w:t>
      </w:r>
    </w:p>
    <w:p w14:paraId="4CDA6803" w14:textId="77777777" w:rsidR="001B186F" w:rsidRPr="00DE4E4F" w:rsidRDefault="0074517F">
      <w:pPr>
        <w:spacing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Hellenic Development Bank</w:t>
      </w:r>
      <w:r w:rsidRPr="00DE4E4F">
        <w:rPr>
          <w:rFonts w:ascii="Times New Roman" w:eastAsia="Times New Roman" w:hAnsi="Times New Roman" w:cs="Times New Roman"/>
          <w:noProof/>
          <w:sz w:val="24"/>
          <w:szCs w:val="24"/>
        </w:rPr>
        <w:t xml:space="preserve"> shall adopt a new investment policy for the use of the additional capital. The investment policy shall include t</w:t>
      </w:r>
      <w:r w:rsidRPr="00DE4E4F">
        <w:rPr>
          <w:rFonts w:ascii="Times New Roman" w:hAnsi="Times New Roman" w:cs="Times New Roman"/>
          <w:noProof/>
          <w:sz w:val="24"/>
          <w:szCs w:val="24"/>
        </w:rPr>
        <w:t>he description of the financial product(s) with the expected type of eligible final beneficiaries that the additional capital is expected to initially support, including the expected timeline for the implementation and expected amount of each financial product. The Hellenic Development Bank shall use for the additional capital the same audit and control system that was positively assessed by the Commission in accordance with Article 157 of Regulation (EU, Euratom) 2024/2509. The Investment Policy shall require that financial product(s) that the additional capital supports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DE4E4F">
        <w:rPr>
          <w:rFonts w:ascii="Times New Roman" w:hAnsi="Times New Roman" w:cs="Times New Roman"/>
          <w:noProof/>
          <w:sz w:val="24"/>
          <w:szCs w:val="24"/>
          <w:vertAlign w:val="superscript"/>
        </w:rPr>
        <w:footnoteReference w:id="7"/>
      </w:r>
      <w:r w:rsidRPr="00DE4E4F">
        <w:rPr>
          <w:rFonts w:ascii="Times New Roman" w:hAnsi="Times New Roman" w:cs="Times New Roman"/>
          <w:noProof/>
          <w:sz w:val="24"/>
          <w:szCs w:val="24"/>
        </w:rPr>
        <w:t>, (ii) activities and assets under the EU Emission Trading System (ETS) achieving projected greenhouse gas emissions that are not lower than the relevant benchmarks</w:t>
      </w:r>
      <w:r w:rsidRPr="00DE4E4F">
        <w:rPr>
          <w:rFonts w:ascii="Times New Roman" w:hAnsi="Times New Roman" w:cs="Times New Roman"/>
          <w:noProof/>
          <w:sz w:val="24"/>
          <w:szCs w:val="24"/>
          <w:vertAlign w:val="superscript"/>
        </w:rPr>
        <w:footnoteReference w:id="8"/>
      </w:r>
      <w:r w:rsidRPr="00DE4E4F">
        <w:rPr>
          <w:rFonts w:ascii="Times New Roman" w:hAnsi="Times New Roman" w:cs="Times New Roman"/>
          <w:noProof/>
          <w:sz w:val="24"/>
          <w:szCs w:val="24"/>
        </w:rPr>
        <w:t>, (iii) activities and assets related to waste landfills, incinerators</w:t>
      </w:r>
      <w:r w:rsidRPr="00DE4E4F">
        <w:rPr>
          <w:rStyle w:val="FootnoteReference"/>
          <w:rFonts w:ascii="Times New Roman" w:hAnsi="Times New Roman" w:cs="Times New Roman"/>
          <w:noProof/>
          <w:sz w:val="24"/>
          <w:szCs w:val="24"/>
        </w:rPr>
        <w:footnoteReference w:id="9"/>
      </w:r>
      <w:r w:rsidRPr="00DE4E4F">
        <w:rPr>
          <w:rFonts w:ascii="Times New Roman" w:hAnsi="Times New Roman" w:cs="Times New Roman"/>
          <w:noProof/>
          <w:sz w:val="24"/>
          <w:szCs w:val="24"/>
        </w:rPr>
        <w:t xml:space="preserve"> and mechanical biological treatment plants</w:t>
      </w:r>
      <w:r w:rsidRPr="00DE4E4F">
        <w:rPr>
          <w:rStyle w:val="FootnoteReference"/>
          <w:rFonts w:ascii="Times New Roman" w:hAnsi="Times New Roman" w:cs="Times New Roman"/>
          <w:noProof/>
          <w:sz w:val="24"/>
          <w:szCs w:val="24"/>
        </w:rPr>
        <w:footnoteReference w:id="10"/>
      </w:r>
      <w:r w:rsidRPr="00DE4E4F">
        <w:rPr>
          <w:rFonts w:ascii="Times New Roman" w:hAnsi="Times New Roman" w:cs="Times New Roman"/>
          <w:noProof/>
          <w:sz w:val="24"/>
          <w:szCs w:val="24"/>
        </w:rPr>
        <w:t>. Furthermore, in the case of general support to corporates, the investment policy shall exclude companies with a substantial focus</w:t>
      </w:r>
      <w:r w:rsidRPr="00DE4E4F">
        <w:rPr>
          <w:rFonts w:ascii="Times New Roman" w:hAnsi="Times New Roman" w:cs="Times New Roman"/>
          <w:noProof/>
          <w:sz w:val="24"/>
          <w:szCs w:val="24"/>
          <w:vertAlign w:val="superscript"/>
        </w:rPr>
        <w:footnoteReference w:id="11"/>
      </w:r>
      <w:r w:rsidRPr="00DE4E4F">
        <w:rPr>
          <w:rFonts w:ascii="Times New Roman" w:hAnsi="Times New Roman" w:cs="Times New Roman"/>
          <w:noProof/>
          <w:sz w:val="24"/>
          <w:szCs w:val="24"/>
        </w:rPr>
        <w:t xml:space="preserve"> in the following sectors: (i) fossil fuel-based energy production and related activities</w:t>
      </w:r>
      <w:r w:rsidRPr="00DE4E4F">
        <w:rPr>
          <w:rFonts w:ascii="Times New Roman" w:hAnsi="Times New Roman" w:cs="Times New Roman"/>
          <w:noProof/>
          <w:sz w:val="24"/>
          <w:szCs w:val="24"/>
          <w:vertAlign w:val="superscript"/>
        </w:rPr>
        <w:footnoteReference w:id="12"/>
      </w:r>
      <w:r w:rsidRPr="00DE4E4F">
        <w:rPr>
          <w:rFonts w:ascii="Times New Roman" w:hAnsi="Times New Roman" w:cs="Times New Roman"/>
          <w:noProof/>
          <w:sz w:val="24"/>
          <w:szCs w:val="24"/>
        </w:rPr>
        <w:t>; (ii) energy-intensive and/or high CO2-emitting industries</w:t>
      </w:r>
      <w:r w:rsidRPr="00DE4E4F">
        <w:rPr>
          <w:rFonts w:ascii="Times New Roman" w:hAnsi="Times New Roman" w:cs="Times New Roman"/>
          <w:noProof/>
          <w:sz w:val="24"/>
          <w:szCs w:val="24"/>
          <w:vertAlign w:val="superscript"/>
        </w:rPr>
        <w:footnoteReference w:id="13"/>
      </w:r>
      <w:r w:rsidRPr="00DE4E4F">
        <w:rPr>
          <w:rFonts w:ascii="Times New Roman" w:hAnsi="Times New Roman" w:cs="Times New Roman"/>
          <w:noProof/>
          <w:sz w:val="24"/>
          <w:szCs w:val="24"/>
        </w:rPr>
        <w:t>; (iii) production, rental, or sale of polluting vehicles</w:t>
      </w:r>
      <w:r w:rsidRPr="00DE4E4F">
        <w:rPr>
          <w:rFonts w:ascii="Times New Roman" w:hAnsi="Times New Roman" w:cs="Times New Roman"/>
          <w:noProof/>
          <w:sz w:val="24"/>
          <w:szCs w:val="24"/>
          <w:vertAlign w:val="superscript"/>
        </w:rPr>
        <w:footnoteReference w:id="14"/>
      </w:r>
      <w:r w:rsidRPr="00DE4E4F">
        <w:rPr>
          <w:rFonts w:ascii="Times New Roman" w:hAnsi="Times New Roman" w:cs="Times New Roman"/>
          <w:noProof/>
          <w:sz w:val="24"/>
          <w:szCs w:val="24"/>
        </w:rPr>
        <w:t>; (iv) waste collection, waste treatment and disposal</w:t>
      </w:r>
      <w:r w:rsidRPr="00DE4E4F">
        <w:rPr>
          <w:rFonts w:ascii="Times New Roman" w:hAnsi="Times New Roman" w:cs="Times New Roman"/>
          <w:noProof/>
          <w:sz w:val="24"/>
          <w:szCs w:val="24"/>
          <w:vertAlign w:val="superscript"/>
        </w:rPr>
        <w:footnoteReference w:id="15"/>
      </w:r>
      <w:r w:rsidRPr="00DE4E4F">
        <w:rPr>
          <w:rFonts w:ascii="Times New Roman" w:hAnsi="Times New Roman" w:cs="Times New Roman"/>
          <w:noProof/>
          <w:sz w:val="24"/>
          <w:szCs w:val="24"/>
        </w:rPr>
        <w:t>, (v) processing of nuclear fuel, production of nuclear energy. Moreover, the investment policy shall require compliance</w:t>
      </w:r>
      <w:r w:rsidRPr="00DE4E4F">
        <w:rPr>
          <w:rFonts w:ascii="Times New Roman" w:hAnsi="Times New Roman" w:cs="Times New Roman"/>
          <w:b/>
          <w:bCs/>
          <w:noProof/>
          <w:sz w:val="24"/>
          <w:szCs w:val="24"/>
        </w:rPr>
        <w:t xml:space="preserve"> </w:t>
      </w:r>
      <w:r w:rsidRPr="00DE4E4F">
        <w:rPr>
          <w:rFonts w:ascii="Times New Roman" w:hAnsi="Times New Roman" w:cs="Times New Roman"/>
          <w:noProof/>
          <w:sz w:val="24"/>
          <w:szCs w:val="24"/>
        </w:rPr>
        <w:t>with the relevant EU and national environmental legislation of the final beneficiaries.</w:t>
      </w:r>
    </w:p>
    <w:p w14:paraId="71D51EE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satisfactory fulfilment of milestones under this measure is subject to the satisfactory fulfilment of milestone 384 of reform 16405 - Pillar assessment of the Hellenic Development Bank.</w:t>
      </w:r>
    </w:p>
    <w:p w14:paraId="524BFDD1" w14:textId="77777777" w:rsidR="00E9093F" w:rsidRPr="00DE4E4F" w:rsidRDefault="00E9093F">
      <w:pPr>
        <w:spacing w:before="120" w:after="120" w:line="240" w:lineRule="auto"/>
        <w:jc w:val="both"/>
        <w:rPr>
          <w:rFonts w:ascii="Times New Roman" w:hAnsi="Times New Roman" w:cs="Times New Roman"/>
          <w:noProof/>
          <w:sz w:val="24"/>
          <w:szCs w:val="24"/>
        </w:rPr>
      </w:pPr>
    </w:p>
    <w:p w14:paraId="180F0EEF" w14:textId="77777777" w:rsidR="001B186F" w:rsidRPr="00DE4E4F" w:rsidRDefault="0074517F">
      <w:pPr>
        <w:rPr>
          <w:rFonts w:ascii="Times New Roman" w:hAnsi="Times New Roman" w:cs="Times New Roman"/>
          <w:b/>
          <w:bCs/>
          <w:noProof/>
          <w:sz w:val="24"/>
          <w:szCs w:val="24"/>
          <w:u w:val="single"/>
        </w:rPr>
      </w:pPr>
      <w:r w:rsidRPr="00DE4E4F">
        <w:rPr>
          <w:rFonts w:ascii="Times New Roman" w:hAnsi="Times New Roman" w:cs="Times New Roman"/>
          <w:b/>
          <w:bCs/>
          <w:noProof/>
          <w:sz w:val="24"/>
          <w:szCs w:val="24"/>
        </w:rPr>
        <w:t xml:space="preserve">Reform: </w:t>
      </w:r>
      <w:r w:rsidRPr="00DE4E4F">
        <w:rPr>
          <w:rFonts w:ascii="Times New Roman" w:hAnsi="Times New Roman" w:cs="Times New Roman"/>
          <w:noProof/>
          <w:sz w:val="24"/>
          <w:szCs w:val="24"/>
        </w:rPr>
        <w:t>Pillar assessment of the Hellenic Development Bank</w:t>
      </w:r>
      <w:r w:rsidRPr="00DE4E4F">
        <w:rPr>
          <w:rFonts w:ascii="Times New Roman" w:hAnsi="Times New Roman" w:cs="Times New Roman"/>
          <w:b/>
          <w:bCs/>
          <w:noProof/>
          <w:sz w:val="24"/>
          <w:szCs w:val="24"/>
        </w:rPr>
        <w:t xml:space="preserve"> </w:t>
      </w:r>
      <w:r w:rsidRPr="00DE4E4F">
        <w:rPr>
          <w:rFonts w:ascii="Times New Roman" w:hAnsi="Times New Roman"/>
          <w:noProof/>
          <w:sz w:val="24"/>
        </w:rPr>
        <w:t>(measure ID 16405)</w:t>
      </w:r>
    </w:p>
    <w:p w14:paraId="14BCB547" w14:textId="77777777" w:rsidR="001B186F" w:rsidRPr="00DE4E4F" w:rsidRDefault="0074517F">
      <w:pPr>
        <w:jc w:val="both"/>
        <w:rPr>
          <w:rFonts w:ascii="Times New Roman" w:hAnsi="Times New Roman" w:cs="Times New Roman"/>
          <w:noProof/>
          <w:sz w:val="24"/>
          <w:szCs w:val="24"/>
        </w:rPr>
      </w:pPr>
      <w:r w:rsidRPr="00DE4E4F">
        <w:rPr>
          <w:rFonts w:ascii="Times New Roman" w:hAnsi="Times New Roman" w:cs="Times New Roman"/>
          <w:noProof/>
          <w:sz w:val="24"/>
          <w:szCs w:val="24"/>
        </w:rPr>
        <w:t>The objective of this measure is to ensure that the Hellenic Development Bank has put in place the appropriate arrangements to implement EU funds. This measure consists in having the Hellenic Development Bank pillar assessed.</w:t>
      </w:r>
    </w:p>
    <w:p w14:paraId="26831F17" w14:textId="77777777" w:rsidR="001B186F" w:rsidRPr="00DE4E4F" w:rsidRDefault="001B186F">
      <w:pPr>
        <w:spacing w:before="120" w:after="120" w:line="240" w:lineRule="auto"/>
        <w:jc w:val="both"/>
        <w:rPr>
          <w:rFonts w:ascii="Times New Roman" w:hAnsi="Times New Roman" w:cs="Times New Roman"/>
          <w:i/>
          <w:noProof/>
          <w:sz w:val="24"/>
          <w:u w:val="single"/>
        </w:rPr>
      </w:pPr>
    </w:p>
    <w:p w14:paraId="0F4C74F9" w14:textId="77777777" w:rsidR="001B186F" w:rsidRPr="00DE4E4F" w:rsidRDefault="001B186F">
      <w:pPr>
        <w:spacing w:after="160" w:line="259" w:lineRule="auto"/>
        <w:ind w:left="709"/>
        <w:contextualSpacing/>
        <w:jc w:val="both"/>
        <w:rPr>
          <w:noProof/>
        </w:rPr>
      </w:pPr>
    </w:p>
    <w:p w14:paraId="0330301B" w14:textId="77777777" w:rsidR="001B186F" w:rsidRPr="00DE4E4F" w:rsidRDefault="001B186F">
      <w:pPr>
        <w:spacing w:after="160" w:line="259" w:lineRule="auto"/>
        <w:ind w:left="709"/>
        <w:contextualSpacing/>
        <w:jc w:val="both"/>
        <w:rPr>
          <w:noProof/>
        </w:rPr>
        <w:sectPr w:rsidR="001B186F" w:rsidRPr="00DE4E4F">
          <w:headerReference w:type="even" r:id="rId366"/>
          <w:headerReference w:type="default" r:id="rId367"/>
          <w:footerReference w:type="even" r:id="rId368"/>
          <w:footerReference w:type="default" r:id="rId369"/>
          <w:headerReference w:type="first" r:id="rId370"/>
          <w:footerReference w:type="first" r:id="rId371"/>
          <w:pgSz w:w="11907" w:h="16839"/>
          <w:pgMar w:top="1134" w:right="1134" w:bottom="1134" w:left="1134" w:header="567" w:footer="567" w:gutter="0"/>
          <w:cols w:space="720"/>
          <w:docGrid w:linePitch="360"/>
        </w:sectPr>
      </w:pPr>
    </w:p>
    <w:p w14:paraId="6AB21F66"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 xml:space="preserve">R.4. Milestones, targets, indicators, and timetable for monitoring and implementation for the loan </w:t>
      </w:r>
    </w:p>
    <w:p w14:paraId="4E6B709C" w14:textId="77777777" w:rsidR="001B186F" w:rsidRPr="00DE4E4F" w:rsidRDefault="0074517F">
      <w:pPr>
        <w:keepNext/>
        <w:keepLines/>
        <w:spacing w:before="40" w:after="240" w:line="240" w:lineRule="auto"/>
        <w:jc w:val="both"/>
        <w:outlineLvl w:val="4"/>
        <w:rPr>
          <w:rFonts w:ascii="Cambria" w:eastAsia="Times New Roman" w:hAnsi="Cambria"/>
          <w:noProof/>
          <w:color w:val="365F91"/>
          <w:sz w:val="24"/>
        </w:rPr>
      </w:pPr>
      <w:r w:rsidRPr="00DE4E4F">
        <w:rPr>
          <w:rFonts w:ascii="Cambria" w:hAnsi="Cambria"/>
          <w:noProof/>
          <w:color w:val="365F91"/>
          <w:sz w:val="24"/>
        </w:rPr>
        <w:t>Loan Facility (16980)</w:t>
      </w:r>
    </w:p>
    <w:tbl>
      <w:tblPr>
        <w:tblW w:w="15883" w:type="dxa"/>
        <w:jc w:val="center"/>
        <w:tblLayout w:type="fixed"/>
        <w:tblLook w:val="04A0" w:firstRow="1" w:lastRow="0" w:firstColumn="1" w:lastColumn="0" w:noHBand="0" w:noVBand="1"/>
      </w:tblPr>
      <w:tblGrid>
        <w:gridCol w:w="602"/>
        <w:gridCol w:w="1614"/>
        <w:gridCol w:w="992"/>
        <w:gridCol w:w="1559"/>
        <w:gridCol w:w="1276"/>
        <w:gridCol w:w="1134"/>
        <w:gridCol w:w="1417"/>
        <w:gridCol w:w="1418"/>
        <w:gridCol w:w="850"/>
        <w:gridCol w:w="709"/>
        <w:gridCol w:w="4312"/>
      </w:tblGrid>
      <w:tr w:rsidR="00682269" w:rsidRPr="00DE4E4F" w14:paraId="45D4D969" w14:textId="77777777" w:rsidTr="000D6FD8">
        <w:trPr>
          <w:trHeight w:val="810"/>
          <w:tblHeader/>
          <w:jc w:val="center"/>
        </w:trPr>
        <w:tc>
          <w:tcPr>
            <w:tcW w:w="60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0ACBF86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Seq. No.</w:t>
            </w:r>
          </w:p>
        </w:tc>
        <w:tc>
          <w:tcPr>
            <w:tcW w:w="1614"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E043D56"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Related Measure (Reform or Investment)</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3B1EA81"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Milestone / Target</w:t>
            </w:r>
          </w:p>
        </w:tc>
        <w:tc>
          <w:tcPr>
            <w:tcW w:w="1559"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B7E1DA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Name</w:t>
            </w:r>
          </w:p>
        </w:tc>
        <w:tc>
          <w:tcPr>
            <w:tcW w:w="1276"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0451BE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Qualitative indicators (for milestones)</w:t>
            </w:r>
          </w:p>
        </w:tc>
        <w:tc>
          <w:tcPr>
            <w:tcW w:w="3969" w:type="dxa"/>
            <w:gridSpan w:val="3"/>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64C9DF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Quantitative indicators (for targets)</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14553B9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Indicative timeline for completion</w:t>
            </w:r>
          </w:p>
        </w:tc>
        <w:tc>
          <w:tcPr>
            <w:tcW w:w="4312" w:type="dxa"/>
            <w:vMerge w:val="restart"/>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4DCCDE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22016A65" w14:textId="77777777" w:rsidTr="000D6FD8">
        <w:trPr>
          <w:trHeight w:val="581"/>
          <w:tblHeader/>
          <w:jc w:val="center"/>
        </w:trPr>
        <w:tc>
          <w:tcPr>
            <w:tcW w:w="602" w:type="dxa"/>
            <w:vMerge/>
            <w:tcBorders>
              <w:top w:val="single" w:sz="2" w:space="0" w:color="000000"/>
              <w:left w:val="single" w:sz="2" w:space="0" w:color="000000"/>
              <w:bottom w:val="single" w:sz="2" w:space="0" w:color="000000"/>
              <w:right w:val="single" w:sz="2" w:space="0" w:color="000000"/>
            </w:tcBorders>
            <w:vAlign w:val="center"/>
            <w:hideMark/>
          </w:tcPr>
          <w:p w14:paraId="11A56298"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614" w:type="dxa"/>
            <w:vMerge/>
            <w:tcBorders>
              <w:top w:val="single" w:sz="2" w:space="0" w:color="000000"/>
              <w:left w:val="single" w:sz="2" w:space="0" w:color="000000"/>
              <w:bottom w:val="single" w:sz="2" w:space="0" w:color="000000"/>
              <w:right w:val="single" w:sz="2" w:space="0" w:color="000000"/>
            </w:tcBorders>
            <w:vAlign w:val="center"/>
            <w:hideMark/>
          </w:tcPr>
          <w:p w14:paraId="10C425B5"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992" w:type="dxa"/>
            <w:vMerge/>
            <w:tcBorders>
              <w:top w:val="single" w:sz="2" w:space="0" w:color="000000"/>
              <w:left w:val="single" w:sz="2" w:space="0" w:color="000000"/>
              <w:bottom w:val="single" w:sz="2" w:space="0" w:color="000000"/>
              <w:right w:val="single" w:sz="2" w:space="0" w:color="000000"/>
            </w:tcBorders>
            <w:vAlign w:val="center"/>
            <w:hideMark/>
          </w:tcPr>
          <w:p w14:paraId="4FE744FA"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559" w:type="dxa"/>
            <w:vMerge/>
            <w:tcBorders>
              <w:top w:val="single" w:sz="2" w:space="0" w:color="000000"/>
              <w:left w:val="single" w:sz="2" w:space="0" w:color="000000"/>
              <w:bottom w:val="single" w:sz="2" w:space="0" w:color="000000"/>
              <w:right w:val="single" w:sz="2" w:space="0" w:color="000000"/>
            </w:tcBorders>
            <w:vAlign w:val="center"/>
            <w:hideMark/>
          </w:tcPr>
          <w:p w14:paraId="764E1BCF"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276" w:type="dxa"/>
            <w:vMerge/>
            <w:tcBorders>
              <w:top w:val="single" w:sz="2" w:space="0" w:color="000000"/>
              <w:left w:val="single" w:sz="2" w:space="0" w:color="000000"/>
              <w:bottom w:val="single" w:sz="2" w:space="0" w:color="000000"/>
              <w:right w:val="single" w:sz="2" w:space="0" w:color="000000"/>
            </w:tcBorders>
            <w:vAlign w:val="center"/>
            <w:hideMark/>
          </w:tcPr>
          <w:p w14:paraId="2D8DD11B"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c>
          <w:tcPr>
            <w:tcW w:w="1134"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349BCAD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Unit of measure</w:t>
            </w:r>
          </w:p>
        </w:tc>
        <w:tc>
          <w:tcPr>
            <w:tcW w:w="1417"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57C2096D"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Baseline</w:t>
            </w:r>
          </w:p>
        </w:tc>
        <w:tc>
          <w:tcPr>
            <w:tcW w:w="1418"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9F07A95"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Goal</w:t>
            </w:r>
          </w:p>
        </w:tc>
        <w:tc>
          <w:tcPr>
            <w:tcW w:w="850"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299B73C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Quarter</w:t>
            </w:r>
          </w:p>
        </w:tc>
        <w:tc>
          <w:tcPr>
            <w:tcW w:w="709" w:type="dxa"/>
            <w:tcBorders>
              <w:top w:val="single" w:sz="2" w:space="0" w:color="000000"/>
              <w:left w:val="single" w:sz="2" w:space="0" w:color="000000"/>
              <w:bottom w:val="single" w:sz="2" w:space="0" w:color="000000"/>
              <w:right w:val="single" w:sz="2" w:space="0" w:color="000000"/>
            </w:tcBorders>
            <w:shd w:val="clear" w:color="auto" w:fill="BDD7EE"/>
            <w:vAlign w:val="center"/>
            <w:hideMark/>
          </w:tcPr>
          <w:p w14:paraId="4BB493D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Year</w:t>
            </w:r>
          </w:p>
        </w:tc>
        <w:tc>
          <w:tcPr>
            <w:tcW w:w="4312" w:type="dxa"/>
            <w:vMerge/>
            <w:tcBorders>
              <w:top w:val="single" w:sz="2" w:space="0" w:color="000000"/>
              <w:left w:val="single" w:sz="2" w:space="0" w:color="000000"/>
              <w:bottom w:val="single" w:sz="2" w:space="0" w:color="000000"/>
              <w:right w:val="single" w:sz="2" w:space="0" w:color="000000"/>
            </w:tcBorders>
            <w:vAlign w:val="center"/>
            <w:hideMark/>
          </w:tcPr>
          <w:p w14:paraId="6998B26A" w14:textId="77777777" w:rsidR="001B186F" w:rsidRPr="00DE4E4F" w:rsidRDefault="001B186F">
            <w:pPr>
              <w:spacing w:after="0" w:line="240" w:lineRule="auto"/>
              <w:rPr>
                <w:rFonts w:ascii="Times New Roman" w:eastAsia="Times New Roman" w:hAnsi="Times New Roman" w:cs="Times New Roman"/>
                <w:b/>
                <w:noProof/>
                <w:sz w:val="18"/>
                <w:szCs w:val="18"/>
                <w:lang w:eastAsia="en-GB"/>
              </w:rPr>
            </w:pPr>
          </w:p>
        </w:tc>
      </w:tr>
      <w:tr w:rsidR="00B2368C" w:rsidRPr="00DE4E4F" w14:paraId="0C700E6B" w14:textId="77777777" w:rsidTr="000D6FD8">
        <w:trPr>
          <w:trHeight w:val="314"/>
          <w:jc w:val="center"/>
        </w:trPr>
        <w:tc>
          <w:tcPr>
            <w:tcW w:w="602" w:type="dxa"/>
            <w:tcBorders>
              <w:top w:val="single" w:sz="2" w:space="0" w:color="000000"/>
              <w:left w:val="single" w:sz="2" w:space="0" w:color="000000"/>
              <w:bottom w:val="single" w:sz="2" w:space="0" w:color="000000"/>
              <w:right w:val="single" w:sz="2" w:space="0" w:color="000000"/>
            </w:tcBorders>
            <w:shd w:val="clear" w:color="auto" w:fill="C6EFCE"/>
            <w:noWrap/>
          </w:tcPr>
          <w:p w14:paraId="2B5B6F0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bookmarkStart w:id="7" w:name="_Hlk214356057"/>
            <w:r w:rsidRPr="00DE4E4F">
              <w:rPr>
                <w:rFonts w:ascii="Times New Roman" w:hAnsi="Times New Roman" w:cs="Times New Roman"/>
                <w:noProof/>
                <w:color w:val="006100"/>
                <w:sz w:val="18"/>
                <w:szCs w:val="18"/>
              </w:rPr>
              <w:t>320</w:t>
            </w:r>
          </w:p>
        </w:tc>
        <w:tc>
          <w:tcPr>
            <w:tcW w:w="1614" w:type="dxa"/>
            <w:tcBorders>
              <w:top w:val="single" w:sz="2" w:space="0" w:color="000000"/>
              <w:left w:val="single" w:sz="2" w:space="0" w:color="000000"/>
              <w:bottom w:val="single" w:sz="2" w:space="0" w:color="000000"/>
              <w:right w:val="single" w:sz="2" w:space="0" w:color="000000"/>
            </w:tcBorders>
            <w:shd w:val="clear" w:color="auto" w:fill="C6EFCE"/>
            <w:noWrap/>
          </w:tcPr>
          <w:p w14:paraId="6DBEF3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2" w:space="0" w:color="000000"/>
              <w:left w:val="single" w:sz="2" w:space="0" w:color="000000"/>
              <w:bottom w:val="single" w:sz="2" w:space="0" w:color="000000"/>
              <w:right w:val="single" w:sz="2" w:space="0" w:color="000000"/>
            </w:tcBorders>
            <w:shd w:val="clear" w:color="auto" w:fill="C6EFCE"/>
            <w:noWrap/>
          </w:tcPr>
          <w:p w14:paraId="519DAE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single" w:sz="2" w:space="0" w:color="000000"/>
              <w:left w:val="single" w:sz="2" w:space="0" w:color="000000"/>
              <w:bottom w:val="single" w:sz="2" w:space="0" w:color="000000"/>
              <w:right w:val="single" w:sz="2" w:space="0" w:color="000000"/>
            </w:tcBorders>
            <w:shd w:val="clear" w:color="auto" w:fill="C6EFCE"/>
            <w:noWrap/>
          </w:tcPr>
          <w:p w14:paraId="29341A6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Operational agreements with IFIs</w:t>
            </w:r>
          </w:p>
        </w:tc>
        <w:tc>
          <w:tcPr>
            <w:tcW w:w="1276" w:type="dxa"/>
            <w:tcBorders>
              <w:top w:val="single" w:sz="2" w:space="0" w:color="000000"/>
              <w:left w:val="single" w:sz="2" w:space="0" w:color="000000"/>
              <w:bottom w:val="single" w:sz="2" w:space="0" w:color="000000"/>
              <w:right w:val="single" w:sz="2" w:space="0" w:color="000000"/>
            </w:tcBorders>
            <w:shd w:val="clear" w:color="auto" w:fill="C6EFCE"/>
            <w:noWrap/>
          </w:tcPr>
          <w:p w14:paraId="4EE6EE1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Operational agreement with one International Financial Institution signed</w:t>
            </w:r>
          </w:p>
        </w:tc>
        <w:tc>
          <w:tcPr>
            <w:tcW w:w="1134" w:type="dxa"/>
            <w:tcBorders>
              <w:top w:val="single" w:sz="2" w:space="0" w:color="000000"/>
              <w:left w:val="single" w:sz="2" w:space="0" w:color="000000"/>
              <w:bottom w:val="single" w:sz="2" w:space="0" w:color="000000"/>
              <w:right w:val="single" w:sz="2" w:space="0" w:color="000000"/>
            </w:tcBorders>
            <w:shd w:val="clear" w:color="auto" w:fill="C6EFCE"/>
            <w:noWrap/>
          </w:tcPr>
          <w:p w14:paraId="0C48B31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tcBorders>
              <w:top w:val="single" w:sz="2" w:space="0" w:color="000000"/>
              <w:left w:val="single" w:sz="2" w:space="0" w:color="000000"/>
              <w:bottom w:val="single" w:sz="2" w:space="0" w:color="000000"/>
              <w:right w:val="single" w:sz="2" w:space="0" w:color="000000"/>
            </w:tcBorders>
            <w:shd w:val="clear" w:color="auto" w:fill="C6EFCE"/>
            <w:noWrap/>
          </w:tcPr>
          <w:p w14:paraId="5C0A23F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8" w:type="dxa"/>
            <w:tcBorders>
              <w:top w:val="single" w:sz="2" w:space="0" w:color="000000"/>
              <w:left w:val="single" w:sz="2" w:space="0" w:color="000000"/>
              <w:bottom w:val="single" w:sz="2" w:space="0" w:color="000000"/>
              <w:right w:val="single" w:sz="2" w:space="0" w:color="000000"/>
            </w:tcBorders>
            <w:shd w:val="clear" w:color="auto" w:fill="C6EFCE"/>
            <w:noWrap/>
          </w:tcPr>
          <w:p w14:paraId="0C12623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single" w:sz="2" w:space="0" w:color="000000"/>
              <w:left w:val="single" w:sz="2" w:space="0" w:color="000000"/>
              <w:bottom w:val="single" w:sz="2" w:space="0" w:color="000000"/>
              <w:right w:val="single" w:sz="2" w:space="0" w:color="000000"/>
            </w:tcBorders>
            <w:shd w:val="clear" w:color="auto" w:fill="C6EFCE"/>
            <w:noWrap/>
          </w:tcPr>
          <w:p w14:paraId="384ECD9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tcBorders>
              <w:top w:val="single" w:sz="2" w:space="0" w:color="000000"/>
              <w:left w:val="single" w:sz="2" w:space="0" w:color="000000"/>
              <w:bottom w:val="single" w:sz="2" w:space="0" w:color="000000"/>
              <w:right w:val="single" w:sz="2" w:space="0" w:color="000000"/>
            </w:tcBorders>
            <w:shd w:val="clear" w:color="auto" w:fill="C6EFCE"/>
            <w:noWrap/>
          </w:tcPr>
          <w:p w14:paraId="423306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312" w:type="dxa"/>
            <w:tcBorders>
              <w:top w:val="single" w:sz="2" w:space="0" w:color="000000"/>
              <w:left w:val="single" w:sz="2" w:space="0" w:color="000000"/>
              <w:bottom w:val="single" w:sz="2" w:space="0" w:color="000000"/>
              <w:right w:val="single" w:sz="2" w:space="0" w:color="000000"/>
            </w:tcBorders>
            <w:shd w:val="clear" w:color="auto" w:fill="C6EFCE"/>
            <w:noWrap/>
          </w:tcPr>
          <w:p w14:paraId="3A9FAA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 a framework operational arrangement to be used for all loan agreements with International Financial Institutions and sign the operational agreements between the Ministry of Finance and at least one International Financial Institution. The framework operational arrangement shall set out:</w:t>
            </w:r>
          </w:p>
          <w:p w14:paraId="1A50FFE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 Criteria of governance, selection, monitoring and audit, and loss-sharing as follows </w:t>
            </w:r>
          </w:p>
          <w:p w14:paraId="3077170B" w14:textId="77777777" w:rsidR="001B186F" w:rsidRPr="00DE4E4F" w:rsidRDefault="0074517F">
            <w:pPr>
              <w:numPr>
                <w:ilvl w:val="0"/>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governance framework:</w:t>
            </w:r>
          </w:p>
          <w:p w14:paraId="63BBC2B5" w14:textId="77777777" w:rsidR="001B186F" w:rsidRPr="00DE4E4F" w:rsidRDefault="0074517F">
            <w:pPr>
              <w:numPr>
                <w:ilvl w:val="1"/>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Decision-making shall be based on sound economic criteria and shall be at arms’ length from the government.</w:t>
            </w:r>
          </w:p>
          <w:p w14:paraId="35297F0F" w14:textId="77777777" w:rsidR="001B186F" w:rsidRPr="00DE4E4F" w:rsidRDefault="0074517F">
            <w:pPr>
              <w:numPr>
                <w:ilvl w:val="1"/>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IFI shall evaluate funding requests and decide based on their internal criteria. IFI shall ensure that the funded investments have positive net present values, are aligned with the strategic pillars for the Loan Facility and comply with State aid rules.</w:t>
            </w:r>
          </w:p>
          <w:p w14:paraId="13FC2C1B" w14:textId="77777777" w:rsidR="001B186F" w:rsidRPr="00DE4E4F" w:rsidRDefault="0074517F">
            <w:pPr>
              <w:numPr>
                <w:ilvl w:val="1"/>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 dedicated Investment Board Committee shall monitor the implementation, without being involved in the selection process. IFI shall report to the Investment Board Committee on regular intervals. </w:t>
            </w:r>
          </w:p>
          <w:p w14:paraId="4C34D07D" w14:textId="77777777" w:rsidR="001B186F" w:rsidRPr="00DE4E4F" w:rsidRDefault="0074517F">
            <w:pPr>
              <w:numPr>
                <w:ilvl w:val="0"/>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amount of the disbursement which shall occur in tranches and the modalities for monitoring and audit:</w:t>
            </w:r>
          </w:p>
          <w:p w14:paraId="212F2C98" w14:textId="77777777" w:rsidR="001B186F" w:rsidRPr="00DE4E4F" w:rsidRDefault="0074517F">
            <w:pPr>
              <w:numPr>
                <w:ilvl w:val="1"/>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Key performance indicators (KPIs) shall be set for the monitoring of disbursed loans that can also serve as benchmarks for the conditional release of further tranches.</w:t>
            </w:r>
          </w:p>
          <w:p w14:paraId="29CE8D40" w14:textId="77777777" w:rsidR="001B186F" w:rsidRPr="00DE4E4F" w:rsidRDefault="0074517F">
            <w:pPr>
              <w:numPr>
                <w:ilvl w:val="1"/>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Three levels of checks on eligibility are foreseen: (i) assessment by the financial institution providing the financing; (ii) assessment by an independent certified auditor prior to the provision of financing; and (iii) ex-post assessment by an independent certified auditor.</w:t>
            </w:r>
            <w:r w:rsidRPr="00DE4E4F">
              <w:rPr>
                <w:rFonts w:ascii="Times New Roman" w:hAnsi="Times New Roman" w:cs="Times New Roman"/>
                <w:noProof/>
                <w:color w:val="006100"/>
                <w:sz w:val="18"/>
                <w:szCs w:val="18"/>
                <w:highlight w:val="yellow"/>
              </w:rPr>
              <w:t xml:space="preserve"> </w:t>
            </w:r>
            <w:r w:rsidRPr="00DE4E4F">
              <w:rPr>
                <w:rFonts w:ascii="Times New Roman" w:hAnsi="Times New Roman" w:cs="Times New Roman"/>
                <w:noProof/>
                <w:color w:val="006100"/>
                <w:sz w:val="18"/>
                <w:szCs w:val="18"/>
              </w:rPr>
              <w:t xml:space="preserve">Independent auditors shall assess the eligibility of the investments according to the selection criteria and compliance with relevant State aid rules. </w:t>
            </w:r>
          </w:p>
          <w:p w14:paraId="740D9568" w14:textId="77777777" w:rsidR="001B186F" w:rsidRPr="00DE4E4F" w:rsidRDefault="0074517F">
            <w:pPr>
              <w:numPr>
                <w:ilvl w:val="0"/>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Losses on loans (bonds or syndicated): The State and the IFI shall participate pari passu. All decisions regarding restructuring shall be allocated to the financial institutions. </w:t>
            </w:r>
          </w:p>
          <w:p w14:paraId="4829A9B9" w14:textId="77777777" w:rsidR="001B186F" w:rsidRPr="00DE4E4F" w:rsidRDefault="0074517F">
            <w:pPr>
              <w:numPr>
                <w:ilvl w:val="0"/>
                <w:numId w:val="86"/>
              </w:num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Refinancing of outstanding loans shall be excluded. </w:t>
            </w:r>
          </w:p>
          <w:p w14:paraId="0160EA43" w14:textId="77777777" w:rsidR="001B186F" w:rsidRPr="00DE4E4F" w:rsidRDefault="0074517F">
            <w:pPr>
              <w:tabs>
                <w:tab w:val="left" w:pos="0"/>
              </w:tabs>
              <w:spacing w:after="0" w:line="240" w:lineRule="auto"/>
              <w:jc w:val="both"/>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Selection criteria for compliance with the Do No Significant Harm Technical Guidance (2021/C58/01) of supported activities, requiring the use of sustainability proofing, an exclusion list, and mandatory legal compliance checks with the relevant EU and national environmental legislation by an independent auditor.</w:t>
            </w:r>
          </w:p>
          <w:p w14:paraId="7E07CDD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 Commitment to invest at least 38.5% of the funds to support the climate transition and 20.8% of the funds to support the digital transition, using the methodology in Annexes VI and VII of the RRF Regulation.</w:t>
            </w:r>
          </w:p>
        </w:tc>
      </w:tr>
      <w:bookmarkEnd w:id="7"/>
      <w:tr w:rsidR="00B2368C" w:rsidRPr="00DE4E4F" w14:paraId="7BE95424" w14:textId="77777777" w:rsidTr="000D6FD8">
        <w:trPr>
          <w:trHeight w:val="314"/>
          <w:jc w:val="center"/>
        </w:trPr>
        <w:tc>
          <w:tcPr>
            <w:tcW w:w="602" w:type="dxa"/>
            <w:tcBorders>
              <w:top w:val="single" w:sz="2" w:space="0" w:color="000000"/>
              <w:left w:val="single" w:sz="4" w:space="0" w:color="auto"/>
              <w:bottom w:val="single" w:sz="4" w:space="0" w:color="auto"/>
              <w:right w:val="single" w:sz="4" w:space="0" w:color="auto"/>
            </w:tcBorders>
            <w:shd w:val="clear" w:color="auto" w:fill="C6EFCE"/>
            <w:noWrap/>
          </w:tcPr>
          <w:p w14:paraId="41E5DA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321</w:t>
            </w:r>
          </w:p>
        </w:tc>
        <w:tc>
          <w:tcPr>
            <w:tcW w:w="1614" w:type="dxa"/>
            <w:tcBorders>
              <w:top w:val="single" w:sz="2" w:space="0" w:color="000000"/>
              <w:left w:val="nil"/>
              <w:bottom w:val="single" w:sz="4" w:space="0" w:color="auto"/>
              <w:right w:val="single" w:sz="4" w:space="0" w:color="auto"/>
            </w:tcBorders>
            <w:shd w:val="clear" w:color="auto" w:fill="C6EFCE"/>
            <w:noWrap/>
          </w:tcPr>
          <w:p w14:paraId="29EE648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2" w:space="0" w:color="000000"/>
              <w:left w:val="nil"/>
              <w:bottom w:val="single" w:sz="4" w:space="0" w:color="auto"/>
              <w:right w:val="single" w:sz="4" w:space="0" w:color="auto"/>
            </w:tcBorders>
            <w:shd w:val="clear" w:color="auto" w:fill="C6EFCE"/>
            <w:noWrap/>
          </w:tcPr>
          <w:p w14:paraId="39946E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single" w:sz="2" w:space="0" w:color="000000"/>
              <w:left w:val="nil"/>
              <w:bottom w:val="single" w:sz="4" w:space="0" w:color="auto"/>
              <w:right w:val="single" w:sz="4" w:space="0" w:color="auto"/>
            </w:tcBorders>
            <w:shd w:val="clear" w:color="auto" w:fill="C6EFCE"/>
            <w:noWrap/>
          </w:tcPr>
          <w:p w14:paraId="0E5B746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commercial banks call</w:t>
            </w:r>
          </w:p>
        </w:tc>
        <w:tc>
          <w:tcPr>
            <w:tcW w:w="1276" w:type="dxa"/>
            <w:tcBorders>
              <w:top w:val="single" w:sz="2" w:space="0" w:color="000000"/>
              <w:left w:val="nil"/>
              <w:bottom w:val="single" w:sz="4" w:space="0" w:color="auto"/>
              <w:right w:val="single" w:sz="4" w:space="0" w:color="auto"/>
            </w:tcBorders>
            <w:shd w:val="clear" w:color="auto" w:fill="C6EFCE"/>
            <w:noWrap/>
          </w:tcPr>
          <w:p w14:paraId="658E56B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call</w:t>
            </w:r>
          </w:p>
        </w:tc>
        <w:tc>
          <w:tcPr>
            <w:tcW w:w="1134" w:type="dxa"/>
            <w:tcBorders>
              <w:top w:val="single" w:sz="2" w:space="0" w:color="000000"/>
              <w:left w:val="nil"/>
              <w:bottom w:val="single" w:sz="4" w:space="0" w:color="auto"/>
              <w:right w:val="single" w:sz="4" w:space="0" w:color="auto"/>
            </w:tcBorders>
            <w:shd w:val="clear" w:color="auto" w:fill="C6EFCE"/>
            <w:noWrap/>
          </w:tcPr>
          <w:p w14:paraId="20A23BA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tcBorders>
              <w:top w:val="single" w:sz="2" w:space="0" w:color="000000"/>
              <w:left w:val="nil"/>
              <w:bottom w:val="single" w:sz="4" w:space="0" w:color="auto"/>
              <w:right w:val="single" w:sz="4" w:space="0" w:color="auto"/>
            </w:tcBorders>
            <w:shd w:val="clear" w:color="auto" w:fill="C6EFCE"/>
            <w:noWrap/>
          </w:tcPr>
          <w:p w14:paraId="0AD7F301"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8" w:type="dxa"/>
            <w:tcBorders>
              <w:top w:val="single" w:sz="2" w:space="0" w:color="000000"/>
              <w:left w:val="nil"/>
              <w:bottom w:val="single" w:sz="4" w:space="0" w:color="auto"/>
              <w:right w:val="single" w:sz="4" w:space="0" w:color="auto"/>
            </w:tcBorders>
            <w:shd w:val="clear" w:color="auto" w:fill="C6EFCE"/>
            <w:noWrap/>
          </w:tcPr>
          <w:p w14:paraId="199225B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single" w:sz="2" w:space="0" w:color="000000"/>
              <w:left w:val="nil"/>
              <w:bottom w:val="single" w:sz="4" w:space="0" w:color="auto"/>
              <w:right w:val="single" w:sz="4" w:space="0" w:color="auto"/>
            </w:tcBorders>
            <w:shd w:val="clear" w:color="auto" w:fill="C6EFCE"/>
            <w:noWrap/>
          </w:tcPr>
          <w:p w14:paraId="16BD816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09" w:type="dxa"/>
            <w:tcBorders>
              <w:top w:val="single" w:sz="2" w:space="0" w:color="000000"/>
              <w:left w:val="nil"/>
              <w:bottom w:val="single" w:sz="4" w:space="0" w:color="auto"/>
              <w:right w:val="single" w:sz="4" w:space="0" w:color="auto"/>
            </w:tcBorders>
            <w:shd w:val="clear" w:color="auto" w:fill="C6EFCE"/>
            <w:noWrap/>
          </w:tcPr>
          <w:p w14:paraId="7F18F3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312" w:type="dxa"/>
            <w:tcBorders>
              <w:top w:val="single" w:sz="2" w:space="0" w:color="000000"/>
              <w:left w:val="nil"/>
              <w:bottom w:val="single" w:sz="4" w:space="0" w:color="auto"/>
              <w:right w:val="single" w:sz="4" w:space="0" w:color="auto"/>
            </w:tcBorders>
            <w:shd w:val="clear" w:color="auto" w:fill="C6EFCE"/>
            <w:noWrap/>
          </w:tcPr>
          <w:p w14:paraId="7B4534F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Adopt a framework operational arrangement to be used for all loan agreements with commercial banks and launch call for the selection of commercial banks including:</w:t>
            </w:r>
          </w:p>
          <w:p w14:paraId="290E4E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Criteria of governance, selection, monitoring and audit, and loss-sharing following the same principles as those for loans channelled through IFI as described above (milestone nr. 320). No state guarantee shall be provided on loans extended by commercial banks in the framework of the Loan Facility.</w:t>
            </w:r>
          </w:p>
          <w:p w14:paraId="24DE1C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Selection criteria for compliance with the Do No Significant Harm Technical Guidance (2021/C58/01) of supported activities, requiring the use of sustainability proofing, an exclusion list, and mandatory legal compliance checks with the relevant EU and national environmental legislation by an independent auditor.</w:t>
            </w:r>
          </w:p>
          <w:p w14:paraId="661CDA23" w14:textId="34DD25B6" w:rsidR="001B186F" w:rsidRPr="00DE4E4F" w:rsidRDefault="0074517F" w:rsidP="000D6FD8">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c) Commitment to invest at least 38.5% of the funds to support the climate transition and 20.8% of the funds to support the digital transition, using the methodology in Annexes VI and VII of the RRF Regulation.</w:t>
            </w:r>
          </w:p>
        </w:tc>
      </w:tr>
      <w:tr w:rsidR="00B2368C" w:rsidRPr="00DE4E4F" w14:paraId="7064BDAA" w14:textId="77777777" w:rsidTr="000D6FD8">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414DEAB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322</w:t>
            </w:r>
          </w:p>
        </w:tc>
        <w:tc>
          <w:tcPr>
            <w:tcW w:w="1614" w:type="dxa"/>
            <w:tcBorders>
              <w:top w:val="nil"/>
              <w:left w:val="nil"/>
              <w:bottom w:val="single" w:sz="4" w:space="0" w:color="auto"/>
              <w:right w:val="single" w:sz="4" w:space="0" w:color="auto"/>
            </w:tcBorders>
            <w:shd w:val="clear" w:color="auto" w:fill="C6EFCE"/>
            <w:noWrap/>
            <w:hideMark/>
          </w:tcPr>
          <w:p w14:paraId="6531DE8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nil"/>
              <w:left w:val="nil"/>
              <w:bottom w:val="single" w:sz="4" w:space="0" w:color="auto"/>
              <w:right w:val="single" w:sz="4" w:space="0" w:color="auto"/>
            </w:tcBorders>
            <w:shd w:val="clear" w:color="auto" w:fill="C6EFCE"/>
            <w:noWrap/>
            <w:hideMark/>
          </w:tcPr>
          <w:p w14:paraId="45327A1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nil"/>
              <w:left w:val="nil"/>
              <w:bottom w:val="single" w:sz="4" w:space="0" w:color="auto"/>
              <w:right w:val="single" w:sz="4" w:space="0" w:color="auto"/>
            </w:tcBorders>
            <w:shd w:val="clear" w:color="auto" w:fill="C6EFCE"/>
            <w:noWrap/>
            <w:hideMark/>
          </w:tcPr>
          <w:p w14:paraId="3C81D1A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Agreement for equity platform</w:t>
            </w:r>
          </w:p>
        </w:tc>
        <w:tc>
          <w:tcPr>
            <w:tcW w:w="1276" w:type="dxa"/>
            <w:tcBorders>
              <w:top w:val="nil"/>
              <w:left w:val="nil"/>
              <w:bottom w:val="single" w:sz="4" w:space="0" w:color="auto"/>
              <w:right w:val="single" w:sz="4" w:space="0" w:color="auto"/>
            </w:tcBorders>
            <w:shd w:val="clear" w:color="auto" w:fill="C6EFCE"/>
            <w:noWrap/>
            <w:hideMark/>
          </w:tcPr>
          <w:p w14:paraId="5B5456E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Mandate agreement signed</w:t>
            </w:r>
          </w:p>
        </w:tc>
        <w:tc>
          <w:tcPr>
            <w:tcW w:w="1134" w:type="dxa"/>
            <w:tcBorders>
              <w:top w:val="nil"/>
              <w:left w:val="nil"/>
              <w:bottom w:val="single" w:sz="4" w:space="0" w:color="auto"/>
              <w:right w:val="single" w:sz="4" w:space="0" w:color="auto"/>
            </w:tcBorders>
            <w:shd w:val="clear" w:color="auto" w:fill="C6EFCE"/>
            <w:noWrap/>
            <w:hideMark/>
          </w:tcPr>
          <w:p w14:paraId="4D96729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tcBorders>
              <w:top w:val="nil"/>
              <w:left w:val="nil"/>
              <w:bottom w:val="single" w:sz="4" w:space="0" w:color="auto"/>
              <w:right w:val="single" w:sz="4" w:space="0" w:color="auto"/>
            </w:tcBorders>
            <w:shd w:val="clear" w:color="auto" w:fill="C6EFCE"/>
            <w:noWrap/>
            <w:hideMark/>
          </w:tcPr>
          <w:p w14:paraId="1FB8190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8" w:type="dxa"/>
            <w:tcBorders>
              <w:top w:val="nil"/>
              <w:left w:val="nil"/>
              <w:bottom w:val="single" w:sz="4" w:space="0" w:color="auto"/>
              <w:right w:val="single" w:sz="4" w:space="0" w:color="auto"/>
            </w:tcBorders>
            <w:shd w:val="clear" w:color="auto" w:fill="C6EFCE"/>
            <w:noWrap/>
            <w:hideMark/>
          </w:tcPr>
          <w:p w14:paraId="74A4DE2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nil"/>
              <w:left w:val="nil"/>
              <w:bottom w:val="single" w:sz="4" w:space="0" w:color="auto"/>
              <w:right w:val="single" w:sz="4" w:space="0" w:color="auto"/>
            </w:tcBorders>
            <w:shd w:val="clear" w:color="auto" w:fill="C6EFCE"/>
            <w:noWrap/>
            <w:hideMark/>
          </w:tcPr>
          <w:p w14:paraId="73EBA2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tcBorders>
              <w:top w:val="nil"/>
              <w:left w:val="nil"/>
              <w:bottom w:val="single" w:sz="4" w:space="0" w:color="auto"/>
              <w:right w:val="single" w:sz="4" w:space="0" w:color="auto"/>
            </w:tcBorders>
            <w:shd w:val="clear" w:color="auto" w:fill="C6EFCE"/>
            <w:noWrap/>
            <w:hideMark/>
          </w:tcPr>
          <w:p w14:paraId="31CDF57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12" w:type="dxa"/>
            <w:tcBorders>
              <w:top w:val="nil"/>
              <w:left w:val="nil"/>
              <w:bottom w:val="single" w:sz="4" w:space="0" w:color="auto"/>
              <w:right w:val="single" w:sz="4" w:space="0" w:color="auto"/>
            </w:tcBorders>
            <w:shd w:val="clear" w:color="auto" w:fill="C6EFCE"/>
            <w:noWrap/>
            <w:hideMark/>
          </w:tcPr>
          <w:p w14:paraId="454E858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Signature of the mandate agreement between the Ministry of Finance and the Hellenic Development Bank for Investments, that shall manage the Mezzanine Fund of Funds and the Innovate Now Equifund. The mandate agreement shall include the selection criteria for compliance with the Do No Significant Harm Technical Guidance (2021/C58/01) of supported companies, requiring the use of sustainability proofing, an exclusion list, and mandatory legal compliance checks with the relevant EU and national environmental legislation by an independent auditor.</w:t>
            </w:r>
          </w:p>
        </w:tc>
      </w:tr>
      <w:tr w:rsidR="00B2368C" w:rsidRPr="00DE4E4F" w14:paraId="454B04CC" w14:textId="77777777" w:rsidTr="000D6FD8">
        <w:trPr>
          <w:trHeight w:val="314"/>
          <w:jc w:val="center"/>
        </w:trPr>
        <w:tc>
          <w:tcPr>
            <w:tcW w:w="602" w:type="dxa"/>
            <w:tcBorders>
              <w:top w:val="nil"/>
              <w:left w:val="single" w:sz="4" w:space="0" w:color="auto"/>
              <w:bottom w:val="single" w:sz="4" w:space="0" w:color="auto"/>
              <w:right w:val="single" w:sz="4" w:space="0" w:color="auto"/>
            </w:tcBorders>
            <w:shd w:val="clear" w:color="auto" w:fill="C6EFCE"/>
            <w:noWrap/>
            <w:hideMark/>
          </w:tcPr>
          <w:p w14:paraId="63CD231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323</w:t>
            </w:r>
          </w:p>
        </w:tc>
        <w:tc>
          <w:tcPr>
            <w:tcW w:w="1614" w:type="dxa"/>
            <w:tcBorders>
              <w:top w:val="nil"/>
              <w:left w:val="nil"/>
              <w:bottom w:val="single" w:sz="4" w:space="0" w:color="auto"/>
              <w:right w:val="single" w:sz="4" w:space="0" w:color="auto"/>
            </w:tcBorders>
            <w:shd w:val="clear" w:color="auto" w:fill="C6EFCE"/>
            <w:noWrap/>
            <w:hideMark/>
          </w:tcPr>
          <w:p w14:paraId="4FC8C8D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nil"/>
              <w:left w:val="nil"/>
              <w:bottom w:val="single" w:sz="4" w:space="0" w:color="auto"/>
              <w:right w:val="single" w:sz="4" w:space="0" w:color="auto"/>
            </w:tcBorders>
            <w:shd w:val="clear" w:color="auto" w:fill="C6EFCE"/>
            <w:noWrap/>
            <w:hideMark/>
          </w:tcPr>
          <w:p w14:paraId="64CE51A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nil"/>
              <w:left w:val="nil"/>
              <w:bottom w:val="single" w:sz="4" w:space="0" w:color="auto"/>
              <w:right w:val="single" w:sz="4" w:space="0" w:color="auto"/>
            </w:tcBorders>
            <w:shd w:val="clear" w:color="auto" w:fill="C6EFCE"/>
            <w:noWrap/>
            <w:hideMark/>
          </w:tcPr>
          <w:p w14:paraId="5A2024B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contribution agreement</w:t>
            </w:r>
          </w:p>
        </w:tc>
        <w:tc>
          <w:tcPr>
            <w:tcW w:w="1276" w:type="dxa"/>
            <w:tcBorders>
              <w:top w:val="nil"/>
              <w:left w:val="nil"/>
              <w:bottom w:val="single" w:sz="4" w:space="0" w:color="auto"/>
              <w:right w:val="single" w:sz="4" w:space="0" w:color="auto"/>
            </w:tcBorders>
            <w:shd w:val="clear" w:color="auto" w:fill="C6EFCE"/>
            <w:noWrap/>
            <w:hideMark/>
          </w:tcPr>
          <w:p w14:paraId="1E2CD27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Contribution Agreement signed</w:t>
            </w:r>
          </w:p>
        </w:tc>
        <w:tc>
          <w:tcPr>
            <w:tcW w:w="1134" w:type="dxa"/>
            <w:tcBorders>
              <w:top w:val="nil"/>
              <w:left w:val="nil"/>
              <w:bottom w:val="single" w:sz="4" w:space="0" w:color="auto"/>
              <w:right w:val="single" w:sz="4" w:space="0" w:color="auto"/>
            </w:tcBorders>
            <w:shd w:val="clear" w:color="auto" w:fill="C6EFCE"/>
            <w:noWrap/>
            <w:hideMark/>
          </w:tcPr>
          <w:p w14:paraId="389357E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tcBorders>
              <w:top w:val="nil"/>
              <w:left w:val="nil"/>
              <w:bottom w:val="single" w:sz="4" w:space="0" w:color="auto"/>
              <w:right w:val="single" w:sz="4" w:space="0" w:color="auto"/>
            </w:tcBorders>
            <w:shd w:val="clear" w:color="auto" w:fill="C6EFCE"/>
            <w:noWrap/>
            <w:hideMark/>
          </w:tcPr>
          <w:p w14:paraId="07A1157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8" w:type="dxa"/>
            <w:tcBorders>
              <w:top w:val="nil"/>
              <w:left w:val="nil"/>
              <w:bottom w:val="single" w:sz="4" w:space="0" w:color="auto"/>
              <w:right w:val="single" w:sz="4" w:space="0" w:color="auto"/>
            </w:tcBorders>
            <w:shd w:val="clear" w:color="auto" w:fill="C6EFCE"/>
            <w:noWrap/>
            <w:hideMark/>
          </w:tcPr>
          <w:p w14:paraId="49C20F9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nil"/>
              <w:left w:val="nil"/>
              <w:bottom w:val="single" w:sz="4" w:space="0" w:color="auto"/>
              <w:right w:val="single" w:sz="4" w:space="0" w:color="auto"/>
            </w:tcBorders>
            <w:shd w:val="clear" w:color="auto" w:fill="C6EFCE"/>
            <w:noWrap/>
            <w:hideMark/>
          </w:tcPr>
          <w:p w14:paraId="34DCC9A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tcBorders>
              <w:top w:val="nil"/>
              <w:left w:val="nil"/>
              <w:bottom w:val="single" w:sz="4" w:space="0" w:color="auto"/>
              <w:right w:val="single" w:sz="4" w:space="0" w:color="auto"/>
            </w:tcBorders>
            <w:shd w:val="clear" w:color="auto" w:fill="C6EFCE"/>
            <w:noWrap/>
            <w:hideMark/>
          </w:tcPr>
          <w:p w14:paraId="1530F58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12" w:type="dxa"/>
            <w:tcBorders>
              <w:top w:val="nil"/>
              <w:left w:val="nil"/>
              <w:bottom w:val="single" w:sz="4" w:space="0" w:color="auto"/>
              <w:right w:val="single" w:sz="4" w:space="0" w:color="auto"/>
            </w:tcBorders>
            <w:shd w:val="clear" w:color="auto" w:fill="C6EFCE"/>
            <w:noWrap/>
            <w:hideMark/>
          </w:tcPr>
          <w:p w14:paraId="1248A23A" w14:textId="77777777" w:rsidR="001B186F" w:rsidRPr="00DE4E4F" w:rsidDel="00FB5963"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Signature of the InvestEU Contribution Agreement between the Ministry of Finance and the European Commission, including:</w:t>
            </w:r>
          </w:p>
          <w:p w14:paraId="07843E8D" w14:textId="77777777" w:rsidR="001B186F" w:rsidRPr="00DE4E4F" w:rsidDel="00A80D05"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 the selection criteria for compliance with the Do No Significant Harm Technical Guidance (2021/C58/01) of supported companies, requiring the use of sustainability proofing, an exclusion list, and mandatory legal compliance checks with the relevant EU and national environmental legislation by an independent auditor.</w:t>
            </w:r>
          </w:p>
          <w:p w14:paraId="7760528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b) Commitment to invest at least 38.5% of the funds to support the climate transition and 20.8% of the funds to support the digital transition, using the methodology in Annexes VI and VII of the RRF Regulation.</w:t>
            </w:r>
          </w:p>
        </w:tc>
      </w:tr>
      <w:tr w:rsidR="00B2368C" w:rsidRPr="00DE4E4F" w14:paraId="57D2E6C3"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03D46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324</w:t>
            </w:r>
          </w:p>
        </w:tc>
        <w:tc>
          <w:tcPr>
            <w:tcW w:w="1614" w:type="dxa"/>
            <w:tcBorders>
              <w:top w:val="single" w:sz="4" w:space="0" w:color="auto"/>
              <w:left w:val="nil"/>
              <w:bottom w:val="single" w:sz="4" w:space="0" w:color="auto"/>
              <w:right w:val="single" w:sz="4" w:space="0" w:color="auto"/>
            </w:tcBorders>
            <w:shd w:val="clear" w:color="auto" w:fill="C6EFCE"/>
            <w:noWrap/>
          </w:tcPr>
          <w:p w14:paraId="2FF892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6E2716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6C97341E" w14:textId="4B2A1D04"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w:t>
            </w:r>
            <w:r w:rsidR="000D6FD8"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586.4 million 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noWrap/>
          </w:tcPr>
          <w:p w14:paraId="7FB75A68"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38143D3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Percentage of funds signed</w:t>
            </w:r>
          </w:p>
        </w:tc>
        <w:tc>
          <w:tcPr>
            <w:tcW w:w="1417" w:type="dxa"/>
            <w:tcBorders>
              <w:top w:val="single" w:sz="4" w:space="0" w:color="auto"/>
              <w:left w:val="nil"/>
              <w:bottom w:val="single" w:sz="4" w:space="0" w:color="auto"/>
              <w:right w:val="single" w:sz="4" w:space="0" w:color="auto"/>
            </w:tcBorders>
            <w:shd w:val="clear" w:color="auto" w:fill="C6EFCE"/>
            <w:noWrap/>
          </w:tcPr>
          <w:p w14:paraId="7B7C72E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1418" w:type="dxa"/>
            <w:tcBorders>
              <w:top w:val="single" w:sz="4" w:space="0" w:color="auto"/>
              <w:left w:val="nil"/>
              <w:bottom w:val="single" w:sz="4" w:space="0" w:color="auto"/>
              <w:right w:val="single" w:sz="4" w:space="0" w:color="auto"/>
            </w:tcBorders>
            <w:shd w:val="clear" w:color="auto" w:fill="C6EFCE"/>
            <w:noWrap/>
          </w:tcPr>
          <w:p w14:paraId="70516D5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w:t>
            </w:r>
          </w:p>
        </w:tc>
        <w:tc>
          <w:tcPr>
            <w:tcW w:w="850" w:type="dxa"/>
            <w:tcBorders>
              <w:top w:val="single" w:sz="4" w:space="0" w:color="auto"/>
              <w:left w:val="nil"/>
              <w:bottom w:val="single" w:sz="4" w:space="0" w:color="auto"/>
              <w:right w:val="single" w:sz="4" w:space="0" w:color="auto"/>
            </w:tcBorders>
            <w:shd w:val="clear" w:color="auto" w:fill="C6EFCE"/>
            <w:noWrap/>
          </w:tcPr>
          <w:p w14:paraId="7EDCD05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7832625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2022</w:t>
            </w:r>
          </w:p>
        </w:tc>
        <w:tc>
          <w:tcPr>
            <w:tcW w:w="4312" w:type="dxa"/>
            <w:tcBorders>
              <w:top w:val="single" w:sz="4" w:space="0" w:color="auto"/>
              <w:left w:val="nil"/>
              <w:bottom w:val="single" w:sz="4" w:space="0" w:color="auto"/>
              <w:right w:val="single" w:sz="4" w:space="0" w:color="auto"/>
            </w:tcBorders>
            <w:shd w:val="clear" w:color="auto" w:fill="C6EFCE"/>
            <w:noWrap/>
          </w:tcPr>
          <w:p w14:paraId="3FF291D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 586.4 million (including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with the 38.5% climate target and 20.8% digital target.</w:t>
            </w:r>
          </w:p>
        </w:tc>
      </w:tr>
      <w:tr w:rsidR="00B2368C" w:rsidRPr="00DE4E4F" w14:paraId="0DE020A6"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0EB9D02" w14:textId="77777777" w:rsidR="001B186F" w:rsidRPr="00DE4E4F" w:rsidRDefault="0074517F">
            <w:pPr>
              <w:spacing w:after="0" w:line="240" w:lineRule="auto"/>
              <w:rPr>
                <w:rFonts w:ascii="Times New Roman" w:eastAsia="Times New Roman" w:hAnsi="Times New Roman" w:cs="Times New Roman"/>
                <w:noProof/>
                <w:color w:val="006100"/>
              </w:rPr>
            </w:pPr>
            <w:r w:rsidRPr="00DE4E4F">
              <w:rPr>
                <w:rFonts w:ascii="Times New Roman" w:hAnsi="Times New Roman" w:cs="Times New Roman"/>
                <w:noProof/>
                <w:color w:val="006100"/>
                <w:sz w:val="18"/>
                <w:szCs w:val="18"/>
              </w:rPr>
              <w:t>325</w:t>
            </w:r>
          </w:p>
        </w:tc>
        <w:tc>
          <w:tcPr>
            <w:tcW w:w="1614" w:type="dxa"/>
            <w:tcBorders>
              <w:top w:val="single" w:sz="4" w:space="0" w:color="auto"/>
              <w:left w:val="nil"/>
              <w:bottom w:val="single" w:sz="4" w:space="0" w:color="auto"/>
              <w:right w:val="single" w:sz="4" w:space="0" w:color="auto"/>
            </w:tcBorders>
            <w:shd w:val="clear" w:color="auto" w:fill="C6EFCE"/>
            <w:noWrap/>
          </w:tcPr>
          <w:p w14:paraId="79F32B37" w14:textId="77777777" w:rsidR="001B186F" w:rsidRPr="00DE4E4F" w:rsidRDefault="0074517F">
            <w:pPr>
              <w:spacing w:after="0" w:line="240" w:lineRule="auto"/>
              <w:rPr>
                <w:rFonts w:ascii="Times New Roman" w:eastAsia="Times New Roman" w:hAnsi="Times New Roman" w:cs="Times New Roman"/>
                <w:noProof/>
                <w:color w:val="006100"/>
              </w:rPr>
            </w:pPr>
            <w:r w:rsidRPr="00DE4E4F">
              <w:rPr>
                <w:rFonts w:ascii="Times New Roman" w:hAnsi="Times New Roman" w:cs="Times New Roman"/>
                <w:noProof/>
                <w:color w:val="006100"/>
                <w:sz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00CDE6D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761DF50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EUR 3 518.4 million 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noWrap/>
          </w:tcPr>
          <w:p w14:paraId="764F45A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5A30BB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Percentage of funds signed</w:t>
            </w:r>
          </w:p>
        </w:tc>
        <w:tc>
          <w:tcPr>
            <w:tcW w:w="1417" w:type="dxa"/>
            <w:tcBorders>
              <w:top w:val="single" w:sz="4" w:space="0" w:color="auto"/>
              <w:left w:val="nil"/>
              <w:bottom w:val="single" w:sz="4" w:space="0" w:color="auto"/>
              <w:right w:val="single" w:sz="4" w:space="0" w:color="auto"/>
            </w:tcBorders>
            <w:shd w:val="clear" w:color="auto" w:fill="C6EFCE"/>
            <w:noWrap/>
          </w:tcPr>
          <w:p w14:paraId="1A8AFDD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5</w:t>
            </w:r>
          </w:p>
        </w:tc>
        <w:tc>
          <w:tcPr>
            <w:tcW w:w="1418" w:type="dxa"/>
            <w:tcBorders>
              <w:top w:val="single" w:sz="4" w:space="0" w:color="auto"/>
              <w:left w:val="nil"/>
              <w:bottom w:val="single" w:sz="4" w:space="0" w:color="auto"/>
              <w:right w:val="single" w:sz="4" w:space="0" w:color="auto"/>
            </w:tcBorders>
            <w:shd w:val="clear" w:color="auto" w:fill="C6EFCE"/>
            <w:noWrap/>
          </w:tcPr>
          <w:p w14:paraId="6138877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30</w:t>
            </w:r>
          </w:p>
        </w:tc>
        <w:tc>
          <w:tcPr>
            <w:tcW w:w="850" w:type="dxa"/>
            <w:tcBorders>
              <w:top w:val="single" w:sz="4" w:space="0" w:color="auto"/>
              <w:left w:val="nil"/>
              <w:bottom w:val="single" w:sz="4" w:space="0" w:color="auto"/>
              <w:right w:val="single" w:sz="4" w:space="0" w:color="auto"/>
            </w:tcBorders>
            <w:shd w:val="clear" w:color="auto" w:fill="C6EFCE"/>
            <w:noWrap/>
          </w:tcPr>
          <w:p w14:paraId="50B24EE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6388D5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2023</w:t>
            </w:r>
          </w:p>
        </w:tc>
        <w:tc>
          <w:tcPr>
            <w:tcW w:w="4312" w:type="dxa"/>
            <w:tcBorders>
              <w:top w:val="single" w:sz="4" w:space="0" w:color="auto"/>
              <w:left w:val="nil"/>
              <w:bottom w:val="single" w:sz="4" w:space="0" w:color="auto"/>
              <w:right w:val="single" w:sz="4" w:space="0" w:color="auto"/>
            </w:tcBorders>
            <w:shd w:val="clear" w:color="auto" w:fill="C6EFCE"/>
            <w:noWrap/>
          </w:tcPr>
          <w:p w14:paraId="136E69D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 3 518.4 million (including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with the 38.5% climate target and 20.8% digital target.</w:t>
            </w:r>
          </w:p>
        </w:tc>
      </w:tr>
      <w:tr w:rsidR="00B2368C" w:rsidRPr="00DE4E4F" w14:paraId="2C712835"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6A514037" w14:textId="77777777" w:rsidR="001B186F" w:rsidRPr="00DE4E4F" w:rsidRDefault="0074517F">
            <w:pPr>
              <w:spacing w:after="0" w:line="240" w:lineRule="auto"/>
              <w:rPr>
                <w:rFonts w:ascii="Times New Roman" w:eastAsia="Times New Roman" w:hAnsi="Times New Roman" w:cs="Times New Roman"/>
                <w:noProof/>
                <w:color w:val="006100"/>
              </w:rPr>
            </w:pPr>
            <w:r w:rsidRPr="00DE4E4F">
              <w:rPr>
                <w:rFonts w:ascii="Times New Roman" w:hAnsi="Times New Roman" w:cs="Times New Roman"/>
                <w:noProof/>
                <w:color w:val="006100"/>
                <w:sz w:val="18"/>
                <w:szCs w:val="18"/>
              </w:rPr>
              <w:t>325a</w:t>
            </w:r>
          </w:p>
        </w:tc>
        <w:tc>
          <w:tcPr>
            <w:tcW w:w="1614" w:type="dxa"/>
            <w:tcBorders>
              <w:top w:val="single" w:sz="4" w:space="0" w:color="auto"/>
              <w:left w:val="nil"/>
              <w:bottom w:val="single" w:sz="4" w:space="0" w:color="auto"/>
              <w:right w:val="single" w:sz="4" w:space="0" w:color="auto"/>
            </w:tcBorders>
            <w:shd w:val="clear" w:color="auto" w:fill="C6EFCE"/>
            <w:noWrap/>
          </w:tcPr>
          <w:p w14:paraId="4A197BDC" w14:textId="77777777" w:rsidR="001B186F" w:rsidRPr="00DE4E4F" w:rsidRDefault="0074517F">
            <w:pPr>
              <w:spacing w:after="0" w:line="240" w:lineRule="auto"/>
              <w:rPr>
                <w:rFonts w:ascii="Times New Roman" w:hAnsi="Times New Roman" w:cs="Times New Roman"/>
                <w:noProof/>
                <w:color w:val="006100"/>
                <w:sz w:val="18"/>
              </w:rPr>
            </w:pPr>
            <w:r w:rsidRPr="00DE4E4F">
              <w:rPr>
                <w:rFonts w:ascii="Times New Roman" w:hAnsi="Times New Roman" w:cs="Times New Roman"/>
                <w:noProof/>
                <w:color w:val="006100"/>
                <w:sz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4EB186C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0B8B80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EUR 4 518.4 million 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noWrap/>
          </w:tcPr>
          <w:p w14:paraId="01C0B43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58CF27A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Amount (EUR) of funds signed</w:t>
            </w:r>
          </w:p>
        </w:tc>
        <w:tc>
          <w:tcPr>
            <w:tcW w:w="1417" w:type="dxa"/>
            <w:tcBorders>
              <w:top w:val="single" w:sz="4" w:space="0" w:color="auto"/>
              <w:left w:val="nil"/>
              <w:bottom w:val="single" w:sz="4" w:space="0" w:color="auto"/>
              <w:right w:val="single" w:sz="4" w:space="0" w:color="auto"/>
            </w:tcBorders>
            <w:shd w:val="clear" w:color="auto" w:fill="C6EFCE"/>
            <w:noWrap/>
          </w:tcPr>
          <w:p w14:paraId="1E30306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3 518.4</w:t>
            </w:r>
          </w:p>
        </w:tc>
        <w:tc>
          <w:tcPr>
            <w:tcW w:w="1418" w:type="dxa"/>
            <w:tcBorders>
              <w:top w:val="single" w:sz="4" w:space="0" w:color="auto"/>
              <w:left w:val="nil"/>
              <w:bottom w:val="single" w:sz="4" w:space="0" w:color="auto"/>
              <w:right w:val="single" w:sz="4" w:space="0" w:color="auto"/>
            </w:tcBorders>
            <w:shd w:val="clear" w:color="auto" w:fill="C6EFCE"/>
            <w:noWrap/>
          </w:tcPr>
          <w:p w14:paraId="39BE5D0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4 518.4</w:t>
            </w:r>
          </w:p>
        </w:tc>
        <w:tc>
          <w:tcPr>
            <w:tcW w:w="850" w:type="dxa"/>
            <w:tcBorders>
              <w:top w:val="single" w:sz="4" w:space="0" w:color="auto"/>
              <w:left w:val="nil"/>
              <w:bottom w:val="single" w:sz="4" w:space="0" w:color="auto"/>
              <w:right w:val="single" w:sz="4" w:space="0" w:color="auto"/>
            </w:tcBorders>
            <w:shd w:val="clear" w:color="auto" w:fill="C6EFCE"/>
            <w:noWrap/>
          </w:tcPr>
          <w:p w14:paraId="57048FF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Q2</w:t>
            </w:r>
          </w:p>
        </w:tc>
        <w:tc>
          <w:tcPr>
            <w:tcW w:w="709" w:type="dxa"/>
            <w:tcBorders>
              <w:top w:val="single" w:sz="4" w:space="0" w:color="auto"/>
              <w:left w:val="nil"/>
              <w:bottom w:val="single" w:sz="4" w:space="0" w:color="auto"/>
              <w:right w:val="single" w:sz="4" w:space="0" w:color="auto"/>
            </w:tcBorders>
            <w:shd w:val="clear" w:color="auto" w:fill="C6EFCE"/>
            <w:noWrap/>
          </w:tcPr>
          <w:p w14:paraId="6512F0A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2024</w:t>
            </w:r>
          </w:p>
        </w:tc>
        <w:tc>
          <w:tcPr>
            <w:tcW w:w="4312" w:type="dxa"/>
            <w:tcBorders>
              <w:top w:val="single" w:sz="4" w:space="0" w:color="auto"/>
              <w:left w:val="nil"/>
              <w:bottom w:val="single" w:sz="4" w:space="0" w:color="auto"/>
              <w:right w:val="single" w:sz="4" w:space="0" w:color="auto"/>
            </w:tcBorders>
            <w:shd w:val="clear" w:color="auto" w:fill="C6EFCE"/>
            <w:noWrap/>
          </w:tcPr>
          <w:p w14:paraId="22A8452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 4 518.4 million (including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the contribution to the 38.5% climate target and 20.8% digital target.</w:t>
            </w:r>
          </w:p>
        </w:tc>
      </w:tr>
      <w:tr w:rsidR="00B2368C" w:rsidRPr="00DE4E4F" w14:paraId="5E08E89A"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0C204097" w14:textId="77777777" w:rsidR="001B186F" w:rsidRPr="00DE4E4F" w:rsidRDefault="0074517F">
            <w:pPr>
              <w:spacing w:after="0" w:line="240" w:lineRule="auto"/>
              <w:rPr>
                <w:rFonts w:ascii="Times New Roman" w:eastAsia="Times New Roman" w:hAnsi="Times New Roman" w:cs="Times New Roman"/>
                <w:noProof/>
                <w:color w:val="006100"/>
              </w:rPr>
            </w:pPr>
            <w:r w:rsidRPr="00DE4E4F">
              <w:rPr>
                <w:rFonts w:ascii="Times New Roman" w:hAnsi="Times New Roman" w:cs="Times New Roman"/>
                <w:noProof/>
                <w:color w:val="006100"/>
                <w:sz w:val="18"/>
                <w:szCs w:val="18"/>
              </w:rPr>
              <w:t>326</w:t>
            </w:r>
          </w:p>
        </w:tc>
        <w:tc>
          <w:tcPr>
            <w:tcW w:w="1614" w:type="dxa"/>
            <w:tcBorders>
              <w:top w:val="single" w:sz="4" w:space="0" w:color="auto"/>
              <w:left w:val="nil"/>
              <w:bottom w:val="single" w:sz="4" w:space="0" w:color="auto"/>
              <w:right w:val="single" w:sz="4" w:space="0" w:color="auto"/>
            </w:tcBorders>
            <w:shd w:val="clear" w:color="auto" w:fill="C6EFCE"/>
            <w:noWrap/>
          </w:tcPr>
          <w:p w14:paraId="4C5A9155" w14:textId="77777777" w:rsidR="001B186F" w:rsidRPr="00DE4E4F" w:rsidRDefault="0074517F">
            <w:pPr>
              <w:spacing w:after="0" w:line="240" w:lineRule="auto"/>
              <w:rPr>
                <w:rFonts w:ascii="Times New Roman" w:hAnsi="Times New Roman" w:cs="Times New Roman"/>
                <w:noProof/>
                <w:color w:val="006100"/>
              </w:rPr>
            </w:pPr>
            <w:r w:rsidRPr="00DE4E4F">
              <w:rPr>
                <w:rFonts w:ascii="Times New Roman" w:hAnsi="Times New Roman" w:cs="Times New Roman"/>
                <w:noProof/>
                <w:color w:val="006100"/>
                <w:sz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498657B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41E038FC"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EUR 7 064 million 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noWrap/>
          </w:tcPr>
          <w:p w14:paraId="51F7012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0BF3F45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Amount (EUR million) </w:t>
            </w:r>
          </w:p>
        </w:tc>
        <w:tc>
          <w:tcPr>
            <w:tcW w:w="1417" w:type="dxa"/>
            <w:tcBorders>
              <w:top w:val="single" w:sz="4" w:space="0" w:color="auto"/>
              <w:left w:val="nil"/>
              <w:bottom w:val="single" w:sz="4" w:space="0" w:color="auto"/>
              <w:right w:val="single" w:sz="4" w:space="0" w:color="auto"/>
            </w:tcBorders>
            <w:shd w:val="clear" w:color="auto" w:fill="C6EFCE"/>
            <w:noWrap/>
          </w:tcPr>
          <w:p w14:paraId="28F13F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4 518.4</w:t>
            </w:r>
          </w:p>
        </w:tc>
        <w:tc>
          <w:tcPr>
            <w:tcW w:w="1418" w:type="dxa"/>
            <w:tcBorders>
              <w:top w:val="single" w:sz="4" w:space="0" w:color="auto"/>
              <w:left w:val="nil"/>
              <w:bottom w:val="single" w:sz="4" w:space="0" w:color="auto"/>
              <w:right w:val="single" w:sz="4" w:space="0" w:color="auto"/>
            </w:tcBorders>
            <w:shd w:val="clear" w:color="auto" w:fill="C6EFCE"/>
            <w:noWrap/>
          </w:tcPr>
          <w:p w14:paraId="4A1B8E5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7 064</w:t>
            </w:r>
          </w:p>
        </w:tc>
        <w:tc>
          <w:tcPr>
            <w:tcW w:w="850" w:type="dxa"/>
            <w:tcBorders>
              <w:top w:val="single" w:sz="4" w:space="0" w:color="auto"/>
              <w:left w:val="nil"/>
              <w:bottom w:val="single" w:sz="4" w:space="0" w:color="auto"/>
              <w:right w:val="single" w:sz="4" w:space="0" w:color="auto"/>
            </w:tcBorders>
            <w:shd w:val="clear" w:color="auto" w:fill="C6EFCE"/>
            <w:noWrap/>
          </w:tcPr>
          <w:p w14:paraId="1E318E7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6E32DDF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2024</w:t>
            </w:r>
          </w:p>
        </w:tc>
        <w:tc>
          <w:tcPr>
            <w:tcW w:w="4312" w:type="dxa"/>
            <w:tcBorders>
              <w:top w:val="single" w:sz="4" w:space="0" w:color="auto"/>
              <w:left w:val="nil"/>
              <w:bottom w:val="single" w:sz="4" w:space="0" w:color="auto"/>
              <w:right w:val="single" w:sz="4" w:space="0" w:color="auto"/>
            </w:tcBorders>
            <w:shd w:val="clear" w:color="auto" w:fill="C6EFCE"/>
            <w:noWrap/>
          </w:tcPr>
          <w:p w14:paraId="307A472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 7 064 million (including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the contribution to the 41.5% climate target and 20.8% digital target.</w:t>
            </w:r>
          </w:p>
        </w:tc>
      </w:tr>
      <w:tr w:rsidR="00B2368C" w:rsidRPr="00DE4E4F" w14:paraId="3B1DB589"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16D04DB0" w14:textId="77777777" w:rsidR="001B186F" w:rsidRPr="00DE4E4F" w:rsidRDefault="0074517F">
            <w:pPr>
              <w:spacing w:after="0" w:line="240" w:lineRule="auto"/>
              <w:rPr>
                <w:rFonts w:ascii="Times New Roman" w:eastAsia="Times New Roman" w:hAnsi="Times New Roman" w:cs="Times New Roman"/>
                <w:noProof/>
                <w:color w:val="006100"/>
              </w:rPr>
            </w:pPr>
            <w:r w:rsidRPr="00DE4E4F">
              <w:rPr>
                <w:rFonts w:ascii="Times New Roman" w:hAnsi="Times New Roman" w:cs="Times New Roman"/>
                <w:noProof/>
                <w:color w:val="006100"/>
                <w:sz w:val="18"/>
              </w:rPr>
              <w:t>327</w:t>
            </w:r>
          </w:p>
        </w:tc>
        <w:tc>
          <w:tcPr>
            <w:tcW w:w="1614" w:type="dxa"/>
            <w:tcBorders>
              <w:top w:val="single" w:sz="4" w:space="0" w:color="auto"/>
              <w:left w:val="nil"/>
              <w:bottom w:val="single" w:sz="4" w:space="0" w:color="auto"/>
              <w:right w:val="single" w:sz="4" w:space="0" w:color="auto"/>
            </w:tcBorders>
            <w:shd w:val="clear" w:color="auto" w:fill="C6EFCE"/>
            <w:noWrap/>
          </w:tcPr>
          <w:p w14:paraId="5041287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6EB91FC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4F064135" w14:textId="01A38633"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EUR</w:t>
            </w:r>
            <w:r w:rsidR="00B2368C" w:rsidRPr="00DE4E4F">
              <w:rPr>
                <w:rFonts w:ascii="Times New Roman" w:hAnsi="Times New Roman" w:cs="Times New Roman"/>
                <w:noProof/>
                <w:color w:val="006100"/>
                <w:sz w:val="18"/>
              </w:rPr>
              <w:t> </w:t>
            </w:r>
            <w:r w:rsidRPr="00DE4E4F">
              <w:rPr>
                <w:rFonts w:ascii="Times New Roman" w:hAnsi="Times New Roman" w:cs="Times New Roman"/>
                <w:noProof/>
                <w:color w:val="006100"/>
                <w:sz w:val="18"/>
              </w:rPr>
              <w:t>9 800 million 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tcPr>
          <w:p w14:paraId="3E00759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32AB9B1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Amount (</w:t>
            </w:r>
            <w:r w:rsidRPr="00DE4E4F">
              <w:rPr>
                <w:rFonts w:ascii="Times New Roman" w:hAnsi="Times New Roman" w:cs="Times New Roman"/>
                <w:noProof/>
                <w:color w:val="006100"/>
                <w:sz w:val="18"/>
                <w:szCs w:val="18"/>
              </w:rPr>
              <w:t>million</w:t>
            </w:r>
            <w:r w:rsidRPr="00DE4E4F">
              <w:rPr>
                <w:rFonts w:ascii="Times New Roman" w:hAnsi="Times New Roman" w:cs="Times New Roman"/>
                <w:noProof/>
                <w:color w:val="006100"/>
                <w:sz w:val="18"/>
              </w:rPr>
              <w:t xml:space="preserve"> EUR)</w:t>
            </w:r>
          </w:p>
        </w:tc>
        <w:tc>
          <w:tcPr>
            <w:tcW w:w="1417" w:type="dxa"/>
            <w:tcBorders>
              <w:top w:val="single" w:sz="4" w:space="0" w:color="auto"/>
              <w:left w:val="nil"/>
              <w:bottom w:val="single" w:sz="4" w:space="0" w:color="auto"/>
              <w:right w:val="single" w:sz="4" w:space="0" w:color="auto"/>
            </w:tcBorders>
            <w:shd w:val="clear" w:color="auto" w:fill="C6EFCE"/>
            <w:noWrap/>
          </w:tcPr>
          <w:p w14:paraId="7C6A740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7 064</w:t>
            </w:r>
          </w:p>
        </w:tc>
        <w:tc>
          <w:tcPr>
            <w:tcW w:w="1418" w:type="dxa"/>
            <w:tcBorders>
              <w:top w:val="single" w:sz="4" w:space="0" w:color="auto"/>
              <w:left w:val="nil"/>
              <w:bottom w:val="single" w:sz="4" w:space="0" w:color="auto"/>
              <w:right w:val="single" w:sz="4" w:space="0" w:color="auto"/>
            </w:tcBorders>
            <w:shd w:val="clear" w:color="auto" w:fill="C6EFCE"/>
            <w:noWrap/>
          </w:tcPr>
          <w:p w14:paraId="1AF2689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9 800</w:t>
            </w:r>
          </w:p>
        </w:tc>
        <w:tc>
          <w:tcPr>
            <w:tcW w:w="850" w:type="dxa"/>
            <w:tcBorders>
              <w:top w:val="single" w:sz="4" w:space="0" w:color="auto"/>
              <w:left w:val="nil"/>
              <w:bottom w:val="single" w:sz="4" w:space="0" w:color="auto"/>
              <w:right w:val="single" w:sz="4" w:space="0" w:color="auto"/>
            </w:tcBorders>
            <w:shd w:val="clear" w:color="auto" w:fill="C6EFCE"/>
            <w:noWrap/>
          </w:tcPr>
          <w:p w14:paraId="60A260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5064FE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2025</w:t>
            </w:r>
          </w:p>
        </w:tc>
        <w:tc>
          <w:tcPr>
            <w:tcW w:w="4312" w:type="dxa"/>
            <w:tcBorders>
              <w:top w:val="single" w:sz="4" w:space="0" w:color="auto"/>
              <w:left w:val="nil"/>
              <w:bottom w:val="single" w:sz="4" w:space="0" w:color="auto"/>
              <w:right w:val="single" w:sz="4" w:space="0" w:color="auto"/>
            </w:tcBorders>
            <w:shd w:val="clear" w:color="auto" w:fill="C6EFCE"/>
            <w:noWrap/>
          </w:tcPr>
          <w:p w14:paraId="4D7FCE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EUR 9</w:t>
            </w:r>
            <w:r w:rsidRPr="00DE4E4F">
              <w:rPr>
                <w:rFonts w:ascii="Times New Roman" w:hAnsi="Times New Roman" w:cs="Times New Roman"/>
                <w:noProof/>
                <w:color w:val="006100"/>
                <w:sz w:val="18"/>
              </w:rPr>
              <w:t> </w:t>
            </w:r>
            <w:r w:rsidRPr="00DE4E4F">
              <w:rPr>
                <w:rFonts w:ascii="Times New Roman" w:hAnsi="Times New Roman" w:cs="Times New Roman"/>
                <w:noProof/>
                <w:color w:val="006100"/>
                <w:sz w:val="18"/>
                <w:szCs w:val="18"/>
              </w:rPr>
              <w:t>800 million (including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the contribution to the 48.98% climate target and 24.19% digital target.</w:t>
            </w:r>
          </w:p>
        </w:tc>
      </w:tr>
      <w:tr w:rsidR="00B2368C" w:rsidRPr="00DE4E4F" w14:paraId="3B41AA6F"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DCA0F2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327a</w:t>
            </w:r>
          </w:p>
        </w:tc>
        <w:tc>
          <w:tcPr>
            <w:tcW w:w="1614" w:type="dxa"/>
            <w:tcBorders>
              <w:top w:val="single" w:sz="4" w:space="0" w:color="auto"/>
              <w:left w:val="nil"/>
              <w:bottom w:val="single" w:sz="4" w:space="0" w:color="auto"/>
              <w:right w:val="single" w:sz="4" w:space="0" w:color="auto"/>
            </w:tcBorders>
            <w:shd w:val="clear" w:color="auto" w:fill="C6EFCE"/>
            <w:noWrap/>
          </w:tcPr>
          <w:p w14:paraId="4BB32DF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33F759F0"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334213AC" w14:textId="2B961AD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EUR </w:t>
            </w:r>
            <w:r w:rsidR="00BB5FF8" w:rsidRPr="00DE4E4F">
              <w:rPr>
                <w:rFonts w:ascii="Times New Roman" w:hAnsi="Times New Roman" w:cs="Times New Roman"/>
                <w:noProof/>
                <w:color w:val="006100"/>
                <w:sz w:val="18"/>
                <w:szCs w:val="18"/>
              </w:rPr>
              <w:t>13</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366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446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891</w:t>
            </w:r>
            <w:r w:rsidR="00B243F1"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of financial institutions funds signed with final beneficiaries</w:t>
            </w:r>
          </w:p>
        </w:tc>
        <w:tc>
          <w:tcPr>
            <w:tcW w:w="1276" w:type="dxa"/>
            <w:tcBorders>
              <w:top w:val="single" w:sz="4" w:space="0" w:color="auto"/>
              <w:left w:val="nil"/>
              <w:bottom w:val="single" w:sz="4" w:space="0" w:color="auto"/>
              <w:right w:val="single" w:sz="4" w:space="0" w:color="auto"/>
            </w:tcBorders>
            <w:shd w:val="clear" w:color="auto" w:fill="C6EFCE"/>
          </w:tcPr>
          <w:p w14:paraId="08F96BE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63AD3C28" w14:textId="2384A3E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Amount (EUR)</w:t>
            </w:r>
          </w:p>
        </w:tc>
        <w:tc>
          <w:tcPr>
            <w:tcW w:w="1417" w:type="dxa"/>
            <w:tcBorders>
              <w:top w:val="single" w:sz="4" w:space="0" w:color="auto"/>
              <w:left w:val="nil"/>
              <w:bottom w:val="single" w:sz="4" w:space="0" w:color="auto"/>
              <w:right w:val="single" w:sz="4" w:space="0" w:color="auto"/>
            </w:tcBorders>
            <w:shd w:val="clear" w:color="auto" w:fill="C6EFCE"/>
            <w:noWrap/>
          </w:tcPr>
          <w:p w14:paraId="07E9B010" w14:textId="5694CEB4"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w:t>
            </w:r>
            <w:r w:rsidRPr="00DE4E4F">
              <w:rPr>
                <w:rFonts w:ascii="Times New Roman" w:hAnsi="Times New Roman" w:cs="Times New Roman"/>
                <w:noProof/>
                <w:color w:val="006100"/>
                <w:sz w:val="18"/>
              </w:rPr>
              <w:t> </w:t>
            </w:r>
            <w:r w:rsidRPr="00DE4E4F">
              <w:rPr>
                <w:rFonts w:ascii="Times New Roman" w:hAnsi="Times New Roman" w:cs="Times New Roman"/>
                <w:noProof/>
                <w:color w:val="006100"/>
                <w:sz w:val="18"/>
                <w:szCs w:val="18"/>
              </w:rPr>
              <w:t>800</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000</w:t>
            </w:r>
          </w:p>
        </w:tc>
        <w:tc>
          <w:tcPr>
            <w:tcW w:w="1418" w:type="dxa"/>
            <w:tcBorders>
              <w:top w:val="single" w:sz="4" w:space="0" w:color="auto"/>
              <w:left w:val="nil"/>
              <w:bottom w:val="single" w:sz="4" w:space="0" w:color="auto"/>
              <w:right w:val="single" w:sz="4" w:space="0" w:color="auto"/>
            </w:tcBorders>
            <w:shd w:val="clear" w:color="auto" w:fill="C6EFCE"/>
            <w:noWrap/>
          </w:tcPr>
          <w:p w14:paraId="2B140E03" w14:textId="2A843003" w:rsidR="001B186F" w:rsidRPr="00DE4E4F" w:rsidRDefault="007E086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13</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366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446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891</w:t>
            </w:r>
          </w:p>
        </w:tc>
        <w:tc>
          <w:tcPr>
            <w:tcW w:w="850" w:type="dxa"/>
            <w:tcBorders>
              <w:top w:val="single" w:sz="4" w:space="0" w:color="auto"/>
              <w:left w:val="nil"/>
              <w:bottom w:val="single" w:sz="4" w:space="0" w:color="auto"/>
              <w:right w:val="single" w:sz="4" w:space="0" w:color="auto"/>
            </w:tcBorders>
            <w:shd w:val="clear" w:color="auto" w:fill="C6EFCE"/>
            <w:noWrap/>
          </w:tcPr>
          <w:p w14:paraId="3B6A4568"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tcBorders>
              <w:top w:val="single" w:sz="4" w:space="0" w:color="auto"/>
              <w:left w:val="nil"/>
              <w:bottom w:val="single" w:sz="4" w:space="0" w:color="auto"/>
              <w:right w:val="single" w:sz="4" w:space="0" w:color="auto"/>
            </w:tcBorders>
            <w:shd w:val="clear" w:color="auto" w:fill="C6EFCE"/>
            <w:noWrap/>
          </w:tcPr>
          <w:p w14:paraId="76F5891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312" w:type="dxa"/>
            <w:tcBorders>
              <w:top w:val="single" w:sz="4" w:space="0" w:color="auto"/>
              <w:left w:val="nil"/>
              <w:bottom w:val="single" w:sz="4" w:space="0" w:color="auto"/>
              <w:right w:val="single" w:sz="4" w:space="0" w:color="auto"/>
            </w:tcBorders>
            <w:shd w:val="clear" w:color="auto" w:fill="C6EFCE"/>
            <w:noWrap/>
          </w:tcPr>
          <w:p w14:paraId="4498F6D2" w14:textId="2724030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EUR </w:t>
            </w:r>
            <w:r w:rsidR="007E086F" w:rsidRPr="00DE4E4F">
              <w:rPr>
                <w:rFonts w:ascii="Times New Roman" w:hAnsi="Times New Roman" w:cs="Times New Roman"/>
                <w:noProof/>
                <w:color w:val="006100"/>
                <w:sz w:val="18"/>
                <w:szCs w:val="18"/>
              </w:rPr>
              <w:t>13</w:t>
            </w:r>
            <w:r w:rsidR="00B2368C" w:rsidRPr="00DE4E4F">
              <w:rPr>
                <w:rFonts w:ascii="Times New Roman" w:hAnsi="Times New Roman" w:cs="Times New Roman"/>
                <w:noProof/>
                <w:color w:val="006100"/>
                <w:sz w:val="18"/>
                <w:szCs w:val="18"/>
              </w:rPr>
              <w:t> </w:t>
            </w:r>
            <w:r w:rsidR="007E086F" w:rsidRPr="00DE4E4F">
              <w:rPr>
                <w:rFonts w:ascii="Times New Roman" w:hAnsi="Times New Roman" w:cs="Times New Roman"/>
                <w:noProof/>
                <w:color w:val="006100"/>
                <w:sz w:val="18"/>
                <w:szCs w:val="18"/>
              </w:rPr>
              <w:t>36</w:t>
            </w:r>
            <w:r w:rsidR="001D7709" w:rsidRPr="00DE4E4F">
              <w:rPr>
                <w:rFonts w:ascii="Times New Roman" w:hAnsi="Times New Roman" w:cs="Times New Roman"/>
                <w:noProof/>
                <w:color w:val="006100"/>
                <w:sz w:val="18"/>
                <w:szCs w:val="18"/>
              </w:rPr>
              <w:t>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446</w:t>
            </w:r>
            <w:r w:rsidR="00B2368C" w:rsidRPr="00DE4E4F">
              <w:rPr>
                <w:rFonts w:ascii="Times New Roman" w:hAnsi="Times New Roman" w:cs="Times New Roman"/>
                <w:noProof/>
                <w:color w:val="006100"/>
                <w:sz w:val="18"/>
                <w:szCs w:val="18"/>
              </w:rPr>
              <w:t> </w:t>
            </w:r>
            <w:r w:rsidR="00BB5FF8" w:rsidRPr="00DE4E4F">
              <w:rPr>
                <w:rFonts w:ascii="Times New Roman" w:hAnsi="Times New Roman" w:cs="Times New Roman"/>
                <w:noProof/>
                <w:color w:val="006100"/>
                <w:sz w:val="18"/>
                <w:szCs w:val="18"/>
              </w:rPr>
              <w:t>891</w:t>
            </w:r>
            <w:r w:rsidR="00B243F1"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 xml:space="preserve">(including management fees) of RRF loan facility funds related to International Financial Institutions and commercial banks have been signed with the final beneficiaries in accordance with the mandate defined in the milestone and following ex-ante verification by independent auditors of compliance with governance, selection, monitoring and audit and loss-sharing criteria, the Do No Significant Harm Technical Guidance (2021/C58/01) and the contribution to the </w:t>
            </w:r>
            <w:r w:rsidR="00485568" w:rsidRPr="00DE4E4F">
              <w:rPr>
                <w:rFonts w:ascii="Times New Roman" w:hAnsi="Times New Roman" w:cs="Times New Roman"/>
                <w:noProof/>
                <w:color w:val="006100"/>
                <w:sz w:val="18"/>
                <w:szCs w:val="18"/>
              </w:rPr>
              <w:t>5</w:t>
            </w:r>
            <w:r w:rsidR="005F4A8B"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 xml:space="preserve">% climate target and </w:t>
            </w:r>
            <w:r w:rsidR="00485568" w:rsidRPr="00DE4E4F">
              <w:rPr>
                <w:rFonts w:ascii="Times New Roman" w:hAnsi="Times New Roman" w:cs="Times New Roman"/>
                <w:noProof/>
                <w:color w:val="006100"/>
                <w:sz w:val="18"/>
                <w:szCs w:val="18"/>
              </w:rPr>
              <w:t>28</w:t>
            </w:r>
            <w:r w:rsidRPr="00DE4E4F">
              <w:rPr>
                <w:rFonts w:ascii="Times New Roman" w:hAnsi="Times New Roman" w:cs="Times New Roman"/>
                <w:noProof/>
                <w:color w:val="006100"/>
                <w:sz w:val="18"/>
                <w:szCs w:val="18"/>
              </w:rPr>
              <w:t>% digital target.</w:t>
            </w:r>
          </w:p>
        </w:tc>
      </w:tr>
      <w:tr w:rsidR="00B2368C" w:rsidRPr="00DE4E4F" w14:paraId="750D7666"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ABCC33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328a</w:t>
            </w:r>
          </w:p>
        </w:tc>
        <w:tc>
          <w:tcPr>
            <w:tcW w:w="1614" w:type="dxa"/>
            <w:tcBorders>
              <w:top w:val="single" w:sz="4" w:space="0" w:color="auto"/>
              <w:left w:val="nil"/>
              <w:bottom w:val="single" w:sz="4" w:space="0" w:color="auto"/>
              <w:right w:val="single" w:sz="4" w:space="0" w:color="auto"/>
            </w:tcBorders>
            <w:shd w:val="clear" w:color="auto" w:fill="C6EFCE"/>
            <w:noWrap/>
          </w:tcPr>
          <w:p w14:paraId="169AD4E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4CE752C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559" w:type="dxa"/>
            <w:tcBorders>
              <w:top w:val="single" w:sz="4" w:space="0" w:color="auto"/>
              <w:left w:val="nil"/>
              <w:bottom w:val="single" w:sz="4" w:space="0" w:color="auto"/>
              <w:right w:val="single" w:sz="4" w:space="0" w:color="auto"/>
            </w:tcBorders>
            <w:shd w:val="clear" w:color="auto" w:fill="C6EFCE"/>
            <w:noWrap/>
          </w:tcPr>
          <w:p w14:paraId="61605FF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Loan Facility - The Ministry of Finance has completed the investment</w:t>
            </w:r>
          </w:p>
        </w:tc>
        <w:tc>
          <w:tcPr>
            <w:tcW w:w="1276" w:type="dxa"/>
            <w:tcBorders>
              <w:top w:val="single" w:sz="4" w:space="0" w:color="auto"/>
              <w:left w:val="nil"/>
              <w:bottom w:val="single" w:sz="4" w:space="0" w:color="auto"/>
              <w:right w:val="single" w:sz="4" w:space="0" w:color="auto"/>
            </w:tcBorders>
            <w:shd w:val="clear" w:color="auto" w:fill="C6EFCE"/>
          </w:tcPr>
          <w:p w14:paraId="494F146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Certificate of transfer</w:t>
            </w:r>
          </w:p>
        </w:tc>
        <w:tc>
          <w:tcPr>
            <w:tcW w:w="1134" w:type="dxa"/>
            <w:tcBorders>
              <w:top w:val="single" w:sz="4" w:space="0" w:color="auto"/>
              <w:left w:val="nil"/>
              <w:bottom w:val="single" w:sz="4" w:space="0" w:color="auto"/>
              <w:right w:val="single" w:sz="4" w:space="0" w:color="auto"/>
            </w:tcBorders>
            <w:shd w:val="clear" w:color="auto" w:fill="C6EFCE"/>
            <w:noWrap/>
          </w:tcPr>
          <w:p w14:paraId="79CE5C5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417" w:type="dxa"/>
            <w:tcBorders>
              <w:top w:val="single" w:sz="4" w:space="0" w:color="auto"/>
              <w:left w:val="nil"/>
              <w:bottom w:val="single" w:sz="4" w:space="0" w:color="auto"/>
              <w:right w:val="single" w:sz="4" w:space="0" w:color="auto"/>
            </w:tcBorders>
            <w:shd w:val="clear" w:color="auto" w:fill="C6EFCE"/>
            <w:noWrap/>
          </w:tcPr>
          <w:p w14:paraId="7CB8E318" w14:textId="77777777" w:rsidR="001B186F" w:rsidRPr="00DE4E4F" w:rsidDel="00BF0468" w:rsidRDefault="001B186F">
            <w:pPr>
              <w:spacing w:after="0" w:line="240" w:lineRule="auto"/>
              <w:rPr>
                <w:rFonts w:ascii="Times New Roman" w:eastAsia="Times New Roman" w:hAnsi="Times New Roman" w:cs="Times New Roman"/>
                <w:noProof/>
                <w:color w:val="006100"/>
                <w:sz w:val="18"/>
                <w:szCs w:val="18"/>
                <w:lang w:eastAsia="en-GB"/>
              </w:rPr>
            </w:pPr>
          </w:p>
        </w:tc>
        <w:tc>
          <w:tcPr>
            <w:tcW w:w="1418" w:type="dxa"/>
            <w:tcBorders>
              <w:top w:val="single" w:sz="4" w:space="0" w:color="auto"/>
              <w:left w:val="nil"/>
              <w:bottom w:val="single" w:sz="4" w:space="0" w:color="auto"/>
              <w:right w:val="single" w:sz="4" w:space="0" w:color="auto"/>
            </w:tcBorders>
            <w:shd w:val="clear" w:color="auto" w:fill="C6EFCE"/>
            <w:noWrap/>
          </w:tcPr>
          <w:p w14:paraId="5BED152A" w14:textId="77777777" w:rsidR="001B186F" w:rsidRPr="00DE4E4F" w:rsidDel="00BF0468" w:rsidRDefault="001B186F">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3151D96E" w14:textId="2ECEAB9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51209A" w:rsidRPr="00DE4E4F">
              <w:rPr>
                <w:rFonts w:ascii="Times New Roman" w:hAnsi="Times New Roman" w:cs="Times New Roman"/>
                <w:noProof/>
                <w:color w:val="006100"/>
                <w:sz w:val="18"/>
                <w:szCs w:val="18"/>
              </w:rPr>
              <w:t>1</w:t>
            </w:r>
          </w:p>
        </w:tc>
        <w:tc>
          <w:tcPr>
            <w:tcW w:w="709" w:type="dxa"/>
            <w:tcBorders>
              <w:top w:val="single" w:sz="4" w:space="0" w:color="auto"/>
              <w:left w:val="nil"/>
              <w:bottom w:val="single" w:sz="4" w:space="0" w:color="auto"/>
              <w:right w:val="single" w:sz="4" w:space="0" w:color="auto"/>
            </w:tcBorders>
            <w:shd w:val="clear" w:color="auto" w:fill="C6EFCE"/>
            <w:noWrap/>
          </w:tcPr>
          <w:p w14:paraId="2C0F1D6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312" w:type="dxa"/>
            <w:tcBorders>
              <w:top w:val="single" w:sz="4" w:space="0" w:color="auto"/>
              <w:left w:val="nil"/>
              <w:bottom w:val="single" w:sz="4" w:space="0" w:color="auto"/>
              <w:right w:val="single" w:sz="4" w:space="0" w:color="auto"/>
            </w:tcBorders>
            <w:shd w:val="clear" w:color="auto" w:fill="C6EFCE"/>
            <w:noWrap/>
          </w:tcPr>
          <w:p w14:paraId="5AE7434B" w14:textId="38913D8B"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Greece shall transfer EUR</w:t>
            </w:r>
            <w:r w:rsidR="00B2368C" w:rsidRPr="00DE4E4F">
              <w:rPr>
                <w:rFonts w:ascii="Times New Roman" w:hAnsi="Times New Roman" w:cs="Times New Roman"/>
                <w:noProof/>
                <w:color w:val="006100"/>
                <w:sz w:val="18"/>
                <w:szCs w:val="18"/>
              </w:rPr>
              <w:t> </w:t>
            </w:r>
            <w:r w:rsidR="00CB5E06" w:rsidRPr="00DE4E4F">
              <w:rPr>
                <w:rFonts w:ascii="Times New Roman" w:hAnsi="Times New Roman" w:cs="Times New Roman"/>
                <w:noProof/>
                <w:color w:val="006100"/>
                <w:sz w:val="18"/>
                <w:szCs w:val="18"/>
              </w:rPr>
              <w:t>13</w:t>
            </w:r>
            <w:r w:rsidR="00B2368C" w:rsidRPr="00DE4E4F">
              <w:rPr>
                <w:rFonts w:ascii="Times New Roman" w:hAnsi="Times New Roman" w:cs="Times New Roman"/>
                <w:noProof/>
                <w:color w:val="006100"/>
                <w:sz w:val="18"/>
                <w:szCs w:val="18"/>
              </w:rPr>
              <w:t> </w:t>
            </w:r>
            <w:r w:rsidR="00CB5E06" w:rsidRPr="00DE4E4F">
              <w:rPr>
                <w:rFonts w:ascii="Times New Roman" w:hAnsi="Times New Roman" w:cs="Times New Roman"/>
                <w:noProof/>
                <w:color w:val="006100"/>
                <w:sz w:val="18"/>
                <w:szCs w:val="18"/>
              </w:rPr>
              <w:t>36</w:t>
            </w:r>
            <w:r w:rsidR="00EF7B07" w:rsidRPr="00DE4E4F">
              <w:rPr>
                <w:rFonts w:ascii="Times New Roman" w:hAnsi="Times New Roman" w:cs="Times New Roman"/>
                <w:noProof/>
                <w:color w:val="006100"/>
                <w:sz w:val="18"/>
                <w:szCs w:val="18"/>
              </w:rPr>
              <w:t>6</w:t>
            </w:r>
            <w:r w:rsidR="00B2368C" w:rsidRPr="00DE4E4F">
              <w:rPr>
                <w:rFonts w:ascii="Times New Roman" w:hAnsi="Times New Roman" w:cs="Times New Roman"/>
                <w:noProof/>
                <w:color w:val="006100"/>
                <w:sz w:val="18"/>
                <w:szCs w:val="18"/>
              </w:rPr>
              <w:t> </w:t>
            </w:r>
            <w:r w:rsidR="00BC247D" w:rsidRPr="00DE4E4F">
              <w:rPr>
                <w:rFonts w:ascii="Times New Roman" w:hAnsi="Times New Roman" w:cs="Times New Roman"/>
                <w:noProof/>
                <w:color w:val="006100"/>
                <w:sz w:val="18"/>
                <w:szCs w:val="18"/>
              </w:rPr>
              <w:t>446</w:t>
            </w:r>
            <w:r w:rsidR="00B2368C" w:rsidRPr="00DE4E4F">
              <w:rPr>
                <w:rFonts w:ascii="Times New Roman" w:hAnsi="Times New Roman" w:cs="Times New Roman"/>
                <w:noProof/>
                <w:color w:val="006100"/>
                <w:sz w:val="18"/>
                <w:szCs w:val="18"/>
              </w:rPr>
              <w:t> </w:t>
            </w:r>
            <w:r w:rsidR="00BC247D" w:rsidRPr="00DE4E4F">
              <w:rPr>
                <w:rFonts w:ascii="Times New Roman" w:hAnsi="Times New Roman" w:cs="Times New Roman"/>
                <w:noProof/>
                <w:color w:val="006100"/>
                <w:sz w:val="18"/>
                <w:szCs w:val="18"/>
              </w:rPr>
              <w:t>891</w:t>
            </w:r>
            <w:r w:rsidR="00B243F1"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to International Financial Institutions and commercial banks for the Loan Facility.</w:t>
            </w:r>
          </w:p>
        </w:tc>
      </w:tr>
      <w:tr w:rsidR="00B2368C" w:rsidRPr="00DE4E4F" w14:paraId="12ED2CDA"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0842550"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329</w:t>
            </w:r>
          </w:p>
        </w:tc>
        <w:tc>
          <w:tcPr>
            <w:tcW w:w="1614" w:type="dxa"/>
            <w:tcBorders>
              <w:top w:val="single" w:sz="4" w:space="0" w:color="auto"/>
              <w:left w:val="nil"/>
              <w:bottom w:val="single" w:sz="4" w:space="0" w:color="auto"/>
              <w:right w:val="single" w:sz="4" w:space="0" w:color="auto"/>
            </w:tcBorders>
            <w:shd w:val="clear" w:color="auto" w:fill="C6EFCE"/>
            <w:noWrap/>
          </w:tcPr>
          <w:p w14:paraId="0898241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4FAD38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4359D48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Legal agreements signed with funds - EUR 500 million</w:t>
            </w:r>
          </w:p>
        </w:tc>
        <w:tc>
          <w:tcPr>
            <w:tcW w:w="1276" w:type="dxa"/>
            <w:tcBorders>
              <w:top w:val="single" w:sz="4" w:space="0" w:color="auto"/>
              <w:left w:val="nil"/>
              <w:bottom w:val="single" w:sz="4" w:space="0" w:color="auto"/>
              <w:right w:val="single" w:sz="4" w:space="0" w:color="auto"/>
            </w:tcBorders>
            <w:shd w:val="clear" w:color="auto" w:fill="C6EFCE"/>
          </w:tcPr>
          <w:p w14:paraId="683A5A3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21A2D0E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Amount (million EUR)</w:t>
            </w:r>
          </w:p>
        </w:tc>
        <w:tc>
          <w:tcPr>
            <w:tcW w:w="1417" w:type="dxa"/>
            <w:tcBorders>
              <w:top w:val="single" w:sz="4" w:space="0" w:color="auto"/>
              <w:left w:val="nil"/>
              <w:bottom w:val="single" w:sz="4" w:space="0" w:color="auto"/>
              <w:right w:val="single" w:sz="4" w:space="0" w:color="auto"/>
            </w:tcBorders>
            <w:shd w:val="clear" w:color="auto" w:fill="C6EFCE"/>
            <w:noWrap/>
          </w:tcPr>
          <w:p w14:paraId="7E353C9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1418" w:type="dxa"/>
            <w:tcBorders>
              <w:top w:val="single" w:sz="4" w:space="0" w:color="auto"/>
              <w:left w:val="nil"/>
              <w:bottom w:val="single" w:sz="4" w:space="0" w:color="auto"/>
              <w:right w:val="single" w:sz="4" w:space="0" w:color="auto"/>
            </w:tcBorders>
            <w:shd w:val="clear" w:color="auto" w:fill="C6EFCE"/>
            <w:noWrap/>
          </w:tcPr>
          <w:p w14:paraId="5B61F3F9"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500</w:t>
            </w:r>
          </w:p>
        </w:tc>
        <w:tc>
          <w:tcPr>
            <w:tcW w:w="850" w:type="dxa"/>
            <w:tcBorders>
              <w:top w:val="single" w:sz="4" w:space="0" w:color="auto"/>
              <w:left w:val="nil"/>
              <w:bottom w:val="single" w:sz="4" w:space="0" w:color="auto"/>
              <w:right w:val="single" w:sz="4" w:space="0" w:color="auto"/>
            </w:tcBorders>
            <w:shd w:val="clear" w:color="auto" w:fill="C6EFCE"/>
            <w:noWrap/>
          </w:tcPr>
          <w:p w14:paraId="57D97B2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4D57B13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12" w:type="dxa"/>
            <w:tcBorders>
              <w:top w:val="single" w:sz="4" w:space="0" w:color="auto"/>
              <w:left w:val="nil"/>
              <w:bottom w:val="single" w:sz="4" w:space="0" w:color="auto"/>
              <w:right w:val="single" w:sz="4" w:space="0" w:color="auto"/>
            </w:tcBorders>
            <w:shd w:val="clear" w:color="auto" w:fill="C6EFCE"/>
            <w:noWrap/>
          </w:tcPr>
          <w:p w14:paraId="3836371D" w14:textId="15790FB9"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Hellenic Development Bank of Investments shall have entered into legal financing agreements with funds for an amount necessary to use at least EUR</w:t>
            </w:r>
            <w:r w:rsidR="001E23A0"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500 million of the equity support (taking into account management fees).</w:t>
            </w:r>
          </w:p>
        </w:tc>
      </w:tr>
      <w:tr w:rsidR="00B2368C" w:rsidRPr="00DE4E4F" w14:paraId="61902D5C"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FDE6E7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329a</w:t>
            </w:r>
          </w:p>
        </w:tc>
        <w:tc>
          <w:tcPr>
            <w:tcW w:w="1614" w:type="dxa"/>
            <w:tcBorders>
              <w:top w:val="single" w:sz="4" w:space="0" w:color="auto"/>
              <w:left w:val="nil"/>
              <w:bottom w:val="single" w:sz="4" w:space="0" w:color="auto"/>
              <w:right w:val="single" w:sz="4" w:space="0" w:color="auto"/>
            </w:tcBorders>
            <w:shd w:val="clear" w:color="auto" w:fill="C6EFCE"/>
            <w:noWrap/>
          </w:tcPr>
          <w:p w14:paraId="03402805"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4F4BED0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4C609A1D" w14:textId="6771A4A6"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Legal agreements signed with funds </w:t>
            </w:r>
            <w:r w:rsidR="009A1CFE" w:rsidRPr="00DE4E4F">
              <w:rPr>
                <w:rFonts w:ascii="Times New Roman" w:hAnsi="Times New Roman" w:cs="Times New Roman"/>
                <w:noProof/>
                <w:color w:val="006100"/>
                <w:sz w:val="18"/>
                <w:szCs w:val="18"/>
              </w:rPr>
              <w:t>-</w:t>
            </w:r>
            <w:r w:rsidRPr="00DE4E4F">
              <w:rPr>
                <w:rFonts w:ascii="Times New Roman" w:hAnsi="Times New Roman" w:cs="Times New Roman"/>
                <w:noProof/>
                <w:color w:val="006100"/>
                <w:sz w:val="18"/>
                <w:szCs w:val="18"/>
              </w:rPr>
              <w:t xml:space="preserve"> EUR</w:t>
            </w:r>
            <w:r w:rsidR="00B2368C" w:rsidRPr="00DE4E4F">
              <w:rPr>
                <w:rFonts w:ascii="Times New Roman" w:hAnsi="Times New Roman" w:cs="Times New Roman"/>
                <w:noProof/>
                <w:color w:val="006100"/>
                <w:sz w:val="18"/>
                <w:szCs w:val="18"/>
              </w:rPr>
              <w:t> </w:t>
            </w:r>
            <w:r w:rsidR="009A1CFE" w:rsidRPr="00DE4E4F">
              <w:rPr>
                <w:rFonts w:ascii="Times New Roman" w:hAnsi="Times New Roman" w:cs="Times New Roman"/>
                <w:noProof/>
                <w:color w:val="006100"/>
                <w:sz w:val="18"/>
                <w:szCs w:val="18"/>
              </w:rPr>
              <w:t>6</w:t>
            </w:r>
            <w:r w:rsidR="00754720"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w:t>
            </w:r>
          </w:p>
          <w:p w14:paraId="2ED2167E" w14:textId="5BD139D9" w:rsidR="001B186F" w:rsidRPr="00DE4E4F" w:rsidRDefault="001B186F">
            <w:pPr>
              <w:spacing w:after="0" w:line="240" w:lineRule="auto"/>
              <w:rPr>
                <w:rFonts w:ascii="Times New Roman" w:hAnsi="Times New Roman" w:cs="Times New Roman"/>
                <w:noProof/>
                <w:color w:val="006100"/>
                <w:sz w:val="18"/>
                <w:szCs w:val="18"/>
              </w:rPr>
            </w:pPr>
          </w:p>
        </w:tc>
        <w:tc>
          <w:tcPr>
            <w:tcW w:w="1276" w:type="dxa"/>
            <w:tcBorders>
              <w:top w:val="single" w:sz="4" w:space="0" w:color="auto"/>
              <w:left w:val="nil"/>
              <w:bottom w:val="single" w:sz="4" w:space="0" w:color="auto"/>
              <w:right w:val="single" w:sz="4" w:space="0" w:color="auto"/>
            </w:tcBorders>
            <w:shd w:val="clear" w:color="auto" w:fill="C6EFCE"/>
          </w:tcPr>
          <w:p w14:paraId="4CB5B98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729BADD5" w14:textId="106AACB1"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Amount (EUR)</w:t>
            </w:r>
          </w:p>
        </w:tc>
        <w:tc>
          <w:tcPr>
            <w:tcW w:w="1417" w:type="dxa"/>
            <w:tcBorders>
              <w:top w:val="single" w:sz="4" w:space="0" w:color="auto"/>
              <w:left w:val="nil"/>
              <w:bottom w:val="single" w:sz="4" w:space="0" w:color="auto"/>
              <w:right w:val="single" w:sz="4" w:space="0" w:color="auto"/>
            </w:tcBorders>
            <w:shd w:val="clear" w:color="auto" w:fill="C6EFCE"/>
            <w:noWrap/>
          </w:tcPr>
          <w:p w14:paraId="5968C840" w14:textId="66B446AC"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500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p>
        </w:tc>
        <w:tc>
          <w:tcPr>
            <w:tcW w:w="1418" w:type="dxa"/>
            <w:tcBorders>
              <w:top w:val="single" w:sz="4" w:space="0" w:color="auto"/>
              <w:left w:val="nil"/>
              <w:bottom w:val="single" w:sz="4" w:space="0" w:color="auto"/>
              <w:right w:val="single" w:sz="4" w:space="0" w:color="auto"/>
            </w:tcBorders>
            <w:shd w:val="clear" w:color="auto" w:fill="C6EFCE"/>
            <w:noWrap/>
          </w:tcPr>
          <w:p w14:paraId="23D73377" w14:textId="2ADF31F4" w:rsidR="001B186F" w:rsidRPr="00DE4E4F" w:rsidDel="001B40FC"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6</w:t>
            </w:r>
            <w:r w:rsidR="0051209A"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D23E95" w:rsidRPr="00DE4E4F">
              <w:rPr>
                <w:rFonts w:ascii="Times New Roman" w:hAnsi="Times New Roman" w:cs="Times New Roman"/>
                <w:noProof/>
                <w:color w:val="006100"/>
                <w:sz w:val="18"/>
                <w:szCs w:val="18"/>
              </w:rPr>
              <w:t>000</w:t>
            </w:r>
          </w:p>
        </w:tc>
        <w:tc>
          <w:tcPr>
            <w:tcW w:w="850" w:type="dxa"/>
            <w:tcBorders>
              <w:top w:val="single" w:sz="4" w:space="0" w:color="auto"/>
              <w:left w:val="nil"/>
              <w:bottom w:val="single" w:sz="4" w:space="0" w:color="auto"/>
              <w:right w:val="single" w:sz="4" w:space="0" w:color="auto"/>
            </w:tcBorders>
            <w:shd w:val="clear" w:color="auto" w:fill="C6EFCE"/>
            <w:noWrap/>
          </w:tcPr>
          <w:p w14:paraId="11DE2B82"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709" w:type="dxa"/>
            <w:tcBorders>
              <w:top w:val="single" w:sz="4" w:space="0" w:color="auto"/>
              <w:left w:val="nil"/>
              <w:bottom w:val="single" w:sz="4" w:space="0" w:color="auto"/>
              <w:right w:val="single" w:sz="4" w:space="0" w:color="auto"/>
            </w:tcBorders>
            <w:shd w:val="clear" w:color="auto" w:fill="C6EFCE"/>
            <w:noWrap/>
          </w:tcPr>
          <w:p w14:paraId="1337D47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312" w:type="dxa"/>
            <w:tcBorders>
              <w:top w:val="single" w:sz="4" w:space="0" w:color="auto"/>
              <w:left w:val="nil"/>
              <w:bottom w:val="single" w:sz="4" w:space="0" w:color="auto"/>
              <w:right w:val="single" w:sz="4" w:space="0" w:color="auto"/>
            </w:tcBorders>
            <w:shd w:val="clear" w:color="auto" w:fill="C6EFCE"/>
            <w:noWrap/>
          </w:tcPr>
          <w:p w14:paraId="5FDDF86C" w14:textId="49576CC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The Hellenic Development Bank of Investments shall have entered into legal financing agreements with funds for an amount necessary to use at least</w:t>
            </w:r>
            <w:r w:rsidR="00EB1E17"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EUR</w:t>
            </w:r>
            <w:r w:rsidR="00B2368C" w:rsidRPr="00DE4E4F">
              <w:rPr>
                <w:rFonts w:ascii="Times New Roman" w:hAnsi="Times New Roman" w:cs="Times New Roman"/>
                <w:noProof/>
                <w:color w:val="006100"/>
                <w:sz w:val="18"/>
                <w:szCs w:val="18"/>
              </w:rPr>
              <w:t> </w:t>
            </w:r>
            <w:r w:rsidR="009A1CFE" w:rsidRPr="00DE4E4F">
              <w:rPr>
                <w:rFonts w:ascii="Times New Roman" w:hAnsi="Times New Roman" w:cs="Times New Roman"/>
                <w:noProof/>
                <w:color w:val="006100"/>
                <w:sz w:val="18"/>
                <w:szCs w:val="18"/>
              </w:rPr>
              <w:t>6</w:t>
            </w:r>
            <w:r w:rsidR="00754720" w:rsidRPr="00DE4E4F">
              <w:rPr>
                <w:rFonts w:ascii="Times New Roman" w:hAnsi="Times New Roman" w:cs="Times New Roman"/>
                <w:noProof/>
                <w:color w:val="006100"/>
                <w:sz w:val="18"/>
                <w:szCs w:val="18"/>
              </w:rPr>
              <w:t>5</w:t>
            </w:r>
            <w:r w:rsidRPr="00DE4E4F">
              <w:rPr>
                <w:rFonts w:ascii="Times New Roman" w:hAnsi="Times New Roman" w:cs="Times New Roman"/>
                <w:noProof/>
                <w:color w:val="006100"/>
                <w:sz w:val="18"/>
                <w:szCs w:val="18"/>
              </w:rPr>
              <w:t>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of the equity support (taking into account management fees).</w:t>
            </w:r>
          </w:p>
        </w:tc>
      </w:tr>
      <w:tr w:rsidR="00B2368C" w:rsidRPr="00DE4E4F" w14:paraId="6776C1FF"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7329125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330</w:t>
            </w:r>
          </w:p>
        </w:tc>
        <w:tc>
          <w:tcPr>
            <w:tcW w:w="1614" w:type="dxa"/>
            <w:tcBorders>
              <w:top w:val="single" w:sz="4" w:space="0" w:color="auto"/>
              <w:left w:val="nil"/>
              <w:bottom w:val="single" w:sz="4" w:space="0" w:color="auto"/>
              <w:right w:val="single" w:sz="4" w:space="0" w:color="auto"/>
            </w:tcBorders>
            <w:shd w:val="clear" w:color="auto" w:fill="C6EFCE"/>
            <w:noWrap/>
          </w:tcPr>
          <w:p w14:paraId="09B261D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1B611A4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773ACC98" w14:textId="49AA2CAC"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approval of operations of EUR</w:t>
            </w:r>
            <w:r w:rsidR="00B2368C"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500 million</w:t>
            </w:r>
          </w:p>
        </w:tc>
        <w:tc>
          <w:tcPr>
            <w:tcW w:w="1276" w:type="dxa"/>
            <w:tcBorders>
              <w:top w:val="single" w:sz="4" w:space="0" w:color="auto"/>
              <w:left w:val="nil"/>
              <w:bottom w:val="single" w:sz="4" w:space="0" w:color="auto"/>
              <w:right w:val="single" w:sz="4" w:space="0" w:color="auto"/>
            </w:tcBorders>
            <w:shd w:val="clear" w:color="auto" w:fill="C6EFCE"/>
          </w:tcPr>
          <w:p w14:paraId="25C7CE2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7D3C1CB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Amount (million EUR)</w:t>
            </w:r>
          </w:p>
        </w:tc>
        <w:tc>
          <w:tcPr>
            <w:tcW w:w="1417" w:type="dxa"/>
            <w:tcBorders>
              <w:top w:val="single" w:sz="4" w:space="0" w:color="auto"/>
              <w:left w:val="nil"/>
              <w:bottom w:val="single" w:sz="4" w:space="0" w:color="auto"/>
              <w:right w:val="single" w:sz="4" w:space="0" w:color="auto"/>
            </w:tcBorders>
            <w:shd w:val="clear" w:color="auto" w:fill="C6EFCE"/>
            <w:noWrap/>
          </w:tcPr>
          <w:p w14:paraId="06263F9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1418" w:type="dxa"/>
            <w:tcBorders>
              <w:top w:val="single" w:sz="4" w:space="0" w:color="auto"/>
              <w:left w:val="nil"/>
              <w:bottom w:val="single" w:sz="4" w:space="0" w:color="auto"/>
              <w:right w:val="single" w:sz="4" w:space="0" w:color="auto"/>
            </w:tcBorders>
            <w:shd w:val="clear" w:color="auto" w:fill="C6EFCE"/>
            <w:noWrap/>
          </w:tcPr>
          <w:p w14:paraId="04627D2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500</w:t>
            </w:r>
          </w:p>
        </w:tc>
        <w:tc>
          <w:tcPr>
            <w:tcW w:w="850" w:type="dxa"/>
            <w:tcBorders>
              <w:top w:val="single" w:sz="4" w:space="0" w:color="auto"/>
              <w:left w:val="nil"/>
              <w:bottom w:val="single" w:sz="4" w:space="0" w:color="auto"/>
              <w:right w:val="single" w:sz="4" w:space="0" w:color="auto"/>
            </w:tcBorders>
            <w:shd w:val="clear" w:color="auto" w:fill="C6EFCE"/>
            <w:noWrap/>
          </w:tcPr>
          <w:p w14:paraId="51689105"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339041B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4312" w:type="dxa"/>
            <w:tcBorders>
              <w:top w:val="single" w:sz="4" w:space="0" w:color="auto"/>
              <w:left w:val="nil"/>
              <w:bottom w:val="single" w:sz="4" w:space="0" w:color="auto"/>
              <w:right w:val="single" w:sz="4" w:space="0" w:color="auto"/>
            </w:tcBorders>
            <w:shd w:val="clear" w:color="auto" w:fill="C6EFCE"/>
            <w:noWrap/>
          </w:tcPr>
          <w:p w14:paraId="4035B53D" w14:textId="2FED3CF0"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Investment Committee approves investment operations amounting to EUR</w:t>
            </w:r>
            <w:r w:rsidR="00B2368C"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500 million of the overall amount of financing targeted (or investment mobilised).</w:t>
            </w:r>
          </w:p>
        </w:tc>
      </w:tr>
      <w:tr w:rsidR="00B2368C" w:rsidRPr="00DE4E4F" w14:paraId="1F336A75"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51FD2F7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330a</w:t>
            </w:r>
          </w:p>
        </w:tc>
        <w:tc>
          <w:tcPr>
            <w:tcW w:w="1614" w:type="dxa"/>
            <w:tcBorders>
              <w:top w:val="single" w:sz="4" w:space="0" w:color="auto"/>
              <w:left w:val="nil"/>
              <w:bottom w:val="single" w:sz="4" w:space="0" w:color="auto"/>
              <w:right w:val="single" w:sz="4" w:space="0" w:color="auto"/>
            </w:tcBorders>
            <w:shd w:val="clear" w:color="auto" w:fill="C6EFCE"/>
            <w:noWrap/>
          </w:tcPr>
          <w:p w14:paraId="79140F7F"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11A37EB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4840E475" w14:textId="2F4368AF"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approval of operations of EUR</w:t>
            </w:r>
            <w:r w:rsidR="00B2368C" w:rsidRPr="00DE4E4F">
              <w:rPr>
                <w:rFonts w:ascii="Times New Roman" w:hAnsi="Times New Roman" w:cs="Times New Roman"/>
                <w:noProof/>
                <w:color w:val="006100"/>
                <w:sz w:val="18"/>
                <w:szCs w:val="18"/>
              </w:rPr>
              <w:t> </w:t>
            </w:r>
            <w:r w:rsidR="004B712F" w:rsidRPr="00DE4E4F">
              <w:rPr>
                <w:rFonts w:ascii="Times New Roman" w:hAnsi="Times New Roman" w:cs="Times New Roman"/>
                <w:noProof/>
                <w:color w:val="006100"/>
                <w:sz w:val="18"/>
                <w:szCs w:val="18"/>
              </w:rPr>
              <w:t>3</w:t>
            </w:r>
            <w:r w:rsidRPr="00DE4E4F">
              <w:rPr>
                <w:rFonts w:ascii="Times New Roman" w:hAnsi="Times New Roman" w:cs="Times New Roman"/>
                <w:noProof/>
                <w:color w:val="006100"/>
                <w:sz w:val="18"/>
                <w:szCs w:val="18"/>
              </w:rPr>
              <w:t>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 xml:space="preserve">000 </w:t>
            </w:r>
          </w:p>
        </w:tc>
        <w:tc>
          <w:tcPr>
            <w:tcW w:w="1276" w:type="dxa"/>
            <w:tcBorders>
              <w:top w:val="single" w:sz="4" w:space="0" w:color="auto"/>
              <w:left w:val="nil"/>
              <w:bottom w:val="single" w:sz="4" w:space="0" w:color="auto"/>
              <w:right w:val="single" w:sz="4" w:space="0" w:color="auto"/>
            </w:tcBorders>
            <w:shd w:val="clear" w:color="auto" w:fill="C6EFCE"/>
          </w:tcPr>
          <w:p w14:paraId="7C893C4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37D9B56D" w14:textId="3CD13F64"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Amount (EUR)</w:t>
            </w:r>
          </w:p>
        </w:tc>
        <w:tc>
          <w:tcPr>
            <w:tcW w:w="1417" w:type="dxa"/>
            <w:tcBorders>
              <w:top w:val="single" w:sz="4" w:space="0" w:color="auto"/>
              <w:left w:val="nil"/>
              <w:bottom w:val="single" w:sz="4" w:space="0" w:color="auto"/>
              <w:right w:val="single" w:sz="4" w:space="0" w:color="auto"/>
            </w:tcBorders>
            <w:shd w:val="clear" w:color="auto" w:fill="C6EFCE"/>
            <w:noWrap/>
          </w:tcPr>
          <w:p w14:paraId="3611DD68" w14:textId="7D36FB86"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500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p>
        </w:tc>
        <w:tc>
          <w:tcPr>
            <w:tcW w:w="1418" w:type="dxa"/>
            <w:tcBorders>
              <w:top w:val="single" w:sz="4" w:space="0" w:color="auto"/>
              <w:left w:val="nil"/>
              <w:bottom w:val="single" w:sz="4" w:space="0" w:color="auto"/>
              <w:right w:val="single" w:sz="4" w:space="0" w:color="auto"/>
            </w:tcBorders>
            <w:shd w:val="clear" w:color="auto" w:fill="C6EFCE"/>
            <w:noWrap/>
          </w:tcPr>
          <w:p w14:paraId="6667AB35" w14:textId="47621DBA" w:rsidR="001B186F" w:rsidRPr="00DE4E4F" w:rsidDel="00D80BC7"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800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p>
        </w:tc>
        <w:tc>
          <w:tcPr>
            <w:tcW w:w="850" w:type="dxa"/>
            <w:tcBorders>
              <w:top w:val="single" w:sz="4" w:space="0" w:color="auto"/>
              <w:left w:val="nil"/>
              <w:bottom w:val="single" w:sz="4" w:space="0" w:color="auto"/>
              <w:right w:val="single" w:sz="4" w:space="0" w:color="auto"/>
            </w:tcBorders>
            <w:shd w:val="clear" w:color="auto" w:fill="C6EFCE"/>
            <w:noWrap/>
          </w:tcPr>
          <w:p w14:paraId="321FF496" w14:textId="4279B99E"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w:t>
            </w:r>
            <w:r w:rsidR="00E30552" w:rsidRPr="00DE4E4F">
              <w:rPr>
                <w:rFonts w:ascii="Times New Roman" w:hAnsi="Times New Roman" w:cs="Times New Roman"/>
                <w:noProof/>
                <w:color w:val="006100"/>
                <w:sz w:val="18"/>
                <w:szCs w:val="18"/>
              </w:rPr>
              <w:t>1</w:t>
            </w:r>
          </w:p>
        </w:tc>
        <w:tc>
          <w:tcPr>
            <w:tcW w:w="709" w:type="dxa"/>
            <w:tcBorders>
              <w:top w:val="single" w:sz="4" w:space="0" w:color="auto"/>
              <w:left w:val="nil"/>
              <w:bottom w:val="single" w:sz="4" w:space="0" w:color="auto"/>
              <w:right w:val="single" w:sz="4" w:space="0" w:color="auto"/>
            </w:tcBorders>
            <w:shd w:val="clear" w:color="auto" w:fill="C6EFCE"/>
            <w:noWrap/>
          </w:tcPr>
          <w:p w14:paraId="0EF6DA4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312" w:type="dxa"/>
            <w:tcBorders>
              <w:top w:val="single" w:sz="4" w:space="0" w:color="auto"/>
              <w:left w:val="nil"/>
              <w:bottom w:val="single" w:sz="4" w:space="0" w:color="auto"/>
              <w:right w:val="single" w:sz="4" w:space="0" w:color="auto"/>
            </w:tcBorders>
            <w:shd w:val="clear" w:color="auto" w:fill="C6EFCE"/>
            <w:noWrap/>
          </w:tcPr>
          <w:p w14:paraId="2F20FA69" w14:textId="3554D60B"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Investment Committee approves investment operations amounting to EUR</w:t>
            </w:r>
            <w:r w:rsidR="00B2368C" w:rsidRPr="00DE4E4F">
              <w:rPr>
                <w:rFonts w:ascii="Times New Roman" w:hAnsi="Times New Roman" w:cs="Times New Roman"/>
                <w:noProof/>
                <w:color w:val="006100"/>
                <w:sz w:val="18"/>
                <w:szCs w:val="18"/>
              </w:rPr>
              <w:t> </w:t>
            </w:r>
            <w:r w:rsidR="004B712F" w:rsidRPr="00DE4E4F">
              <w:rPr>
                <w:rFonts w:ascii="Times New Roman" w:hAnsi="Times New Roman" w:cs="Times New Roman"/>
                <w:noProof/>
                <w:color w:val="006100"/>
                <w:sz w:val="18"/>
                <w:szCs w:val="18"/>
              </w:rPr>
              <w:t>3</w:t>
            </w:r>
            <w:r w:rsidRPr="00DE4E4F">
              <w:rPr>
                <w:rFonts w:ascii="Times New Roman" w:hAnsi="Times New Roman" w:cs="Times New Roman"/>
                <w:noProof/>
                <w:color w:val="006100"/>
                <w:sz w:val="18"/>
                <w:szCs w:val="18"/>
              </w:rPr>
              <w:t>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A17405"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of the overall amount of financing targeted (or investment mobilised).</w:t>
            </w:r>
          </w:p>
        </w:tc>
      </w:tr>
      <w:tr w:rsidR="00B2368C" w:rsidRPr="00DE4E4F" w14:paraId="393ED148" w14:textId="77777777" w:rsidTr="000D6FD8">
        <w:trPr>
          <w:trHeight w:val="314"/>
          <w:jc w:val="center"/>
        </w:trPr>
        <w:tc>
          <w:tcPr>
            <w:tcW w:w="602" w:type="dxa"/>
            <w:tcBorders>
              <w:top w:val="single" w:sz="4" w:space="0" w:color="auto"/>
              <w:left w:val="single" w:sz="4" w:space="0" w:color="auto"/>
              <w:bottom w:val="single" w:sz="4" w:space="0" w:color="auto"/>
              <w:right w:val="single" w:sz="4" w:space="0" w:color="auto"/>
            </w:tcBorders>
            <w:shd w:val="clear" w:color="auto" w:fill="C6EFCE"/>
            <w:noWrap/>
          </w:tcPr>
          <w:p w14:paraId="28BD1AA5" w14:textId="1CE40AA7"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330b</w:t>
            </w:r>
          </w:p>
        </w:tc>
        <w:tc>
          <w:tcPr>
            <w:tcW w:w="1614" w:type="dxa"/>
            <w:tcBorders>
              <w:top w:val="single" w:sz="4" w:space="0" w:color="auto"/>
              <w:left w:val="nil"/>
              <w:bottom w:val="single" w:sz="4" w:space="0" w:color="auto"/>
              <w:right w:val="single" w:sz="4" w:space="0" w:color="auto"/>
            </w:tcBorders>
            <w:shd w:val="clear" w:color="auto" w:fill="C6EFCE"/>
            <w:noWrap/>
          </w:tcPr>
          <w:p w14:paraId="79B3FF09" w14:textId="73797B03"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- 16980_RRP Loan Facility</w:t>
            </w:r>
          </w:p>
        </w:tc>
        <w:tc>
          <w:tcPr>
            <w:tcW w:w="992" w:type="dxa"/>
            <w:tcBorders>
              <w:top w:val="single" w:sz="4" w:space="0" w:color="auto"/>
              <w:left w:val="nil"/>
              <w:bottom w:val="single" w:sz="4" w:space="0" w:color="auto"/>
              <w:right w:val="single" w:sz="4" w:space="0" w:color="auto"/>
            </w:tcBorders>
            <w:shd w:val="clear" w:color="auto" w:fill="C6EFCE"/>
            <w:noWrap/>
          </w:tcPr>
          <w:p w14:paraId="094BE6F9" w14:textId="167113D5"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559" w:type="dxa"/>
            <w:tcBorders>
              <w:top w:val="single" w:sz="4" w:space="0" w:color="auto"/>
              <w:left w:val="nil"/>
              <w:bottom w:val="single" w:sz="4" w:space="0" w:color="auto"/>
              <w:right w:val="single" w:sz="4" w:space="0" w:color="auto"/>
            </w:tcBorders>
            <w:shd w:val="clear" w:color="auto" w:fill="C6EFCE"/>
            <w:noWrap/>
          </w:tcPr>
          <w:p w14:paraId="3FE884BF" w14:textId="238BBADF"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approval of operations of EUR</w:t>
            </w:r>
            <w:r w:rsidR="00B2368C" w:rsidRPr="00DE4E4F">
              <w:rPr>
                <w:rFonts w:ascii="Times New Roman" w:hAnsi="Times New Roman" w:cs="Times New Roman"/>
                <w:noProof/>
                <w:color w:val="006100"/>
                <w:sz w:val="18"/>
                <w:szCs w:val="18"/>
              </w:rPr>
              <w:t> </w:t>
            </w:r>
            <w:r w:rsidR="009C6756" w:rsidRPr="00DE4E4F">
              <w:rPr>
                <w:rFonts w:ascii="Times New Roman" w:hAnsi="Times New Roman" w:cs="Times New Roman"/>
                <w:noProof/>
                <w:color w:val="006100"/>
                <w:sz w:val="18"/>
                <w:szCs w:val="18"/>
              </w:rPr>
              <w:t>1</w:t>
            </w:r>
            <w:r w:rsidRPr="00DE4E4F">
              <w:rPr>
                <w:rFonts w:ascii="Times New Roman" w:hAnsi="Times New Roman" w:cs="Times New Roman"/>
                <w:noProof/>
                <w:color w:val="006100"/>
                <w:sz w:val="18"/>
                <w:szCs w:val="18"/>
              </w:rPr>
              <w:t>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p>
        </w:tc>
        <w:tc>
          <w:tcPr>
            <w:tcW w:w="1276" w:type="dxa"/>
            <w:tcBorders>
              <w:top w:val="single" w:sz="4" w:space="0" w:color="auto"/>
              <w:left w:val="nil"/>
              <w:bottom w:val="single" w:sz="4" w:space="0" w:color="auto"/>
              <w:right w:val="single" w:sz="4" w:space="0" w:color="auto"/>
            </w:tcBorders>
            <w:shd w:val="clear" w:color="auto" w:fill="C6EFCE"/>
          </w:tcPr>
          <w:p w14:paraId="56396642" w14:textId="77777777" w:rsidR="002C786C" w:rsidRPr="00DE4E4F" w:rsidRDefault="002C786C" w:rsidP="002C786C">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7314C7C4" w14:textId="11D7CF61"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Amount (EUR)</w:t>
            </w:r>
          </w:p>
        </w:tc>
        <w:tc>
          <w:tcPr>
            <w:tcW w:w="1417" w:type="dxa"/>
            <w:tcBorders>
              <w:top w:val="single" w:sz="4" w:space="0" w:color="auto"/>
              <w:left w:val="nil"/>
              <w:bottom w:val="single" w:sz="4" w:space="0" w:color="auto"/>
              <w:right w:val="single" w:sz="4" w:space="0" w:color="auto"/>
            </w:tcBorders>
            <w:shd w:val="clear" w:color="auto" w:fill="C6EFCE"/>
            <w:noWrap/>
          </w:tcPr>
          <w:p w14:paraId="7F40A994" w14:textId="74161A2C"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800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p>
        </w:tc>
        <w:tc>
          <w:tcPr>
            <w:tcW w:w="1418" w:type="dxa"/>
            <w:tcBorders>
              <w:top w:val="single" w:sz="4" w:space="0" w:color="auto"/>
              <w:left w:val="nil"/>
              <w:bottom w:val="single" w:sz="4" w:space="0" w:color="auto"/>
              <w:right w:val="single" w:sz="4" w:space="0" w:color="auto"/>
            </w:tcBorders>
            <w:shd w:val="clear" w:color="auto" w:fill="C6EFCE"/>
            <w:noWrap/>
          </w:tcPr>
          <w:p w14:paraId="6EB68AE0" w14:textId="1B61B9A5"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900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p>
        </w:tc>
        <w:tc>
          <w:tcPr>
            <w:tcW w:w="850" w:type="dxa"/>
            <w:tcBorders>
              <w:top w:val="single" w:sz="4" w:space="0" w:color="auto"/>
              <w:left w:val="nil"/>
              <w:bottom w:val="single" w:sz="4" w:space="0" w:color="auto"/>
              <w:right w:val="single" w:sz="4" w:space="0" w:color="auto"/>
            </w:tcBorders>
            <w:shd w:val="clear" w:color="auto" w:fill="C6EFCE"/>
            <w:noWrap/>
          </w:tcPr>
          <w:p w14:paraId="6BFA93CE" w14:textId="0B6B063D"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09" w:type="dxa"/>
            <w:tcBorders>
              <w:top w:val="single" w:sz="4" w:space="0" w:color="auto"/>
              <w:left w:val="nil"/>
              <w:bottom w:val="single" w:sz="4" w:space="0" w:color="auto"/>
              <w:right w:val="single" w:sz="4" w:space="0" w:color="auto"/>
            </w:tcBorders>
            <w:shd w:val="clear" w:color="auto" w:fill="C6EFCE"/>
            <w:noWrap/>
          </w:tcPr>
          <w:p w14:paraId="07053D5A" w14:textId="23DAF9A6" w:rsidR="002C786C" w:rsidRPr="00DE4E4F" w:rsidRDefault="002C786C"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4312" w:type="dxa"/>
            <w:tcBorders>
              <w:top w:val="single" w:sz="4" w:space="0" w:color="auto"/>
              <w:left w:val="nil"/>
              <w:bottom w:val="single" w:sz="4" w:space="0" w:color="auto"/>
              <w:right w:val="single" w:sz="4" w:space="0" w:color="auto"/>
            </w:tcBorders>
            <w:shd w:val="clear" w:color="auto" w:fill="C6EFCE"/>
            <w:noWrap/>
          </w:tcPr>
          <w:p w14:paraId="6F0F4E61" w14:textId="31A99FD8" w:rsidR="002C786C" w:rsidRPr="00DE4E4F" w:rsidRDefault="00F16C9F" w:rsidP="002C786C">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InvestEU Investment Committee approves investment operations amounting to EUR</w:t>
            </w:r>
            <w:r w:rsidR="00B2368C"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100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r w:rsidR="00B2368C" w:rsidRPr="00DE4E4F">
              <w:rPr>
                <w:rFonts w:ascii="Times New Roman" w:hAnsi="Times New Roman" w:cs="Times New Roman"/>
                <w:noProof/>
                <w:color w:val="006100"/>
                <w:sz w:val="18"/>
                <w:szCs w:val="18"/>
              </w:rPr>
              <w:t> </w:t>
            </w:r>
            <w:r w:rsidR="00F7473D" w:rsidRPr="00DE4E4F">
              <w:rPr>
                <w:rFonts w:ascii="Times New Roman" w:hAnsi="Times New Roman" w:cs="Times New Roman"/>
                <w:noProof/>
                <w:color w:val="006100"/>
                <w:sz w:val="18"/>
                <w:szCs w:val="18"/>
              </w:rPr>
              <w:t>000</w:t>
            </w:r>
            <w:r w:rsidRPr="00DE4E4F">
              <w:rPr>
                <w:rFonts w:ascii="Times New Roman" w:hAnsi="Times New Roman" w:cs="Times New Roman"/>
                <w:noProof/>
                <w:color w:val="006100"/>
                <w:sz w:val="18"/>
                <w:szCs w:val="18"/>
              </w:rPr>
              <w:t xml:space="preserve"> of the overall amount of financing targeted (or investment mobilised).</w:t>
            </w:r>
          </w:p>
        </w:tc>
      </w:tr>
    </w:tbl>
    <w:p w14:paraId="1287DBF4"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372"/>
          <w:headerReference w:type="default" r:id="rId373"/>
          <w:footerReference w:type="even" r:id="rId374"/>
          <w:footerReference w:type="default" r:id="rId375"/>
          <w:headerReference w:type="first" r:id="rId376"/>
          <w:footerReference w:type="first" r:id="rId377"/>
          <w:pgSz w:w="16839" w:h="11907" w:orient="landscape"/>
          <w:pgMar w:top="1134" w:right="1134" w:bottom="1134" w:left="1134" w:header="567" w:footer="567" w:gutter="0"/>
          <w:cols w:space="720"/>
          <w:docGrid w:linePitch="360"/>
        </w:sectPr>
      </w:pPr>
    </w:p>
    <w:p w14:paraId="010DE421" w14:textId="77777777" w:rsidR="001B186F" w:rsidRPr="00DE4E4F" w:rsidDel="00814D7B" w:rsidRDefault="0074517F">
      <w:pPr>
        <w:keepNext/>
        <w:keepLines/>
        <w:spacing w:before="40" w:after="240" w:line="240" w:lineRule="auto"/>
        <w:jc w:val="both"/>
        <w:outlineLvl w:val="4"/>
        <w:rPr>
          <w:rFonts w:ascii="Cambria" w:hAnsi="Cambria"/>
          <w:noProof/>
          <w:color w:val="365F91"/>
          <w:sz w:val="24"/>
        </w:rPr>
      </w:pPr>
      <w:r w:rsidRPr="00DE4E4F">
        <w:rPr>
          <w:rFonts w:ascii="Cambria" w:hAnsi="Cambria"/>
          <w:noProof/>
          <w:color w:val="365F91"/>
          <w:sz w:val="24"/>
        </w:rPr>
        <w:t>Capital injection into the Hellenic Development Bank (16403)</w:t>
      </w:r>
    </w:p>
    <w:tbl>
      <w:tblPr>
        <w:tblW w:w="5208" w:type="pct"/>
        <w:tblInd w:w="-585" w:type="dxa"/>
        <w:tblLook w:val="04A0" w:firstRow="1" w:lastRow="0" w:firstColumn="1" w:lastColumn="0" w:noHBand="0" w:noVBand="1"/>
      </w:tblPr>
      <w:tblGrid>
        <w:gridCol w:w="774"/>
        <w:gridCol w:w="2400"/>
        <w:gridCol w:w="1192"/>
        <w:gridCol w:w="1816"/>
        <w:gridCol w:w="1645"/>
        <w:gridCol w:w="742"/>
        <w:gridCol w:w="1025"/>
        <w:gridCol w:w="605"/>
        <w:gridCol w:w="687"/>
        <w:gridCol w:w="620"/>
        <w:gridCol w:w="3701"/>
      </w:tblGrid>
      <w:tr w:rsidR="005467DA" w:rsidRPr="00DE4E4F" w14:paraId="6BEE5B2E" w14:textId="77777777" w:rsidTr="00CF5C87">
        <w:trPr>
          <w:trHeight w:val="300"/>
          <w:tblHeader/>
        </w:trPr>
        <w:tc>
          <w:tcPr>
            <w:tcW w:w="254"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0CF57A37"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789"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405E5A9C"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cs="Times New Roman"/>
                <w:b/>
                <w:noProof/>
                <w:sz w:val="18"/>
                <w:szCs w:val="18"/>
              </w:rPr>
              <w:t>Related Measure (Reform or Investment)</w:t>
            </w:r>
          </w:p>
        </w:tc>
        <w:tc>
          <w:tcPr>
            <w:tcW w:w="392"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7EC6F4B6"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cs="Times New Roman"/>
                <w:b/>
                <w:noProof/>
                <w:sz w:val="18"/>
                <w:szCs w:val="18"/>
              </w:rPr>
              <w:t>Milestone / Target</w:t>
            </w:r>
          </w:p>
        </w:tc>
        <w:tc>
          <w:tcPr>
            <w:tcW w:w="59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31A6F124"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cs="Times New Roman"/>
                <w:b/>
                <w:noProof/>
                <w:sz w:val="18"/>
                <w:szCs w:val="18"/>
              </w:rPr>
              <w:t>Name</w:t>
            </w:r>
          </w:p>
        </w:tc>
        <w:tc>
          <w:tcPr>
            <w:tcW w:w="541"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vAlign w:val="center"/>
          </w:tcPr>
          <w:p w14:paraId="6C7DB1D7"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cs="Times New Roman"/>
                <w:b/>
                <w:noProof/>
                <w:sz w:val="18"/>
                <w:szCs w:val="18"/>
              </w:rPr>
              <w:t>Qualitative indicators (for milestones)</w:t>
            </w:r>
          </w:p>
        </w:tc>
        <w:tc>
          <w:tcPr>
            <w:tcW w:w="780" w:type="pct"/>
            <w:gridSpan w:val="3"/>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D1C750D"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Quantitative indicator (for targets)</w:t>
            </w:r>
          </w:p>
        </w:tc>
        <w:tc>
          <w:tcPr>
            <w:tcW w:w="430" w:type="pct"/>
            <w:gridSpan w:val="2"/>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7C33596"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Indicative timeline for completion</w:t>
            </w:r>
          </w:p>
        </w:tc>
        <w:tc>
          <w:tcPr>
            <w:tcW w:w="1217" w:type="pct"/>
            <w:vMerge w:val="restart"/>
            <w:tcBorders>
              <w:top w:val="single" w:sz="6" w:space="0" w:color="auto"/>
              <w:left w:val="single" w:sz="6" w:space="0" w:color="auto"/>
              <w:right w:val="single" w:sz="6" w:space="0" w:color="auto"/>
            </w:tcBorders>
            <w:shd w:val="clear" w:color="auto" w:fill="C6D9F1" w:themeFill="text2" w:themeFillTint="33"/>
            <w:tcMar>
              <w:top w:w="15" w:type="dxa"/>
              <w:left w:w="15" w:type="dxa"/>
              <w:bottom w:w="15" w:type="dxa"/>
              <w:right w:w="15" w:type="dxa"/>
            </w:tcMar>
          </w:tcPr>
          <w:p w14:paraId="56EB885E" w14:textId="77777777" w:rsidR="001B186F" w:rsidRPr="00DE4E4F" w:rsidRDefault="001B186F">
            <w:pPr>
              <w:spacing w:after="0" w:line="240" w:lineRule="auto"/>
              <w:jc w:val="center"/>
              <w:rPr>
                <w:rFonts w:ascii="Times New Roman" w:hAnsi="Times New Roman" w:cs="Times New Roman"/>
                <w:b/>
                <w:noProof/>
                <w:sz w:val="18"/>
                <w:szCs w:val="18"/>
              </w:rPr>
            </w:pPr>
          </w:p>
          <w:p w14:paraId="24DB65ED" w14:textId="77777777" w:rsidR="001B186F" w:rsidRPr="00DE4E4F" w:rsidRDefault="001B186F">
            <w:pPr>
              <w:spacing w:after="0" w:line="240" w:lineRule="auto"/>
              <w:jc w:val="center"/>
              <w:rPr>
                <w:rFonts w:ascii="Times New Roman" w:hAnsi="Times New Roman" w:cs="Times New Roman"/>
                <w:b/>
                <w:noProof/>
                <w:sz w:val="18"/>
                <w:szCs w:val="18"/>
              </w:rPr>
            </w:pPr>
          </w:p>
          <w:p w14:paraId="0FE1FE88"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Description of each milestone and target</w:t>
            </w:r>
          </w:p>
        </w:tc>
      </w:tr>
      <w:tr w:rsidR="004B0FF3" w:rsidRPr="00DE4E4F" w14:paraId="47280348" w14:textId="77777777" w:rsidTr="00CF5C87">
        <w:trPr>
          <w:trHeight w:val="505"/>
          <w:tblHeader/>
        </w:trPr>
        <w:tc>
          <w:tcPr>
            <w:tcW w:w="254"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22CE142"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789"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ECA6A07"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392"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36529291"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59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18CDA09E"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541"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3977C02"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24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57D0B75"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Unit</w:t>
            </w:r>
          </w:p>
        </w:tc>
        <w:tc>
          <w:tcPr>
            <w:tcW w:w="337"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2D39DC"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Baseline</w:t>
            </w:r>
          </w:p>
        </w:tc>
        <w:tc>
          <w:tcPr>
            <w:tcW w:w="199"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471162CC"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Goal</w:t>
            </w:r>
          </w:p>
        </w:tc>
        <w:tc>
          <w:tcPr>
            <w:tcW w:w="226"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0107F698"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Quarter</w:t>
            </w:r>
          </w:p>
        </w:tc>
        <w:tc>
          <w:tcPr>
            <w:tcW w:w="204" w:type="pct"/>
            <w:tcBorders>
              <w:top w:val="single" w:sz="6" w:space="0" w:color="auto"/>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298BC776"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Year</w:t>
            </w:r>
          </w:p>
        </w:tc>
        <w:tc>
          <w:tcPr>
            <w:tcW w:w="1217" w:type="pct"/>
            <w:vMerge/>
            <w:tcBorders>
              <w:left w:val="single" w:sz="6" w:space="0" w:color="auto"/>
              <w:bottom w:val="single" w:sz="6" w:space="0" w:color="auto"/>
              <w:right w:val="single" w:sz="6" w:space="0" w:color="auto"/>
            </w:tcBorders>
            <w:shd w:val="clear" w:color="auto" w:fill="C6D9F1" w:themeFill="text2" w:themeFillTint="33"/>
            <w:tcMar>
              <w:top w:w="15" w:type="dxa"/>
              <w:left w:w="15" w:type="dxa"/>
              <w:bottom w:w="15" w:type="dxa"/>
              <w:right w:w="15" w:type="dxa"/>
            </w:tcMar>
          </w:tcPr>
          <w:p w14:paraId="726FD414" w14:textId="77777777" w:rsidR="001B186F" w:rsidRPr="00DE4E4F" w:rsidRDefault="001B186F">
            <w:pPr>
              <w:spacing w:after="0" w:line="240" w:lineRule="auto"/>
              <w:jc w:val="center"/>
              <w:rPr>
                <w:rFonts w:ascii="Times New Roman" w:hAnsi="Times New Roman" w:cs="Times New Roman"/>
                <w:b/>
                <w:noProof/>
                <w:sz w:val="18"/>
                <w:szCs w:val="18"/>
              </w:rPr>
            </w:pPr>
          </w:p>
        </w:tc>
      </w:tr>
      <w:tr w:rsidR="005467DA" w:rsidRPr="00DE4E4F" w14:paraId="750FE8DB" w14:textId="77777777" w:rsidTr="00CF5C87">
        <w:trPr>
          <w:trHeight w:val="739"/>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512B4B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382</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9AB252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- 16403_Capital injection into the Hellenic Development Bank</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5BDE346"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C4C98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Investment policy</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74E6E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an investment policy</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7CA6303"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A454E0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FCFE1AD"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w:t>
            </w: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5116FFB"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901CA9E"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C718D1"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Adoption of a new investment policy for the Hellenic Development Bank for the use of the additional capital injection.</w:t>
            </w:r>
          </w:p>
        </w:tc>
      </w:tr>
      <w:tr w:rsidR="005467DA" w:rsidRPr="00DE4E4F" w14:paraId="584209DC" w14:textId="77777777" w:rsidTr="00CF5C87">
        <w:trPr>
          <w:trHeight w:val="300"/>
        </w:trPr>
        <w:tc>
          <w:tcPr>
            <w:tcW w:w="25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E651F14"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383</w:t>
            </w:r>
          </w:p>
        </w:tc>
        <w:tc>
          <w:tcPr>
            <w:tcW w:w="78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866367C"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- 16403_Capital injection into the Hellenic Development Bank</w:t>
            </w:r>
          </w:p>
        </w:tc>
        <w:tc>
          <w:tcPr>
            <w:tcW w:w="39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444DC08"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5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70BA0674"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Capital injection</w:t>
            </w:r>
          </w:p>
        </w:tc>
        <w:tc>
          <w:tcPr>
            <w:tcW w:w="541"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B969165"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Certificate of transfer </w:t>
            </w:r>
          </w:p>
        </w:tc>
        <w:tc>
          <w:tcPr>
            <w:tcW w:w="2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A548FE8" w14:textId="77777777" w:rsidR="001B186F" w:rsidRPr="00DE4E4F" w:rsidRDefault="001B186F">
            <w:pPr>
              <w:spacing w:line="240" w:lineRule="auto"/>
              <w:rPr>
                <w:rFonts w:ascii="Times New Roman" w:hAnsi="Times New Roman" w:cs="Times New Roman"/>
                <w:noProof/>
                <w:color w:val="006100"/>
                <w:sz w:val="18"/>
                <w:szCs w:val="18"/>
              </w:rPr>
            </w:pPr>
          </w:p>
        </w:tc>
        <w:tc>
          <w:tcPr>
            <w:tcW w:w="33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921844F" w14:textId="77777777" w:rsidR="001B186F" w:rsidRPr="00DE4E4F" w:rsidRDefault="001B186F">
            <w:pPr>
              <w:spacing w:line="240" w:lineRule="auto"/>
              <w:rPr>
                <w:rFonts w:ascii="Times New Roman" w:hAnsi="Times New Roman" w:cs="Times New Roman"/>
                <w:noProof/>
                <w:color w:val="006100"/>
                <w:sz w:val="18"/>
                <w:szCs w:val="18"/>
              </w:rPr>
            </w:pPr>
          </w:p>
        </w:tc>
        <w:tc>
          <w:tcPr>
            <w:tcW w:w="19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05DD9A0D" w14:textId="77777777" w:rsidR="001B186F" w:rsidRPr="00DE4E4F" w:rsidRDefault="001B186F">
            <w:pPr>
              <w:spacing w:line="240" w:lineRule="auto"/>
              <w:rPr>
                <w:rFonts w:ascii="Times New Roman" w:hAnsi="Times New Roman" w:cs="Times New Roman"/>
                <w:noProof/>
                <w:color w:val="006100"/>
                <w:sz w:val="18"/>
                <w:szCs w:val="18"/>
              </w:rPr>
            </w:pPr>
          </w:p>
        </w:tc>
        <w:tc>
          <w:tcPr>
            <w:tcW w:w="226"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216BA5EA"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C8B689"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121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40F65E8" w14:textId="65ADA8DE"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Greece shall transfer EUR</w:t>
            </w:r>
            <w:r w:rsidR="001E23A0" w:rsidRPr="00DE4E4F">
              <w:rPr>
                <w:rFonts w:ascii="Times New Roman" w:hAnsi="Times New Roman" w:cs="Times New Roman"/>
                <w:noProof/>
                <w:color w:val="006100"/>
                <w:sz w:val="18"/>
                <w:szCs w:val="18"/>
              </w:rPr>
              <w:t> </w:t>
            </w:r>
            <w:r w:rsidR="00E42521" w:rsidRPr="00DE4E4F">
              <w:rPr>
                <w:rFonts w:ascii="Times New Roman" w:hAnsi="Times New Roman" w:cs="Times New Roman"/>
                <w:noProof/>
                <w:color w:val="006100"/>
                <w:sz w:val="18"/>
                <w:szCs w:val="18"/>
              </w:rPr>
              <w:t>1</w:t>
            </w:r>
            <w:r w:rsidR="00B2368C" w:rsidRPr="00DE4E4F">
              <w:rPr>
                <w:rFonts w:ascii="Times New Roman" w:hAnsi="Times New Roman" w:cs="Times New Roman"/>
                <w:noProof/>
                <w:color w:val="006100"/>
                <w:sz w:val="18"/>
                <w:szCs w:val="18"/>
              </w:rPr>
              <w:t> </w:t>
            </w:r>
            <w:r w:rsidR="002B778A" w:rsidRPr="00DE4E4F">
              <w:rPr>
                <w:rFonts w:ascii="Times New Roman" w:hAnsi="Times New Roman" w:cs="Times New Roman"/>
                <w:noProof/>
                <w:color w:val="006100"/>
                <w:sz w:val="18"/>
                <w:szCs w:val="18"/>
              </w:rPr>
              <w:t>989</w:t>
            </w:r>
            <w:r w:rsidR="00B2368C" w:rsidRPr="00DE4E4F">
              <w:rPr>
                <w:rFonts w:ascii="Times New Roman" w:hAnsi="Times New Roman" w:cs="Times New Roman"/>
                <w:noProof/>
                <w:color w:val="006100"/>
                <w:sz w:val="18"/>
                <w:szCs w:val="18"/>
              </w:rPr>
              <w:t> </w:t>
            </w:r>
            <w:r w:rsidR="002B778A" w:rsidRPr="00DE4E4F">
              <w:rPr>
                <w:rFonts w:ascii="Times New Roman" w:hAnsi="Times New Roman" w:cs="Times New Roman"/>
                <w:noProof/>
                <w:color w:val="006100"/>
                <w:sz w:val="18"/>
                <w:szCs w:val="18"/>
              </w:rPr>
              <w:t>092</w:t>
            </w:r>
            <w:r w:rsidR="00B2368C" w:rsidRPr="00DE4E4F">
              <w:rPr>
                <w:rFonts w:ascii="Times New Roman" w:hAnsi="Times New Roman" w:cs="Times New Roman"/>
                <w:noProof/>
                <w:color w:val="006100"/>
                <w:sz w:val="18"/>
                <w:szCs w:val="18"/>
              </w:rPr>
              <w:t> </w:t>
            </w:r>
            <w:r w:rsidR="002B778A" w:rsidRPr="00DE4E4F">
              <w:rPr>
                <w:rFonts w:ascii="Times New Roman" w:hAnsi="Times New Roman" w:cs="Times New Roman"/>
                <w:noProof/>
                <w:color w:val="006100"/>
                <w:sz w:val="18"/>
                <w:szCs w:val="18"/>
              </w:rPr>
              <w:t>029</w:t>
            </w:r>
            <w:r w:rsidR="00B2368C" w:rsidRPr="00DE4E4F">
              <w:rPr>
                <w:rFonts w:ascii="Times New Roman" w:hAnsi="Times New Roman" w:cs="Times New Roman"/>
                <w:noProof/>
                <w:color w:val="006100"/>
                <w:sz w:val="18"/>
                <w:szCs w:val="18"/>
              </w:rPr>
              <w:t xml:space="preserve"> </w:t>
            </w:r>
            <w:r w:rsidRPr="00DE4E4F">
              <w:rPr>
                <w:rFonts w:ascii="Times New Roman" w:hAnsi="Times New Roman" w:cs="Times New Roman"/>
                <w:noProof/>
                <w:color w:val="006100"/>
                <w:sz w:val="18"/>
                <w:szCs w:val="18"/>
              </w:rPr>
              <w:t>to the Hellenic Development Bank to increase its capital.</w:t>
            </w:r>
          </w:p>
          <w:p w14:paraId="3DC561B4"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Beyond the capital injection into the Hellenic Development Bank which constitutes the RRF investment, Greece shall transmit a report outlining the actions taken by the Hellenic Development Bank by 31 August 2026 to implement the investment policy, including the steps taken for the implementation of the financial products that the additional capital is expected to initially support, as well as the expected steps to be taken for further implementing those products.</w:t>
            </w:r>
          </w:p>
        </w:tc>
      </w:tr>
    </w:tbl>
    <w:p w14:paraId="0D52B17F" w14:textId="77777777" w:rsidR="001B186F" w:rsidRPr="00DE4E4F" w:rsidRDefault="001B186F">
      <w:pPr>
        <w:jc w:val="both"/>
        <w:rPr>
          <w:rFonts w:ascii="Times New Roman" w:hAnsi="Times New Roman" w:cs="Times New Roman"/>
          <w:b/>
          <w:bCs/>
          <w:noProof/>
          <w:u w:val="single"/>
        </w:rPr>
      </w:pPr>
    </w:p>
    <w:p w14:paraId="38700385" w14:textId="77777777" w:rsidR="001B186F" w:rsidRPr="00DE4E4F" w:rsidDel="00814D7B" w:rsidRDefault="0074517F">
      <w:pPr>
        <w:keepNext/>
        <w:keepLines/>
        <w:spacing w:before="40" w:after="240" w:line="240" w:lineRule="auto"/>
        <w:jc w:val="both"/>
        <w:outlineLvl w:val="4"/>
        <w:rPr>
          <w:rFonts w:ascii="Cambria" w:hAnsi="Cambria"/>
          <w:noProof/>
          <w:color w:val="365F91"/>
          <w:sz w:val="24"/>
        </w:rPr>
      </w:pPr>
      <w:r w:rsidRPr="00DE4E4F">
        <w:rPr>
          <w:rFonts w:ascii="Cambria" w:hAnsi="Cambria"/>
          <w:noProof/>
          <w:color w:val="365F91"/>
          <w:sz w:val="24"/>
        </w:rPr>
        <w:t>Pillar assessment of the Hellenic Development Bank (16405)</w:t>
      </w:r>
    </w:p>
    <w:tbl>
      <w:tblPr>
        <w:tblW w:w="5251" w:type="pct"/>
        <w:tblInd w:w="-705" w:type="dxa"/>
        <w:tblLook w:val="04A0" w:firstRow="1" w:lastRow="0" w:firstColumn="1" w:lastColumn="0" w:noHBand="0" w:noVBand="1"/>
      </w:tblPr>
      <w:tblGrid>
        <w:gridCol w:w="625"/>
        <w:gridCol w:w="2720"/>
        <w:gridCol w:w="1217"/>
        <w:gridCol w:w="1840"/>
        <w:gridCol w:w="1668"/>
        <w:gridCol w:w="764"/>
        <w:gridCol w:w="1049"/>
        <w:gridCol w:w="629"/>
        <w:gridCol w:w="454"/>
        <w:gridCol w:w="641"/>
        <w:gridCol w:w="3726"/>
      </w:tblGrid>
      <w:tr w:rsidR="005467DA" w:rsidRPr="00DE4E4F" w14:paraId="050C7103" w14:textId="77777777" w:rsidTr="00CF5C87">
        <w:trPr>
          <w:trHeight w:val="300"/>
          <w:tblHeader/>
        </w:trPr>
        <w:tc>
          <w:tcPr>
            <w:tcW w:w="204"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3C43C980"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Seq. No.</w:t>
            </w:r>
          </w:p>
        </w:tc>
        <w:tc>
          <w:tcPr>
            <w:tcW w:w="887"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F961895"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Related Measure (Reform or Investment)</w:t>
            </w:r>
          </w:p>
        </w:tc>
        <w:tc>
          <w:tcPr>
            <w:tcW w:w="397"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0C39C0E2"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Milestone / Target</w:t>
            </w:r>
          </w:p>
        </w:tc>
        <w:tc>
          <w:tcPr>
            <w:tcW w:w="600"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1EA94CC9"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Name</w:t>
            </w:r>
          </w:p>
        </w:tc>
        <w:tc>
          <w:tcPr>
            <w:tcW w:w="544"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5FF374B6"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Qualitative indicators (for milestones)</w:t>
            </w:r>
          </w:p>
        </w:tc>
        <w:tc>
          <w:tcPr>
            <w:tcW w:w="796" w:type="pct"/>
            <w:gridSpan w:val="3"/>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9D16514"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Quantitative indicator (for targets)</w:t>
            </w:r>
          </w:p>
        </w:tc>
        <w:tc>
          <w:tcPr>
            <w:tcW w:w="357" w:type="pct"/>
            <w:gridSpan w:val="2"/>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111F6684"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Indicative timeline for completion</w:t>
            </w:r>
          </w:p>
        </w:tc>
        <w:tc>
          <w:tcPr>
            <w:tcW w:w="1215" w:type="pct"/>
            <w:vMerge w:val="restart"/>
            <w:tcBorders>
              <w:top w:val="single" w:sz="6" w:space="0" w:color="auto"/>
              <w:left w:val="single" w:sz="6" w:space="0" w:color="auto"/>
              <w:right w:val="single" w:sz="6" w:space="0" w:color="auto"/>
            </w:tcBorders>
            <w:shd w:val="clear" w:color="auto" w:fill="C6D9F1"/>
            <w:tcMar>
              <w:top w:w="15" w:type="dxa"/>
              <w:left w:w="15" w:type="dxa"/>
              <w:bottom w:w="15" w:type="dxa"/>
              <w:right w:w="15" w:type="dxa"/>
            </w:tcMar>
            <w:vAlign w:val="center"/>
          </w:tcPr>
          <w:p w14:paraId="7CAC9CE8"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Description of each milestone and target</w:t>
            </w:r>
          </w:p>
        </w:tc>
      </w:tr>
      <w:tr w:rsidR="004B0FF3" w:rsidRPr="00DE4E4F" w14:paraId="64FA12E8" w14:textId="77777777" w:rsidTr="00CF5C87">
        <w:trPr>
          <w:trHeight w:val="505"/>
          <w:tblHeader/>
        </w:trPr>
        <w:tc>
          <w:tcPr>
            <w:tcW w:w="204"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495835F7"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887"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81B0F35"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397"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123533A"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600"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633C8BEB"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544"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24D0AAE3"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249"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4388B3F"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Unit</w:t>
            </w:r>
          </w:p>
        </w:tc>
        <w:tc>
          <w:tcPr>
            <w:tcW w:w="342"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3842E659"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Baseline</w:t>
            </w:r>
          </w:p>
        </w:tc>
        <w:tc>
          <w:tcPr>
            <w:tcW w:w="205"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98BC4E9" w14:textId="77777777" w:rsidR="001B186F" w:rsidRPr="00DE4E4F" w:rsidRDefault="0074517F">
            <w:pPr>
              <w:spacing w:after="0" w:line="240" w:lineRule="auto"/>
              <w:jc w:val="center"/>
              <w:rPr>
                <w:rFonts w:ascii="Times New Roman" w:eastAsia="Times New Roman" w:hAnsi="Times New Roman" w:cs="Times New Roman"/>
                <w:noProof/>
                <w:sz w:val="18"/>
                <w:szCs w:val="18"/>
              </w:rPr>
            </w:pPr>
            <w:r w:rsidRPr="00DE4E4F">
              <w:rPr>
                <w:rFonts w:ascii="Times New Roman" w:hAnsi="Times New Roman"/>
                <w:b/>
                <w:noProof/>
                <w:sz w:val="18"/>
                <w:szCs w:val="18"/>
              </w:rPr>
              <w:t>Goal</w:t>
            </w:r>
          </w:p>
        </w:tc>
        <w:tc>
          <w:tcPr>
            <w:tcW w:w="148"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020E2405"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209" w:type="pct"/>
            <w:tcBorders>
              <w:top w:val="single" w:sz="6" w:space="0" w:color="auto"/>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73889394"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c>
          <w:tcPr>
            <w:tcW w:w="1215" w:type="pct"/>
            <w:vMerge/>
            <w:tcBorders>
              <w:left w:val="single" w:sz="6" w:space="0" w:color="auto"/>
              <w:bottom w:val="single" w:sz="6" w:space="0" w:color="auto"/>
              <w:right w:val="single" w:sz="6" w:space="0" w:color="auto"/>
            </w:tcBorders>
            <w:shd w:val="clear" w:color="auto" w:fill="C6D9F1"/>
            <w:tcMar>
              <w:top w:w="15" w:type="dxa"/>
              <w:left w:w="15" w:type="dxa"/>
              <w:bottom w:w="15" w:type="dxa"/>
              <w:right w:w="15" w:type="dxa"/>
            </w:tcMar>
          </w:tcPr>
          <w:p w14:paraId="599284B6" w14:textId="77777777" w:rsidR="001B186F" w:rsidRPr="00DE4E4F" w:rsidRDefault="001B186F">
            <w:pPr>
              <w:spacing w:after="0" w:line="240" w:lineRule="auto"/>
              <w:jc w:val="center"/>
              <w:rPr>
                <w:rFonts w:ascii="Times New Roman" w:eastAsia="Times New Roman" w:hAnsi="Times New Roman" w:cs="Times New Roman"/>
                <w:noProof/>
                <w:sz w:val="18"/>
                <w:szCs w:val="18"/>
              </w:rPr>
            </w:pPr>
          </w:p>
        </w:tc>
      </w:tr>
      <w:tr w:rsidR="005467DA" w:rsidRPr="00DE4E4F" w14:paraId="20CA9E6A" w14:textId="77777777" w:rsidTr="00CF5C87">
        <w:trPr>
          <w:trHeight w:val="739"/>
        </w:trPr>
        <w:tc>
          <w:tcPr>
            <w:tcW w:w="20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B4317C"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384</w:t>
            </w:r>
          </w:p>
        </w:tc>
        <w:tc>
          <w:tcPr>
            <w:tcW w:w="88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3DB4EC4"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4.7. Improve competitiveness and promote private investments and exports - 16405_Pillar assessment of the Hellenic Development Bank</w:t>
            </w:r>
          </w:p>
        </w:tc>
        <w:tc>
          <w:tcPr>
            <w:tcW w:w="397"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F69A48B"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600"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2DA658D"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Hellenic Development Bank is pillar assessed</w:t>
            </w:r>
          </w:p>
        </w:tc>
        <w:tc>
          <w:tcPr>
            <w:tcW w:w="544"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F76B235"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Hellenic Development Bank is pillar assessed to implement EU funds</w:t>
            </w:r>
          </w:p>
        </w:tc>
        <w:tc>
          <w:tcPr>
            <w:tcW w:w="24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179F68E2" w14:textId="77777777" w:rsidR="001B186F" w:rsidRPr="00DE4E4F" w:rsidRDefault="001B186F">
            <w:pPr>
              <w:spacing w:line="240" w:lineRule="auto"/>
              <w:rPr>
                <w:rFonts w:ascii="Times New Roman" w:hAnsi="Times New Roman" w:cs="Times New Roman"/>
                <w:noProof/>
                <w:color w:val="006100"/>
                <w:sz w:val="18"/>
                <w:szCs w:val="18"/>
              </w:rPr>
            </w:pPr>
          </w:p>
        </w:tc>
        <w:tc>
          <w:tcPr>
            <w:tcW w:w="342"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59876078" w14:textId="77777777" w:rsidR="001B186F" w:rsidRPr="00DE4E4F" w:rsidRDefault="001B186F">
            <w:pPr>
              <w:spacing w:line="240" w:lineRule="auto"/>
              <w:rPr>
                <w:rFonts w:ascii="Times New Roman" w:hAnsi="Times New Roman" w:cs="Times New Roman"/>
                <w:noProof/>
                <w:color w:val="006100"/>
                <w:sz w:val="18"/>
                <w:szCs w:val="18"/>
              </w:rPr>
            </w:pPr>
          </w:p>
        </w:tc>
        <w:tc>
          <w:tcPr>
            <w:tcW w:w="205"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398CC88A" w14:textId="77777777" w:rsidR="001B186F" w:rsidRPr="00DE4E4F" w:rsidRDefault="001B186F">
            <w:pPr>
              <w:spacing w:line="240" w:lineRule="auto"/>
              <w:rPr>
                <w:rFonts w:ascii="Times New Roman" w:hAnsi="Times New Roman" w:cs="Times New Roman"/>
                <w:noProof/>
                <w:color w:val="006100"/>
                <w:sz w:val="18"/>
                <w:szCs w:val="18"/>
              </w:rPr>
            </w:pPr>
          </w:p>
        </w:tc>
        <w:tc>
          <w:tcPr>
            <w:tcW w:w="148"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8F63404"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209"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48366E25" w14:textId="77777777" w:rsidR="001B186F" w:rsidRPr="00DE4E4F" w:rsidRDefault="0074517F">
            <w:pPr>
              <w:spacing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2026</w:t>
            </w:r>
          </w:p>
        </w:tc>
        <w:tc>
          <w:tcPr>
            <w:tcW w:w="1215" w:type="pct"/>
            <w:tcBorders>
              <w:top w:val="single" w:sz="6" w:space="0" w:color="auto"/>
              <w:left w:val="single" w:sz="6" w:space="0" w:color="auto"/>
              <w:bottom w:val="single" w:sz="6" w:space="0" w:color="auto"/>
              <w:right w:val="single" w:sz="6" w:space="0" w:color="auto"/>
            </w:tcBorders>
            <w:shd w:val="clear" w:color="auto" w:fill="C6EFCE"/>
            <w:tcMar>
              <w:top w:w="15" w:type="dxa"/>
              <w:left w:w="15" w:type="dxa"/>
              <w:bottom w:w="15" w:type="dxa"/>
              <w:right w:w="15" w:type="dxa"/>
            </w:tcMar>
          </w:tcPr>
          <w:p w14:paraId="6B2C6279" w14:textId="77777777" w:rsidR="001B186F" w:rsidRPr="00DE4E4F" w:rsidRDefault="0074517F">
            <w:pPr>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Hellenic Development Bank is positively pillar assessed by an independent external auditor.</w:t>
            </w:r>
          </w:p>
        </w:tc>
      </w:tr>
    </w:tbl>
    <w:p w14:paraId="6E571736" w14:textId="77777777" w:rsidR="001B186F" w:rsidRPr="00DE4E4F" w:rsidRDefault="001B186F">
      <w:pPr>
        <w:rPr>
          <w:noProof/>
        </w:rPr>
      </w:pPr>
    </w:p>
    <w:p w14:paraId="1E2263B0" w14:textId="77777777" w:rsidR="001B186F" w:rsidRPr="00DE4E4F" w:rsidRDefault="001B186F">
      <w:pPr>
        <w:spacing w:before="120" w:after="120" w:line="240" w:lineRule="auto"/>
        <w:ind w:firstLine="6"/>
        <w:jc w:val="both"/>
        <w:outlineLvl w:val="3"/>
        <w:rPr>
          <w:rFonts w:ascii="Times New Roman" w:hAnsi="Times New Roman"/>
          <w:b/>
          <w:bCs/>
          <w:noProof/>
          <w:sz w:val="24"/>
          <w:szCs w:val="24"/>
        </w:rPr>
        <w:sectPr w:rsidR="001B186F" w:rsidRPr="00DE4E4F">
          <w:headerReference w:type="even" r:id="rId378"/>
          <w:headerReference w:type="default" r:id="rId379"/>
          <w:footerReference w:type="even" r:id="rId380"/>
          <w:footerReference w:type="default" r:id="rId381"/>
          <w:headerReference w:type="first" r:id="rId382"/>
          <w:footerReference w:type="first" r:id="rId383"/>
          <w:pgSz w:w="16838" w:h="11906" w:orient="landscape"/>
          <w:pgMar w:top="1134" w:right="1134" w:bottom="1134" w:left="1134" w:header="567" w:footer="567" w:gutter="0"/>
          <w:cols w:space="708"/>
          <w:docGrid w:linePitch="360"/>
        </w:sectPr>
      </w:pPr>
    </w:p>
    <w:p w14:paraId="28570E29"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szCs w:val="24"/>
        </w:rPr>
      </w:pPr>
      <w:r w:rsidRPr="00DE4E4F">
        <w:rPr>
          <w:rFonts w:ascii="Times New Roman" w:hAnsi="Times New Roman"/>
          <w:b/>
          <w:bCs/>
          <w:noProof/>
          <w:sz w:val="24"/>
          <w:szCs w:val="24"/>
        </w:rPr>
        <w:t>T. COMPONENT 5.1: REPowerEU REFORMS</w:t>
      </w:r>
    </w:p>
    <w:p w14:paraId="2EC70FB7"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T.1. Description of the reforms and investments for non-repayable financial support</w:t>
      </w:r>
    </w:p>
    <w:p w14:paraId="25B2AAA3"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chapter contains a set of reforms to foster decarbonisation, renewable energy and renewable gases, including: (1) a reform concerning the introduction of a legislative framework to allow and facilitate the production, storage, transport and use of renewable hydrogen and biomethane, (2) a reform concerning the establishment of the regulatory and market operation framework for carbon capture, usage, and storage technologies to foster industry decarbonisation in Greece, (3) a reform concerning the optimisation of land and sea space usage for the development of renewable energy, in addition to the further advancement of the legislative framework for the installation of offshore wind farms, (4) a reform to increase grid and storage capacity by addressing grid stability and bottlenecks, (5) a reform of the regulatory framework for smart grids to accelerate the implementation of smart and digital technologies in the distribution network, and foster demand side response for the final consumer, (6) a reform aiming at promoting energy sharing, thus encouraging the use of renewables by allowing decentralised generation and sharing among multiple small-scale renewable energy systems, and (7) a reform introducing a roadmap for innovative energy efficiency interventions, including the identification and launch of new non-grant based financial instruments.</w:t>
      </w:r>
    </w:p>
    <w:p w14:paraId="5248E9C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Reform: </w:t>
      </w:r>
      <w:r w:rsidRPr="00DE4E4F">
        <w:rPr>
          <w:rFonts w:ascii="Times New Roman" w:hAnsi="Times New Roman"/>
          <w:noProof/>
          <w:sz w:val="24"/>
          <w:szCs w:val="24"/>
        </w:rPr>
        <w:t>Licensing framework for renewable hydrogen and sustainable biomethane (measure ID: 16987)</w:t>
      </w:r>
    </w:p>
    <w:p w14:paraId="523E85B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the reform is to put in place the required legislation for an effective deployment of renewable hydrogen and sustainable biomethane in Greece by removing potential barriers and establishing processes for the development of the renewable gases sector and markets. The reform shall foresee the adoption of a legislative framework aiming at promoting the production and consumption of renewable hydrogen and sustainable biomethane. This shall cover the specification of the licencing and permitting procedures, including provisions on spatial planning, the definition of the technical specifications for transmission, storage and injection into the grid, the clarification of the roles of the various stakeholders, including public authorities involved, while ensuring a mechanism to certify that the hydrogen produced would be renewable and the biomethane sustainable, in line with the recent provisions from the RED II Delegated Acts.</w:t>
      </w:r>
    </w:p>
    <w:p w14:paraId="439B827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implementation of the reform shall be completed by 30 June 2024.</w:t>
      </w:r>
    </w:p>
    <w:p w14:paraId="3FE8B45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 xml:space="preserve">Reform: </w:t>
      </w:r>
      <w:r w:rsidRPr="00DE4E4F">
        <w:rPr>
          <w:rFonts w:ascii="Times New Roman" w:hAnsi="Times New Roman"/>
          <w:noProof/>
          <w:sz w:val="24"/>
        </w:rPr>
        <w:t>Regulatory and market operation framework for carbon capture, usage, and storage technologies to foster industry decarbonization (measure ID: 16988)</w:t>
      </w:r>
    </w:p>
    <w:p w14:paraId="5D5A8441" w14:textId="00C30DE2"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objective of this reform is to set up the legal and regulatory framework for carbon capture, usage and storage technologies. The reform consists of the development of the licensing framework, the establishment of standardisation and certification process and the </w:t>
      </w:r>
      <w:r w:rsidR="00DE4E4F" w:rsidRPr="00DE4E4F">
        <w:rPr>
          <w:rFonts w:ascii="Times New Roman" w:hAnsi="Times New Roman"/>
          <w:noProof/>
          <w:sz w:val="24"/>
        </w:rPr>
        <w:t>definition</w:t>
      </w:r>
      <w:r w:rsidRPr="00DE4E4F">
        <w:rPr>
          <w:rFonts w:ascii="Times New Roman" w:hAnsi="Times New Roman"/>
          <w:noProof/>
          <w:sz w:val="24"/>
        </w:rPr>
        <w:t xml:space="preserve"> of third party access.</w:t>
      </w:r>
    </w:p>
    <w:p w14:paraId="7490A2FA"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 xml:space="preserve">Reform: </w:t>
      </w:r>
      <w:r w:rsidRPr="00DE4E4F">
        <w:rPr>
          <w:rFonts w:ascii="Times New Roman" w:hAnsi="Times New Roman"/>
          <w:noProof/>
          <w:sz w:val="24"/>
        </w:rPr>
        <w:t>Optimisation of land and sea space usage for the development of RES and offshore wind energy development (measure ID: 16989)</w:t>
      </w:r>
    </w:p>
    <w:p w14:paraId="6BC94A34"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 objective of this reform is to enhance the development of renewable energy sources (RES) in Greece. The reform consists of the legal framework for offshore wind farms as well as facilitating Renewable Energy Sources on land.</w:t>
      </w:r>
    </w:p>
    <w:p w14:paraId="2430909F"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 xml:space="preserve">Reform: </w:t>
      </w:r>
      <w:r w:rsidRPr="00DE4E4F">
        <w:rPr>
          <w:rFonts w:ascii="Times New Roman" w:hAnsi="Times New Roman"/>
          <w:noProof/>
          <w:sz w:val="24"/>
          <w:szCs w:val="24"/>
        </w:rPr>
        <w:t>Grid and storage capacity reform (measure ID: 16990)</w:t>
      </w:r>
    </w:p>
    <w:p w14:paraId="35771C30" w14:textId="1F520E4D" w:rsidR="00833CBD"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reform is the adoption of the legal framework for the participation of storage units to the electricity market. The reform consists of adopting the framework to support standalone battery storage projects as well as storage plants combined with new renewable energy plants, and</w:t>
      </w:r>
      <w:r w:rsidR="00143DAE" w:rsidRPr="00DE4E4F">
        <w:rPr>
          <w:rFonts w:ascii="Times New Roman" w:hAnsi="Times New Roman"/>
          <w:noProof/>
          <w:sz w:val="24"/>
          <w:szCs w:val="24"/>
        </w:rPr>
        <w:t xml:space="preserve"> the adoption of the regulatory decisions enabling the </w:t>
      </w:r>
      <w:r w:rsidR="00876353" w:rsidRPr="00DE4E4F">
        <w:rPr>
          <w:rFonts w:ascii="Times New Roman" w:hAnsi="Times New Roman"/>
          <w:noProof/>
          <w:sz w:val="24"/>
          <w:szCs w:val="24"/>
        </w:rPr>
        <w:t>participation of storage units in the electricity markets.</w:t>
      </w:r>
      <w:r w:rsidRPr="00DE4E4F">
        <w:rPr>
          <w:rFonts w:ascii="Times New Roman" w:hAnsi="Times New Roman"/>
          <w:noProof/>
          <w:sz w:val="24"/>
          <w:szCs w:val="24"/>
        </w:rPr>
        <w:t xml:space="preserve"> </w:t>
      </w:r>
    </w:p>
    <w:p w14:paraId="1C3CDE24" w14:textId="0B0199E9"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Reform:</w:t>
      </w:r>
      <w:r w:rsidRPr="00DE4E4F">
        <w:rPr>
          <w:rFonts w:ascii="Times New Roman" w:hAnsi="Times New Roman"/>
          <w:noProof/>
          <w:sz w:val="24"/>
          <w:szCs w:val="24"/>
        </w:rPr>
        <w:t xml:space="preserve"> Regulatory framework towards a smart grid (measure ID: 16991)</w:t>
      </w:r>
    </w:p>
    <w:p w14:paraId="6622BA0E" w14:textId="6127CE3A"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cs="Times New Roman"/>
          <w:noProof/>
          <w:sz w:val="24"/>
          <w:szCs w:val="24"/>
        </w:rPr>
        <w:t>The objective of the measure is to invest in smart grid technologies and practices in Greece's electricity market. This measure consists in enacting reforms for incentivizing smart meter usage and establishing a framework for dynamic pricing for end-</w:t>
      </w:r>
      <w:r w:rsidR="00734D9F" w:rsidRPr="00DE4E4F">
        <w:rPr>
          <w:rFonts w:ascii="Times New Roman" w:hAnsi="Times New Roman" w:cs="Times New Roman"/>
          <w:noProof/>
          <w:sz w:val="24"/>
          <w:szCs w:val="24"/>
        </w:rPr>
        <w:t>consumers.</w:t>
      </w:r>
      <w:r w:rsidRPr="00DE4E4F">
        <w:rPr>
          <w:rFonts w:ascii="Times New Roman" w:hAnsi="Times New Roman" w:cs="Times New Roman"/>
          <w:noProof/>
          <w:sz w:val="24"/>
          <w:szCs w:val="24"/>
        </w:rPr>
        <w:t xml:space="preserve"> </w:t>
      </w:r>
    </w:p>
    <w:p w14:paraId="5D48A704"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 xml:space="preserve">Reform: </w:t>
      </w:r>
      <w:r w:rsidRPr="00DE4E4F">
        <w:rPr>
          <w:rFonts w:ascii="Times New Roman" w:hAnsi="Times New Roman"/>
          <w:noProof/>
          <w:sz w:val="24"/>
        </w:rPr>
        <w:t>Toolset to promote energy sharing, self-consumption and renewable Energy Communities (measure ID: 16992)</w:t>
      </w:r>
    </w:p>
    <w:p w14:paraId="473C2EED"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szCs w:val="24"/>
        </w:rPr>
        <w:t xml:space="preserve">The objective of this reform is to incentivise energy sharing. The reform includes </w:t>
      </w:r>
      <w:r w:rsidRPr="00DE4E4F">
        <w:rPr>
          <w:rFonts w:ascii="Times New Roman" w:hAnsi="Times New Roman" w:cs="Times New Roman"/>
          <w:noProof/>
          <w:sz w:val="24"/>
          <w:szCs w:val="24"/>
        </w:rPr>
        <w:t>facilitating</w:t>
      </w:r>
      <w:r w:rsidRPr="00DE4E4F">
        <w:rPr>
          <w:rFonts w:ascii="Times New Roman" w:hAnsi="Times New Roman"/>
          <w:noProof/>
          <w:sz w:val="24"/>
          <w:szCs w:val="24"/>
        </w:rPr>
        <w:t xml:space="preserve"> the installation of RES stations in buildings and setting up a </w:t>
      </w:r>
      <w:r w:rsidRPr="00DE4E4F">
        <w:rPr>
          <w:rFonts w:ascii="Times New Roman" w:hAnsi="Times New Roman"/>
          <w:noProof/>
          <w:sz w:val="24"/>
        </w:rPr>
        <w:t>regulatory framework for energy self-consumption and supporting Renewable Energy Communities.</w:t>
      </w:r>
    </w:p>
    <w:p w14:paraId="6AE11835"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 xml:space="preserve">Reform: </w:t>
      </w:r>
      <w:r w:rsidRPr="00DE4E4F">
        <w:rPr>
          <w:rFonts w:ascii="Times New Roman" w:hAnsi="Times New Roman"/>
          <w:noProof/>
          <w:sz w:val="24"/>
        </w:rPr>
        <w:t>Roadmap for innovative energy efficiency interventions and identification of new financial instruments (measure ID: 16993)</w:t>
      </w:r>
    </w:p>
    <w:p w14:paraId="586A887D" w14:textId="77777777" w:rsidR="001B186F" w:rsidRPr="00DE4E4F" w:rsidRDefault="0074517F">
      <w:pPr>
        <w:spacing w:before="120" w:after="120" w:line="240" w:lineRule="auto"/>
        <w:jc w:val="both"/>
        <w:rPr>
          <w:rFonts w:ascii="Times New Roman" w:hAnsi="Times New Roman"/>
          <w:noProof/>
          <w:sz w:val="24"/>
          <w:szCs w:val="24"/>
        </w:rPr>
      </w:pPr>
      <w:r w:rsidRPr="00DE4E4F">
        <w:rPr>
          <w:rFonts w:ascii="Times New Roman" w:hAnsi="Times New Roman"/>
          <w:noProof/>
          <w:sz w:val="24"/>
          <w:szCs w:val="24"/>
        </w:rPr>
        <w:t>The</w:t>
      </w:r>
      <w:r w:rsidRPr="00DE4E4F" w:rsidDel="0016331D">
        <w:rPr>
          <w:rFonts w:ascii="Times New Roman" w:hAnsi="Times New Roman"/>
          <w:noProof/>
          <w:sz w:val="24"/>
          <w:szCs w:val="24"/>
        </w:rPr>
        <w:t xml:space="preserve"> objective of this</w:t>
      </w:r>
      <w:r w:rsidRPr="00DE4E4F">
        <w:rPr>
          <w:rFonts w:ascii="Times New Roman" w:hAnsi="Times New Roman"/>
          <w:noProof/>
          <w:sz w:val="24"/>
          <w:szCs w:val="24"/>
        </w:rPr>
        <w:t xml:space="preserve"> reform is to establish a roadmap for innovative energy efficiency interventions to boost deep renovation of dwellings and industrial buildings. </w:t>
      </w:r>
    </w:p>
    <w:p w14:paraId="0A02F82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 xml:space="preserve">The reform consists of (i) a roadmap defining innovative energy efficiency interventions; and (ii) launch of an energy efficiency financial instrument based on non-grant financial sources. </w:t>
      </w:r>
    </w:p>
    <w:p w14:paraId="2EF6DAB8" w14:textId="77777777" w:rsidR="001B186F" w:rsidRPr="00DE4E4F" w:rsidRDefault="001B186F">
      <w:pPr>
        <w:spacing w:before="120" w:after="120" w:line="240" w:lineRule="auto"/>
        <w:jc w:val="both"/>
        <w:rPr>
          <w:rFonts w:ascii="Times New Roman" w:hAnsi="Times New Roman" w:cs="Times New Roman"/>
          <w:noProof/>
          <w:sz w:val="24"/>
        </w:rPr>
      </w:pPr>
    </w:p>
    <w:p w14:paraId="4F31838F"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384"/>
          <w:headerReference w:type="default" r:id="rId385"/>
          <w:footerReference w:type="even" r:id="rId386"/>
          <w:footerReference w:type="default" r:id="rId387"/>
          <w:headerReference w:type="first" r:id="rId388"/>
          <w:footerReference w:type="first" r:id="rId389"/>
          <w:pgSz w:w="11907" w:h="16839"/>
          <w:pgMar w:top="1134" w:right="1134" w:bottom="1134" w:left="1134" w:header="567" w:footer="567" w:gutter="0"/>
          <w:cols w:space="720"/>
          <w:docGrid w:linePitch="360"/>
        </w:sectPr>
      </w:pPr>
    </w:p>
    <w:p w14:paraId="3990E010"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rPr>
      </w:pPr>
      <w:r w:rsidRPr="00DE4E4F">
        <w:rPr>
          <w:rFonts w:ascii="Times New Roman" w:hAnsi="Times New Roman"/>
          <w:b/>
          <w:noProof/>
          <w:sz w:val="24"/>
          <w:u w:val="single"/>
        </w:rPr>
        <w:t>T.2. Milestones, targets, indicators, and timetable for monitoring and implementation for non-repayable financial support</w:t>
      </w:r>
    </w:p>
    <w:p w14:paraId="05F09ADC" w14:textId="7F14AB72" w:rsidR="001B186F" w:rsidRPr="00DE4E4F" w:rsidRDefault="0074517F">
      <w:pPr>
        <w:keepNext/>
        <w:keepLines/>
        <w:spacing w:before="240" w:after="240" w:line="240" w:lineRule="auto"/>
        <w:jc w:val="both"/>
        <w:outlineLvl w:val="4"/>
        <w:rPr>
          <w:rFonts w:ascii="Cambria" w:eastAsia="Times New Roman" w:hAnsi="Cambria"/>
          <w:noProof/>
          <w:color w:val="365F91"/>
          <w:sz w:val="24"/>
          <w:szCs w:val="24"/>
        </w:rPr>
      </w:pPr>
      <w:r w:rsidRPr="00DE4E4F">
        <w:rPr>
          <w:rFonts w:ascii="Cambria" w:hAnsi="Cambria"/>
          <w:noProof/>
          <w:color w:val="365F91" w:themeColor="accent1" w:themeShade="BF"/>
          <w:sz w:val="24"/>
        </w:rPr>
        <w:t>Reform 1: Licensing framework for renewable hydrogen and sustainable biomethane (measure ID: 16987)</w:t>
      </w:r>
      <w:r w:rsidR="00DE4C0C" w:rsidRPr="00DE4E4F">
        <w:rPr>
          <w:rFonts w:ascii="Cambria" w:hAnsi="Cambria"/>
          <w:noProof/>
          <w:color w:val="365F91" w:themeColor="accent1" w:themeShade="BF"/>
          <w:sz w:val="24"/>
        </w:rPr>
        <w:t xml:space="preserve"> </w:t>
      </w:r>
    </w:p>
    <w:tbl>
      <w:tblPr>
        <w:tblW w:w="14312" w:type="dxa"/>
        <w:tblLook w:val="04A0" w:firstRow="1" w:lastRow="0" w:firstColumn="1" w:lastColumn="0" w:noHBand="0" w:noVBand="1"/>
      </w:tblPr>
      <w:tblGrid>
        <w:gridCol w:w="675"/>
        <w:gridCol w:w="2014"/>
        <w:gridCol w:w="1134"/>
        <w:gridCol w:w="1275"/>
        <w:gridCol w:w="1134"/>
        <w:gridCol w:w="993"/>
        <w:gridCol w:w="1134"/>
        <w:gridCol w:w="850"/>
        <w:gridCol w:w="851"/>
        <w:gridCol w:w="850"/>
        <w:gridCol w:w="3402"/>
      </w:tblGrid>
      <w:tr w:rsidR="00682269" w:rsidRPr="00DE4E4F" w14:paraId="35E62BAC" w14:textId="77777777" w:rsidTr="001E23A0">
        <w:trPr>
          <w:trHeight w:val="540"/>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A71A39D"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01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9EB8FD"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082BC4F7"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22FDF5F"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5198F65C"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742FFFC2"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701" w:type="dxa"/>
            <w:gridSpan w:val="2"/>
            <w:tcBorders>
              <w:top w:val="single" w:sz="4" w:space="0" w:color="auto"/>
              <w:left w:val="nil"/>
              <w:bottom w:val="single" w:sz="4" w:space="0" w:color="auto"/>
              <w:right w:val="single" w:sz="4" w:space="0" w:color="auto"/>
            </w:tcBorders>
            <w:shd w:val="clear" w:color="auto" w:fill="BDD7EE"/>
            <w:noWrap/>
          </w:tcPr>
          <w:p w14:paraId="7073BB98"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Indicative timeline for completion</w:t>
            </w:r>
          </w:p>
        </w:tc>
        <w:tc>
          <w:tcPr>
            <w:tcW w:w="3402" w:type="dxa"/>
            <w:vMerge w:val="restart"/>
            <w:tcBorders>
              <w:top w:val="single" w:sz="4" w:space="0" w:color="auto"/>
              <w:left w:val="nil"/>
              <w:bottom w:val="single" w:sz="4" w:space="0" w:color="auto"/>
              <w:right w:val="single" w:sz="4" w:space="0" w:color="auto"/>
            </w:tcBorders>
            <w:shd w:val="clear" w:color="auto" w:fill="BDD7EE"/>
            <w:noWrap/>
          </w:tcPr>
          <w:p w14:paraId="22F0BBD1"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p w14:paraId="086215AC"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lang w:eastAsia="en-GB"/>
              </w:rPr>
            </w:pPr>
            <w:r w:rsidRPr="00DE4E4F">
              <w:rPr>
                <w:rFonts w:ascii="Times New Roman" w:hAnsi="Times New Roman"/>
                <w:b/>
                <w:noProof/>
                <w:sz w:val="18"/>
              </w:rPr>
              <w:t>Description of each milestone and target</w:t>
            </w:r>
          </w:p>
        </w:tc>
      </w:tr>
      <w:tr w:rsidR="00682269" w:rsidRPr="00DE4E4F" w14:paraId="42268D80" w14:textId="77777777" w:rsidTr="001E23A0">
        <w:trPr>
          <w:trHeight w:val="557"/>
        </w:trPr>
        <w:tc>
          <w:tcPr>
            <w:tcW w:w="675" w:type="dxa"/>
            <w:vMerge/>
            <w:tcBorders>
              <w:top w:val="single" w:sz="4" w:space="0" w:color="auto"/>
              <w:left w:val="single" w:sz="4" w:space="0" w:color="auto"/>
              <w:bottom w:val="single" w:sz="4" w:space="0" w:color="auto"/>
              <w:right w:val="single" w:sz="4" w:space="0" w:color="auto"/>
            </w:tcBorders>
            <w:noWrap/>
            <w:vAlign w:val="center"/>
          </w:tcPr>
          <w:p w14:paraId="5A262433"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2014" w:type="dxa"/>
            <w:vMerge/>
            <w:tcBorders>
              <w:top w:val="single" w:sz="4" w:space="0" w:color="auto"/>
              <w:left w:val="single" w:sz="4" w:space="0" w:color="auto"/>
              <w:bottom w:val="single" w:sz="4" w:space="0" w:color="auto"/>
              <w:right w:val="single" w:sz="4" w:space="0" w:color="auto"/>
            </w:tcBorders>
            <w:noWrap/>
            <w:vAlign w:val="center"/>
          </w:tcPr>
          <w:p w14:paraId="044793A5"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48F7CF9F"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275" w:type="dxa"/>
            <w:vMerge/>
            <w:tcBorders>
              <w:top w:val="single" w:sz="4" w:space="0" w:color="auto"/>
              <w:left w:val="single" w:sz="4" w:space="0" w:color="auto"/>
              <w:bottom w:val="single" w:sz="4" w:space="0" w:color="auto"/>
              <w:right w:val="single" w:sz="4" w:space="0" w:color="auto"/>
            </w:tcBorders>
            <w:noWrap/>
            <w:vAlign w:val="center"/>
          </w:tcPr>
          <w:p w14:paraId="65E4E6D1"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noWrap/>
            <w:vAlign w:val="center"/>
          </w:tcPr>
          <w:p w14:paraId="1977DAE3"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993"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2614ECB7"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0BC9EF71"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5CF3760D"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noWrap/>
          </w:tcPr>
          <w:p w14:paraId="0304ACD0"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50" w:type="dxa"/>
            <w:tcBorders>
              <w:top w:val="single" w:sz="4" w:space="0" w:color="auto"/>
              <w:left w:val="single" w:sz="4" w:space="0" w:color="auto"/>
              <w:bottom w:val="single" w:sz="4" w:space="0" w:color="auto"/>
              <w:right w:val="single" w:sz="4" w:space="0" w:color="auto"/>
            </w:tcBorders>
            <w:shd w:val="clear" w:color="auto" w:fill="BDD7EE"/>
          </w:tcPr>
          <w:p w14:paraId="6566641A"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402" w:type="dxa"/>
            <w:vMerge/>
            <w:tcBorders>
              <w:top w:val="single" w:sz="4" w:space="0" w:color="auto"/>
              <w:left w:val="single" w:sz="4" w:space="0" w:color="auto"/>
              <w:bottom w:val="single" w:sz="4" w:space="0" w:color="auto"/>
              <w:right w:val="single" w:sz="4" w:space="0" w:color="auto"/>
            </w:tcBorders>
            <w:noWrap/>
          </w:tcPr>
          <w:p w14:paraId="241B30A9"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r>
      <w:tr w:rsidR="00682269" w:rsidRPr="00DE4E4F" w14:paraId="57B6B4AF" w14:textId="77777777" w:rsidTr="001E23A0">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C0F33A0"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351</w:t>
            </w:r>
          </w:p>
        </w:tc>
        <w:tc>
          <w:tcPr>
            <w:tcW w:w="2014" w:type="dxa"/>
            <w:tcBorders>
              <w:top w:val="single" w:sz="4" w:space="0" w:color="auto"/>
              <w:left w:val="nil"/>
              <w:bottom w:val="single" w:sz="4" w:space="0" w:color="auto"/>
              <w:right w:val="single" w:sz="4" w:space="0" w:color="auto"/>
            </w:tcBorders>
            <w:shd w:val="clear" w:color="auto" w:fill="C6EFCE"/>
            <w:noWrap/>
          </w:tcPr>
          <w:p w14:paraId="4E3C6FF2"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20 - 5.1. REPowerEU reforms - 16987_Licensing framework for renewable hydrogen and sustainable biomethane</w:t>
            </w:r>
          </w:p>
        </w:tc>
        <w:tc>
          <w:tcPr>
            <w:tcW w:w="1134" w:type="dxa"/>
            <w:tcBorders>
              <w:top w:val="single" w:sz="4" w:space="0" w:color="auto"/>
              <w:left w:val="nil"/>
              <w:bottom w:val="single" w:sz="4" w:space="0" w:color="auto"/>
              <w:right w:val="single" w:sz="4" w:space="0" w:color="auto"/>
            </w:tcBorders>
            <w:shd w:val="clear" w:color="auto" w:fill="C6EFCE"/>
            <w:noWrap/>
          </w:tcPr>
          <w:p w14:paraId="7F9F6330"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75" w:type="dxa"/>
            <w:tcBorders>
              <w:top w:val="single" w:sz="4" w:space="0" w:color="auto"/>
              <w:left w:val="nil"/>
              <w:bottom w:val="single" w:sz="4" w:space="0" w:color="auto"/>
              <w:right w:val="single" w:sz="4" w:space="0" w:color="auto"/>
            </w:tcBorders>
            <w:shd w:val="clear" w:color="auto" w:fill="C6EFCE"/>
            <w:noWrap/>
          </w:tcPr>
          <w:p w14:paraId="20AD2532"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Legislative framework for renewable hydrogen and sustainable biomethane</w:t>
            </w:r>
          </w:p>
        </w:tc>
        <w:tc>
          <w:tcPr>
            <w:tcW w:w="1134" w:type="dxa"/>
            <w:tcBorders>
              <w:top w:val="single" w:sz="4" w:space="0" w:color="auto"/>
              <w:left w:val="nil"/>
              <w:bottom w:val="single" w:sz="4" w:space="0" w:color="auto"/>
              <w:right w:val="single" w:sz="4" w:space="0" w:color="auto"/>
            </w:tcBorders>
            <w:shd w:val="clear" w:color="auto" w:fill="C6EFCE"/>
            <w:noWrap/>
          </w:tcPr>
          <w:p w14:paraId="2D78B346"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hAnsi="Times New Roman" w:cs="Times New Roman"/>
                <w:noProof/>
                <w:color w:val="006100"/>
                <w:sz w:val="18"/>
                <w:szCs w:val="18"/>
              </w:rPr>
              <w:t xml:space="preserve">Entry into force of the legislation </w:t>
            </w:r>
          </w:p>
        </w:tc>
        <w:tc>
          <w:tcPr>
            <w:tcW w:w="993" w:type="dxa"/>
            <w:tcBorders>
              <w:top w:val="single" w:sz="4" w:space="0" w:color="auto"/>
              <w:left w:val="nil"/>
              <w:bottom w:val="single" w:sz="4" w:space="0" w:color="auto"/>
              <w:right w:val="single" w:sz="4" w:space="0" w:color="auto"/>
            </w:tcBorders>
            <w:shd w:val="clear" w:color="auto" w:fill="C6EFCE"/>
            <w:noWrap/>
          </w:tcPr>
          <w:p w14:paraId="0A82628B"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tcPr>
          <w:p w14:paraId="470B275E"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11F215D2"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0F3BD682"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50" w:type="dxa"/>
            <w:tcBorders>
              <w:top w:val="single" w:sz="4" w:space="0" w:color="auto"/>
              <w:left w:val="nil"/>
              <w:bottom w:val="single" w:sz="4" w:space="0" w:color="auto"/>
              <w:right w:val="single" w:sz="4" w:space="0" w:color="auto"/>
            </w:tcBorders>
            <w:shd w:val="clear" w:color="auto" w:fill="C6EFCE"/>
            <w:noWrap/>
          </w:tcPr>
          <w:p w14:paraId="05A0FC1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402" w:type="dxa"/>
            <w:tcBorders>
              <w:top w:val="single" w:sz="4" w:space="0" w:color="auto"/>
              <w:left w:val="nil"/>
              <w:bottom w:val="single" w:sz="4" w:space="0" w:color="auto"/>
              <w:right w:val="single" w:sz="4" w:space="0" w:color="auto"/>
            </w:tcBorders>
            <w:shd w:val="clear" w:color="auto" w:fill="C6EFCE"/>
            <w:noWrap/>
          </w:tcPr>
          <w:p w14:paraId="0BF2CC8E" w14:textId="77777777"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the legislation (primary and secondary) for the support to renewable hydrogen and sustainable biomethane. </w:t>
            </w:r>
          </w:p>
          <w:p w14:paraId="7C9E15C9"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The legislation shall include: the promotion of production and consumption of renewable hydrogen and sustainable biomethane, including the specification of the licencing and permitting procedures, provisions on spatial planning, the definition of the technical specifications for transmission, storage and injection into the grid, the clarification of the roles of the various stakeholders, as well as public authorities involved, while ensuring a mechanism to certify that the hydrogen produced would be renewable and the biomethane sustainable, in line with the recent provisions from the RED II Delegated Acts.</w:t>
            </w:r>
          </w:p>
        </w:tc>
      </w:tr>
    </w:tbl>
    <w:p w14:paraId="173E705F" w14:textId="77777777" w:rsidR="001B186F" w:rsidRPr="00DE4E4F" w:rsidRDefault="001B186F">
      <w:pPr>
        <w:rPr>
          <w:noProof/>
        </w:rPr>
      </w:pPr>
    </w:p>
    <w:p w14:paraId="5169BB56" w14:textId="77777777" w:rsidR="001B186F" w:rsidRPr="00DE4E4F" w:rsidRDefault="0074517F">
      <w:pPr>
        <w:spacing w:after="0" w:line="240" w:lineRule="auto"/>
        <w:rPr>
          <w:rFonts w:ascii="Cambria" w:hAnsi="Cambria"/>
          <w:noProof/>
          <w:color w:val="365F91" w:themeColor="accent1" w:themeShade="BF"/>
          <w:sz w:val="24"/>
        </w:rPr>
      </w:pPr>
      <w:r w:rsidRPr="00DE4E4F">
        <w:rPr>
          <w:rFonts w:ascii="Cambria" w:hAnsi="Cambria"/>
          <w:noProof/>
          <w:color w:val="365F91" w:themeColor="accent1" w:themeShade="BF"/>
          <w:sz w:val="24"/>
        </w:rPr>
        <w:br w:type="page"/>
      </w:r>
    </w:p>
    <w:p w14:paraId="6044AF60" w14:textId="77777777" w:rsidR="001B186F" w:rsidRPr="00DE4E4F" w:rsidRDefault="0074517F">
      <w:pPr>
        <w:keepNext/>
        <w:keepLines/>
        <w:spacing w:before="240" w:after="0" w:line="240" w:lineRule="auto"/>
        <w:jc w:val="both"/>
        <w:outlineLvl w:val="4"/>
        <w:rPr>
          <w:rFonts w:ascii="Cambria" w:hAnsi="Cambria"/>
          <w:noProof/>
          <w:color w:val="365F91" w:themeColor="accent1" w:themeShade="BF"/>
          <w:sz w:val="24"/>
        </w:rPr>
      </w:pPr>
      <w:r w:rsidRPr="00DE4E4F">
        <w:rPr>
          <w:rFonts w:ascii="Cambria" w:hAnsi="Cambria"/>
          <w:noProof/>
          <w:color w:val="365F91" w:themeColor="accent1" w:themeShade="BF"/>
          <w:sz w:val="24"/>
        </w:rPr>
        <w:t>Reform 2: Optimisation of land and sea space usage for the development of RES and offshore wind energy development (measure ID: 16989)</w:t>
      </w:r>
    </w:p>
    <w:tbl>
      <w:tblPr>
        <w:tblW w:w="1445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93"/>
        <w:gridCol w:w="2126"/>
        <w:gridCol w:w="1134"/>
        <w:gridCol w:w="1559"/>
        <w:gridCol w:w="1418"/>
        <w:gridCol w:w="992"/>
        <w:gridCol w:w="992"/>
        <w:gridCol w:w="709"/>
        <w:gridCol w:w="851"/>
        <w:gridCol w:w="634"/>
        <w:gridCol w:w="3246"/>
      </w:tblGrid>
      <w:tr w:rsidR="00682269" w:rsidRPr="00DE4E4F" w14:paraId="7FB1F447" w14:textId="77777777" w:rsidTr="00B2368C">
        <w:trPr>
          <w:trHeight w:val="844"/>
          <w:tblHeader/>
          <w:jc w:val="center"/>
        </w:trPr>
        <w:tc>
          <w:tcPr>
            <w:tcW w:w="793" w:type="dxa"/>
            <w:vMerge w:val="restart"/>
            <w:shd w:val="clear" w:color="auto" w:fill="BDD7EE"/>
            <w:vAlign w:val="center"/>
            <w:hideMark/>
          </w:tcPr>
          <w:p w14:paraId="4608ED9C"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126" w:type="dxa"/>
            <w:vMerge w:val="restart"/>
            <w:shd w:val="clear" w:color="auto" w:fill="BDD7EE"/>
            <w:vAlign w:val="center"/>
            <w:hideMark/>
          </w:tcPr>
          <w:p w14:paraId="5F905D8D"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Related Measure (Reform or Investment)</w:t>
            </w:r>
          </w:p>
        </w:tc>
        <w:tc>
          <w:tcPr>
            <w:tcW w:w="1134" w:type="dxa"/>
            <w:vMerge w:val="restart"/>
            <w:shd w:val="clear" w:color="auto" w:fill="BDD7EE"/>
            <w:vAlign w:val="center"/>
            <w:hideMark/>
          </w:tcPr>
          <w:p w14:paraId="4061C8EF"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Milestone / Target</w:t>
            </w:r>
          </w:p>
        </w:tc>
        <w:tc>
          <w:tcPr>
            <w:tcW w:w="1559" w:type="dxa"/>
            <w:vMerge w:val="restart"/>
            <w:shd w:val="clear" w:color="auto" w:fill="BDD7EE"/>
            <w:vAlign w:val="center"/>
            <w:hideMark/>
          </w:tcPr>
          <w:p w14:paraId="02664315"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Name</w:t>
            </w:r>
          </w:p>
        </w:tc>
        <w:tc>
          <w:tcPr>
            <w:tcW w:w="1418" w:type="dxa"/>
            <w:vMerge w:val="restart"/>
            <w:shd w:val="clear" w:color="auto" w:fill="BDD7EE"/>
            <w:vAlign w:val="center"/>
            <w:hideMark/>
          </w:tcPr>
          <w:p w14:paraId="28283055"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Qualitative indicators (for milestones)</w:t>
            </w:r>
          </w:p>
        </w:tc>
        <w:tc>
          <w:tcPr>
            <w:tcW w:w="2693" w:type="dxa"/>
            <w:gridSpan w:val="3"/>
            <w:shd w:val="clear" w:color="auto" w:fill="BDD7EE"/>
            <w:vAlign w:val="center"/>
            <w:hideMark/>
          </w:tcPr>
          <w:p w14:paraId="28D2ED19"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Quantitative indicators (for targets)</w:t>
            </w:r>
          </w:p>
        </w:tc>
        <w:tc>
          <w:tcPr>
            <w:tcW w:w="1485" w:type="dxa"/>
            <w:gridSpan w:val="2"/>
            <w:shd w:val="clear" w:color="auto" w:fill="BDD7EE"/>
            <w:vAlign w:val="center"/>
            <w:hideMark/>
          </w:tcPr>
          <w:p w14:paraId="3EDE95C0"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Indicative timeline for completion</w:t>
            </w:r>
          </w:p>
        </w:tc>
        <w:tc>
          <w:tcPr>
            <w:tcW w:w="3246" w:type="dxa"/>
            <w:vMerge w:val="restart"/>
            <w:shd w:val="clear" w:color="auto" w:fill="BDD7EE"/>
            <w:vAlign w:val="center"/>
            <w:hideMark/>
          </w:tcPr>
          <w:p w14:paraId="7C23AD08"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Description of each milestone and target</w:t>
            </w:r>
          </w:p>
        </w:tc>
      </w:tr>
      <w:tr w:rsidR="00682269" w:rsidRPr="00DE4E4F" w14:paraId="6591E3D5" w14:textId="77777777" w:rsidTr="00B2368C">
        <w:trPr>
          <w:trHeight w:val="277"/>
          <w:tblHeader/>
          <w:jc w:val="center"/>
        </w:trPr>
        <w:tc>
          <w:tcPr>
            <w:tcW w:w="793" w:type="dxa"/>
            <w:vMerge/>
            <w:vAlign w:val="center"/>
          </w:tcPr>
          <w:p w14:paraId="68F5490B"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2126" w:type="dxa"/>
            <w:vMerge/>
            <w:vAlign w:val="center"/>
          </w:tcPr>
          <w:p w14:paraId="25001193"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134" w:type="dxa"/>
            <w:vMerge/>
            <w:vAlign w:val="center"/>
          </w:tcPr>
          <w:p w14:paraId="0EAF016F"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559" w:type="dxa"/>
            <w:vMerge/>
            <w:vAlign w:val="center"/>
          </w:tcPr>
          <w:p w14:paraId="6AD6A84F"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418" w:type="dxa"/>
            <w:vMerge/>
            <w:vAlign w:val="center"/>
          </w:tcPr>
          <w:p w14:paraId="4803C640"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shd w:val="clear" w:color="auto" w:fill="BDD7EE"/>
            <w:vAlign w:val="center"/>
          </w:tcPr>
          <w:p w14:paraId="53D96049"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2" w:type="dxa"/>
            <w:shd w:val="clear" w:color="auto" w:fill="BDD7EE"/>
            <w:vAlign w:val="center"/>
          </w:tcPr>
          <w:p w14:paraId="554FC4F5"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709" w:type="dxa"/>
            <w:shd w:val="clear" w:color="auto" w:fill="BDD7EE"/>
            <w:vAlign w:val="center"/>
          </w:tcPr>
          <w:p w14:paraId="7043CF2E"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51" w:type="dxa"/>
            <w:shd w:val="clear" w:color="auto" w:fill="BDD7EE"/>
            <w:vAlign w:val="center"/>
          </w:tcPr>
          <w:p w14:paraId="7470124A"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34" w:type="dxa"/>
            <w:shd w:val="clear" w:color="auto" w:fill="BDD7EE"/>
            <w:vAlign w:val="center"/>
          </w:tcPr>
          <w:p w14:paraId="0A7AA762"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246" w:type="dxa"/>
            <w:vMerge/>
            <w:vAlign w:val="center"/>
          </w:tcPr>
          <w:p w14:paraId="1E740FE1"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05F72930" w14:textId="77777777" w:rsidTr="00B2368C">
        <w:trPr>
          <w:jc w:val="center"/>
        </w:trPr>
        <w:tc>
          <w:tcPr>
            <w:tcW w:w="793" w:type="dxa"/>
            <w:shd w:val="clear" w:color="auto" w:fill="C6EFCE"/>
            <w:noWrap/>
          </w:tcPr>
          <w:p w14:paraId="28DE4BF4"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353</w:t>
            </w:r>
          </w:p>
        </w:tc>
        <w:tc>
          <w:tcPr>
            <w:tcW w:w="2126" w:type="dxa"/>
            <w:shd w:val="clear" w:color="auto" w:fill="C6EFCE"/>
            <w:noWrap/>
          </w:tcPr>
          <w:p w14:paraId="7314A6DB" w14:textId="77777777" w:rsidR="001B186F" w:rsidRPr="00DE4E4F" w:rsidRDefault="0074517F">
            <w:pPr>
              <w:spacing w:after="12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20 - 5.1. REPowerEU reforms - 16989_Optimisation of land and sea space usage for the development of RES and offshore wind energy development</w:t>
            </w:r>
          </w:p>
        </w:tc>
        <w:tc>
          <w:tcPr>
            <w:tcW w:w="1134" w:type="dxa"/>
            <w:shd w:val="clear" w:color="auto" w:fill="C6EFCE"/>
            <w:noWrap/>
          </w:tcPr>
          <w:p w14:paraId="7A5209E1" w14:textId="77777777" w:rsidR="001B186F" w:rsidRPr="00DE4E4F" w:rsidRDefault="0074517F">
            <w:pPr>
              <w:spacing w:after="12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3851F35A"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Identification of areas for Renewable Energy Sources and framework for dual use of land for agriculture and photovoltaics</w:t>
            </w:r>
          </w:p>
        </w:tc>
        <w:tc>
          <w:tcPr>
            <w:tcW w:w="1418" w:type="dxa"/>
            <w:shd w:val="clear" w:color="auto" w:fill="C6EFCE"/>
            <w:noWrap/>
          </w:tcPr>
          <w:p w14:paraId="3AF18BDA" w14:textId="523443A2" w:rsidR="001B186F" w:rsidRPr="00DE4E4F" w:rsidRDefault="0074517F">
            <w:pPr>
              <w:spacing w:after="120" w:line="240" w:lineRule="auto"/>
              <w:rPr>
                <w:rFonts w:ascii="Times New Roman" w:eastAsia="Times New Roman" w:hAnsi="Times New Roman" w:cs="Times New Roman"/>
                <w:noProof/>
                <w:color w:val="006100"/>
                <w:sz w:val="18"/>
                <w:szCs w:val="18"/>
                <w:highlight w:val="yellow"/>
                <w:lang w:eastAsia="en-GB"/>
              </w:rPr>
            </w:pPr>
            <w:r w:rsidRPr="00DE4E4F">
              <w:rPr>
                <w:rFonts w:ascii="Times New Roman" w:hAnsi="Times New Roman" w:cs="Times New Roman"/>
                <w:noProof/>
                <w:color w:val="006100"/>
                <w:sz w:val="18"/>
                <w:szCs w:val="18"/>
              </w:rPr>
              <w:t>Legal act(s)</w:t>
            </w:r>
          </w:p>
        </w:tc>
        <w:tc>
          <w:tcPr>
            <w:tcW w:w="992" w:type="dxa"/>
            <w:shd w:val="clear" w:color="auto" w:fill="C6EFCE"/>
            <w:noWrap/>
          </w:tcPr>
          <w:p w14:paraId="5F8F00F6"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92" w:type="dxa"/>
            <w:shd w:val="clear" w:color="auto" w:fill="C6EFCE"/>
            <w:noWrap/>
          </w:tcPr>
          <w:p w14:paraId="0C24C43F"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09" w:type="dxa"/>
            <w:shd w:val="clear" w:color="auto" w:fill="C6EFCE"/>
            <w:noWrap/>
          </w:tcPr>
          <w:p w14:paraId="7989676B"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51" w:type="dxa"/>
            <w:shd w:val="clear" w:color="auto" w:fill="C6EFCE"/>
            <w:noWrap/>
          </w:tcPr>
          <w:p w14:paraId="27517F77"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34" w:type="dxa"/>
            <w:shd w:val="clear" w:color="auto" w:fill="C6EFCE"/>
            <w:noWrap/>
          </w:tcPr>
          <w:p w14:paraId="7C93BAFD"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246" w:type="dxa"/>
            <w:shd w:val="clear" w:color="auto" w:fill="C6EFCE"/>
            <w:noWrap/>
          </w:tcPr>
          <w:p w14:paraId="4A79760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legal act, identifying:</w:t>
            </w:r>
          </w:p>
          <w:p w14:paraId="30B260D5" w14:textId="77777777" w:rsidR="001B186F" w:rsidRPr="00DE4E4F" w:rsidRDefault="0074517F">
            <w:pPr>
              <w:pStyle w:val="ListParagraph"/>
              <w:numPr>
                <w:ilvl w:val="0"/>
                <w:numId w:val="87"/>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Renewable Energy Sources potential;</w:t>
            </w:r>
          </w:p>
          <w:p w14:paraId="4639A73E" w14:textId="77777777" w:rsidR="001B186F" w:rsidRPr="00DE4E4F" w:rsidRDefault="0074517F">
            <w:pPr>
              <w:pStyle w:val="ListParagraph"/>
              <w:numPr>
                <w:ilvl w:val="0"/>
                <w:numId w:val="87"/>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geographical distribution of existing Renewable Energy Sources units;</w:t>
            </w:r>
          </w:p>
          <w:p w14:paraId="2CD1C386" w14:textId="77777777" w:rsidR="001B186F" w:rsidRPr="00DE4E4F" w:rsidRDefault="0074517F">
            <w:pPr>
              <w:pStyle w:val="ListParagraph"/>
              <w:numPr>
                <w:ilvl w:val="0"/>
                <w:numId w:val="87"/>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permits for future Renewable Energy Sources units. </w:t>
            </w:r>
          </w:p>
          <w:p w14:paraId="0646C8E5"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 xml:space="preserve"> </w:t>
            </w:r>
          </w:p>
          <w:p w14:paraId="6495AB2B"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 xml:space="preserve">Entry into force of legal act, identifying: </w:t>
            </w:r>
          </w:p>
          <w:p w14:paraId="5CD47061" w14:textId="77777777" w:rsidR="001B186F" w:rsidRPr="00DE4E4F" w:rsidRDefault="0074517F">
            <w:pPr>
              <w:pStyle w:val="ListParagraph"/>
              <w:numPr>
                <w:ilvl w:val="0"/>
                <w:numId w:val="8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suitable sites for implementing Agri-Photovoltaics;</w:t>
            </w:r>
          </w:p>
          <w:p w14:paraId="5CE81852" w14:textId="77777777" w:rsidR="001B186F" w:rsidRPr="00DE4E4F" w:rsidRDefault="0074517F">
            <w:pPr>
              <w:pStyle w:val="ListParagraph"/>
              <w:numPr>
                <w:ilvl w:val="0"/>
                <w:numId w:val="88"/>
              </w:num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actions for the promotion of Agri-Photovoltaics; </w:t>
            </w:r>
          </w:p>
          <w:p w14:paraId="654E3FEC" w14:textId="7D79F01C" w:rsidR="001B186F" w:rsidRPr="00DE4E4F" w:rsidRDefault="0074517F" w:rsidP="00B2368C">
            <w:pPr>
              <w:pStyle w:val="ListParagraph"/>
              <w:numPr>
                <w:ilvl w:val="0"/>
                <w:numId w:val="88"/>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rules for the dual use of land and Agri-Photovoltaics projects.</w:t>
            </w:r>
          </w:p>
        </w:tc>
      </w:tr>
      <w:tr w:rsidR="00682269" w:rsidRPr="00DE4E4F" w14:paraId="6805238C" w14:textId="77777777" w:rsidTr="00B2368C">
        <w:trPr>
          <w:jc w:val="center"/>
        </w:trPr>
        <w:tc>
          <w:tcPr>
            <w:tcW w:w="793" w:type="dxa"/>
            <w:shd w:val="clear" w:color="auto" w:fill="C6EFCE"/>
            <w:noWrap/>
          </w:tcPr>
          <w:p w14:paraId="75F3D1DA"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354</w:t>
            </w:r>
          </w:p>
        </w:tc>
        <w:tc>
          <w:tcPr>
            <w:tcW w:w="2126" w:type="dxa"/>
            <w:shd w:val="clear" w:color="auto" w:fill="C6EFCE"/>
            <w:noWrap/>
          </w:tcPr>
          <w:p w14:paraId="25C699F9" w14:textId="77777777" w:rsidR="001B186F" w:rsidRPr="00DE4E4F" w:rsidRDefault="0074517F">
            <w:pPr>
              <w:spacing w:after="12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20 - 5.1. REPowerEU reforms - 16989_Optimisation of land and sea space usage for the development of RES and offshore wind energy development</w:t>
            </w:r>
          </w:p>
        </w:tc>
        <w:tc>
          <w:tcPr>
            <w:tcW w:w="1134" w:type="dxa"/>
            <w:shd w:val="clear" w:color="auto" w:fill="C6EFCE"/>
            <w:noWrap/>
          </w:tcPr>
          <w:p w14:paraId="4F0DB003" w14:textId="77777777" w:rsidR="001B186F" w:rsidRPr="00DE4E4F" w:rsidRDefault="0074517F">
            <w:pPr>
              <w:spacing w:after="12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559" w:type="dxa"/>
            <w:shd w:val="clear" w:color="auto" w:fill="C6EFCE"/>
            <w:noWrap/>
          </w:tcPr>
          <w:p w14:paraId="5B2632AA" w14:textId="46334023" w:rsidR="001B186F" w:rsidRPr="00DE4E4F" w:rsidRDefault="00FC5E17">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Legal act(s) for offshore wind farms and Renewable Energy Sources</w:t>
            </w:r>
          </w:p>
        </w:tc>
        <w:tc>
          <w:tcPr>
            <w:tcW w:w="1418" w:type="dxa"/>
            <w:shd w:val="clear" w:color="auto" w:fill="C6EFCE"/>
            <w:noWrap/>
          </w:tcPr>
          <w:p w14:paraId="637279D9" w14:textId="5B90CFF3" w:rsidR="001B186F" w:rsidRPr="00DE4E4F" w:rsidRDefault="00EC3DFA">
            <w:pPr>
              <w:spacing w:after="12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w:t>
            </w:r>
            <w:r w:rsidR="0074517F" w:rsidRPr="00DE4E4F">
              <w:rPr>
                <w:rFonts w:ascii="Times New Roman" w:hAnsi="Times New Roman" w:cs="Times New Roman"/>
                <w:noProof/>
                <w:color w:val="006100"/>
                <w:sz w:val="18"/>
                <w:szCs w:val="18"/>
              </w:rPr>
              <w:t>egal act(s)</w:t>
            </w:r>
          </w:p>
        </w:tc>
        <w:tc>
          <w:tcPr>
            <w:tcW w:w="992" w:type="dxa"/>
            <w:shd w:val="clear" w:color="auto" w:fill="C6EFCE"/>
            <w:noWrap/>
          </w:tcPr>
          <w:p w14:paraId="39B96EB9" w14:textId="77777777" w:rsidR="001B186F" w:rsidRPr="00DE4E4F" w:rsidRDefault="001B186F">
            <w:pPr>
              <w:spacing w:after="120" w:line="240" w:lineRule="auto"/>
              <w:rPr>
                <w:rFonts w:ascii="Times New Roman" w:hAnsi="Times New Roman" w:cs="Times New Roman"/>
                <w:noProof/>
                <w:sz w:val="18"/>
                <w:szCs w:val="18"/>
              </w:rPr>
            </w:pPr>
          </w:p>
        </w:tc>
        <w:tc>
          <w:tcPr>
            <w:tcW w:w="992" w:type="dxa"/>
            <w:shd w:val="clear" w:color="auto" w:fill="C6EFCE"/>
            <w:noWrap/>
          </w:tcPr>
          <w:p w14:paraId="19D97079" w14:textId="77777777" w:rsidR="001B186F" w:rsidRPr="00DE4E4F" w:rsidRDefault="001B186F">
            <w:pPr>
              <w:spacing w:after="120" w:line="240" w:lineRule="auto"/>
              <w:rPr>
                <w:rFonts w:ascii="Times New Roman" w:hAnsi="Times New Roman" w:cs="Times New Roman"/>
                <w:noProof/>
                <w:sz w:val="18"/>
                <w:szCs w:val="18"/>
              </w:rPr>
            </w:pPr>
          </w:p>
        </w:tc>
        <w:tc>
          <w:tcPr>
            <w:tcW w:w="709" w:type="dxa"/>
            <w:shd w:val="clear" w:color="auto" w:fill="C6EFCE"/>
            <w:noWrap/>
          </w:tcPr>
          <w:p w14:paraId="45BC8D73" w14:textId="77777777" w:rsidR="001B186F" w:rsidRPr="00DE4E4F" w:rsidRDefault="001B186F">
            <w:pPr>
              <w:spacing w:after="120" w:line="240" w:lineRule="auto"/>
              <w:rPr>
                <w:rFonts w:ascii="Times New Roman" w:hAnsi="Times New Roman" w:cs="Times New Roman"/>
                <w:noProof/>
                <w:sz w:val="18"/>
                <w:szCs w:val="18"/>
              </w:rPr>
            </w:pPr>
          </w:p>
        </w:tc>
        <w:tc>
          <w:tcPr>
            <w:tcW w:w="851" w:type="dxa"/>
            <w:shd w:val="clear" w:color="auto" w:fill="C6EFCE"/>
            <w:noWrap/>
          </w:tcPr>
          <w:p w14:paraId="6D8B5728"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634" w:type="dxa"/>
            <w:shd w:val="clear" w:color="auto" w:fill="C6EFCE"/>
            <w:noWrap/>
          </w:tcPr>
          <w:p w14:paraId="159B8654"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246" w:type="dxa"/>
            <w:shd w:val="clear" w:color="auto" w:fill="C6EFCE"/>
            <w:noWrap/>
          </w:tcPr>
          <w:p w14:paraId="0A7D1478" w14:textId="5D86723F" w:rsidR="001B186F" w:rsidRPr="00DE4E4F" w:rsidRDefault="00134294">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Regarding</w:t>
            </w:r>
            <w:r w:rsidR="0074517F" w:rsidRPr="00DE4E4F">
              <w:rPr>
                <w:rFonts w:ascii="Times New Roman" w:eastAsia="Times New Roman" w:hAnsi="Times New Roman" w:cs="Times New Roman"/>
                <w:noProof/>
                <w:color w:val="006100"/>
                <w:sz w:val="18"/>
                <w:szCs w:val="18"/>
                <w:lang w:eastAsia="en-GB"/>
              </w:rPr>
              <w:t xml:space="preserve"> offshore wind development:</w:t>
            </w:r>
          </w:p>
          <w:p w14:paraId="7B86EBC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0210F7C2" w14:textId="64C226CE"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(i) Creation of a Special Purpose Vehicle (SPV) responsible for coordinating the collection of data for offshore wind farms: (a) </w:t>
            </w:r>
            <w:r w:rsidR="00007E61" w:rsidRPr="00DE4E4F">
              <w:rPr>
                <w:rFonts w:ascii="Times New Roman" w:eastAsia="Times New Roman" w:hAnsi="Times New Roman" w:cs="Times New Roman"/>
                <w:noProof/>
                <w:color w:val="006100"/>
                <w:sz w:val="18"/>
                <w:szCs w:val="18"/>
                <w:lang w:eastAsia="en-GB"/>
              </w:rPr>
              <w:t xml:space="preserve">registration of the </w:t>
            </w:r>
            <w:r w:rsidR="006863E2" w:rsidRPr="00DE4E4F">
              <w:rPr>
                <w:rFonts w:ascii="Times New Roman" w:eastAsia="Times New Roman" w:hAnsi="Times New Roman" w:cs="Times New Roman"/>
                <w:noProof/>
                <w:color w:val="006100"/>
                <w:sz w:val="18"/>
                <w:szCs w:val="18"/>
                <w:lang w:eastAsia="en-GB"/>
              </w:rPr>
              <w:t>SPV</w:t>
            </w:r>
            <w:r w:rsidR="00007E61" w:rsidRPr="00DE4E4F">
              <w:rPr>
                <w:rFonts w:ascii="Times New Roman" w:eastAsia="Times New Roman" w:hAnsi="Times New Roman" w:cs="Times New Roman"/>
                <w:noProof/>
                <w:color w:val="006100"/>
                <w:sz w:val="18"/>
                <w:szCs w:val="18"/>
                <w:lang w:eastAsia="en-GB"/>
              </w:rPr>
              <w:t xml:space="preserve"> to the corporate registry</w:t>
            </w:r>
            <w:r w:rsidR="00E05E83" w:rsidRPr="00DE4E4F">
              <w:rPr>
                <w:rFonts w:ascii="Times New Roman" w:eastAsia="Times New Roman" w:hAnsi="Times New Roman" w:cs="Times New Roman"/>
                <w:noProof/>
                <w:color w:val="006100"/>
                <w:sz w:val="18"/>
                <w:szCs w:val="18"/>
                <w:lang w:eastAsia="en-GB"/>
              </w:rPr>
              <w:t>;</w:t>
            </w:r>
            <w:r w:rsidR="00436390" w:rsidRPr="00DE4E4F">
              <w:rPr>
                <w:rFonts w:ascii="Times New Roman" w:eastAsia="Times New Roman" w:hAnsi="Times New Roman" w:cs="Times New Roman"/>
                <w:noProof/>
                <w:color w:val="006100"/>
                <w:sz w:val="18"/>
                <w:szCs w:val="18"/>
                <w:lang w:eastAsia="en-GB"/>
              </w:rPr>
              <w:t xml:space="preserve"> (b) </w:t>
            </w:r>
            <w:r w:rsidR="00820572" w:rsidRPr="00DE4E4F">
              <w:rPr>
                <w:rFonts w:ascii="Times New Roman" w:eastAsia="Times New Roman" w:hAnsi="Times New Roman" w:cs="Times New Roman"/>
                <w:noProof/>
                <w:color w:val="006100"/>
                <w:sz w:val="18"/>
                <w:szCs w:val="18"/>
                <w:lang w:eastAsia="en-GB"/>
              </w:rPr>
              <w:t>administrative decision</w:t>
            </w:r>
            <w:r w:rsidR="00007E61" w:rsidRPr="00DE4E4F">
              <w:rPr>
                <w:rFonts w:ascii="Times New Roman" w:eastAsia="Times New Roman" w:hAnsi="Times New Roman" w:cs="Times New Roman"/>
                <w:noProof/>
                <w:color w:val="006100"/>
                <w:sz w:val="18"/>
                <w:szCs w:val="18"/>
                <w:lang w:eastAsia="en-GB"/>
              </w:rPr>
              <w:t xml:space="preserve"> </w:t>
            </w:r>
            <w:r w:rsidR="00E05E83" w:rsidRPr="00DE4E4F">
              <w:rPr>
                <w:rFonts w:ascii="Times New Roman" w:eastAsia="Times New Roman" w:hAnsi="Times New Roman" w:cs="Times New Roman"/>
                <w:noProof/>
                <w:color w:val="006100"/>
                <w:sz w:val="18"/>
                <w:szCs w:val="18"/>
                <w:lang w:eastAsia="en-GB"/>
              </w:rPr>
              <w:t xml:space="preserve">shall set out </w:t>
            </w:r>
            <w:r w:rsidR="00007E61" w:rsidRPr="00DE4E4F">
              <w:rPr>
                <w:rFonts w:ascii="Times New Roman" w:eastAsia="Times New Roman" w:hAnsi="Times New Roman" w:cs="Times New Roman"/>
                <w:noProof/>
                <w:color w:val="006100"/>
                <w:sz w:val="18"/>
                <w:szCs w:val="18"/>
                <w:lang w:eastAsia="en-GB"/>
              </w:rPr>
              <w:t>the SPV’s mandate, scope of activities and governance structure; (</w:t>
            </w:r>
            <w:r w:rsidR="00E05E83" w:rsidRPr="00DE4E4F">
              <w:rPr>
                <w:rFonts w:ascii="Times New Roman" w:eastAsia="Times New Roman" w:hAnsi="Times New Roman" w:cs="Times New Roman"/>
                <w:noProof/>
                <w:color w:val="006100"/>
                <w:sz w:val="18"/>
                <w:szCs w:val="18"/>
                <w:lang w:eastAsia="en-GB"/>
              </w:rPr>
              <w:t>c</w:t>
            </w:r>
            <w:r w:rsidR="00007E61" w:rsidRPr="00DE4E4F">
              <w:rPr>
                <w:rFonts w:ascii="Times New Roman" w:eastAsia="Times New Roman" w:hAnsi="Times New Roman" w:cs="Times New Roman"/>
                <w:noProof/>
                <w:color w:val="006100"/>
                <w:sz w:val="18"/>
                <w:szCs w:val="18"/>
                <w:lang w:eastAsia="en-GB"/>
              </w:rPr>
              <w:t xml:space="preserve">) legal act shall </w:t>
            </w:r>
            <w:r w:rsidR="00FD0FF0" w:rsidRPr="00DE4E4F">
              <w:rPr>
                <w:rFonts w:ascii="Times New Roman" w:eastAsia="Times New Roman" w:hAnsi="Times New Roman" w:cs="Times New Roman"/>
                <w:noProof/>
                <w:color w:val="006100"/>
                <w:sz w:val="18"/>
                <w:szCs w:val="18"/>
                <w:lang w:eastAsia="en-GB"/>
              </w:rPr>
              <w:t>allocate</w:t>
            </w:r>
            <w:r w:rsidR="00F0628B" w:rsidRPr="00DE4E4F">
              <w:rPr>
                <w:rFonts w:ascii="Times New Roman" w:eastAsia="Times New Roman" w:hAnsi="Times New Roman" w:cs="Times New Roman"/>
                <w:noProof/>
                <w:color w:val="006100"/>
                <w:sz w:val="18"/>
                <w:szCs w:val="18"/>
                <w:lang w:eastAsia="en-GB"/>
              </w:rPr>
              <w:t xml:space="preserve"> </w:t>
            </w:r>
            <w:r w:rsidR="00007E61" w:rsidRPr="00DE4E4F">
              <w:rPr>
                <w:rFonts w:ascii="Times New Roman" w:eastAsia="Times New Roman" w:hAnsi="Times New Roman" w:cs="Times New Roman"/>
                <w:noProof/>
                <w:color w:val="006100"/>
                <w:sz w:val="18"/>
                <w:szCs w:val="18"/>
                <w:lang w:eastAsia="en-GB"/>
              </w:rPr>
              <w:t xml:space="preserve">financing </w:t>
            </w:r>
            <w:r w:rsidR="00C35533" w:rsidRPr="00DE4E4F">
              <w:rPr>
                <w:rFonts w:ascii="Times New Roman" w:eastAsia="Times New Roman" w:hAnsi="Times New Roman" w:cs="Times New Roman"/>
                <w:noProof/>
                <w:color w:val="006100"/>
                <w:sz w:val="18"/>
                <w:szCs w:val="18"/>
                <w:lang w:eastAsia="en-GB"/>
              </w:rPr>
              <w:t xml:space="preserve">to </w:t>
            </w:r>
            <w:r w:rsidR="00D63BAF" w:rsidRPr="00DE4E4F">
              <w:rPr>
                <w:rFonts w:ascii="Times New Roman" w:eastAsia="Times New Roman" w:hAnsi="Times New Roman" w:cs="Times New Roman"/>
                <w:noProof/>
                <w:color w:val="006100"/>
                <w:sz w:val="18"/>
                <w:szCs w:val="18"/>
                <w:lang w:eastAsia="en-GB"/>
              </w:rPr>
              <w:t>the SPV</w:t>
            </w:r>
            <w:r w:rsidR="00007E61" w:rsidRPr="00DE4E4F">
              <w:rPr>
                <w:rFonts w:ascii="Times New Roman" w:eastAsia="Times New Roman" w:hAnsi="Times New Roman" w:cs="Times New Roman"/>
                <w:noProof/>
                <w:color w:val="006100"/>
                <w:sz w:val="18"/>
                <w:szCs w:val="18"/>
                <w:lang w:eastAsia="en-GB"/>
              </w:rPr>
              <w:t xml:space="preserve">. </w:t>
            </w:r>
          </w:p>
          <w:p w14:paraId="5FFD90B0" w14:textId="77777777" w:rsidR="001B186F" w:rsidRPr="00DE4E4F" w:rsidRDefault="001B186F">
            <w:pPr>
              <w:spacing w:after="120" w:line="240" w:lineRule="auto"/>
              <w:rPr>
                <w:rFonts w:ascii="Times New Roman" w:eastAsia="Times New Roman" w:hAnsi="Times New Roman" w:cs="Times New Roman"/>
                <w:noProof/>
                <w:color w:val="006100"/>
                <w:sz w:val="18"/>
                <w:szCs w:val="18"/>
                <w:lang w:eastAsia="en-GB"/>
              </w:rPr>
            </w:pPr>
          </w:p>
          <w:p w14:paraId="1DA48729" w14:textId="77777777" w:rsidR="001B186F" w:rsidRPr="00DE4E4F" w:rsidRDefault="0074517F">
            <w:pPr>
              <w:spacing w:after="12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(ii) Legal act shall set out the reservation of electrical space for offshore wind farm projects with a total estimated capacity of 1.9 GW. </w:t>
            </w:r>
          </w:p>
          <w:p w14:paraId="7A529612" w14:textId="77777777" w:rsidR="00DA7920" w:rsidRPr="00DE4E4F" w:rsidRDefault="00DA7920">
            <w:pPr>
              <w:spacing w:after="120" w:line="240" w:lineRule="auto"/>
              <w:rPr>
                <w:rFonts w:ascii="Times New Roman" w:hAnsi="Times New Roman" w:cs="Times New Roman"/>
                <w:noProof/>
                <w:sz w:val="18"/>
                <w:szCs w:val="18"/>
              </w:rPr>
            </w:pPr>
          </w:p>
          <w:p w14:paraId="4BE1E47E" w14:textId="77777777" w:rsidR="001B186F" w:rsidRPr="00DE4E4F" w:rsidRDefault="0074517F">
            <w:pPr>
              <w:spacing w:after="120" w:line="240" w:lineRule="auto"/>
              <w:rPr>
                <w:rFonts w:ascii="Times New Roman" w:hAnsi="Times New Roman" w:cs="Times New Roman"/>
                <w:noProof/>
                <w:sz w:val="18"/>
                <w:szCs w:val="18"/>
              </w:rPr>
            </w:pPr>
            <w:r w:rsidRPr="00DE4E4F">
              <w:rPr>
                <w:rFonts w:ascii="Times New Roman" w:eastAsia="Times New Roman" w:hAnsi="Times New Roman" w:cs="Times New Roman"/>
                <w:noProof/>
                <w:color w:val="006100"/>
                <w:sz w:val="18"/>
                <w:szCs w:val="18"/>
                <w:lang w:eastAsia="en-GB"/>
              </w:rPr>
              <w:t>(iii) Legal act shall set out the framework for offshore wind farm tenders.</w:t>
            </w:r>
          </w:p>
          <w:p w14:paraId="3407A33F" w14:textId="075789E7" w:rsidR="001B186F" w:rsidRPr="00DE4E4F" w:rsidRDefault="009D3042">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Regarding</w:t>
            </w:r>
            <w:r w:rsidR="0074517F" w:rsidRPr="00DE4E4F">
              <w:rPr>
                <w:rFonts w:ascii="Times New Roman" w:eastAsia="Times New Roman" w:hAnsi="Times New Roman" w:cs="Times New Roman"/>
                <w:noProof/>
                <w:color w:val="006100"/>
                <w:sz w:val="18"/>
                <w:szCs w:val="18"/>
                <w:lang w:eastAsia="en-GB"/>
              </w:rPr>
              <w:t xml:space="preserve"> land-based Renewable Energy Sources development:</w:t>
            </w:r>
          </w:p>
          <w:p w14:paraId="240E69D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p w14:paraId="57FE977F" w14:textId="47D7D7D9" w:rsidR="001B186F" w:rsidRPr="00DE4E4F" w:rsidRDefault="0074517F">
            <w:pPr>
              <w:spacing w:after="12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(i) Legal act shall set out (a) </w:t>
            </w:r>
            <w:r w:rsidR="00744C7C" w:rsidRPr="00DE4E4F">
              <w:rPr>
                <w:rFonts w:ascii="Times New Roman" w:eastAsia="Times New Roman" w:hAnsi="Times New Roman" w:cs="Times New Roman"/>
                <w:noProof/>
                <w:color w:val="006100"/>
                <w:sz w:val="18"/>
                <w:szCs w:val="18"/>
                <w:lang w:eastAsia="en-GB"/>
              </w:rPr>
              <w:t>areas for the development of Ren</w:t>
            </w:r>
            <w:r w:rsidR="00154B64" w:rsidRPr="00DE4E4F">
              <w:rPr>
                <w:rFonts w:ascii="Times New Roman" w:eastAsia="Times New Roman" w:hAnsi="Times New Roman" w:cs="Times New Roman"/>
                <w:noProof/>
                <w:color w:val="006100"/>
                <w:sz w:val="18"/>
                <w:szCs w:val="18"/>
                <w:lang w:eastAsia="en-GB"/>
              </w:rPr>
              <w:t>ew</w:t>
            </w:r>
            <w:r w:rsidR="00744C7C" w:rsidRPr="00DE4E4F">
              <w:rPr>
                <w:rFonts w:ascii="Times New Roman" w:eastAsia="Times New Roman" w:hAnsi="Times New Roman" w:cs="Times New Roman"/>
                <w:noProof/>
                <w:color w:val="006100"/>
                <w:sz w:val="18"/>
                <w:szCs w:val="18"/>
                <w:lang w:eastAsia="en-GB"/>
              </w:rPr>
              <w:t>able Energy Sources</w:t>
            </w:r>
            <w:r w:rsidRPr="00DE4E4F">
              <w:rPr>
                <w:rFonts w:ascii="Times New Roman" w:eastAsia="Times New Roman" w:hAnsi="Times New Roman" w:cs="Times New Roman"/>
                <w:noProof/>
                <w:color w:val="006100"/>
                <w:sz w:val="18"/>
                <w:szCs w:val="18"/>
                <w:lang w:eastAsia="en-GB"/>
              </w:rPr>
              <w:t xml:space="preserve">; and (b) Renewable Energy Sources acceleration areas in Greece. Strategic Environmental Assessments of </w:t>
            </w:r>
            <w:r w:rsidR="0042051B" w:rsidRPr="00DE4E4F">
              <w:rPr>
                <w:rFonts w:ascii="Times New Roman" w:eastAsia="Times New Roman" w:hAnsi="Times New Roman" w:cs="Times New Roman"/>
                <w:noProof/>
                <w:color w:val="006100"/>
                <w:sz w:val="18"/>
                <w:szCs w:val="18"/>
                <w:lang w:eastAsia="en-GB"/>
              </w:rPr>
              <w:t xml:space="preserve">Renewable Energy Sources acceleration areas </w:t>
            </w:r>
            <w:r w:rsidRPr="00DE4E4F">
              <w:rPr>
                <w:rFonts w:ascii="Times New Roman" w:eastAsia="Times New Roman" w:hAnsi="Times New Roman" w:cs="Times New Roman"/>
                <w:noProof/>
                <w:color w:val="006100"/>
                <w:sz w:val="18"/>
                <w:szCs w:val="18"/>
                <w:lang w:eastAsia="en-GB"/>
              </w:rPr>
              <w:t>shall be performed.</w:t>
            </w:r>
          </w:p>
          <w:p w14:paraId="5D06C6CA" w14:textId="42780888" w:rsidR="001B186F" w:rsidRPr="00DE4E4F" w:rsidRDefault="0074517F">
            <w:pPr>
              <w:spacing w:after="12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(ii) Legal act that shall incentivise Renewable Energy Sources projects in acceleration areas, enabling </w:t>
            </w:r>
            <w:r w:rsidR="00744C7C" w:rsidRPr="00DE4E4F">
              <w:rPr>
                <w:rFonts w:ascii="Times New Roman" w:eastAsia="Times New Roman" w:hAnsi="Times New Roman" w:cs="Times New Roman"/>
                <w:noProof/>
                <w:color w:val="006100"/>
                <w:sz w:val="18"/>
                <w:szCs w:val="18"/>
                <w:lang w:eastAsia="en-GB"/>
              </w:rPr>
              <w:t xml:space="preserve">Renewable Energy Sources </w:t>
            </w:r>
            <w:r w:rsidRPr="00DE4E4F">
              <w:rPr>
                <w:rFonts w:ascii="Times New Roman" w:eastAsia="Times New Roman" w:hAnsi="Times New Roman" w:cs="Times New Roman"/>
                <w:noProof/>
                <w:color w:val="006100"/>
                <w:sz w:val="18"/>
                <w:szCs w:val="18"/>
                <w:lang w:eastAsia="en-GB"/>
              </w:rPr>
              <w:t xml:space="preserve">deployment beyond 2030. This includes the establishment of a framework for acceleration areas, including (a) limited durations of permit-granting procedures, not exceeding 12 months; and (b) </w:t>
            </w:r>
            <w:r w:rsidR="00BF4F7B" w:rsidRPr="00DE4E4F">
              <w:rPr>
                <w:rFonts w:ascii="Times New Roman" w:eastAsia="Times New Roman" w:hAnsi="Times New Roman" w:cs="Times New Roman"/>
                <w:noProof/>
                <w:color w:val="006100"/>
                <w:sz w:val="18"/>
                <w:szCs w:val="18"/>
                <w:lang w:eastAsia="en-GB"/>
              </w:rPr>
              <w:t>fast-track</w:t>
            </w:r>
            <w:r w:rsidRPr="00DE4E4F">
              <w:rPr>
                <w:rFonts w:ascii="Times New Roman" w:eastAsia="Times New Roman" w:hAnsi="Times New Roman" w:cs="Times New Roman"/>
                <w:noProof/>
                <w:color w:val="006100"/>
                <w:sz w:val="18"/>
                <w:szCs w:val="18"/>
                <w:lang w:eastAsia="en-GB"/>
              </w:rPr>
              <w:t xml:space="preserve"> acceleration areas-related </w:t>
            </w:r>
            <w:r w:rsidR="00851375" w:rsidRPr="00DE4E4F">
              <w:rPr>
                <w:rFonts w:ascii="Times New Roman" w:eastAsia="Times New Roman" w:hAnsi="Times New Roman" w:cs="Times New Roman"/>
                <w:noProof/>
                <w:color w:val="006100"/>
                <w:sz w:val="18"/>
                <w:szCs w:val="18"/>
                <w:lang w:eastAsia="en-GB"/>
              </w:rPr>
              <w:t>environmental impact assessment</w:t>
            </w:r>
            <w:r w:rsidRPr="00DE4E4F">
              <w:rPr>
                <w:rFonts w:ascii="Times New Roman" w:eastAsia="Times New Roman" w:hAnsi="Times New Roman" w:cs="Times New Roman"/>
                <w:noProof/>
                <w:color w:val="006100"/>
                <w:sz w:val="18"/>
                <w:szCs w:val="18"/>
                <w:lang w:eastAsia="en-GB"/>
              </w:rPr>
              <w:t>.</w:t>
            </w:r>
          </w:p>
        </w:tc>
      </w:tr>
    </w:tbl>
    <w:p w14:paraId="2831AED7" w14:textId="77777777" w:rsidR="001B186F" w:rsidRPr="00DE4E4F" w:rsidRDefault="001B186F">
      <w:pPr>
        <w:keepNext/>
        <w:keepLines/>
        <w:spacing w:before="240" w:after="0" w:line="240" w:lineRule="auto"/>
        <w:jc w:val="both"/>
        <w:outlineLvl w:val="4"/>
        <w:rPr>
          <w:rFonts w:ascii="Cambria" w:hAnsi="Cambria"/>
          <w:noProof/>
          <w:color w:val="365F91" w:themeColor="accent1" w:themeShade="BF"/>
          <w:sz w:val="24"/>
        </w:rPr>
        <w:sectPr w:rsidR="001B186F" w:rsidRPr="00DE4E4F">
          <w:headerReference w:type="even" r:id="rId390"/>
          <w:headerReference w:type="default" r:id="rId391"/>
          <w:footerReference w:type="even" r:id="rId392"/>
          <w:footerReference w:type="default" r:id="rId393"/>
          <w:headerReference w:type="first" r:id="rId394"/>
          <w:footerReference w:type="first" r:id="rId395"/>
          <w:pgSz w:w="16839" w:h="11907" w:orient="landscape"/>
          <w:pgMar w:top="1134" w:right="1134" w:bottom="1134" w:left="1134" w:header="567" w:footer="567" w:gutter="0"/>
          <w:cols w:space="720"/>
          <w:docGrid w:linePitch="360"/>
        </w:sectPr>
      </w:pPr>
    </w:p>
    <w:p w14:paraId="150D470C" w14:textId="77777777" w:rsidR="001B186F" w:rsidRPr="00DE4E4F" w:rsidRDefault="0074517F">
      <w:pPr>
        <w:keepNext/>
        <w:keepLines/>
        <w:spacing w:before="240" w:after="0" w:line="240" w:lineRule="auto"/>
        <w:jc w:val="both"/>
        <w:outlineLvl w:val="4"/>
        <w:rPr>
          <w:rFonts w:ascii="Cambria" w:eastAsia="Times New Roman" w:hAnsi="Cambria"/>
          <w:noProof/>
          <w:color w:val="4F81BD" w:themeColor="accent1"/>
          <w:sz w:val="24"/>
          <w:szCs w:val="24"/>
        </w:rPr>
      </w:pPr>
      <w:r w:rsidRPr="00DE4E4F">
        <w:rPr>
          <w:rFonts w:ascii="Cambria" w:hAnsi="Cambria"/>
          <w:noProof/>
          <w:color w:val="365F91" w:themeColor="accent1" w:themeShade="BF"/>
          <w:sz w:val="24"/>
        </w:rPr>
        <w:t>Reform 3: Regulatory and market operation framework for carbon capture, usage, and storage technologies to foster industry decarbonisation (measure ID: 16988)</w:t>
      </w:r>
    </w:p>
    <w:tbl>
      <w:tblPr>
        <w:tblW w:w="15417" w:type="dxa"/>
        <w:tblLayout w:type="fixed"/>
        <w:tblLook w:val="04A0" w:firstRow="1" w:lastRow="0" w:firstColumn="1" w:lastColumn="0" w:noHBand="0" w:noVBand="1"/>
      </w:tblPr>
      <w:tblGrid>
        <w:gridCol w:w="588"/>
        <w:gridCol w:w="2781"/>
        <w:gridCol w:w="1134"/>
        <w:gridCol w:w="1275"/>
        <w:gridCol w:w="1701"/>
        <w:gridCol w:w="856"/>
        <w:gridCol w:w="24"/>
        <w:gridCol w:w="963"/>
        <w:gridCol w:w="709"/>
        <w:gridCol w:w="850"/>
        <w:gridCol w:w="645"/>
        <w:gridCol w:w="3891"/>
      </w:tblGrid>
      <w:tr w:rsidR="00682269" w:rsidRPr="00DE4E4F" w14:paraId="1F88F049" w14:textId="77777777" w:rsidTr="001E23A0">
        <w:trPr>
          <w:trHeight w:val="694"/>
          <w:tblHeader/>
        </w:trPr>
        <w:tc>
          <w:tcPr>
            <w:tcW w:w="5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6B6223" w14:textId="77777777" w:rsidR="001B186F" w:rsidRPr="00DE4E4F" w:rsidRDefault="0074517F" w:rsidP="001E23A0">
            <w:pPr>
              <w:spacing w:before="120" w:after="120" w:line="240" w:lineRule="auto"/>
              <w:jc w:val="center"/>
              <w:rPr>
                <w:rFonts w:ascii="Times New Roman" w:hAnsi="Times New Roman"/>
                <w:b/>
                <w:noProof/>
                <w:sz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78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A0BD31"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86F0E5"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Milestone / Target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D450D6"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2E252B"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Qualitative indicators (for milestones)</w:t>
            </w:r>
          </w:p>
        </w:tc>
        <w:tc>
          <w:tcPr>
            <w:tcW w:w="2552" w:type="dxa"/>
            <w:gridSpan w:val="4"/>
            <w:tcBorders>
              <w:top w:val="single" w:sz="4" w:space="0" w:color="auto"/>
              <w:left w:val="single" w:sz="4" w:space="0" w:color="auto"/>
              <w:bottom w:val="single" w:sz="4" w:space="0" w:color="auto"/>
              <w:right w:val="single" w:sz="4" w:space="0" w:color="auto"/>
            </w:tcBorders>
            <w:shd w:val="clear" w:color="auto" w:fill="BDD7EE"/>
            <w:vAlign w:val="center"/>
            <w:hideMark/>
          </w:tcPr>
          <w:p w14:paraId="7854AD2C"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Quantitative indicators (for targets)</w:t>
            </w:r>
          </w:p>
        </w:tc>
        <w:tc>
          <w:tcPr>
            <w:tcW w:w="1495"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38466EB"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Indicative timeline for completion</w:t>
            </w:r>
          </w:p>
        </w:tc>
        <w:tc>
          <w:tcPr>
            <w:tcW w:w="3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6D41FA" w14:textId="77777777" w:rsidR="001B186F" w:rsidRPr="00DE4E4F" w:rsidRDefault="0074517F" w:rsidP="001E23A0">
            <w:pPr>
              <w:spacing w:before="120" w:after="120" w:line="240" w:lineRule="auto"/>
              <w:jc w:val="center"/>
              <w:rPr>
                <w:rFonts w:ascii="Times New Roman" w:hAnsi="Times New Roman" w:cs="Times New Roman"/>
                <w:noProof/>
                <w:sz w:val="24"/>
              </w:rPr>
            </w:pPr>
            <w:r w:rsidRPr="00DE4E4F">
              <w:rPr>
                <w:rFonts w:ascii="Times New Roman" w:hAnsi="Times New Roman"/>
                <w:b/>
                <w:noProof/>
                <w:sz w:val="18"/>
              </w:rPr>
              <w:t>Description of each milestone and target</w:t>
            </w:r>
          </w:p>
        </w:tc>
      </w:tr>
      <w:tr w:rsidR="00682269" w:rsidRPr="00DE4E4F" w14:paraId="241E4D0E" w14:textId="77777777" w:rsidTr="001E23A0">
        <w:trPr>
          <w:trHeight w:val="413"/>
          <w:tblHeader/>
        </w:trPr>
        <w:tc>
          <w:tcPr>
            <w:tcW w:w="588" w:type="dxa"/>
            <w:vMerge/>
            <w:tcBorders>
              <w:top w:val="single" w:sz="4" w:space="0" w:color="auto"/>
              <w:left w:val="single" w:sz="4" w:space="0" w:color="auto"/>
              <w:bottom w:val="single" w:sz="4" w:space="0" w:color="auto"/>
              <w:right w:val="single" w:sz="4" w:space="0" w:color="auto"/>
            </w:tcBorders>
            <w:vAlign w:val="center"/>
          </w:tcPr>
          <w:p w14:paraId="6376D98A"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2781" w:type="dxa"/>
            <w:vMerge/>
            <w:tcBorders>
              <w:top w:val="single" w:sz="4" w:space="0" w:color="auto"/>
              <w:left w:val="single" w:sz="4" w:space="0" w:color="auto"/>
              <w:bottom w:val="single" w:sz="4" w:space="0" w:color="auto"/>
              <w:right w:val="single" w:sz="4" w:space="0" w:color="auto"/>
            </w:tcBorders>
            <w:vAlign w:val="center"/>
          </w:tcPr>
          <w:p w14:paraId="618465BD"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3FDF00"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405AC696"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5813C2F"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88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79EED327"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63" w:type="dxa"/>
            <w:tcBorders>
              <w:top w:val="single" w:sz="4" w:space="0" w:color="auto"/>
              <w:left w:val="single" w:sz="4" w:space="0" w:color="auto"/>
              <w:bottom w:val="single" w:sz="4" w:space="0" w:color="auto"/>
              <w:right w:val="single" w:sz="4" w:space="0" w:color="auto"/>
            </w:tcBorders>
            <w:shd w:val="clear" w:color="auto" w:fill="BDD7EE"/>
            <w:vAlign w:val="center"/>
          </w:tcPr>
          <w:p w14:paraId="5A277794"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37233EB6"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5E298CB4"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645" w:type="dxa"/>
            <w:tcBorders>
              <w:top w:val="single" w:sz="4" w:space="0" w:color="auto"/>
              <w:left w:val="single" w:sz="4" w:space="0" w:color="auto"/>
              <w:bottom w:val="single" w:sz="4" w:space="0" w:color="auto"/>
              <w:right w:val="single" w:sz="4" w:space="0" w:color="auto"/>
            </w:tcBorders>
            <w:shd w:val="clear" w:color="auto" w:fill="BDD7EE"/>
            <w:vAlign w:val="center"/>
          </w:tcPr>
          <w:p w14:paraId="7B07C541"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891" w:type="dxa"/>
            <w:vMerge/>
            <w:tcBorders>
              <w:top w:val="single" w:sz="4" w:space="0" w:color="auto"/>
              <w:bottom w:val="single" w:sz="4" w:space="0" w:color="auto"/>
              <w:right w:val="single" w:sz="4" w:space="0" w:color="auto"/>
            </w:tcBorders>
            <w:vAlign w:val="center"/>
          </w:tcPr>
          <w:p w14:paraId="74275615"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2C304CC8" w14:textId="77777777" w:rsidTr="001E23A0">
        <w:tc>
          <w:tcPr>
            <w:tcW w:w="588" w:type="dxa"/>
            <w:tcBorders>
              <w:top w:val="single" w:sz="4" w:space="0" w:color="auto"/>
              <w:left w:val="single" w:sz="4" w:space="0" w:color="auto"/>
              <w:bottom w:val="single" w:sz="4" w:space="0" w:color="auto"/>
              <w:right w:val="single" w:sz="4" w:space="0" w:color="auto"/>
            </w:tcBorders>
            <w:shd w:val="clear" w:color="auto" w:fill="C6EFCE"/>
            <w:noWrap/>
          </w:tcPr>
          <w:p w14:paraId="397EDB71" w14:textId="77777777"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355</w:t>
            </w:r>
          </w:p>
        </w:tc>
        <w:tc>
          <w:tcPr>
            <w:tcW w:w="2781" w:type="dxa"/>
            <w:tcBorders>
              <w:top w:val="single" w:sz="4" w:space="0" w:color="auto"/>
              <w:left w:val="nil"/>
              <w:bottom w:val="single" w:sz="4" w:space="0" w:color="auto"/>
              <w:right w:val="single" w:sz="4" w:space="0" w:color="auto"/>
            </w:tcBorders>
            <w:shd w:val="clear" w:color="auto" w:fill="C6EFCE"/>
            <w:noWrap/>
          </w:tcPr>
          <w:p w14:paraId="52B55138"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 xml:space="preserve">20 - 5.1. REPowerEU reforms - 16988_Regulatory and market operation framework for carbon capture, usage, and storage technologies to foster industry decarbonisation </w:t>
            </w:r>
          </w:p>
        </w:tc>
        <w:tc>
          <w:tcPr>
            <w:tcW w:w="1134" w:type="dxa"/>
            <w:tcBorders>
              <w:top w:val="single" w:sz="4" w:space="0" w:color="auto"/>
              <w:left w:val="nil"/>
              <w:bottom w:val="single" w:sz="4" w:space="0" w:color="auto"/>
              <w:right w:val="single" w:sz="4" w:space="0" w:color="auto"/>
            </w:tcBorders>
            <w:shd w:val="clear" w:color="auto" w:fill="C6EFCE"/>
            <w:noWrap/>
          </w:tcPr>
          <w:p w14:paraId="10F9C303"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Milestone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58BB129F"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Establishment of the legal framework for carbon capture, usage, and storage.</w:t>
            </w:r>
          </w:p>
        </w:tc>
        <w:tc>
          <w:tcPr>
            <w:tcW w:w="1701" w:type="dxa"/>
            <w:tcBorders>
              <w:top w:val="single" w:sz="4" w:space="0" w:color="auto"/>
              <w:left w:val="nil"/>
              <w:bottom w:val="single" w:sz="4" w:space="0" w:color="auto"/>
              <w:right w:val="single" w:sz="4" w:space="0" w:color="auto"/>
            </w:tcBorders>
            <w:shd w:val="clear" w:color="auto" w:fill="C6EFCE"/>
            <w:noWrap/>
          </w:tcPr>
          <w:p w14:paraId="1BC63102"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 xml:space="preserve">Entry into force of legislation </w:t>
            </w:r>
          </w:p>
        </w:tc>
        <w:tc>
          <w:tcPr>
            <w:tcW w:w="856" w:type="dxa"/>
            <w:tcBorders>
              <w:top w:val="single" w:sz="4" w:space="0" w:color="auto"/>
              <w:left w:val="nil"/>
              <w:bottom w:val="single" w:sz="4" w:space="0" w:color="auto"/>
              <w:right w:val="single" w:sz="4" w:space="0" w:color="auto"/>
            </w:tcBorders>
            <w:shd w:val="clear" w:color="auto" w:fill="C6EFCE"/>
            <w:noWrap/>
          </w:tcPr>
          <w:p w14:paraId="1D52EC00"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987" w:type="dxa"/>
            <w:gridSpan w:val="2"/>
            <w:tcBorders>
              <w:top w:val="single" w:sz="4" w:space="0" w:color="auto"/>
              <w:left w:val="nil"/>
              <w:bottom w:val="single" w:sz="4" w:space="0" w:color="auto"/>
              <w:right w:val="single" w:sz="4" w:space="0" w:color="auto"/>
            </w:tcBorders>
            <w:shd w:val="clear" w:color="auto" w:fill="C6EFCE"/>
            <w:noWrap/>
          </w:tcPr>
          <w:p w14:paraId="1134806A"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709" w:type="dxa"/>
            <w:tcBorders>
              <w:top w:val="single" w:sz="4" w:space="0" w:color="auto"/>
              <w:left w:val="nil"/>
              <w:bottom w:val="single" w:sz="4" w:space="0" w:color="auto"/>
              <w:right w:val="single" w:sz="4" w:space="0" w:color="auto"/>
            </w:tcBorders>
            <w:shd w:val="clear" w:color="auto" w:fill="C6EFCE"/>
            <w:noWrap/>
          </w:tcPr>
          <w:p w14:paraId="262F0FC4"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767CA0F3"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Q3</w:t>
            </w:r>
          </w:p>
        </w:tc>
        <w:tc>
          <w:tcPr>
            <w:tcW w:w="645" w:type="dxa"/>
            <w:tcBorders>
              <w:top w:val="single" w:sz="4" w:space="0" w:color="auto"/>
              <w:left w:val="nil"/>
              <w:bottom w:val="single" w:sz="4" w:space="0" w:color="auto"/>
              <w:right w:val="single" w:sz="4" w:space="0" w:color="auto"/>
            </w:tcBorders>
            <w:shd w:val="clear" w:color="auto" w:fill="C6EFCE"/>
            <w:noWrap/>
          </w:tcPr>
          <w:p w14:paraId="263786CF"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2024</w:t>
            </w:r>
          </w:p>
        </w:tc>
        <w:tc>
          <w:tcPr>
            <w:tcW w:w="3891" w:type="dxa"/>
            <w:tcBorders>
              <w:top w:val="single" w:sz="4" w:space="0" w:color="auto"/>
              <w:left w:val="nil"/>
              <w:bottom w:val="single" w:sz="4" w:space="0" w:color="auto"/>
              <w:right w:val="single" w:sz="4" w:space="0" w:color="auto"/>
            </w:tcBorders>
            <w:shd w:val="clear" w:color="auto" w:fill="C6EFCE"/>
            <w:noWrap/>
          </w:tcPr>
          <w:p w14:paraId="3B3B88D8"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Entry into force of the legal framework for carbon capture, usage, and storage, setting out:</w:t>
            </w:r>
          </w:p>
          <w:p w14:paraId="75FD918B" w14:textId="77777777" w:rsidR="001B186F" w:rsidRPr="00DE4E4F" w:rsidRDefault="0074517F" w:rsidP="001E23A0">
            <w:pPr>
              <w:pStyle w:val="ListParagraph"/>
              <w:numPr>
                <w:ilvl w:val="0"/>
                <w:numId w:val="89"/>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Development of the licensing framework for the installation and operation of carbon capture, usage and storage technologies including the issuance of the environmental permit approval.</w:t>
            </w:r>
          </w:p>
          <w:p w14:paraId="1BC581DA" w14:textId="77777777" w:rsidR="001B186F" w:rsidRPr="00DE4E4F" w:rsidRDefault="0074517F" w:rsidP="001E23A0">
            <w:pPr>
              <w:pStyle w:val="ListParagraph"/>
              <w:numPr>
                <w:ilvl w:val="0"/>
                <w:numId w:val="89"/>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Establishment of a relevant standardisation and certification process for the origin of the captured and stored CO2 emissions.</w:t>
            </w:r>
          </w:p>
          <w:p w14:paraId="03134185" w14:textId="77777777" w:rsidR="001B186F" w:rsidRPr="00DE4E4F" w:rsidRDefault="0074517F" w:rsidP="001E23A0">
            <w:pPr>
              <w:pStyle w:val="ListParagraph"/>
              <w:numPr>
                <w:ilvl w:val="0"/>
                <w:numId w:val="89"/>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Development of the regulatory framework for the CCS value chain for storage and transport charges. The framework shall include enabling provisions for Contracts for Difference, as well as regulated tariffs. Establishment of the framework for the usage/utilisation of captured CO2</w:t>
            </w:r>
          </w:p>
          <w:p w14:paraId="14C53D12" w14:textId="77777777" w:rsidR="001B186F" w:rsidRPr="00DE4E4F" w:rsidRDefault="0074517F" w:rsidP="001E23A0">
            <w:pPr>
              <w:pStyle w:val="ListParagraph"/>
              <w:numPr>
                <w:ilvl w:val="0"/>
                <w:numId w:val="89"/>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Adoption of the third-party access framework in the grid/transportation infrastructure and storage facility.</w:t>
            </w:r>
          </w:p>
          <w:p w14:paraId="6DC4A664" w14:textId="77777777" w:rsidR="001B186F" w:rsidRPr="00DE4E4F" w:rsidRDefault="0074517F" w:rsidP="001E23A0">
            <w:pPr>
              <w:pStyle w:val="ListParagraph"/>
              <w:numPr>
                <w:ilvl w:val="0"/>
                <w:numId w:val="89"/>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rPr>
              <w:t>Assignment of distinct responsibilities of the various stakeholders for the operation of the carbon capture, usage and storage technologies and the supervision of the respective market.</w:t>
            </w:r>
          </w:p>
        </w:tc>
      </w:tr>
    </w:tbl>
    <w:p w14:paraId="157AD3AB" w14:textId="77777777" w:rsidR="00B2368C" w:rsidRPr="00DE4E4F" w:rsidRDefault="00B2368C">
      <w:pPr>
        <w:keepNext/>
        <w:keepLines/>
        <w:spacing w:before="240" w:after="0" w:line="240" w:lineRule="auto"/>
        <w:jc w:val="both"/>
        <w:outlineLvl w:val="4"/>
        <w:rPr>
          <w:rFonts w:ascii="Cambria" w:hAnsi="Cambria"/>
          <w:noProof/>
          <w:color w:val="365F91"/>
          <w:sz w:val="24"/>
        </w:rPr>
      </w:pPr>
    </w:p>
    <w:p w14:paraId="53FE5146" w14:textId="2416F3A1" w:rsidR="001B186F" w:rsidRPr="00DE4E4F" w:rsidRDefault="00B2368C" w:rsidP="00B2368C">
      <w:pPr>
        <w:rPr>
          <w:rFonts w:eastAsia="Times New Roman"/>
          <w:noProof/>
        </w:rPr>
      </w:pPr>
      <w:r w:rsidRPr="00DE4E4F">
        <w:rPr>
          <w:noProof/>
        </w:rPr>
        <w:br w:type="page"/>
      </w:r>
      <w:r w:rsidR="0074517F" w:rsidRPr="00DE4E4F">
        <w:rPr>
          <w:rFonts w:ascii="Cambria" w:hAnsi="Cambria"/>
          <w:noProof/>
          <w:color w:val="365F91" w:themeColor="accent1" w:themeShade="BF"/>
          <w:sz w:val="24"/>
        </w:rPr>
        <w:t>Reform 4: Increase of grid and storage capacity – fostering of storage investments (measure ID: 16990)</w:t>
      </w:r>
    </w:p>
    <w:tbl>
      <w:tblPr>
        <w:tblW w:w="14737" w:type="dxa"/>
        <w:tblLayout w:type="fixed"/>
        <w:tblLook w:val="04A0" w:firstRow="1" w:lastRow="0" w:firstColumn="1" w:lastColumn="0" w:noHBand="0" w:noVBand="1"/>
      </w:tblPr>
      <w:tblGrid>
        <w:gridCol w:w="675"/>
        <w:gridCol w:w="2537"/>
        <w:gridCol w:w="1007"/>
        <w:gridCol w:w="1134"/>
        <w:gridCol w:w="1163"/>
        <w:gridCol w:w="992"/>
        <w:gridCol w:w="1192"/>
        <w:gridCol w:w="666"/>
        <w:gridCol w:w="921"/>
        <w:gridCol w:w="10"/>
        <w:gridCol w:w="911"/>
        <w:gridCol w:w="3529"/>
      </w:tblGrid>
      <w:tr w:rsidR="00682269" w:rsidRPr="00DE4E4F" w14:paraId="07D12F5B" w14:textId="77777777" w:rsidTr="001E23A0">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80C23E"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53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A8C03C"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Related Measure (Reform or Investment)</w:t>
            </w:r>
          </w:p>
        </w:tc>
        <w:tc>
          <w:tcPr>
            <w:tcW w:w="10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E36D01"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Milestone / Target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D98378"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Name</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59712"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Qualitative indicators (for milestones)</w:t>
            </w:r>
          </w:p>
        </w:tc>
        <w:tc>
          <w:tcPr>
            <w:tcW w:w="285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3D14669"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Quantitative indicators (for targets)</w:t>
            </w:r>
          </w:p>
        </w:tc>
        <w:tc>
          <w:tcPr>
            <w:tcW w:w="184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86FECF"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Indicative timeline for completion</w:t>
            </w:r>
          </w:p>
        </w:tc>
        <w:tc>
          <w:tcPr>
            <w:tcW w:w="35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EA5525"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Description of each milestone and target</w:t>
            </w:r>
          </w:p>
        </w:tc>
      </w:tr>
      <w:tr w:rsidR="00682269" w:rsidRPr="00DE4E4F" w14:paraId="1C333FB0" w14:textId="77777777" w:rsidTr="001E23A0">
        <w:trPr>
          <w:trHeight w:val="687"/>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7F127166"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2537" w:type="dxa"/>
            <w:vMerge/>
            <w:tcBorders>
              <w:top w:val="single" w:sz="4" w:space="0" w:color="auto"/>
              <w:left w:val="single" w:sz="4" w:space="0" w:color="auto"/>
              <w:bottom w:val="single" w:sz="4" w:space="0" w:color="auto"/>
              <w:right w:val="single" w:sz="4" w:space="0" w:color="auto"/>
            </w:tcBorders>
            <w:vAlign w:val="center"/>
          </w:tcPr>
          <w:p w14:paraId="019550DE"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007" w:type="dxa"/>
            <w:vMerge/>
            <w:tcBorders>
              <w:top w:val="single" w:sz="4" w:space="0" w:color="auto"/>
              <w:left w:val="single" w:sz="4" w:space="0" w:color="auto"/>
              <w:bottom w:val="single" w:sz="4" w:space="0" w:color="auto"/>
              <w:right w:val="single" w:sz="4" w:space="0" w:color="auto"/>
            </w:tcBorders>
            <w:vAlign w:val="center"/>
          </w:tcPr>
          <w:p w14:paraId="584BFD09"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637186F"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63" w:type="dxa"/>
            <w:vMerge/>
            <w:tcBorders>
              <w:top w:val="single" w:sz="4" w:space="0" w:color="auto"/>
              <w:left w:val="single" w:sz="4" w:space="0" w:color="auto"/>
              <w:bottom w:val="single" w:sz="4" w:space="0" w:color="auto"/>
              <w:right w:val="single" w:sz="4" w:space="0" w:color="auto"/>
            </w:tcBorders>
            <w:vAlign w:val="center"/>
          </w:tcPr>
          <w:p w14:paraId="3AB161A5"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41FBD294"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1192" w:type="dxa"/>
            <w:tcBorders>
              <w:top w:val="single" w:sz="4" w:space="0" w:color="auto"/>
              <w:left w:val="single" w:sz="4" w:space="0" w:color="auto"/>
              <w:bottom w:val="single" w:sz="4" w:space="0" w:color="auto"/>
              <w:right w:val="single" w:sz="4" w:space="0" w:color="auto"/>
            </w:tcBorders>
            <w:shd w:val="clear" w:color="auto" w:fill="BDD7EE"/>
            <w:vAlign w:val="center"/>
          </w:tcPr>
          <w:p w14:paraId="74CA5739"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666" w:type="dxa"/>
            <w:tcBorders>
              <w:top w:val="single" w:sz="4" w:space="0" w:color="auto"/>
              <w:left w:val="single" w:sz="4" w:space="0" w:color="auto"/>
              <w:bottom w:val="single" w:sz="4" w:space="0" w:color="auto"/>
              <w:right w:val="single" w:sz="4" w:space="0" w:color="auto"/>
            </w:tcBorders>
            <w:shd w:val="clear" w:color="auto" w:fill="BDD7EE"/>
            <w:vAlign w:val="center"/>
          </w:tcPr>
          <w:p w14:paraId="11810F49"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921" w:type="dxa"/>
            <w:tcBorders>
              <w:top w:val="single" w:sz="4" w:space="0" w:color="auto"/>
              <w:left w:val="single" w:sz="4" w:space="0" w:color="auto"/>
              <w:bottom w:val="single" w:sz="4" w:space="0" w:color="auto"/>
              <w:right w:val="single" w:sz="4" w:space="0" w:color="auto"/>
            </w:tcBorders>
            <w:shd w:val="clear" w:color="auto" w:fill="BDD7EE"/>
            <w:vAlign w:val="center"/>
          </w:tcPr>
          <w:p w14:paraId="1F341473"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921"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2C014AB5"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529" w:type="dxa"/>
            <w:vMerge/>
            <w:tcBorders>
              <w:top w:val="single" w:sz="4" w:space="0" w:color="auto"/>
              <w:left w:val="single" w:sz="4" w:space="0" w:color="auto"/>
              <w:bottom w:val="single" w:sz="4" w:space="0" w:color="auto"/>
              <w:right w:val="single" w:sz="4" w:space="0" w:color="auto"/>
            </w:tcBorders>
            <w:vAlign w:val="center"/>
          </w:tcPr>
          <w:p w14:paraId="489BCDCE"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709DD65A" w14:textId="77777777" w:rsidTr="001E23A0">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51F1355" w14:textId="77777777" w:rsidR="001B186F" w:rsidRPr="00DE4E4F" w:rsidRDefault="0074517F" w:rsidP="001E23A0">
            <w:pPr>
              <w:spacing w:after="0" w:line="240" w:lineRule="auto"/>
              <w:rPr>
                <w:rFonts w:ascii="Times New Roman" w:eastAsia="Times New Roman" w:hAnsi="Times New Roman" w:cs="Times New Roman"/>
                <w:noProof/>
                <w:sz w:val="18"/>
                <w:szCs w:val="18"/>
                <w:highlight w:val="cyan"/>
              </w:rPr>
            </w:pPr>
            <w:r w:rsidRPr="00DE4E4F">
              <w:rPr>
                <w:rFonts w:ascii="Times New Roman" w:hAnsi="Times New Roman" w:cs="Times New Roman"/>
                <w:noProof/>
                <w:color w:val="006100"/>
                <w:sz w:val="18"/>
                <w:szCs w:val="18"/>
              </w:rPr>
              <w:t>356</w:t>
            </w:r>
          </w:p>
        </w:tc>
        <w:tc>
          <w:tcPr>
            <w:tcW w:w="2537" w:type="dxa"/>
            <w:tcBorders>
              <w:top w:val="single" w:sz="4" w:space="0" w:color="auto"/>
              <w:left w:val="nil"/>
              <w:bottom w:val="single" w:sz="4" w:space="0" w:color="auto"/>
              <w:right w:val="single" w:sz="4" w:space="0" w:color="auto"/>
            </w:tcBorders>
            <w:shd w:val="clear" w:color="auto" w:fill="C6EFCE"/>
            <w:noWrap/>
          </w:tcPr>
          <w:p w14:paraId="4435A043"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20 - 5.1. REPowerEU reforms – 16990_Increase of grid and storage capacity – fostering of storage investments </w:t>
            </w:r>
          </w:p>
        </w:tc>
        <w:tc>
          <w:tcPr>
            <w:tcW w:w="1007" w:type="dxa"/>
            <w:tcBorders>
              <w:top w:val="single" w:sz="4" w:space="0" w:color="auto"/>
              <w:left w:val="nil"/>
              <w:bottom w:val="single" w:sz="4" w:space="0" w:color="auto"/>
              <w:right w:val="single" w:sz="4" w:space="0" w:color="auto"/>
            </w:tcBorders>
            <w:shd w:val="clear" w:color="auto" w:fill="C6EFCE"/>
            <w:noWrap/>
          </w:tcPr>
          <w:p w14:paraId="5851F1E5"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134" w:type="dxa"/>
            <w:tcBorders>
              <w:top w:val="single" w:sz="4" w:space="0" w:color="auto"/>
              <w:left w:val="nil"/>
              <w:bottom w:val="single" w:sz="4" w:space="0" w:color="auto"/>
              <w:right w:val="single" w:sz="4" w:space="0" w:color="auto"/>
            </w:tcBorders>
            <w:shd w:val="clear" w:color="auto" w:fill="C6EFCE"/>
            <w:noWrap/>
          </w:tcPr>
          <w:p w14:paraId="5AB9C9F0"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legislative framework.</w:t>
            </w:r>
          </w:p>
        </w:tc>
        <w:tc>
          <w:tcPr>
            <w:tcW w:w="1163" w:type="dxa"/>
            <w:tcBorders>
              <w:top w:val="single" w:sz="4" w:space="0" w:color="auto"/>
              <w:left w:val="nil"/>
              <w:bottom w:val="single" w:sz="4" w:space="0" w:color="auto"/>
              <w:right w:val="single" w:sz="4" w:space="0" w:color="auto"/>
            </w:tcBorders>
            <w:shd w:val="clear" w:color="auto" w:fill="C6EFCE"/>
            <w:noWrap/>
          </w:tcPr>
          <w:p w14:paraId="2484DDAC" w14:textId="09A3CED8"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Primary and secondary legislation</w:t>
            </w:r>
            <w:r w:rsidR="00DE4C0C" w:rsidRPr="00DE4E4F">
              <w:rPr>
                <w:rFonts w:ascii="Times New Roman" w:hAnsi="Times New Roman" w:cs="Times New Roman"/>
                <w:noProof/>
                <w:color w:val="006100"/>
                <w:sz w:val="18"/>
                <w:szCs w:val="18"/>
              </w:rPr>
              <w:t xml:space="preserve"> </w:t>
            </w:r>
          </w:p>
        </w:tc>
        <w:tc>
          <w:tcPr>
            <w:tcW w:w="992" w:type="dxa"/>
            <w:tcBorders>
              <w:top w:val="single" w:sz="4" w:space="0" w:color="auto"/>
              <w:left w:val="nil"/>
              <w:bottom w:val="single" w:sz="4" w:space="0" w:color="auto"/>
              <w:right w:val="single" w:sz="4" w:space="0" w:color="auto"/>
            </w:tcBorders>
            <w:shd w:val="clear" w:color="auto" w:fill="C6EFCE"/>
            <w:noWrap/>
          </w:tcPr>
          <w:p w14:paraId="1838CF07"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1192" w:type="dxa"/>
            <w:tcBorders>
              <w:top w:val="single" w:sz="4" w:space="0" w:color="auto"/>
              <w:left w:val="nil"/>
              <w:bottom w:val="single" w:sz="4" w:space="0" w:color="auto"/>
              <w:right w:val="single" w:sz="4" w:space="0" w:color="auto"/>
            </w:tcBorders>
            <w:shd w:val="clear" w:color="auto" w:fill="C6EFCE"/>
            <w:noWrap/>
          </w:tcPr>
          <w:p w14:paraId="566AF437"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666" w:type="dxa"/>
            <w:tcBorders>
              <w:top w:val="single" w:sz="4" w:space="0" w:color="auto"/>
              <w:left w:val="nil"/>
              <w:bottom w:val="single" w:sz="4" w:space="0" w:color="auto"/>
              <w:right w:val="single" w:sz="4" w:space="0" w:color="auto"/>
            </w:tcBorders>
            <w:shd w:val="clear" w:color="auto" w:fill="C6EFCE"/>
            <w:noWrap/>
          </w:tcPr>
          <w:p w14:paraId="6027D66B"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931" w:type="dxa"/>
            <w:gridSpan w:val="2"/>
            <w:tcBorders>
              <w:top w:val="single" w:sz="4" w:space="0" w:color="auto"/>
              <w:left w:val="nil"/>
              <w:bottom w:val="single" w:sz="4" w:space="0" w:color="auto"/>
              <w:right w:val="single" w:sz="4" w:space="0" w:color="auto"/>
            </w:tcBorders>
            <w:shd w:val="clear" w:color="auto" w:fill="C6EFCE"/>
            <w:noWrap/>
          </w:tcPr>
          <w:p w14:paraId="7359AB0C"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11" w:type="dxa"/>
            <w:tcBorders>
              <w:top w:val="single" w:sz="4" w:space="0" w:color="auto"/>
              <w:left w:val="nil"/>
              <w:bottom w:val="single" w:sz="4" w:space="0" w:color="auto"/>
              <w:right w:val="single" w:sz="4" w:space="0" w:color="auto"/>
            </w:tcBorders>
            <w:shd w:val="clear" w:color="auto" w:fill="C6EFCE"/>
            <w:noWrap/>
          </w:tcPr>
          <w:p w14:paraId="5203E5F1"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529" w:type="dxa"/>
            <w:tcBorders>
              <w:top w:val="single" w:sz="4" w:space="0" w:color="auto"/>
              <w:left w:val="nil"/>
              <w:bottom w:val="single" w:sz="4" w:space="0" w:color="auto"/>
              <w:right w:val="single" w:sz="4" w:space="0" w:color="auto"/>
            </w:tcBorders>
            <w:shd w:val="clear" w:color="auto" w:fill="C6EFCE"/>
            <w:noWrap/>
          </w:tcPr>
          <w:p w14:paraId="7A992EAE" w14:textId="77777777"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primary and secondary legislation setting out the enabling framework for the installation of storage units to existing or new RES power plants, which shall provide priority in licensing procedures and grid access to these plants. </w:t>
            </w:r>
          </w:p>
          <w:p w14:paraId="61A0CB23" w14:textId="77777777" w:rsidR="001B186F" w:rsidRPr="00DE4E4F" w:rsidRDefault="001B186F" w:rsidP="001E23A0">
            <w:pPr>
              <w:spacing w:after="0" w:line="240" w:lineRule="auto"/>
              <w:rPr>
                <w:rFonts w:ascii="Times New Roman" w:eastAsia="Times New Roman" w:hAnsi="Times New Roman" w:cs="Times New Roman"/>
                <w:noProof/>
                <w:sz w:val="18"/>
                <w:szCs w:val="18"/>
              </w:rPr>
            </w:pPr>
          </w:p>
        </w:tc>
      </w:tr>
      <w:tr w:rsidR="00682269" w:rsidRPr="00DE4E4F" w14:paraId="235233C5" w14:textId="77777777" w:rsidTr="001E23A0">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72353653" w14:textId="77777777"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357</w:t>
            </w:r>
          </w:p>
        </w:tc>
        <w:tc>
          <w:tcPr>
            <w:tcW w:w="2537" w:type="dxa"/>
            <w:tcBorders>
              <w:top w:val="single" w:sz="4" w:space="0" w:color="auto"/>
              <w:left w:val="nil"/>
              <w:bottom w:val="single" w:sz="4" w:space="0" w:color="auto"/>
              <w:right w:val="single" w:sz="4" w:space="0" w:color="auto"/>
            </w:tcBorders>
            <w:shd w:val="clear" w:color="auto" w:fill="C6EFCE"/>
            <w:noWrap/>
          </w:tcPr>
          <w:p w14:paraId="7E720343" w14:textId="77777777"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20 - 5.1. REPowerEU reforms – 16990_Grid and storage capacity reform</w:t>
            </w:r>
          </w:p>
        </w:tc>
        <w:tc>
          <w:tcPr>
            <w:tcW w:w="1007" w:type="dxa"/>
            <w:tcBorders>
              <w:top w:val="single" w:sz="4" w:space="0" w:color="auto"/>
              <w:left w:val="nil"/>
              <w:bottom w:val="single" w:sz="4" w:space="0" w:color="auto"/>
              <w:right w:val="single" w:sz="4" w:space="0" w:color="auto"/>
            </w:tcBorders>
            <w:shd w:val="clear" w:color="auto" w:fill="C6EFCE"/>
            <w:noWrap/>
          </w:tcPr>
          <w:p w14:paraId="76F41DF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Milestone </w:t>
            </w:r>
          </w:p>
        </w:tc>
        <w:tc>
          <w:tcPr>
            <w:tcW w:w="1134" w:type="dxa"/>
            <w:tcBorders>
              <w:top w:val="single" w:sz="4" w:space="0" w:color="auto"/>
              <w:left w:val="nil"/>
              <w:bottom w:val="single" w:sz="4" w:space="0" w:color="auto"/>
              <w:right w:val="single" w:sz="4" w:space="0" w:color="auto"/>
            </w:tcBorders>
            <w:shd w:val="clear" w:color="auto" w:fill="C6EFCE"/>
            <w:noWrap/>
          </w:tcPr>
          <w:p w14:paraId="0E2DA974"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acts. </w:t>
            </w:r>
          </w:p>
        </w:tc>
        <w:tc>
          <w:tcPr>
            <w:tcW w:w="1163" w:type="dxa"/>
            <w:tcBorders>
              <w:top w:val="single" w:sz="4" w:space="0" w:color="auto"/>
              <w:left w:val="nil"/>
              <w:bottom w:val="single" w:sz="4" w:space="0" w:color="auto"/>
              <w:right w:val="single" w:sz="4" w:space="0" w:color="auto"/>
            </w:tcBorders>
            <w:shd w:val="clear" w:color="auto" w:fill="C6EFCE"/>
            <w:noWrap/>
          </w:tcPr>
          <w:p w14:paraId="08CA8735" w14:textId="0CE7FBC5"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Legal acts </w:t>
            </w:r>
          </w:p>
        </w:tc>
        <w:tc>
          <w:tcPr>
            <w:tcW w:w="992" w:type="dxa"/>
            <w:tcBorders>
              <w:top w:val="single" w:sz="4" w:space="0" w:color="auto"/>
              <w:left w:val="nil"/>
              <w:bottom w:val="single" w:sz="4" w:space="0" w:color="auto"/>
              <w:right w:val="single" w:sz="4" w:space="0" w:color="auto"/>
            </w:tcBorders>
            <w:shd w:val="clear" w:color="auto" w:fill="C6EFCE"/>
            <w:noWrap/>
          </w:tcPr>
          <w:p w14:paraId="5CB1BB58"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1192" w:type="dxa"/>
            <w:tcBorders>
              <w:top w:val="single" w:sz="4" w:space="0" w:color="auto"/>
              <w:left w:val="nil"/>
              <w:bottom w:val="single" w:sz="4" w:space="0" w:color="auto"/>
              <w:right w:val="single" w:sz="4" w:space="0" w:color="auto"/>
            </w:tcBorders>
            <w:shd w:val="clear" w:color="auto" w:fill="C6EFCE"/>
            <w:noWrap/>
          </w:tcPr>
          <w:p w14:paraId="296CF690"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666" w:type="dxa"/>
            <w:tcBorders>
              <w:top w:val="single" w:sz="4" w:space="0" w:color="auto"/>
              <w:left w:val="nil"/>
              <w:bottom w:val="single" w:sz="4" w:space="0" w:color="auto"/>
              <w:right w:val="single" w:sz="4" w:space="0" w:color="auto"/>
            </w:tcBorders>
            <w:shd w:val="clear" w:color="auto" w:fill="C6EFCE"/>
            <w:noWrap/>
          </w:tcPr>
          <w:p w14:paraId="543BB2C0"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931" w:type="dxa"/>
            <w:gridSpan w:val="2"/>
            <w:tcBorders>
              <w:top w:val="single" w:sz="4" w:space="0" w:color="auto"/>
              <w:left w:val="nil"/>
              <w:bottom w:val="single" w:sz="4" w:space="0" w:color="auto"/>
              <w:right w:val="single" w:sz="4" w:space="0" w:color="auto"/>
            </w:tcBorders>
            <w:shd w:val="clear" w:color="auto" w:fill="C6EFCE"/>
            <w:noWrap/>
          </w:tcPr>
          <w:p w14:paraId="114551AF"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11" w:type="dxa"/>
            <w:tcBorders>
              <w:top w:val="single" w:sz="4" w:space="0" w:color="auto"/>
              <w:left w:val="nil"/>
              <w:bottom w:val="single" w:sz="4" w:space="0" w:color="auto"/>
              <w:right w:val="single" w:sz="4" w:space="0" w:color="auto"/>
            </w:tcBorders>
            <w:shd w:val="clear" w:color="auto" w:fill="C6EFCE"/>
            <w:noWrap/>
          </w:tcPr>
          <w:p w14:paraId="2B5B6990"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529" w:type="dxa"/>
            <w:tcBorders>
              <w:top w:val="single" w:sz="4" w:space="0" w:color="auto"/>
              <w:left w:val="nil"/>
              <w:bottom w:val="single" w:sz="4" w:space="0" w:color="auto"/>
              <w:right w:val="single" w:sz="4" w:space="0" w:color="auto"/>
            </w:tcBorders>
            <w:shd w:val="clear" w:color="auto" w:fill="C6EFCE"/>
            <w:noWrap/>
          </w:tcPr>
          <w:p w14:paraId="6CED7B9F" w14:textId="77777777"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acts adopting the licencing framework for the support of standalone battery projects. </w:t>
            </w:r>
          </w:p>
          <w:p w14:paraId="0CBBFFD5" w14:textId="066A678E" w:rsidR="001B186F" w:rsidRPr="00DE4E4F" w:rsidRDefault="000C4DA8"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Adoption of the regulatory decisions enabling the participation of storage units in the electricity </w:t>
            </w:r>
            <w:r w:rsidR="00734D9F" w:rsidRPr="00DE4E4F">
              <w:rPr>
                <w:rFonts w:ascii="Times New Roman" w:hAnsi="Times New Roman" w:cs="Times New Roman"/>
                <w:noProof/>
                <w:color w:val="006100"/>
                <w:sz w:val="18"/>
                <w:szCs w:val="18"/>
              </w:rPr>
              <w:t>markets.</w:t>
            </w:r>
            <w:r w:rsidR="00E761BD" w:rsidRPr="00DE4E4F">
              <w:rPr>
                <w:rFonts w:ascii="Times New Roman" w:hAnsi="Times New Roman" w:cs="Times New Roman"/>
                <w:noProof/>
                <w:color w:val="006100"/>
                <w:sz w:val="18"/>
                <w:szCs w:val="18"/>
              </w:rPr>
              <w:t xml:space="preserve"> </w:t>
            </w:r>
          </w:p>
        </w:tc>
      </w:tr>
    </w:tbl>
    <w:p w14:paraId="2398D88C"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szCs w:val="24"/>
        </w:rPr>
      </w:pPr>
      <w:r w:rsidRPr="00DE4E4F">
        <w:rPr>
          <w:rFonts w:ascii="Cambria" w:hAnsi="Cambria"/>
          <w:noProof/>
          <w:color w:val="365F91" w:themeColor="accent1" w:themeShade="BF"/>
          <w:sz w:val="24"/>
        </w:rPr>
        <w:t>Reform 5: Regulatory framework towards a smart grid (measure ID: 16991)</w:t>
      </w:r>
    </w:p>
    <w:tbl>
      <w:tblPr>
        <w:tblW w:w="14596" w:type="dxa"/>
        <w:tblLayout w:type="fixed"/>
        <w:tblLook w:val="04A0" w:firstRow="1" w:lastRow="0" w:firstColumn="1" w:lastColumn="0" w:noHBand="0" w:noVBand="1"/>
      </w:tblPr>
      <w:tblGrid>
        <w:gridCol w:w="675"/>
        <w:gridCol w:w="1843"/>
        <w:gridCol w:w="992"/>
        <w:gridCol w:w="1843"/>
        <w:gridCol w:w="1556"/>
        <w:gridCol w:w="954"/>
        <w:gridCol w:w="996"/>
        <w:gridCol w:w="652"/>
        <w:gridCol w:w="899"/>
        <w:gridCol w:w="10"/>
        <w:gridCol w:w="889"/>
        <w:gridCol w:w="3287"/>
      </w:tblGrid>
      <w:tr w:rsidR="00682269" w:rsidRPr="00DE4E4F" w14:paraId="4B35E882" w14:textId="77777777">
        <w:trPr>
          <w:trHeight w:val="1125"/>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B82D61"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B1B6C1"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D061E"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Milestone / Target</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A09E57"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Name</w:t>
            </w:r>
          </w:p>
        </w:tc>
        <w:tc>
          <w:tcPr>
            <w:tcW w:w="15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E74998"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Qualitative indicators (for milestones)</w:t>
            </w:r>
          </w:p>
        </w:tc>
        <w:tc>
          <w:tcPr>
            <w:tcW w:w="26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FF2BD5"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Quantitative indicators (for targets)</w:t>
            </w:r>
          </w:p>
        </w:tc>
        <w:tc>
          <w:tcPr>
            <w:tcW w:w="179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241352B"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Indicative timeline for completion</w:t>
            </w:r>
          </w:p>
        </w:tc>
        <w:tc>
          <w:tcPr>
            <w:tcW w:w="32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A15B3B" w14:textId="77777777" w:rsidR="001B186F" w:rsidRPr="00DE4E4F" w:rsidRDefault="0074517F">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Description of each milestone and target</w:t>
            </w:r>
          </w:p>
        </w:tc>
      </w:tr>
      <w:tr w:rsidR="00682269" w:rsidRPr="00DE4E4F" w14:paraId="26D209E8" w14:textId="77777777">
        <w:trPr>
          <w:trHeight w:val="611"/>
          <w:tblHeader/>
        </w:trPr>
        <w:tc>
          <w:tcPr>
            <w:tcW w:w="675" w:type="dxa"/>
            <w:vMerge/>
            <w:tcBorders>
              <w:top w:val="single" w:sz="4" w:space="0" w:color="auto"/>
              <w:left w:val="single" w:sz="4" w:space="0" w:color="auto"/>
              <w:bottom w:val="single" w:sz="4" w:space="0" w:color="auto"/>
              <w:right w:val="single" w:sz="4" w:space="0" w:color="auto"/>
            </w:tcBorders>
            <w:vAlign w:val="center"/>
          </w:tcPr>
          <w:p w14:paraId="6E25A9A7"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35EA511F"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936EA00"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4ABBF6BD"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556" w:type="dxa"/>
            <w:vMerge/>
            <w:tcBorders>
              <w:top w:val="single" w:sz="4" w:space="0" w:color="auto"/>
              <w:left w:val="single" w:sz="4" w:space="0" w:color="auto"/>
              <w:bottom w:val="single" w:sz="4" w:space="0" w:color="auto"/>
              <w:right w:val="single" w:sz="4" w:space="0" w:color="auto"/>
            </w:tcBorders>
            <w:vAlign w:val="center"/>
          </w:tcPr>
          <w:p w14:paraId="27F58A80"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c>
          <w:tcPr>
            <w:tcW w:w="954" w:type="dxa"/>
            <w:tcBorders>
              <w:top w:val="single" w:sz="4" w:space="0" w:color="auto"/>
              <w:left w:val="single" w:sz="4" w:space="0" w:color="auto"/>
              <w:bottom w:val="single" w:sz="4" w:space="0" w:color="auto"/>
              <w:right w:val="single" w:sz="4" w:space="0" w:color="auto"/>
            </w:tcBorders>
            <w:shd w:val="clear" w:color="auto" w:fill="BDD7EE"/>
            <w:vAlign w:val="center"/>
          </w:tcPr>
          <w:p w14:paraId="11CF222D"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96" w:type="dxa"/>
            <w:tcBorders>
              <w:top w:val="single" w:sz="4" w:space="0" w:color="auto"/>
              <w:left w:val="nil"/>
              <w:bottom w:val="single" w:sz="4" w:space="0" w:color="auto"/>
              <w:right w:val="single" w:sz="4" w:space="0" w:color="auto"/>
            </w:tcBorders>
            <w:shd w:val="clear" w:color="auto" w:fill="BDD7EE"/>
            <w:vAlign w:val="center"/>
          </w:tcPr>
          <w:p w14:paraId="525ECB5F"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652" w:type="dxa"/>
            <w:tcBorders>
              <w:top w:val="single" w:sz="4" w:space="0" w:color="auto"/>
              <w:left w:val="nil"/>
              <w:bottom w:val="single" w:sz="4" w:space="0" w:color="auto"/>
              <w:right w:val="single" w:sz="4" w:space="0" w:color="auto"/>
            </w:tcBorders>
            <w:shd w:val="clear" w:color="auto" w:fill="BDD7EE"/>
            <w:vAlign w:val="center"/>
          </w:tcPr>
          <w:p w14:paraId="19ACF01A"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99" w:type="dxa"/>
            <w:tcBorders>
              <w:top w:val="single" w:sz="4" w:space="0" w:color="auto"/>
              <w:left w:val="nil"/>
              <w:bottom w:val="single" w:sz="4" w:space="0" w:color="auto"/>
              <w:right w:val="single" w:sz="4" w:space="0" w:color="auto"/>
            </w:tcBorders>
            <w:shd w:val="clear" w:color="auto" w:fill="BDD7EE"/>
            <w:vAlign w:val="center"/>
          </w:tcPr>
          <w:p w14:paraId="1A83E133"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99" w:type="dxa"/>
            <w:gridSpan w:val="2"/>
            <w:tcBorders>
              <w:top w:val="single" w:sz="4" w:space="0" w:color="auto"/>
              <w:left w:val="nil"/>
              <w:bottom w:val="single" w:sz="4" w:space="0" w:color="auto"/>
              <w:right w:val="single" w:sz="4" w:space="0" w:color="auto"/>
            </w:tcBorders>
            <w:shd w:val="clear" w:color="auto" w:fill="BDD7EE"/>
            <w:vAlign w:val="center"/>
          </w:tcPr>
          <w:p w14:paraId="50632D81" w14:textId="77777777" w:rsidR="001B186F" w:rsidRPr="00DE4E4F" w:rsidRDefault="0074517F">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287" w:type="dxa"/>
            <w:vMerge/>
            <w:tcBorders>
              <w:top w:val="single" w:sz="4" w:space="0" w:color="auto"/>
              <w:bottom w:val="single" w:sz="4" w:space="0" w:color="auto"/>
              <w:right w:val="single" w:sz="4" w:space="0" w:color="auto"/>
            </w:tcBorders>
            <w:vAlign w:val="center"/>
          </w:tcPr>
          <w:p w14:paraId="07D58EC0" w14:textId="77777777" w:rsidR="001B186F" w:rsidRPr="00DE4E4F" w:rsidRDefault="001B186F">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34164A6C" w14:textId="77777777">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62D2DEEC" w14:textId="77777777" w:rsidR="001B186F" w:rsidRPr="00DE4E4F" w:rsidRDefault="0074517F">
            <w:pPr>
              <w:spacing w:after="0" w:line="240" w:lineRule="auto"/>
              <w:rPr>
                <w:rFonts w:ascii="Times New Roman" w:eastAsia="Times New Roman" w:hAnsi="Times New Roman" w:cs="Times New Roman"/>
                <w:noProof/>
                <w:sz w:val="18"/>
                <w:szCs w:val="18"/>
                <w:highlight w:val="cyan"/>
              </w:rPr>
            </w:pPr>
            <w:r w:rsidRPr="00DE4E4F">
              <w:rPr>
                <w:rFonts w:ascii="Times New Roman" w:hAnsi="Times New Roman" w:cs="Times New Roman"/>
                <w:noProof/>
                <w:color w:val="006100"/>
                <w:sz w:val="18"/>
                <w:szCs w:val="18"/>
              </w:rPr>
              <w:t>358</w:t>
            </w:r>
          </w:p>
        </w:tc>
        <w:tc>
          <w:tcPr>
            <w:tcW w:w="1843" w:type="dxa"/>
            <w:tcBorders>
              <w:top w:val="single" w:sz="4" w:space="0" w:color="auto"/>
              <w:left w:val="nil"/>
              <w:bottom w:val="single" w:sz="4" w:space="0" w:color="auto"/>
              <w:right w:val="single" w:sz="4" w:space="0" w:color="auto"/>
            </w:tcBorders>
            <w:shd w:val="clear" w:color="auto" w:fill="C6EFCE"/>
            <w:noWrap/>
          </w:tcPr>
          <w:p w14:paraId="4EBEF52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20 - 5.1. REPowerEU reforms – 16991_Regulatory framework towards a smart grid</w:t>
            </w:r>
          </w:p>
        </w:tc>
        <w:tc>
          <w:tcPr>
            <w:tcW w:w="992" w:type="dxa"/>
            <w:tcBorders>
              <w:top w:val="single" w:sz="4" w:space="0" w:color="auto"/>
              <w:left w:val="nil"/>
              <w:bottom w:val="single" w:sz="4" w:space="0" w:color="auto"/>
              <w:right w:val="single" w:sz="4" w:space="0" w:color="auto"/>
            </w:tcBorders>
            <w:shd w:val="clear" w:color="auto" w:fill="C6EFCE"/>
            <w:noWrap/>
          </w:tcPr>
          <w:p w14:paraId="0ED0995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3" w:type="dxa"/>
            <w:tcBorders>
              <w:top w:val="single" w:sz="4" w:space="0" w:color="auto"/>
              <w:left w:val="nil"/>
              <w:bottom w:val="single" w:sz="4" w:space="0" w:color="auto"/>
              <w:right w:val="single" w:sz="4" w:space="0" w:color="auto"/>
            </w:tcBorders>
            <w:shd w:val="clear" w:color="auto" w:fill="C6EFCE"/>
            <w:noWrap/>
          </w:tcPr>
          <w:p w14:paraId="739757D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Development of an incentives-based system for the Distribution System Operator and consumers to increase deployment and utilization of smart meters.</w:t>
            </w:r>
          </w:p>
        </w:tc>
        <w:tc>
          <w:tcPr>
            <w:tcW w:w="1556" w:type="dxa"/>
            <w:tcBorders>
              <w:top w:val="single" w:sz="4" w:space="0" w:color="auto"/>
              <w:left w:val="nil"/>
              <w:bottom w:val="single" w:sz="4" w:space="0" w:color="auto"/>
              <w:right w:val="single" w:sz="4" w:space="0" w:color="auto"/>
            </w:tcBorders>
            <w:shd w:val="clear" w:color="auto" w:fill="C6EFCE"/>
            <w:noWrap/>
          </w:tcPr>
          <w:p w14:paraId="10121759"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Joint Ministerial Decision/ Decision by the Regulator</w:t>
            </w:r>
          </w:p>
        </w:tc>
        <w:tc>
          <w:tcPr>
            <w:tcW w:w="954" w:type="dxa"/>
            <w:tcBorders>
              <w:top w:val="nil"/>
              <w:left w:val="nil"/>
              <w:bottom w:val="single" w:sz="4" w:space="0" w:color="auto"/>
              <w:right w:val="single" w:sz="4" w:space="0" w:color="auto"/>
            </w:tcBorders>
            <w:shd w:val="clear" w:color="auto" w:fill="C6EFCE"/>
            <w:noWrap/>
          </w:tcPr>
          <w:p w14:paraId="21165A05"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996" w:type="dxa"/>
            <w:tcBorders>
              <w:top w:val="nil"/>
              <w:left w:val="nil"/>
              <w:bottom w:val="single" w:sz="4" w:space="0" w:color="auto"/>
              <w:right w:val="single" w:sz="4" w:space="0" w:color="auto"/>
            </w:tcBorders>
            <w:shd w:val="clear" w:color="auto" w:fill="C6EFCE"/>
            <w:noWrap/>
          </w:tcPr>
          <w:p w14:paraId="71883D7E"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652" w:type="dxa"/>
            <w:tcBorders>
              <w:top w:val="nil"/>
              <w:left w:val="nil"/>
              <w:bottom w:val="single" w:sz="4" w:space="0" w:color="auto"/>
              <w:right w:val="single" w:sz="4" w:space="0" w:color="auto"/>
            </w:tcBorders>
            <w:shd w:val="clear" w:color="auto" w:fill="C6EFCE"/>
            <w:noWrap/>
          </w:tcPr>
          <w:p w14:paraId="12ABF626"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909" w:type="dxa"/>
            <w:gridSpan w:val="2"/>
            <w:tcBorders>
              <w:top w:val="nil"/>
              <w:left w:val="nil"/>
              <w:bottom w:val="single" w:sz="4" w:space="0" w:color="auto"/>
              <w:right w:val="single" w:sz="4" w:space="0" w:color="auto"/>
            </w:tcBorders>
            <w:shd w:val="clear" w:color="auto" w:fill="C6EFCE"/>
            <w:noWrap/>
          </w:tcPr>
          <w:p w14:paraId="6A0ECE84"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89" w:type="dxa"/>
            <w:tcBorders>
              <w:top w:val="nil"/>
              <w:left w:val="nil"/>
              <w:bottom w:val="single" w:sz="4" w:space="0" w:color="auto"/>
              <w:right w:val="single" w:sz="4" w:space="0" w:color="auto"/>
            </w:tcBorders>
            <w:shd w:val="clear" w:color="auto" w:fill="C6EFCE"/>
            <w:noWrap/>
          </w:tcPr>
          <w:p w14:paraId="55159F6E"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287" w:type="dxa"/>
            <w:tcBorders>
              <w:top w:val="single" w:sz="4" w:space="0" w:color="auto"/>
              <w:left w:val="nil"/>
              <w:bottom w:val="single" w:sz="4" w:space="0" w:color="auto"/>
              <w:right w:val="single" w:sz="4" w:space="0" w:color="auto"/>
            </w:tcBorders>
            <w:shd w:val="clear" w:color="auto" w:fill="C6EFCE"/>
            <w:noWrap/>
          </w:tcPr>
          <w:p w14:paraId="39921401"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Entry into force of a Joint Ministerial Decision / Decision by the Regulator for the development of an incentives-based system for the Distribution System Operator and consumers to increase deployment and utilization of smart meters.</w:t>
            </w:r>
          </w:p>
        </w:tc>
      </w:tr>
      <w:tr w:rsidR="00682269" w:rsidRPr="00DE4E4F" w14:paraId="51FF298C" w14:textId="77777777">
        <w:trPr>
          <w:trHeight w:val="1526"/>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631E5D4" w14:textId="77777777" w:rsidR="001B186F" w:rsidRPr="00DE4E4F" w:rsidRDefault="0074517F">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359</w:t>
            </w:r>
          </w:p>
        </w:tc>
        <w:tc>
          <w:tcPr>
            <w:tcW w:w="1843" w:type="dxa"/>
            <w:tcBorders>
              <w:top w:val="single" w:sz="4" w:space="0" w:color="auto"/>
              <w:left w:val="nil"/>
              <w:bottom w:val="single" w:sz="4" w:space="0" w:color="auto"/>
              <w:right w:val="single" w:sz="4" w:space="0" w:color="auto"/>
            </w:tcBorders>
            <w:shd w:val="clear" w:color="auto" w:fill="C6EFCE"/>
            <w:noWrap/>
          </w:tcPr>
          <w:p w14:paraId="534AD2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20 - 5.1. REPowerEU reforms – 16991_Regulatory framework towards a smart grid</w:t>
            </w:r>
          </w:p>
        </w:tc>
        <w:tc>
          <w:tcPr>
            <w:tcW w:w="992" w:type="dxa"/>
            <w:tcBorders>
              <w:top w:val="single" w:sz="4" w:space="0" w:color="auto"/>
              <w:left w:val="nil"/>
              <w:bottom w:val="single" w:sz="4" w:space="0" w:color="auto"/>
              <w:right w:val="single" w:sz="4" w:space="0" w:color="auto"/>
            </w:tcBorders>
            <w:shd w:val="clear" w:color="auto" w:fill="C6EFCE"/>
            <w:noWrap/>
          </w:tcPr>
          <w:p w14:paraId="787F317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Milestone </w:t>
            </w:r>
          </w:p>
        </w:tc>
        <w:tc>
          <w:tcPr>
            <w:tcW w:w="1843" w:type="dxa"/>
            <w:tcBorders>
              <w:top w:val="single" w:sz="4" w:space="0" w:color="auto"/>
              <w:left w:val="nil"/>
              <w:bottom w:val="single" w:sz="4" w:space="0" w:color="auto"/>
              <w:right w:val="single" w:sz="4" w:space="0" w:color="auto"/>
            </w:tcBorders>
            <w:shd w:val="clear" w:color="auto" w:fill="C6EFCE"/>
            <w:noWrap/>
          </w:tcPr>
          <w:p w14:paraId="4298BCC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Framework for dynamic pricing contracts </w:t>
            </w:r>
          </w:p>
        </w:tc>
        <w:tc>
          <w:tcPr>
            <w:tcW w:w="1556" w:type="dxa"/>
            <w:tcBorders>
              <w:top w:val="single" w:sz="4" w:space="0" w:color="auto"/>
              <w:left w:val="nil"/>
              <w:bottom w:val="single" w:sz="4" w:space="0" w:color="auto"/>
              <w:right w:val="single" w:sz="4" w:space="0" w:color="auto"/>
            </w:tcBorders>
            <w:shd w:val="clear" w:color="auto" w:fill="C6EFCE"/>
            <w:noWrap/>
          </w:tcPr>
          <w:p w14:paraId="788EFA87" w14:textId="77777777" w:rsidR="001B186F" w:rsidRPr="00DE4E4F" w:rsidRDefault="0074517F">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Legal act</w:t>
            </w:r>
          </w:p>
        </w:tc>
        <w:tc>
          <w:tcPr>
            <w:tcW w:w="954" w:type="dxa"/>
            <w:tcBorders>
              <w:top w:val="single" w:sz="4" w:space="0" w:color="auto"/>
              <w:left w:val="nil"/>
              <w:bottom w:val="single" w:sz="4" w:space="0" w:color="auto"/>
              <w:right w:val="single" w:sz="4" w:space="0" w:color="auto"/>
            </w:tcBorders>
            <w:shd w:val="clear" w:color="auto" w:fill="C6EFCE"/>
            <w:noWrap/>
          </w:tcPr>
          <w:p w14:paraId="202DFDE3"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996" w:type="dxa"/>
            <w:tcBorders>
              <w:top w:val="single" w:sz="4" w:space="0" w:color="auto"/>
              <w:left w:val="nil"/>
              <w:bottom w:val="single" w:sz="4" w:space="0" w:color="auto"/>
              <w:right w:val="single" w:sz="4" w:space="0" w:color="auto"/>
            </w:tcBorders>
            <w:shd w:val="clear" w:color="auto" w:fill="C6EFCE"/>
            <w:noWrap/>
          </w:tcPr>
          <w:p w14:paraId="1F71B639"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652" w:type="dxa"/>
            <w:tcBorders>
              <w:top w:val="single" w:sz="4" w:space="0" w:color="auto"/>
              <w:left w:val="nil"/>
              <w:bottom w:val="single" w:sz="4" w:space="0" w:color="auto"/>
              <w:right w:val="single" w:sz="4" w:space="0" w:color="auto"/>
            </w:tcBorders>
            <w:shd w:val="clear" w:color="auto" w:fill="C6EFCE"/>
            <w:noWrap/>
          </w:tcPr>
          <w:p w14:paraId="68686A7E" w14:textId="77777777" w:rsidR="001B186F" w:rsidRPr="00DE4E4F" w:rsidRDefault="001B186F">
            <w:pPr>
              <w:spacing w:after="0" w:line="240" w:lineRule="auto"/>
              <w:rPr>
                <w:rFonts w:ascii="Times New Roman" w:eastAsia="Times New Roman" w:hAnsi="Times New Roman" w:cs="Times New Roman"/>
                <w:noProof/>
                <w:sz w:val="18"/>
                <w:szCs w:val="18"/>
                <w:lang w:eastAsia="en-GB"/>
              </w:rPr>
            </w:pPr>
          </w:p>
        </w:tc>
        <w:tc>
          <w:tcPr>
            <w:tcW w:w="909" w:type="dxa"/>
            <w:gridSpan w:val="2"/>
            <w:tcBorders>
              <w:top w:val="single" w:sz="4" w:space="0" w:color="auto"/>
              <w:left w:val="nil"/>
              <w:bottom w:val="single" w:sz="4" w:space="0" w:color="auto"/>
              <w:right w:val="single" w:sz="4" w:space="0" w:color="auto"/>
            </w:tcBorders>
            <w:shd w:val="clear" w:color="auto" w:fill="C6EFCE"/>
            <w:noWrap/>
          </w:tcPr>
          <w:p w14:paraId="08CA500C"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889" w:type="dxa"/>
            <w:tcBorders>
              <w:top w:val="single" w:sz="4" w:space="0" w:color="auto"/>
              <w:left w:val="nil"/>
              <w:bottom w:val="single" w:sz="4" w:space="0" w:color="auto"/>
              <w:right w:val="single" w:sz="4" w:space="0" w:color="auto"/>
            </w:tcBorders>
            <w:shd w:val="clear" w:color="auto" w:fill="C6EFCE"/>
            <w:noWrap/>
          </w:tcPr>
          <w:p w14:paraId="546DA1E4" w14:textId="77777777" w:rsidR="001B186F" w:rsidRPr="00DE4E4F" w:rsidRDefault="0074517F">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287" w:type="dxa"/>
            <w:tcBorders>
              <w:top w:val="single" w:sz="4" w:space="0" w:color="auto"/>
              <w:left w:val="nil"/>
              <w:bottom w:val="single" w:sz="4" w:space="0" w:color="auto"/>
              <w:right w:val="single" w:sz="4" w:space="0" w:color="auto"/>
            </w:tcBorders>
            <w:shd w:val="clear" w:color="auto" w:fill="C6EFCE"/>
            <w:noWrap/>
          </w:tcPr>
          <w:p w14:paraId="0CE897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the legal acts for dynamic pricing contracts to implement the dynamic pricing for all end-consumers as soon as a smart meter is installed in their service connection. The legal act setting out design issues, key terms of dynamic contracts. The legal act shall establish rights and obligations of operators, load representatives and customers, related to the implementation of dynamic pricing. </w:t>
            </w:r>
          </w:p>
        </w:tc>
      </w:tr>
    </w:tbl>
    <w:p w14:paraId="325CE8CE" w14:textId="77777777" w:rsidR="001B186F" w:rsidRPr="00DE4E4F" w:rsidRDefault="001B186F">
      <w:pPr>
        <w:keepNext/>
        <w:keepLines/>
        <w:spacing w:before="240" w:after="0" w:line="240" w:lineRule="auto"/>
        <w:jc w:val="both"/>
        <w:outlineLvl w:val="4"/>
        <w:rPr>
          <w:rFonts w:ascii="Cambria" w:hAnsi="Cambria"/>
          <w:noProof/>
          <w:color w:val="365F91" w:themeColor="accent1" w:themeShade="BF"/>
          <w:sz w:val="24"/>
        </w:rPr>
        <w:sectPr w:rsidR="001B186F" w:rsidRPr="00DE4E4F">
          <w:headerReference w:type="even" r:id="rId396"/>
          <w:headerReference w:type="default" r:id="rId397"/>
          <w:footerReference w:type="even" r:id="rId398"/>
          <w:footerReference w:type="default" r:id="rId399"/>
          <w:headerReference w:type="first" r:id="rId400"/>
          <w:footerReference w:type="first" r:id="rId401"/>
          <w:pgSz w:w="16839" w:h="11907" w:orient="landscape"/>
          <w:pgMar w:top="1134" w:right="1134" w:bottom="1134" w:left="1134" w:header="567" w:footer="567" w:gutter="0"/>
          <w:cols w:space="720"/>
          <w:docGrid w:linePitch="360"/>
        </w:sectPr>
      </w:pPr>
    </w:p>
    <w:p w14:paraId="315BE5ED" w14:textId="77777777" w:rsidR="001B186F" w:rsidRPr="00DE4E4F" w:rsidRDefault="0074517F">
      <w:pPr>
        <w:keepNext/>
        <w:keepLines/>
        <w:spacing w:before="240" w:after="0" w:line="240" w:lineRule="auto"/>
        <w:jc w:val="both"/>
        <w:outlineLvl w:val="4"/>
        <w:rPr>
          <w:rFonts w:ascii="Cambria" w:hAnsi="Cambria"/>
          <w:noProof/>
          <w:color w:val="4F81BD" w:themeColor="accent1"/>
          <w:sz w:val="24"/>
        </w:rPr>
      </w:pPr>
      <w:r w:rsidRPr="00DE4E4F">
        <w:rPr>
          <w:rFonts w:ascii="Cambria" w:hAnsi="Cambria"/>
          <w:noProof/>
          <w:color w:val="365F91" w:themeColor="accent1" w:themeShade="BF"/>
          <w:sz w:val="24"/>
        </w:rPr>
        <w:t>Reform 6: Toolset to promote energy sharing, self-consumption and renewable Energy Communities (measure ID: 16992)</w:t>
      </w:r>
    </w:p>
    <w:tbl>
      <w:tblPr>
        <w:tblW w:w="155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75"/>
        <w:gridCol w:w="1985"/>
        <w:gridCol w:w="992"/>
        <w:gridCol w:w="1843"/>
        <w:gridCol w:w="1559"/>
        <w:gridCol w:w="992"/>
        <w:gridCol w:w="869"/>
        <w:gridCol w:w="832"/>
        <w:gridCol w:w="993"/>
        <w:gridCol w:w="850"/>
        <w:gridCol w:w="3969"/>
      </w:tblGrid>
      <w:tr w:rsidR="00682269" w:rsidRPr="00DE4E4F" w14:paraId="751C3B6D" w14:textId="77777777" w:rsidTr="001E23A0">
        <w:trPr>
          <w:trHeight w:val="839"/>
          <w:tblHeader/>
        </w:trPr>
        <w:tc>
          <w:tcPr>
            <w:tcW w:w="675" w:type="dxa"/>
            <w:vMerge w:val="restart"/>
            <w:shd w:val="clear" w:color="auto" w:fill="BDD7EE"/>
            <w:vAlign w:val="center"/>
            <w:hideMark/>
          </w:tcPr>
          <w:p w14:paraId="2D908CB1"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cs="Times New Roman"/>
                <w:b/>
                <w:noProof/>
                <w:sz w:val="18"/>
                <w:szCs w:val="18"/>
              </w:rPr>
              <w:t>Seq. No.</w:t>
            </w:r>
          </w:p>
        </w:tc>
        <w:tc>
          <w:tcPr>
            <w:tcW w:w="1985" w:type="dxa"/>
            <w:vMerge w:val="restart"/>
            <w:shd w:val="clear" w:color="auto" w:fill="BDD7EE"/>
            <w:vAlign w:val="center"/>
            <w:hideMark/>
          </w:tcPr>
          <w:p w14:paraId="1D7222BE"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Related Measure (Reform or Investment)</w:t>
            </w:r>
          </w:p>
        </w:tc>
        <w:tc>
          <w:tcPr>
            <w:tcW w:w="992" w:type="dxa"/>
            <w:vMerge w:val="restart"/>
            <w:shd w:val="clear" w:color="auto" w:fill="BDD7EE"/>
            <w:vAlign w:val="center"/>
            <w:hideMark/>
          </w:tcPr>
          <w:p w14:paraId="3EAB8E98"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Milestone / Target</w:t>
            </w:r>
          </w:p>
        </w:tc>
        <w:tc>
          <w:tcPr>
            <w:tcW w:w="1843" w:type="dxa"/>
            <w:vMerge w:val="restart"/>
            <w:shd w:val="clear" w:color="auto" w:fill="BDD7EE"/>
            <w:vAlign w:val="center"/>
            <w:hideMark/>
          </w:tcPr>
          <w:p w14:paraId="568A2034"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Name</w:t>
            </w:r>
          </w:p>
        </w:tc>
        <w:tc>
          <w:tcPr>
            <w:tcW w:w="1559" w:type="dxa"/>
            <w:vMerge w:val="restart"/>
            <w:shd w:val="clear" w:color="auto" w:fill="BDD7EE"/>
            <w:vAlign w:val="center"/>
            <w:hideMark/>
          </w:tcPr>
          <w:p w14:paraId="0C025392"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Qualitative indicators (for milestones)</w:t>
            </w:r>
          </w:p>
        </w:tc>
        <w:tc>
          <w:tcPr>
            <w:tcW w:w="2693" w:type="dxa"/>
            <w:gridSpan w:val="3"/>
            <w:shd w:val="clear" w:color="auto" w:fill="BDD7EE"/>
            <w:vAlign w:val="center"/>
            <w:hideMark/>
          </w:tcPr>
          <w:p w14:paraId="504CB200"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Quantitative indicators (for targets)</w:t>
            </w:r>
          </w:p>
        </w:tc>
        <w:tc>
          <w:tcPr>
            <w:tcW w:w="1843" w:type="dxa"/>
            <w:gridSpan w:val="2"/>
            <w:shd w:val="clear" w:color="auto" w:fill="BDD7EE"/>
            <w:vAlign w:val="center"/>
            <w:hideMark/>
          </w:tcPr>
          <w:p w14:paraId="2955790D"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Indicative timeline for completion</w:t>
            </w:r>
          </w:p>
        </w:tc>
        <w:tc>
          <w:tcPr>
            <w:tcW w:w="3969" w:type="dxa"/>
            <w:vMerge w:val="restart"/>
            <w:shd w:val="clear" w:color="auto" w:fill="BDD7EE"/>
            <w:vAlign w:val="center"/>
            <w:hideMark/>
          </w:tcPr>
          <w:p w14:paraId="4F11B366"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noProof/>
                <w:sz w:val="18"/>
              </w:rPr>
              <w:t>Description of each milestone and target</w:t>
            </w:r>
          </w:p>
        </w:tc>
      </w:tr>
      <w:tr w:rsidR="00682269" w:rsidRPr="00DE4E4F" w14:paraId="4FE29DCF" w14:textId="77777777" w:rsidTr="001E23A0">
        <w:trPr>
          <w:trHeight w:val="281"/>
          <w:tblHeader/>
        </w:trPr>
        <w:tc>
          <w:tcPr>
            <w:tcW w:w="675" w:type="dxa"/>
            <w:vMerge/>
            <w:vAlign w:val="center"/>
          </w:tcPr>
          <w:p w14:paraId="5720A99A"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985" w:type="dxa"/>
            <w:vMerge/>
            <w:vAlign w:val="center"/>
          </w:tcPr>
          <w:p w14:paraId="1B174D18"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vMerge/>
            <w:vAlign w:val="center"/>
          </w:tcPr>
          <w:p w14:paraId="67F54485"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843" w:type="dxa"/>
            <w:vMerge/>
            <w:vAlign w:val="center"/>
          </w:tcPr>
          <w:p w14:paraId="47528200"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559" w:type="dxa"/>
            <w:vMerge/>
            <w:vAlign w:val="center"/>
          </w:tcPr>
          <w:p w14:paraId="4352121E"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shd w:val="clear" w:color="auto" w:fill="BDD7EE"/>
            <w:vAlign w:val="center"/>
          </w:tcPr>
          <w:p w14:paraId="3E8DD3C1"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69" w:type="dxa"/>
            <w:shd w:val="clear" w:color="auto" w:fill="BDD7EE"/>
            <w:vAlign w:val="center"/>
          </w:tcPr>
          <w:p w14:paraId="62015832"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832" w:type="dxa"/>
            <w:shd w:val="clear" w:color="auto" w:fill="BDD7EE"/>
            <w:vAlign w:val="center"/>
          </w:tcPr>
          <w:p w14:paraId="68A16222"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993" w:type="dxa"/>
            <w:shd w:val="clear" w:color="auto" w:fill="BDD7EE"/>
            <w:vAlign w:val="center"/>
          </w:tcPr>
          <w:p w14:paraId="123EA8BE"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850" w:type="dxa"/>
            <w:shd w:val="clear" w:color="auto" w:fill="BDD7EE"/>
            <w:vAlign w:val="center"/>
          </w:tcPr>
          <w:p w14:paraId="08DC3434"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969" w:type="dxa"/>
            <w:vMerge/>
            <w:vAlign w:val="center"/>
          </w:tcPr>
          <w:p w14:paraId="02CB64B1"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6F4F0FF5" w14:textId="77777777" w:rsidTr="001E23A0">
        <w:tc>
          <w:tcPr>
            <w:tcW w:w="675" w:type="dxa"/>
            <w:shd w:val="clear" w:color="auto" w:fill="C6EFCE"/>
            <w:noWrap/>
          </w:tcPr>
          <w:p w14:paraId="43CD014B"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361</w:t>
            </w:r>
          </w:p>
        </w:tc>
        <w:tc>
          <w:tcPr>
            <w:tcW w:w="1985" w:type="dxa"/>
            <w:shd w:val="clear" w:color="auto" w:fill="C6EFCE"/>
            <w:noWrap/>
          </w:tcPr>
          <w:p w14:paraId="2AB764BA" w14:textId="77777777" w:rsidR="001B186F" w:rsidRPr="00DE4E4F" w:rsidRDefault="0074517F" w:rsidP="001E23A0">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20 - 5. REPowerEU reforms - 16992_Toolset to promote energy sharing, self-consumption and renewable Energy Communities</w:t>
            </w:r>
          </w:p>
        </w:tc>
        <w:tc>
          <w:tcPr>
            <w:tcW w:w="992" w:type="dxa"/>
            <w:shd w:val="clear" w:color="auto" w:fill="C6EFCE"/>
            <w:noWrap/>
          </w:tcPr>
          <w:p w14:paraId="589FFC2D" w14:textId="77777777" w:rsidR="001B186F" w:rsidRPr="00DE4E4F" w:rsidRDefault="0074517F" w:rsidP="001E23A0">
            <w:pPr>
              <w:spacing w:after="12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Milestone</w:t>
            </w:r>
          </w:p>
        </w:tc>
        <w:tc>
          <w:tcPr>
            <w:tcW w:w="1843" w:type="dxa"/>
            <w:shd w:val="clear" w:color="auto" w:fill="C6EFCE"/>
            <w:noWrap/>
          </w:tcPr>
          <w:p w14:paraId="0C9A249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primary and secondary legislation on self-consumption and facilitation of permitting processes for the installation of RES stations in apartment buildings</w:t>
            </w:r>
          </w:p>
        </w:tc>
        <w:tc>
          <w:tcPr>
            <w:tcW w:w="1559" w:type="dxa"/>
            <w:shd w:val="clear" w:color="auto" w:fill="C6EFCE"/>
            <w:noWrap/>
          </w:tcPr>
          <w:p w14:paraId="10797677" w14:textId="77777777" w:rsidR="001B186F" w:rsidRPr="00DE4E4F" w:rsidRDefault="0074517F" w:rsidP="001E23A0">
            <w:pPr>
              <w:spacing w:after="120" w:line="240" w:lineRule="auto"/>
              <w:rPr>
                <w:rFonts w:ascii="Times New Roman" w:eastAsia="Times New Roman" w:hAnsi="Times New Roman" w:cs="Times New Roman"/>
                <w:b/>
                <w:bCs/>
                <w:noProof/>
                <w:sz w:val="18"/>
                <w:szCs w:val="18"/>
                <w:lang w:eastAsia="en-GB"/>
              </w:rPr>
            </w:pPr>
            <w:r w:rsidRPr="00DE4E4F">
              <w:rPr>
                <w:rFonts w:ascii="Times New Roman" w:hAnsi="Times New Roman" w:cs="Times New Roman"/>
                <w:noProof/>
                <w:color w:val="006100"/>
                <w:sz w:val="18"/>
                <w:szCs w:val="18"/>
              </w:rPr>
              <w:t>Entry into force of primary and secondary legislation</w:t>
            </w:r>
          </w:p>
        </w:tc>
        <w:tc>
          <w:tcPr>
            <w:tcW w:w="992" w:type="dxa"/>
            <w:shd w:val="clear" w:color="auto" w:fill="C6EFCE"/>
            <w:noWrap/>
          </w:tcPr>
          <w:p w14:paraId="1EC27804"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69" w:type="dxa"/>
            <w:shd w:val="clear" w:color="auto" w:fill="C6EFCE"/>
            <w:noWrap/>
          </w:tcPr>
          <w:p w14:paraId="2583018E"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32" w:type="dxa"/>
            <w:shd w:val="clear" w:color="auto" w:fill="C6EFCE"/>
            <w:noWrap/>
          </w:tcPr>
          <w:p w14:paraId="2DDF5EBB"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993" w:type="dxa"/>
            <w:shd w:val="clear" w:color="auto" w:fill="C6EFCE"/>
            <w:noWrap/>
          </w:tcPr>
          <w:p w14:paraId="6D4203F9"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850" w:type="dxa"/>
            <w:shd w:val="clear" w:color="auto" w:fill="C6EFCE"/>
            <w:noWrap/>
          </w:tcPr>
          <w:p w14:paraId="189F51B5"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969" w:type="dxa"/>
            <w:shd w:val="clear" w:color="auto" w:fill="C6EFCE"/>
            <w:noWrap/>
          </w:tcPr>
          <w:p w14:paraId="330E561C"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 Entry into force of secondary legislation set out in Law 5037/2023. In particular:</w:t>
            </w:r>
          </w:p>
          <w:p w14:paraId="480A4358"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the Ministerial Decision(s) for the implementation of self-consumption, self-consumption through virtual net billing and collective self-consumption, energy net billing and virtual net billing specifying, stemming from articles 64 and 66 of Law 5037/2023.</w:t>
            </w:r>
          </w:p>
          <w:p w14:paraId="4CC65245"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 Entry into force of primary legislation for the facilitation of permitting processes for the installation of RES stations in apartment (or multi-apartment) buildings also to foster collective self-consumption. This shall include rules to facilitate decision making, including the introduction a majority-based process for installing RES. </w:t>
            </w:r>
          </w:p>
        </w:tc>
      </w:tr>
      <w:tr w:rsidR="00682269" w:rsidRPr="00DE4E4F" w14:paraId="613A02D1" w14:textId="77777777" w:rsidTr="001E23A0">
        <w:tc>
          <w:tcPr>
            <w:tcW w:w="675" w:type="dxa"/>
            <w:shd w:val="clear" w:color="auto" w:fill="C6EFCE"/>
            <w:noWrap/>
          </w:tcPr>
          <w:p w14:paraId="4724239D"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362</w:t>
            </w:r>
          </w:p>
        </w:tc>
        <w:tc>
          <w:tcPr>
            <w:tcW w:w="1985" w:type="dxa"/>
            <w:shd w:val="clear" w:color="auto" w:fill="C6EFCE"/>
            <w:noWrap/>
          </w:tcPr>
          <w:p w14:paraId="5077106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 REPowerEU reforms - 16992_Toolset to promote energy sharing, self-consumption and renewable Energy Communities</w:t>
            </w:r>
          </w:p>
        </w:tc>
        <w:tc>
          <w:tcPr>
            <w:tcW w:w="992" w:type="dxa"/>
            <w:shd w:val="clear" w:color="auto" w:fill="C6EFCE"/>
            <w:noWrap/>
          </w:tcPr>
          <w:p w14:paraId="02BC4AFC"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843" w:type="dxa"/>
            <w:shd w:val="clear" w:color="auto" w:fill="C6EFCE"/>
            <w:noWrap/>
          </w:tcPr>
          <w:p w14:paraId="0C954EB0"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Set-up of the Self-Consumer Registry and the technical assistance for Energy Communities</w:t>
            </w:r>
          </w:p>
        </w:tc>
        <w:tc>
          <w:tcPr>
            <w:tcW w:w="1559" w:type="dxa"/>
            <w:shd w:val="clear" w:color="auto" w:fill="C6EFCE"/>
            <w:noWrap/>
          </w:tcPr>
          <w:p w14:paraId="56F85EB3" w14:textId="6070A826" w:rsidR="001B186F" w:rsidRPr="00DE4E4F" w:rsidRDefault="04941915"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w:t>
            </w:r>
            <w:r w:rsidR="0005494D" w:rsidRPr="00DE4E4F">
              <w:rPr>
                <w:rFonts w:ascii="Times New Roman" w:hAnsi="Times New Roman" w:cs="Times New Roman"/>
                <w:noProof/>
                <w:color w:val="006100"/>
                <w:sz w:val="18"/>
                <w:szCs w:val="18"/>
              </w:rPr>
              <w:t>l</w:t>
            </w:r>
            <w:r w:rsidR="0074517F" w:rsidRPr="00DE4E4F">
              <w:rPr>
                <w:rFonts w:ascii="Times New Roman" w:hAnsi="Times New Roman" w:cs="Times New Roman"/>
                <w:noProof/>
                <w:color w:val="006100"/>
                <w:sz w:val="18"/>
                <w:szCs w:val="18"/>
              </w:rPr>
              <w:t>egal act(s) and implementation report by the Ministry of Environment and Energy certifying the set up of the technical assistance</w:t>
            </w:r>
          </w:p>
        </w:tc>
        <w:tc>
          <w:tcPr>
            <w:tcW w:w="992" w:type="dxa"/>
            <w:shd w:val="clear" w:color="auto" w:fill="C6EFCE"/>
            <w:noWrap/>
          </w:tcPr>
          <w:p w14:paraId="1155E2AC" w14:textId="77777777" w:rsidR="001B186F" w:rsidRPr="00DE4E4F" w:rsidRDefault="001B186F" w:rsidP="001E23A0">
            <w:pPr>
              <w:spacing w:after="120" w:line="240" w:lineRule="auto"/>
              <w:rPr>
                <w:rFonts w:ascii="Times New Roman" w:hAnsi="Times New Roman" w:cs="Times New Roman"/>
                <w:noProof/>
                <w:sz w:val="18"/>
                <w:szCs w:val="18"/>
              </w:rPr>
            </w:pPr>
          </w:p>
        </w:tc>
        <w:tc>
          <w:tcPr>
            <w:tcW w:w="869" w:type="dxa"/>
            <w:shd w:val="clear" w:color="auto" w:fill="C6EFCE"/>
            <w:noWrap/>
          </w:tcPr>
          <w:p w14:paraId="26E58906" w14:textId="77777777" w:rsidR="001B186F" w:rsidRPr="00DE4E4F" w:rsidRDefault="001B186F" w:rsidP="001E23A0">
            <w:pPr>
              <w:spacing w:after="120" w:line="240" w:lineRule="auto"/>
              <w:rPr>
                <w:rFonts w:ascii="Times New Roman" w:hAnsi="Times New Roman" w:cs="Times New Roman"/>
                <w:noProof/>
                <w:sz w:val="18"/>
                <w:szCs w:val="18"/>
              </w:rPr>
            </w:pPr>
          </w:p>
        </w:tc>
        <w:tc>
          <w:tcPr>
            <w:tcW w:w="832" w:type="dxa"/>
            <w:shd w:val="clear" w:color="auto" w:fill="C6EFCE"/>
            <w:noWrap/>
          </w:tcPr>
          <w:p w14:paraId="4EC668EC" w14:textId="77777777" w:rsidR="001B186F" w:rsidRPr="00DE4E4F" w:rsidRDefault="001B186F" w:rsidP="001E23A0">
            <w:pPr>
              <w:spacing w:after="120" w:line="240" w:lineRule="auto"/>
              <w:rPr>
                <w:rFonts w:ascii="Times New Roman" w:hAnsi="Times New Roman" w:cs="Times New Roman"/>
                <w:noProof/>
                <w:sz w:val="18"/>
                <w:szCs w:val="18"/>
              </w:rPr>
            </w:pPr>
          </w:p>
        </w:tc>
        <w:tc>
          <w:tcPr>
            <w:tcW w:w="993" w:type="dxa"/>
            <w:shd w:val="clear" w:color="auto" w:fill="C6EFCE"/>
            <w:noWrap/>
          </w:tcPr>
          <w:p w14:paraId="2CB3F2FD"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Q1</w:t>
            </w:r>
          </w:p>
        </w:tc>
        <w:tc>
          <w:tcPr>
            <w:tcW w:w="850" w:type="dxa"/>
            <w:shd w:val="clear" w:color="auto" w:fill="C6EFCE"/>
            <w:noWrap/>
          </w:tcPr>
          <w:p w14:paraId="0E7D91CE"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969" w:type="dxa"/>
            <w:shd w:val="clear" w:color="auto" w:fill="C6EFCE"/>
            <w:noWrap/>
          </w:tcPr>
          <w:p w14:paraId="024F40AA" w14:textId="496C79A6" w:rsidR="001B186F" w:rsidRPr="00DE4E4F" w:rsidRDefault="0074517F" w:rsidP="001E23A0">
            <w:pPr>
              <w:spacing w:after="0" w:line="240" w:lineRule="auto"/>
              <w:rPr>
                <w:rFonts w:ascii="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legal act for the establishment of a Self-Consumers Registry and set up of technical assistance to support the development and operation of Energy Communities. The self-consumer registry shall be used for data and statistical analysis, while </w:t>
            </w:r>
            <w:r w:rsidR="00BE65B0" w:rsidRPr="00DE4E4F">
              <w:rPr>
                <w:rFonts w:ascii="Times New Roman" w:hAnsi="Times New Roman" w:cs="Times New Roman"/>
                <w:noProof/>
                <w:color w:val="006100"/>
                <w:sz w:val="18"/>
                <w:szCs w:val="18"/>
              </w:rPr>
              <w:t>facilitating interoperability and information sharing</w:t>
            </w:r>
            <w:r w:rsidRPr="00DE4E4F">
              <w:rPr>
                <w:rFonts w:ascii="Times New Roman" w:hAnsi="Times New Roman" w:cs="Times New Roman"/>
                <w:noProof/>
                <w:color w:val="006100"/>
                <w:sz w:val="18"/>
                <w:szCs w:val="18"/>
              </w:rPr>
              <w:t>.</w:t>
            </w:r>
            <w:r w:rsidR="00DE4C0C" w:rsidRPr="00DE4E4F">
              <w:rPr>
                <w:rFonts w:ascii="Times New Roman" w:hAnsi="Times New Roman" w:cs="Times New Roman"/>
                <w:noProof/>
                <w:color w:val="006100"/>
                <w:sz w:val="18"/>
                <w:szCs w:val="18"/>
              </w:rPr>
              <w:t xml:space="preserve"> </w:t>
            </w:r>
          </w:p>
          <w:p w14:paraId="35706F68"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p w14:paraId="356EC4B9" w14:textId="26798CBA"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Designation of a competent entity to manage the Self-consumers Registry</w:t>
            </w:r>
            <w:r w:rsidR="00AB2FA2" w:rsidRPr="00DE4E4F">
              <w:rPr>
                <w:rFonts w:ascii="Times New Roman" w:hAnsi="Times New Roman" w:cs="Times New Roman"/>
                <w:noProof/>
                <w:color w:val="006100"/>
                <w:sz w:val="18"/>
                <w:szCs w:val="18"/>
              </w:rPr>
              <w:t>.</w:t>
            </w:r>
          </w:p>
          <w:p w14:paraId="757DB2D0"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p w14:paraId="7241CBF2" w14:textId="47A1D83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Delivery of implementation report certifying the set up of the technical assistance for Energy Communities, including interactive contact points. </w:t>
            </w:r>
          </w:p>
        </w:tc>
      </w:tr>
    </w:tbl>
    <w:p w14:paraId="098AE82B"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Reform 7: Roadmap for innovative energy efficiency interventions and identification of new financial instruments (measure ID: 16993)</w:t>
      </w:r>
    </w:p>
    <w:tbl>
      <w:tblPr>
        <w:tblW w:w="15339" w:type="dxa"/>
        <w:tblInd w:w="-3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86"/>
        <w:gridCol w:w="2280"/>
        <w:gridCol w:w="1200"/>
        <w:gridCol w:w="1333"/>
        <w:gridCol w:w="1553"/>
        <w:gridCol w:w="1205"/>
        <w:gridCol w:w="927"/>
        <w:gridCol w:w="713"/>
        <w:gridCol w:w="922"/>
        <w:gridCol w:w="720"/>
        <w:gridCol w:w="3700"/>
      </w:tblGrid>
      <w:tr w:rsidR="00514701" w:rsidRPr="00DE4E4F" w14:paraId="21427498" w14:textId="77777777" w:rsidTr="00B2368C">
        <w:trPr>
          <w:trHeight w:val="927"/>
          <w:tblHeader/>
        </w:trPr>
        <w:tc>
          <w:tcPr>
            <w:tcW w:w="786" w:type="dxa"/>
            <w:vMerge w:val="restart"/>
            <w:shd w:val="clear" w:color="auto" w:fill="BDD7EE"/>
            <w:vAlign w:val="center"/>
            <w:hideMark/>
          </w:tcPr>
          <w:p w14:paraId="30F95DB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Seq. No. </w:t>
            </w:r>
          </w:p>
        </w:tc>
        <w:tc>
          <w:tcPr>
            <w:tcW w:w="2280" w:type="dxa"/>
            <w:vMerge w:val="restart"/>
            <w:shd w:val="clear" w:color="auto" w:fill="BDD7EE"/>
            <w:vAlign w:val="center"/>
            <w:hideMark/>
          </w:tcPr>
          <w:p w14:paraId="698DE44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Related Measure (Reform or Investment)</w:t>
            </w:r>
          </w:p>
        </w:tc>
        <w:tc>
          <w:tcPr>
            <w:tcW w:w="1200" w:type="dxa"/>
            <w:vMerge w:val="restart"/>
            <w:shd w:val="clear" w:color="auto" w:fill="BDD7EE"/>
            <w:vAlign w:val="center"/>
            <w:hideMark/>
          </w:tcPr>
          <w:p w14:paraId="037ADEEC"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Milestone / Target</w:t>
            </w:r>
          </w:p>
        </w:tc>
        <w:tc>
          <w:tcPr>
            <w:tcW w:w="1333" w:type="dxa"/>
            <w:vMerge w:val="restart"/>
            <w:shd w:val="clear" w:color="auto" w:fill="BDD7EE"/>
            <w:vAlign w:val="center"/>
            <w:hideMark/>
          </w:tcPr>
          <w:p w14:paraId="1BC6AB8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Name</w:t>
            </w:r>
          </w:p>
        </w:tc>
        <w:tc>
          <w:tcPr>
            <w:tcW w:w="1553" w:type="dxa"/>
            <w:vMerge w:val="restart"/>
            <w:shd w:val="clear" w:color="auto" w:fill="BDD7EE"/>
            <w:vAlign w:val="center"/>
            <w:hideMark/>
          </w:tcPr>
          <w:p w14:paraId="2FAEF87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Qualitative indicators (for milestones)</w:t>
            </w:r>
          </w:p>
        </w:tc>
        <w:tc>
          <w:tcPr>
            <w:tcW w:w="2845" w:type="dxa"/>
            <w:gridSpan w:val="3"/>
            <w:shd w:val="clear" w:color="auto" w:fill="BDD7EE"/>
            <w:vAlign w:val="center"/>
            <w:hideMark/>
          </w:tcPr>
          <w:p w14:paraId="667EBD5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Quantitative indicators (for targets)</w:t>
            </w:r>
          </w:p>
        </w:tc>
        <w:tc>
          <w:tcPr>
            <w:tcW w:w="1642" w:type="dxa"/>
            <w:gridSpan w:val="2"/>
            <w:shd w:val="clear" w:color="auto" w:fill="BDD7EE"/>
            <w:vAlign w:val="center"/>
            <w:hideMark/>
          </w:tcPr>
          <w:p w14:paraId="2732200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Indicative timeline for completion </w:t>
            </w:r>
          </w:p>
        </w:tc>
        <w:tc>
          <w:tcPr>
            <w:tcW w:w="3700" w:type="dxa"/>
            <w:vMerge w:val="restart"/>
            <w:shd w:val="clear" w:color="auto" w:fill="BDD7EE"/>
            <w:vAlign w:val="center"/>
            <w:hideMark/>
          </w:tcPr>
          <w:p w14:paraId="49035E38"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Description of each milestone and target</w:t>
            </w:r>
          </w:p>
        </w:tc>
      </w:tr>
      <w:tr w:rsidR="004B0FF3" w:rsidRPr="00DE4E4F" w14:paraId="4BF809CE" w14:textId="77777777" w:rsidTr="00B2368C">
        <w:trPr>
          <w:trHeight w:val="665"/>
        </w:trPr>
        <w:tc>
          <w:tcPr>
            <w:tcW w:w="786" w:type="dxa"/>
            <w:vMerge/>
            <w:vAlign w:val="center"/>
            <w:hideMark/>
          </w:tcPr>
          <w:p w14:paraId="0D7FB46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280" w:type="dxa"/>
            <w:vMerge/>
            <w:vAlign w:val="center"/>
            <w:hideMark/>
          </w:tcPr>
          <w:p w14:paraId="77397ED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0" w:type="dxa"/>
            <w:vMerge/>
            <w:vAlign w:val="center"/>
            <w:hideMark/>
          </w:tcPr>
          <w:p w14:paraId="73C384EC"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333" w:type="dxa"/>
            <w:vMerge/>
            <w:vAlign w:val="center"/>
            <w:hideMark/>
          </w:tcPr>
          <w:p w14:paraId="2ECF3FF5"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53" w:type="dxa"/>
            <w:vMerge/>
            <w:vAlign w:val="center"/>
            <w:hideMark/>
          </w:tcPr>
          <w:p w14:paraId="5FD554F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5" w:type="dxa"/>
            <w:shd w:val="clear" w:color="auto" w:fill="BDD7EE"/>
            <w:vAlign w:val="center"/>
            <w:hideMark/>
          </w:tcPr>
          <w:p w14:paraId="1629AC6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927" w:type="dxa"/>
            <w:shd w:val="clear" w:color="auto" w:fill="BDD7EE"/>
            <w:vAlign w:val="center"/>
            <w:hideMark/>
          </w:tcPr>
          <w:p w14:paraId="57C88E8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Baseline </w:t>
            </w:r>
          </w:p>
        </w:tc>
        <w:tc>
          <w:tcPr>
            <w:tcW w:w="713" w:type="dxa"/>
            <w:shd w:val="clear" w:color="auto" w:fill="BDD7EE"/>
            <w:vAlign w:val="center"/>
            <w:hideMark/>
          </w:tcPr>
          <w:p w14:paraId="44102B47"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 xml:space="preserve">Goal </w:t>
            </w:r>
          </w:p>
        </w:tc>
        <w:tc>
          <w:tcPr>
            <w:tcW w:w="922" w:type="dxa"/>
            <w:shd w:val="clear" w:color="auto" w:fill="BDD7EE"/>
            <w:vAlign w:val="center"/>
            <w:hideMark/>
          </w:tcPr>
          <w:p w14:paraId="3B592E0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720" w:type="dxa"/>
            <w:shd w:val="clear" w:color="auto" w:fill="BDD7EE"/>
            <w:vAlign w:val="center"/>
            <w:hideMark/>
          </w:tcPr>
          <w:p w14:paraId="6747268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3700" w:type="dxa"/>
            <w:vMerge/>
            <w:vAlign w:val="center"/>
            <w:hideMark/>
          </w:tcPr>
          <w:p w14:paraId="2F9D98B4"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4B0FF3" w:rsidRPr="00DE4E4F" w14:paraId="59A9BF2D" w14:textId="77777777" w:rsidTr="00B2368C">
        <w:tc>
          <w:tcPr>
            <w:tcW w:w="786" w:type="dxa"/>
            <w:shd w:val="clear" w:color="auto" w:fill="C6EFCE"/>
            <w:noWrap/>
          </w:tcPr>
          <w:p w14:paraId="059D0A9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363</w:t>
            </w:r>
          </w:p>
        </w:tc>
        <w:tc>
          <w:tcPr>
            <w:tcW w:w="2280" w:type="dxa"/>
            <w:shd w:val="clear" w:color="auto" w:fill="C6EFCE"/>
            <w:noWrap/>
          </w:tcPr>
          <w:p w14:paraId="74AB114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 REPowerEU reforms - 16993_Roadmap for innovative energy efficiency interventions and identification of new financial instruments</w:t>
            </w:r>
          </w:p>
        </w:tc>
        <w:tc>
          <w:tcPr>
            <w:tcW w:w="1200" w:type="dxa"/>
            <w:shd w:val="clear" w:color="auto" w:fill="C6EFCE"/>
            <w:noWrap/>
          </w:tcPr>
          <w:p w14:paraId="61C297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33" w:type="dxa"/>
            <w:shd w:val="clear" w:color="auto" w:fill="C6EFCE"/>
            <w:noWrap/>
          </w:tcPr>
          <w:p w14:paraId="014A3AE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Roadmap for innovative energy efficiency interventions and legal framework established</w:t>
            </w:r>
          </w:p>
        </w:tc>
        <w:tc>
          <w:tcPr>
            <w:tcW w:w="1553" w:type="dxa"/>
            <w:shd w:val="clear" w:color="auto" w:fill="C6EFCE"/>
            <w:noWrap/>
          </w:tcPr>
          <w:p w14:paraId="17C3974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1205" w:type="dxa"/>
            <w:shd w:val="clear" w:color="auto" w:fill="C6EFCE"/>
            <w:noWrap/>
          </w:tcPr>
          <w:p w14:paraId="458F37F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2262D46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447BA1DA"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55FCFC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6574EE4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700" w:type="dxa"/>
            <w:shd w:val="clear" w:color="auto" w:fill="C6EFCE"/>
            <w:noWrap/>
          </w:tcPr>
          <w:p w14:paraId="51E502D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Ministerial Decision adopting a roadmap that shall set out innovative energy efficiency interventions, including non-grant based financial instruments. </w:t>
            </w:r>
          </w:p>
        </w:tc>
      </w:tr>
      <w:tr w:rsidR="004B0FF3" w:rsidRPr="00DE4E4F" w14:paraId="050371D1" w14:textId="77777777" w:rsidTr="00B2368C">
        <w:tc>
          <w:tcPr>
            <w:tcW w:w="786" w:type="dxa"/>
            <w:shd w:val="clear" w:color="auto" w:fill="C6EFCE"/>
            <w:noWrap/>
          </w:tcPr>
          <w:p w14:paraId="6018047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364</w:t>
            </w:r>
          </w:p>
        </w:tc>
        <w:tc>
          <w:tcPr>
            <w:tcW w:w="2280" w:type="dxa"/>
            <w:shd w:val="clear" w:color="auto" w:fill="C6EFCE"/>
            <w:noWrap/>
          </w:tcPr>
          <w:p w14:paraId="1470A21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20 - 5. REPowerEU reforms - 16993_Roadmap for innovative energy efficiency interventions and identification of new financial instruments</w:t>
            </w:r>
          </w:p>
        </w:tc>
        <w:tc>
          <w:tcPr>
            <w:tcW w:w="1200" w:type="dxa"/>
            <w:shd w:val="clear" w:color="auto" w:fill="C6EFCE"/>
            <w:noWrap/>
          </w:tcPr>
          <w:p w14:paraId="4006800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333" w:type="dxa"/>
            <w:shd w:val="clear" w:color="auto" w:fill="C6EFCE"/>
            <w:noWrap/>
          </w:tcPr>
          <w:p w14:paraId="54697CAE"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non-grant financial instrument</w:t>
            </w:r>
          </w:p>
        </w:tc>
        <w:tc>
          <w:tcPr>
            <w:tcW w:w="1553" w:type="dxa"/>
            <w:shd w:val="clear" w:color="auto" w:fill="C6EFCE"/>
            <w:noWrap/>
          </w:tcPr>
          <w:p w14:paraId="6DE102A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legislation</w:t>
            </w:r>
          </w:p>
        </w:tc>
        <w:tc>
          <w:tcPr>
            <w:tcW w:w="1205" w:type="dxa"/>
            <w:shd w:val="clear" w:color="auto" w:fill="C6EFCE"/>
            <w:noWrap/>
          </w:tcPr>
          <w:p w14:paraId="6C2F28D7"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683EA33C"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46091AA0"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664F403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095E905D"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700" w:type="dxa"/>
            <w:shd w:val="clear" w:color="auto" w:fill="C6EFCE"/>
            <w:noWrap/>
          </w:tcPr>
          <w:p w14:paraId="0BD4FD3B" w14:textId="20188B85" w:rsidR="001B186F" w:rsidRPr="00DE4E4F" w:rsidRDefault="56475FDC" w:rsidP="645E73D9">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w:t>
            </w:r>
            <w:r w:rsidR="124C3EA6" w:rsidRPr="00DE4E4F">
              <w:rPr>
                <w:rFonts w:ascii="Times New Roman" w:hAnsi="Times New Roman" w:cs="Times New Roman"/>
                <w:noProof/>
                <w:color w:val="006100"/>
                <w:sz w:val="18"/>
                <w:szCs w:val="18"/>
              </w:rPr>
              <w:t>legal act(s)</w:t>
            </w:r>
            <w:r w:rsidRPr="00DE4E4F">
              <w:rPr>
                <w:rFonts w:ascii="Times New Roman" w:hAnsi="Times New Roman" w:cs="Times New Roman"/>
                <w:noProof/>
                <w:color w:val="006100"/>
                <w:sz w:val="18"/>
                <w:szCs w:val="18"/>
              </w:rPr>
              <w:t xml:space="preserve"> that launches a non-grant based financial instrument.</w:t>
            </w:r>
            <w:r w:rsidRPr="00DE4E4F">
              <w:rPr>
                <w:rStyle w:val="Heading1Char"/>
                <w:rFonts w:ascii="Times New Roman" w:eastAsia="Calibri" w:hAnsi="Times New Roman" w:cs="Times New Roman"/>
                <w:noProof/>
                <w:sz w:val="18"/>
                <w:szCs w:val="18"/>
              </w:rPr>
              <w:t xml:space="preserve"> </w:t>
            </w:r>
          </w:p>
        </w:tc>
      </w:tr>
    </w:tbl>
    <w:p w14:paraId="703206EF" w14:textId="77777777" w:rsidR="001B186F" w:rsidRPr="00DE4E4F" w:rsidRDefault="001B186F">
      <w:pPr>
        <w:rPr>
          <w:rFonts w:ascii="Times New Roman" w:hAnsi="Times New Roman" w:cs="Times New Roman"/>
          <w:noProof/>
          <w:sz w:val="24"/>
        </w:rPr>
        <w:sectPr w:rsidR="001B186F" w:rsidRPr="00DE4E4F">
          <w:headerReference w:type="even" r:id="rId402"/>
          <w:headerReference w:type="default" r:id="rId403"/>
          <w:footerReference w:type="even" r:id="rId404"/>
          <w:footerReference w:type="default" r:id="rId405"/>
          <w:headerReference w:type="first" r:id="rId406"/>
          <w:footerReference w:type="first" r:id="rId407"/>
          <w:pgSz w:w="16839" w:h="11907" w:orient="landscape"/>
          <w:pgMar w:top="1134" w:right="1134" w:bottom="1134" w:left="1134" w:header="567" w:footer="567" w:gutter="0"/>
          <w:cols w:space="720"/>
          <w:docGrid w:linePitch="360"/>
        </w:sectPr>
      </w:pPr>
    </w:p>
    <w:p w14:paraId="4A40FEE0"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U. COMPONENT 5.2: REPowerEU INVESTMENTS</w:t>
      </w:r>
    </w:p>
    <w:p w14:paraId="3A7EC18D" w14:textId="77777777" w:rsidR="001B186F" w:rsidRPr="00DE4E4F" w:rsidRDefault="001B186F">
      <w:pPr>
        <w:spacing w:before="120" w:after="120" w:line="240" w:lineRule="auto"/>
        <w:jc w:val="both"/>
        <w:rPr>
          <w:rFonts w:ascii="Times New Roman" w:hAnsi="Times New Roman" w:cs="Times New Roman"/>
          <w:b/>
          <w:bCs/>
          <w:noProof/>
          <w:sz w:val="24"/>
          <w:u w:val="single"/>
        </w:rPr>
      </w:pPr>
    </w:p>
    <w:p w14:paraId="2BD40076" w14:textId="77777777" w:rsidR="001B186F" w:rsidRPr="00DE4E4F" w:rsidRDefault="0074517F">
      <w:pPr>
        <w:spacing w:before="120" w:after="120" w:line="240" w:lineRule="auto"/>
        <w:jc w:val="both"/>
        <w:rPr>
          <w:rFonts w:ascii="Times New Roman" w:hAnsi="Times New Roman" w:cs="Times New Roman"/>
          <w:b/>
          <w:bCs/>
          <w:i/>
          <w:iCs/>
          <w:noProof/>
          <w:color w:val="4F81BD"/>
          <w:sz w:val="24"/>
        </w:rPr>
      </w:pPr>
      <w:r w:rsidRPr="00DE4E4F">
        <w:rPr>
          <w:rFonts w:ascii="Times New Roman" w:hAnsi="Times New Roman"/>
          <w:b/>
          <w:noProof/>
          <w:sz w:val="24"/>
          <w:u w:val="single"/>
        </w:rPr>
        <w:t>U.1. Description of the reforms and investments for non-repayable financial support</w:t>
      </w:r>
    </w:p>
    <w:p w14:paraId="7F227838"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rPr>
        <w:t>The REPowerEU chapter contains three investment measures to support energy efficiency, deployment of new renewable energy sources, energy storage and carbon capture and storage, including: (1) an investment to support energy efficiency and promotion of renewable energy sources for self-consumption that consists of five sub-investments covering (i) energy renovation of residential buildings through the provision of subsidies; (ii) energy renovation of the non-residential public and private buildings through the provision of subsidies; (iii) installation of photovoltaic systems for self-consumption in residential buildings and in the agricultural sector through the provision of subsidies; (iv) promotion of renewable energy sources in residential buildings by financing the installation of new renewable systems to produce hot water; and (v) the improvement of energy efficiency in municipal water and sewerage utilities; (2) increase the installation of energy storage systems for additional renewable energy sources penetration; and (3) pilot projects for biomethane and renewable hydrogen production and the promotion of carbon capture and storage (CCS) technologies in hard-to-abate industries aiming to foster industry decarbonisation.</w:t>
      </w:r>
    </w:p>
    <w:p w14:paraId="686AF5E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Installation of energy storage for additional RES penetration (measure ID: 16996)</w:t>
      </w:r>
    </w:p>
    <w:p w14:paraId="6A67843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measure is to scale-up Investment: “Support of the installation of storage systems to enhance RES penetration" (ID: 16926) under Component 1.1 (Power up). The investment consists of the development of stand-alone grid scale storage systems and will lead to the installation of additional new energy storage facilities with a capacity of at least 175 MW.</w:t>
      </w:r>
    </w:p>
    <w:p w14:paraId="20472245"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Investment:</w:t>
      </w:r>
      <w:r w:rsidRPr="00DE4E4F">
        <w:rPr>
          <w:rFonts w:ascii="Times New Roman" w:hAnsi="Times New Roman"/>
          <w:noProof/>
          <w:sz w:val="24"/>
        </w:rPr>
        <w:t xml:space="preserve"> Energy Efficiency and promotion of RES for auto-consumption (measure ID: 16994)</w:t>
      </w:r>
    </w:p>
    <w:p w14:paraId="63FA7C11" w14:textId="0993D3E4"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investment is to carry out energy efficiency and renewable energy interventions in multiple sectors with final energy consumption. The investment consists of renovations to improve energy efficiency</w:t>
      </w:r>
      <w:r w:rsidR="00980C84" w:rsidRPr="00DE4E4F">
        <w:rPr>
          <w:rFonts w:ascii="Times New Roman" w:hAnsi="Times New Roman"/>
          <w:noProof/>
          <w:sz w:val="24"/>
          <w:szCs w:val="24"/>
        </w:rPr>
        <w:t xml:space="preserve">, </w:t>
      </w:r>
      <w:r w:rsidRPr="00DE4E4F">
        <w:rPr>
          <w:rFonts w:ascii="Times New Roman" w:hAnsi="Times New Roman"/>
          <w:noProof/>
          <w:sz w:val="24"/>
          <w:szCs w:val="24"/>
        </w:rPr>
        <w:t xml:space="preserve">installation of photovoltaic systems </w:t>
      </w:r>
      <w:r w:rsidR="000722C4" w:rsidRPr="00DE4E4F">
        <w:rPr>
          <w:rFonts w:ascii="Times New Roman" w:hAnsi="Times New Roman"/>
          <w:noProof/>
          <w:sz w:val="24"/>
          <w:szCs w:val="24"/>
        </w:rPr>
        <w:t xml:space="preserve">and </w:t>
      </w:r>
      <w:r w:rsidR="00BA40BD" w:rsidRPr="00DE4E4F">
        <w:rPr>
          <w:rFonts w:ascii="Times New Roman" w:hAnsi="Times New Roman"/>
          <w:noProof/>
          <w:sz w:val="24"/>
          <w:szCs w:val="24"/>
        </w:rPr>
        <w:t xml:space="preserve">purchase of </w:t>
      </w:r>
      <w:r w:rsidRPr="00DE4E4F">
        <w:rPr>
          <w:rFonts w:ascii="Times New Roman" w:hAnsi="Times New Roman"/>
          <w:noProof/>
          <w:sz w:val="24"/>
          <w:szCs w:val="24"/>
        </w:rPr>
        <w:t xml:space="preserve">renewable water heating systems. </w:t>
      </w:r>
    </w:p>
    <w:p w14:paraId="1B769190"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noProof/>
          <w:sz w:val="24"/>
        </w:rPr>
        <w:t>Investment</w:t>
      </w:r>
      <w:r w:rsidRPr="00DE4E4F">
        <w:rPr>
          <w:rFonts w:ascii="Times New Roman" w:hAnsi="Times New Roman"/>
          <w:noProof/>
          <w:sz w:val="24"/>
        </w:rPr>
        <w:t>: Renewable Hydrogen production project (measure ID: 16995)</w:t>
      </w:r>
    </w:p>
    <w:p w14:paraId="2EBAFEAE" w14:textId="1C78DB1D"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noProof/>
          <w:sz w:val="24"/>
          <w:szCs w:val="24"/>
        </w:rPr>
        <w:t>The objective of this investment is to foster renewable hydrogen production in Greece. The investment includes the installation of electrolysers, supporting infrastructure, and a hydrogen network for distribution</w:t>
      </w:r>
      <w:r w:rsidR="009C493D" w:rsidRPr="00DE4E4F">
        <w:rPr>
          <w:rFonts w:ascii="Times New Roman" w:hAnsi="Times New Roman"/>
          <w:noProof/>
          <w:sz w:val="24"/>
          <w:szCs w:val="24"/>
        </w:rPr>
        <w:t xml:space="preserve"> within the refinery</w:t>
      </w:r>
      <w:r w:rsidRPr="00DE4E4F">
        <w:rPr>
          <w:rFonts w:ascii="Times New Roman" w:hAnsi="Times New Roman"/>
          <w:noProof/>
          <w:sz w:val="24"/>
          <w:szCs w:val="24"/>
        </w:rPr>
        <w:t>.</w:t>
      </w:r>
    </w:p>
    <w:p w14:paraId="56C929FC" w14:textId="77777777" w:rsidR="001B186F" w:rsidRPr="00DE4E4F" w:rsidRDefault="001B186F">
      <w:pPr>
        <w:rPr>
          <w:rFonts w:ascii="Cambria" w:eastAsia="Times New Roman" w:hAnsi="Cambria"/>
          <w:noProof/>
          <w:color w:val="365F91" w:themeColor="accent1" w:themeShade="BF"/>
          <w:sz w:val="24"/>
          <w:szCs w:val="24"/>
        </w:rPr>
        <w:sectPr w:rsidR="001B186F" w:rsidRPr="00DE4E4F">
          <w:headerReference w:type="even" r:id="rId408"/>
          <w:headerReference w:type="default" r:id="rId409"/>
          <w:footerReference w:type="even" r:id="rId410"/>
          <w:footerReference w:type="default" r:id="rId411"/>
          <w:headerReference w:type="first" r:id="rId412"/>
          <w:footerReference w:type="first" r:id="rId413"/>
          <w:pgSz w:w="11906" w:h="16838"/>
          <w:pgMar w:top="1134" w:right="1134" w:bottom="1134" w:left="1134" w:header="567" w:footer="567" w:gutter="0"/>
          <w:cols w:space="708"/>
          <w:docGrid w:linePitch="360"/>
        </w:sectPr>
      </w:pPr>
    </w:p>
    <w:p w14:paraId="7E5C7B0A"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szCs w:val="24"/>
        </w:rPr>
      </w:pPr>
      <w:r w:rsidRPr="00DE4E4F">
        <w:rPr>
          <w:rFonts w:ascii="Times New Roman" w:hAnsi="Times New Roman"/>
          <w:b/>
          <w:noProof/>
          <w:sz w:val="24"/>
          <w:u w:val="single"/>
        </w:rPr>
        <w:t>U.2. Milestones, targets, indicators, and timetable for monitoring and implementation for non-repayable financial support</w:t>
      </w:r>
      <w:r w:rsidRPr="00DE4E4F">
        <w:rPr>
          <w:rFonts w:ascii="Cambria" w:hAnsi="Cambria"/>
          <w:noProof/>
          <w:color w:val="365F91" w:themeColor="accent1" w:themeShade="BF"/>
          <w:sz w:val="24"/>
        </w:rPr>
        <w:t xml:space="preserve"> </w:t>
      </w:r>
    </w:p>
    <w:p w14:paraId="3CE92E50" w14:textId="77777777" w:rsidR="001B186F" w:rsidRPr="00DE4E4F" w:rsidRDefault="0074517F">
      <w:pPr>
        <w:keepNext/>
        <w:keepLines/>
        <w:spacing w:before="240" w:after="0" w:line="240" w:lineRule="auto"/>
        <w:jc w:val="both"/>
        <w:outlineLvl w:val="4"/>
        <w:rPr>
          <w:rFonts w:ascii="Cambria" w:eastAsia="Times New Roman" w:hAnsi="Cambria"/>
          <w:noProof/>
          <w:color w:val="365F91"/>
          <w:sz w:val="24"/>
          <w:szCs w:val="24"/>
        </w:rPr>
      </w:pPr>
      <w:r w:rsidRPr="00DE4E4F">
        <w:rPr>
          <w:rFonts w:ascii="Cambria" w:hAnsi="Cambria"/>
          <w:noProof/>
          <w:color w:val="365F91" w:themeColor="accent1" w:themeShade="BF"/>
          <w:sz w:val="24"/>
          <w:szCs w:val="24"/>
        </w:rPr>
        <w:t>Investment 1: Installation of energy storage for additional RES penetration (measure ID: 16996)</w:t>
      </w:r>
    </w:p>
    <w:tbl>
      <w:tblPr>
        <w:tblW w:w="14454" w:type="dxa"/>
        <w:tblLayout w:type="fixed"/>
        <w:tblLook w:val="04A0" w:firstRow="1" w:lastRow="0" w:firstColumn="1" w:lastColumn="0" w:noHBand="0" w:noVBand="1"/>
      </w:tblPr>
      <w:tblGrid>
        <w:gridCol w:w="675"/>
        <w:gridCol w:w="2356"/>
        <w:gridCol w:w="1188"/>
        <w:gridCol w:w="992"/>
        <w:gridCol w:w="1547"/>
        <w:gridCol w:w="1022"/>
        <w:gridCol w:w="1022"/>
        <w:gridCol w:w="638"/>
        <w:gridCol w:w="1060"/>
        <w:gridCol w:w="877"/>
        <w:gridCol w:w="3077"/>
      </w:tblGrid>
      <w:tr w:rsidR="00682269" w:rsidRPr="00DE4E4F" w14:paraId="76DF05BF" w14:textId="77777777" w:rsidTr="001E23A0">
        <w:trPr>
          <w:trHeight w:val="300"/>
          <w:tblHeader/>
        </w:trPr>
        <w:tc>
          <w:tcPr>
            <w:tcW w:w="675" w:type="dxa"/>
            <w:vMerge w:val="restart"/>
            <w:tcBorders>
              <w:top w:val="single" w:sz="4" w:space="0" w:color="auto"/>
              <w:left w:val="single" w:sz="4" w:space="0" w:color="auto"/>
              <w:right w:val="single" w:sz="4" w:space="0" w:color="auto"/>
            </w:tcBorders>
            <w:shd w:val="clear" w:color="auto" w:fill="BDD7EE"/>
            <w:vAlign w:val="center"/>
            <w:hideMark/>
          </w:tcPr>
          <w:p w14:paraId="58A27A51"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356" w:type="dxa"/>
            <w:vMerge w:val="restart"/>
            <w:tcBorders>
              <w:top w:val="single" w:sz="4" w:space="0" w:color="auto"/>
              <w:left w:val="single" w:sz="4" w:space="0" w:color="auto"/>
              <w:right w:val="single" w:sz="4" w:space="0" w:color="auto"/>
            </w:tcBorders>
            <w:shd w:val="clear" w:color="auto" w:fill="BDD7EE"/>
            <w:vAlign w:val="center"/>
            <w:hideMark/>
          </w:tcPr>
          <w:p w14:paraId="6C3B6BA9"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Related Measure (Reform or Investment)</w:t>
            </w:r>
          </w:p>
        </w:tc>
        <w:tc>
          <w:tcPr>
            <w:tcW w:w="1188" w:type="dxa"/>
            <w:vMerge w:val="restart"/>
            <w:tcBorders>
              <w:top w:val="single" w:sz="4" w:space="0" w:color="auto"/>
              <w:left w:val="single" w:sz="4" w:space="0" w:color="auto"/>
              <w:right w:val="single" w:sz="4" w:space="0" w:color="auto"/>
            </w:tcBorders>
            <w:shd w:val="clear" w:color="auto" w:fill="BDD7EE"/>
            <w:vAlign w:val="center"/>
            <w:hideMark/>
          </w:tcPr>
          <w:p w14:paraId="3E9E245C"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Milestone / Target</w:t>
            </w:r>
          </w:p>
        </w:tc>
        <w:tc>
          <w:tcPr>
            <w:tcW w:w="992" w:type="dxa"/>
            <w:vMerge w:val="restart"/>
            <w:tcBorders>
              <w:top w:val="single" w:sz="4" w:space="0" w:color="auto"/>
              <w:left w:val="single" w:sz="4" w:space="0" w:color="auto"/>
              <w:right w:val="single" w:sz="4" w:space="0" w:color="auto"/>
            </w:tcBorders>
            <w:shd w:val="clear" w:color="auto" w:fill="BDD7EE"/>
            <w:vAlign w:val="center"/>
            <w:hideMark/>
          </w:tcPr>
          <w:p w14:paraId="53E5C1E6"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Name</w:t>
            </w:r>
          </w:p>
        </w:tc>
        <w:tc>
          <w:tcPr>
            <w:tcW w:w="1547" w:type="dxa"/>
            <w:vMerge w:val="restart"/>
            <w:tcBorders>
              <w:top w:val="single" w:sz="4" w:space="0" w:color="auto"/>
              <w:left w:val="single" w:sz="4" w:space="0" w:color="auto"/>
              <w:right w:val="single" w:sz="4" w:space="0" w:color="auto"/>
            </w:tcBorders>
            <w:shd w:val="clear" w:color="auto" w:fill="BDD7EE"/>
            <w:vAlign w:val="center"/>
            <w:hideMark/>
          </w:tcPr>
          <w:p w14:paraId="304C84A6"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Qualitative indicators (for milestones)</w:t>
            </w:r>
          </w:p>
        </w:tc>
        <w:tc>
          <w:tcPr>
            <w:tcW w:w="268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289A3F5"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Quantitative indicators (for targets)</w:t>
            </w:r>
          </w:p>
        </w:tc>
        <w:tc>
          <w:tcPr>
            <w:tcW w:w="1937"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563A4B3"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Indicative timeline for completion</w:t>
            </w:r>
          </w:p>
        </w:tc>
        <w:tc>
          <w:tcPr>
            <w:tcW w:w="3077" w:type="dxa"/>
            <w:vMerge w:val="restart"/>
            <w:tcBorders>
              <w:top w:val="single" w:sz="4" w:space="0" w:color="auto"/>
              <w:left w:val="single" w:sz="4" w:space="0" w:color="auto"/>
              <w:right w:val="single" w:sz="4" w:space="0" w:color="auto"/>
            </w:tcBorders>
            <w:shd w:val="clear" w:color="auto" w:fill="BDD7EE"/>
            <w:vAlign w:val="center"/>
            <w:hideMark/>
          </w:tcPr>
          <w:p w14:paraId="0AB257CD" w14:textId="77777777" w:rsidR="001B186F" w:rsidRPr="00DE4E4F" w:rsidRDefault="0074517F" w:rsidP="001E23A0">
            <w:pPr>
              <w:spacing w:before="120" w:after="120" w:line="240" w:lineRule="auto"/>
              <w:jc w:val="center"/>
              <w:rPr>
                <w:rFonts w:ascii="Times New Roman" w:hAnsi="Times New Roman" w:cs="Times New Roman"/>
                <w:noProof/>
                <w:sz w:val="18"/>
                <w:szCs w:val="18"/>
              </w:rPr>
            </w:pPr>
            <w:r w:rsidRPr="00DE4E4F">
              <w:rPr>
                <w:rFonts w:ascii="Times New Roman" w:hAnsi="Times New Roman"/>
                <w:b/>
                <w:bCs/>
                <w:noProof/>
                <w:sz w:val="18"/>
                <w:szCs w:val="18"/>
              </w:rPr>
              <w:t>Description of each milestone and target</w:t>
            </w:r>
          </w:p>
        </w:tc>
      </w:tr>
      <w:tr w:rsidR="00682269" w:rsidRPr="00DE4E4F" w14:paraId="7B91EFD5" w14:textId="77777777" w:rsidTr="001E23A0">
        <w:trPr>
          <w:trHeight w:val="300"/>
          <w:tblHeader/>
        </w:trPr>
        <w:tc>
          <w:tcPr>
            <w:tcW w:w="675" w:type="dxa"/>
            <w:vMerge/>
            <w:tcBorders>
              <w:left w:val="single" w:sz="4" w:space="0" w:color="auto"/>
              <w:bottom w:val="single" w:sz="4" w:space="0" w:color="auto"/>
              <w:right w:val="single" w:sz="4" w:space="0" w:color="auto"/>
            </w:tcBorders>
            <w:vAlign w:val="center"/>
          </w:tcPr>
          <w:p w14:paraId="64EC6C04"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2356" w:type="dxa"/>
            <w:vMerge/>
            <w:tcBorders>
              <w:left w:val="single" w:sz="4" w:space="0" w:color="auto"/>
              <w:bottom w:val="single" w:sz="4" w:space="0" w:color="auto"/>
              <w:right w:val="single" w:sz="4" w:space="0" w:color="auto"/>
            </w:tcBorders>
            <w:vAlign w:val="center"/>
          </w:tcPr>
          <w:p w14:paraId="5CF8CA91"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188" w:type="dxa"/>
            <w:vMerge/>
            <w:tcBorders>
              <w:left w:val="single" w:sz="4" w:space="0" w:color="auto"/>
              <w:bottom w:val="single" w:sz="4" w:space="0" w:color="auto"/>
              <w:right w:val="single" w:sz="4" w:space="0" w:color="auto"/>
            </w:tcBorders>
            <w:vAlign w:val="center"/>
          </w:tcPr>
          <w:p w14:paraId="4F7FF2D8"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992" w:type="dxa"/>
            <w:vMerge/>
            <w:tcBorders>
              <w:left w:val="single" w:sz="4" w:space="0" w:color="auto"/>
              <w:bottom w:val="single" w:sz="4" w:space="0" w:color="auto"/>
              <w:right w:val="single" w:sz="4" w:space="0" w:color="auto"/>
            </w:tcBorders>
            <w:vAlign w:val="center"/>
          </w:tcPr>
          <w:p w14:paraId="7A941DF5"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547" w:type="dxa"/>
            <w:vMerge/>
            <w:tcBorders>
              <w:left w:val="single" w:sz="4" w:space="0" w:color="auto"/>
              <w:bottom w:val="single" w:sz="4" w:space="0" w:color="auto"/>
              <w:right w:val="single" w:sz="4" w:space="0" w:color="auto"/>
            </w:tcBorders>
            <w:vAlign w:val="center"/>
          </w:tcPr>
          <w:p w14:paraId="1F4E49E0"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c>
          <w:tcPr>
            <w:tcW w:w="1022" w:type="dxa"/>
            <w:tcBorders>
              <w:left w:val="single" w:sz="4" w:space="0" w:color="auto"/>
              <w:bottom w:val="single" w:sz="4" w:space="0" w:color="auto"/>
              <w:right w:val="single" w:sz="4" w:space="0" w:color="auto"/>
            </w:tcBorders>
            <w:shd w:val="clear" w:color="auto" w:fill="BDD7EE"/>
            <w:vAlign w:val="center"/>
          </w:tcPr>
          <w:p w14:paraId="1974D23F"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szCs w:val="18"/>
              </w:rPr>
              <w:t>Unit of measure</w:t>
            </w:r>
          </w:p>
        </w:tc>
        <w:tc>
          <w:tcPr>
            <w:tcW w:w="1022" w:type="dxa"/>
            <w:tcBorders>
              <w:left w:val="single" w:sz="4" w:space="0" w:color="auto"/>
              <w:bottom w:val="single" w:sz="4" w:space="0" w:color="auto"/>
              <w:right w:val="single" w:sz="4" w:space="0" w:color="auto"/>
            </w:tcBorders>
            <w:shd w:val="clear" w:color="auto" w:fill="BDD7EE"/>
            <w:vAlign w:val="center"/>
          </w:tcPr>
          <w:p w14:paraId="31B27362"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szCs w:val="18"/>
              </w:rPr>
              <w:t>Baseline</w:t>
            </w:r>
          </w:p>
        </w:tc>
        <w:tc>
          <w:tcPr>
            <w:tcW w:w="638" w:type="dxa"/>
            <w:tcBorders>
              <w:top w:val="single" w:sz="4" w:space="0" w:color="auto"/>
              <w:left w:val="nil"/>
              <w:bottom w:val="single" w:sz="4" w:space="0" w:color="auto"/>
              <w:right w:val="single" w:sz="4" w:space="0" w:color="auto"/>
            </w:tcBorders>
            <w:shd w:val="clear" w:color="auto" w:fill="BDD7EE"/>
            <w:vAlign w:val="center"/>
          </w:tcPr>
          <w:p w14:paraId="26014ECB"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szCs w:val="18"/>
              </w:rPr>
              <w:t>Goal</w:t>
            </w:r>
          </w:p>
        </w:tc>
        <w:tc>
          <w:tcPr>
            <w:tcW w:w="1060" w:type="dxa"/>
            <w:tcBorders>
              <w:top w:val="single" w:sz="4" w:space="0" w:color="auto"/>
              <w:left w:val="nil"/>
              <w:bottom w:val="single" w:sz="4" w:space="0" w:color="auto"/>
              <w:right w:val="single" w:sz="4" w:space="0" w:color="auto"/>
            </w:tcBorders>
            <w:shd w:val="clear" w:color="auto" w:fill="BDD7EE"/>
            <w:vAlign w:val="center"/>
          </w:tcPr>
          <w:p w14:paraId="1B389392"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szCs w:val="18"/>
              </w:rPr>
              <w:t>Quarter</w:t>
            </w:r>
          </w:p>
        </w:tc>
        <w:tc>
          <w:tcPr>
            <w:tcW w:w="877" w:type="dxa"/>
            <w:tcBorders>
              <w:top w:val="single" w:sz="4" w:space="0" w:color="auto"/>
              <w:left w:val="nil"/>
              <w:bottom w:val="single" w:sz="4" w:space="0" w:color="auto"/>
              <w:right w:val="single" w:sz="4" w:space="0" w:color="auto"/>
            </w:tcBorders>
            <w:shd w:val="clear" w:color="auto" w:fill="BDD7EE"/>
            <w:vAlign w:val="center"/>
          </w:tcPr>
          <w:p w14:paraId="64820900" w14:textId="77777777" w:rsidR="001B186F" w:rsidRPr="00DE4E4F" w:rsidRDefault="0074517F" w:rsidP="001E23A0">
            <w:pPr>
              <w:spacing w:before="120" w:after="12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szCs w:val="18"/>
              </w:rPr>
              <w:t>Year</w:t>
            </w:r>
          </w:p>
        </w:tc>
        <w:tc>
          <w:tcPr>
            <w:tcW w:w="3077" w:type="dxa"/>
            <w:vMerge/>
            <w:tcBorders>
              <w:right w:val="single" w:sz="4" w:space="0" w:color="auto"/>
            </w:tcBorders>
            <w:vAlign w:val="center"/>
          </w:tcPr>
          <w:p w14:paraId="6BA03158" w14:textId="77777777" w:rsidR="001B186F" w:rsidRPr="00DE4E4F" w:rsidRDefault="001B186F" w:rsidP="001E23A0">
            <w:pPr>
              <w:spacing w:before="120" w:after="120" w:line="240" w:lineRule="auto"/>
              <w:jc w:val="center"/>
              <w:rPr>
                <w:rFonts w:ascii="Times New Roman" w:eastAsia="Times New Roman" w:hAnsi="Times New Roman" w:cs="Times New Roman"/>
                <w:b/>
                <w:bCs/>
                <w:noProof/>
                <w:sz w:val="18"/>
                <w:szCs w:val="18"/>
                <w:lang w:eastAsia="en-GB"/>
              </w:rPr>
            </w:pPr>
          </w:p>
        </w:tc>
      </w:tr>
      <w:tr w:rsidR="00682269" w:rsidRPr="00DE4E4F" w14:paraId="4F256BFB" w14:textId="77777777" w:rsidTr="001E23A0">
        <w:trPr>
          <w:trHeight w:val="300"/>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28AAA9C1" w14:textId="77777777"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365</w:t>
            </w:r>
          </w:p>
        </w:tc>
        <w:tc>
          <w:tcPr>
            <w:tcW w:w="2356" w:type="dxa"/>
            <w:tcBorders>
              <w:top w:val="single" w:sz="4" w:space="0" w:color="auto"/>
              <w:left w:val="nil"/>
              <w:bottom w:val="single" w:sz="4" w:space="0" w:color="auto"/>
              <w:right w:val="single" w:sz="4" w:space="0" w:color="auto"/>
            </w:tcBorders>
            <w:shd w:val="clear" w:color="auto" w:fill="C6EFCE"/>
            <w:noWrap/>
          </w:tcPr>
          <w:p w14:paraId="363F0FD4"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21 - 5.2 REPowerEU investments – 16996_Installation of energy storage for additional RES penetration</w:t>
            </w:r>
          </w:p>
        </w:tc>
        <w:tc>
          <w:tcPr>
            <w:tcW w:w="1188" w:type="dxa"/>
            <w:tcBorders>
              <w:top w:val="single" w:sz="4" w:space="0" w:color="auto"/>
              <w:left w:val="nil"/>
              <w:bottom w:val="single" w:sz="4" w:space="0" w:color="auto"/>
              <w:right w:val="single" w:sz="4" w:space="0" w:color="auto"/>
            </w:tcBorders>
            <w:shd w:val="clear" w:color="auto" w:fill="C6EFCE"/>
            <w:noWrap/>
          </w:tcPr>
          <w:p w14:paraId="2C4F132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992" w:type="dxa"/>
            <w:tcBorders>
              <w:top w:val="single" w:sz="4" w:space="0" w:color="auto"/>
              <w:left w:val="nil"/>
              <w:bottom w:val="single" w:sz="4" w:space="0" w:color="auto"/>
              <w:right w:val="single" w:sz="4" w:space="0" w:color="auto"/>
            </w:tcBorders>
            <w:shd w:val="clear" w:color="auto" w:fill="C6EFCE"/>
            <w:noWrap/>
          </w:tcPr>
          <w:p w14:paraId="709DAE07" w14:textId="77777777"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Approved energy storage projects</w:t>
            </w:r>
          </w:p>
        </w:tc>
        <w:tc>
          <w:tcPr>
            <w:tcW w:w="1547" w:type="dxa"/>
            <w:tcBorders>
              <w:top w:val="single" w:sz="4" w:space="0" w:color="auto"/>
              <w:left w:val="nil"/>
              <w:bottom w:val="single" w:sz="4" w:space="0" w:color="auto"/>
              <w:right w:val="single" w:sz="4" w:space="0" w:color="auto"/>
            </w:tcBorders>
            <w:shd w:val="clear" w:color="auto" w:fill="C6EFCE"/>
            <w:noWrap/>
          </w:tcPr>
          <w:p w14:paraId="6C2A48F6" w14:textId="77777777" w:rsidR="001B186F" w:rsidRPr="00DE4E4F" w:rsidRDefault="0074517F" w:rsidP="001E23A0">
            <w:pPr>
              <w:spacing w:after="120" w:line="240" w:lineRule="auto"/>
              <w:rPr>
                <w:rFonts w:ascii="Times New Roman" w:eastAsia="Times New Roman" w:hAnsi="Times New Roman" w:cs="Times New Roman"/>
                <w:noProof/>
                <w:sz w:val="18"/>
                <w:szCs w:val="18"/>
                <w:lang w:eastAsia="en-GB"/>
              </w:rPr>
            </w:pPr>
            <w:r w:rsidRPr="00DE4E4F">
              <w:rPr>
                <w:rFonts w:ascii="Times New Roman" w:hAnsi="Times New Roman" w:cs="Times New Roman"/>
                <w:noProof/>
                <w:color w:val="006100"/>
                <w:sz w:val="18"/>
                <w:szCs w:val="18"/>
              </w:rPr>
              <w:t>Approval decision</w:t>
            </w:r>
          </w:p>
        </w:tc>
        <w:tc>
          <w:tcPr>
            <w:tcW w:w="1022" w:type="dxa"/>
            <w:tcBorders>
              <w:top w:val="single" w:sz="4" w:space="0" w:color="auto"/>
              <w:left w:val="nil"/>
              <w:bottom w:val="single" w:sz="4" w:space="0" w:color="auto"/>
              <w:right w:val="single" w:sz="4" w:space="0" w:color="auto"/>
            </w:tcBorders>
            <w:shd w:val="clear" w:color="auto" w:fill="C6EFCE"/>
            <w:noWrap/>
          </w:tcPr>
          <w:p w14:paraId="2D3E007A"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1022" w:type="dxa"/>
            <w:tcBorders>
              <w:top w:val="single" w:sz="4" w:space="0" w:color="auto"/>
              <w:left w:val="nil"/>
              <w:bottom w:val="single" w:sz="4" w:space="0" w:color="auto"/>
              <w:right w:val="single" w:sz="4" w:space="0" w:color="auto"/>
            </w:tcBorders>
            <w:shd w:val="clear" w:color="auto" w:fill="C6EFCE"/>
            <w:noWrap/>
          </w:tcPr>
          <w:p w14:paraId="3EA50C95"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638" w:type="dxa"/>
            <w:tcBorders>
              <w:top w:val="single" w:sz="4" w:space="0" w:color="auto"/>
              <w:left w:val="nil"/>
              <w:bottom w:val="single" w:sz="4" w:space="0" w:color="auto"/>
              <w:right w:val="single" w:sz="4" w:space="0" w:color="auto"/>
            </w:tcBorders>
            <w:shd w:val="clear" w:color="auto" w:fill="C6EFCE"/>
            <w:noWrap/>
          </w:tcPr>
          <w:p w14:paraId="5CE075D0" w14:textId="77777777" w:rsidR="001B186F" w:rsidRPr="00DE4E4F" w:rsidRDefault="001B186F" w:rsidP="001E23A0">
            <w:pPr>
              <w:spacing w:after="0" w:line="240" w:lineRule="auto"/>
              <w:rPr>
                <w:rFonts w:ascii="Times New Roman" w:eastAsia="Times New Roman" w:hAnsi="Times New Roman" w:cs="Times New Roman"/>
                <w:noProof/>
                <w:sz w:val="18"/>
                <w:szCs w:val="18"/>
                <w:lang w:eastAsia="en-GB"/>
              </w:rPr>
            </w:pPr>
          </w:p>
        </w:tc>
        <w:tc>
          <w:tcPr>
            <w:tcW w:w="1060" w:type="dxa"/>
            <w:tcBorders>
              <w:top w:val="nil"/>
              <w:left w:val="nil"/>
              <w:bottom w:val="single" w:sz="4" w:space="0" w:color="auto"/>
              <w:right w:val="single" w:sz="4" w:space="0" w:color="auto"/>
            </w:tcBorders>
            <w:shd w:val="clear" w:color="auto" w:fill="C6EFCE"/>
            <w:noWrap/>
          </w:tcPr>
          <w:p w14:paraId="2A14838E"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877" w:type="dxa"/>
            <w:tcBorders>
              <w:top w:val="nil"/>
              <w:left w:val="nil"/>
              <w:bottom w:val="single" w:sz="4" w:space="0" w:color="auto"/>
              <w:right w:val="single" w:sz="4" w:space="0" w:color="auto"/>
            </w:tcBorders>
            <w:shd w:val="clear" w:color="auto" w:fill="C6EFCE"/>
            <w:noWrap/>
          </w:tcPr>
          <w:p w14:paraId="7007B400" w14:textId="77777777" w:rsidR="001B186F" w:rsidRPr="00DE4E4F" w:rsidRDefault="0074517F" w:rsidP="001E23A0">
            <w:pPr>
              <w:spacing w:after="12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077" w:type="dxa"/>
            <w:tcBorders>
              <w:top w:val="single" w:sz="4" w:space="0" w:color="auto"/>
              <w:left w:val="nil"/>
              <w:bottom w:val="single" w:sz="4" w:space="0" w:color="auto"/>
              <w:right w:val="single" w:sz="4" w:space="0" w:color="auto"/>
            </w:tcBorders>
            <w:shd w:val="clear" w:color="auto" w:fill="C6EFCE"/>
            <w:noWrap/>
          </w:tcPr>
          <w:p w14:paraId="729166E6" w14:textId="77777777" w:rsidR="001B186F" w:rsidRPr="00DE4E4F" w:rsidRDefault="0074517F" w:rsidP="001E23A0">
            <w:pPr>
              <w:spacing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color w:val="006100"/>
                <w:sz w:val="18"/>
                <w:szCs w:val="18"/>
              </w:rPr>
              <w:t xml:space="preserve">Publication of approval decision by RAAWW for projects for a total of 175 MW of electricity storage capacity installed. </w:t>
            </w:r>
          </w:p>
        </w:tc>
      </w:tr>
    </w:tbl>
    <w:p w14:paraId="69AC61B6" w14:textId="77777777" w:rsidR="001B186F" w:rsidRPr="00DE4E4F" w:rsidRDefault="001B186F">
      <w:pPr>
        <w:rPr>
          <w:noProof/>
        </w:rPr>
      </w:pPr>
    </w:p>
    <w:p w14:paraId="09090C88" w14:textId="401A4CEC" w:rsidR="001B186F" w:rsidRPr="00DE4E4F" w:rsidRDefault="0074517F" w:rsidP="00B2368C">
      <w:pPr>
        <w:rPr>
          <w:rFonts w:ascii="Cambria" w:eastAsia="Times New Roman" w:hAnsi="Cambria"/>
          <w:noProof/>
          <w:color w:val="365F91"/>
          <w:sz w:val="24"/>
        </w:rPr>
      </w:pPr>
      <w:r w:rsidRPr="00DE4E4F">
        <w:rPr>
          <w:noProof/>
        </w:rPr>
        <w:br w:type="page"/>
      </w:r>
      <w:r w:rsidRPr="00DE4E4F">
        <w:rPr>
          <w:rFonts w:ascii="Cambria" w:hAnsi="Cambria"/>
          <w:noProof/>
          <w:color w:val="365F91"/>
          <w:sz w:val="24"/>
        </w:rPr>
        <w:t>Investment 2: Energy Efficiency and promotion of RES for auto-consumption (measure ID: 16994)</w:t>
      </w:r>
    </w:p>
    <w:tbl>
      <w:tblPr>
        <w:tblW w:w="14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2461"/>
        <w:gridCol w:w="1142"/>
        <w:gridCol w:w="1234"/>
        <w:gridCol w:w="1286"/>
        <w:gridCol w:w="1152"/>
        <w:gridCol w:w="885"/>
        <w:gridCol w:w="1195"/>
        <w:gridCol w:w="846"/>
        <w:gridCol w:w="956"/>
        <w:gridCol w:w="2698"/>
      </w:tblGrid>
      <w:tr w:rsidR="00682269" w:rsidRPr="00DE4E4F" w14:paraId="1595E1B7" w14:textId="77777777" w:rsidTr="001E23A0">
        <w:trPr>
          <w:trHeight w:val="983"/>
          <w:tblHeader/>
        </w:trPr>
        <w:tc>
          <w:tcPr>
            <w:tcW w:w="5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3B327959"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461"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1A66312A"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Related Measure (Reform or Investment)</w:t>
            </w:r>
          </w:p>
        </w:tc>
        <w:tc>
          <w:tcPr>
            <w:tcW w:w="1142"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5D78C5F6"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Milestone / Target</w:t>
            </w:r>
          </w:p>
        </w:tc>
        <w:tc>
          <w:tcPr>
            <w:tcW w:w="1234"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7D4F66EC"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Name</w:t>
            </w:r>
          </w:p>
        </w:tc>
        <w:tc>
          <w:tcPr>
            <w:tcW w:w="128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6A2C75E6"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Qualitative indicators (for milestones)</w:t>
            </w:r>
          </w:p>
        </w:tc>
        <w:tc>
          <w:tcPr>
            <w:tcW w:w="323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46B3F6A9"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Quantitative indicators (for targets)</w:t>
            </w:r>
          </w:p>
        </w:tc>
        <w:tc>
          <w:tcPr>
            <w:tcW w:w="180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10A7FC6"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Indicative timeline for completion</w:t>
            </w:r>
          </w:p>
        </w:tc>
        <w:tc>
          <w:tcPr>
            <w:tcW w:w="2698"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tcPr>
          <w:p w14:paraId="0AD48242" w14:textId="77777777" w:rsidR="001B186F" w:rsidRPr="00DE4E4F" w:rsidRDefault="0074517F" w:rsidP="001E23A0">
            <w:pPr>
              <w:spacing w:after="0" w:line="240" w:lineRule="auto"/>
              <w:jc w:val="center"/>
              <w:rPr>
                <w:rFonts w:ascii="Times New Roman" w:eastAsia="Times New Roman" w:hAnsi="Times New Roman" w:cs="Times New Roman"/>
                <w:noProof/>
                <w:color w:val="006100"/>
                <w:sz w:val="18"/>
                <w:szCs w:val="18"/>
              </w:rPr>
            </w:pPr>
            <w:r w:rsidRPr="00DE4E4F">
              <w:rPr>
                <w:rFonts w:ascii="Times New Roman" w:hAnsi="Times New Roman"/>
                <w:b/>
                <w:noProof/>
                <w:sz w:val="18"/>
              </w:rPr>
              <w:t>Description of each milestone and target</w:t>
            </w:r>
          </w:p>
        </w:tc>
      </w:tr>
      <w:tr w:rsidR="00682269" w:rsidRPr="00DE4E4F" w14:paraId="3197BFEF" w14:textId="77777777" w:rsidTr="001E23A0">
        <w:trPr>
          <w:trHeight w:val="557"/>
          <w:tblHeader/>
        </w:trPr>
        <w:tc>
          <w:tcPr>
            <w:tcW w:w="534" w:type="dxa"/>
            <w:vMerge/>
            <w:noWrap/>
            <w:vAlign w:val="center"/>
          </w:tcPr>
          <w:p w14:paraId="3200F040"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2461" w:type="dxa"/>
            <w:vMerge/>
            <w:noWrap/>
            <w:vAlign w:val="center"/>
          </w:tcPr>
          <w:p w14:paraId="690DA35F"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142" w:type="dxa"/>
            <w:vMerge/>
            <w:noWrap/>
            <w:vAlign w:val="center"/>
          </w:tcPr>
          <w:p w14:paraId="4B416D15"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234" w:type="dxa"/>
            <w:vMerge/>
            <w:noWrap/>
            <w:vAlign w:val="center"/>
          </w:tcPr>
          <w:p w14:paraId="2802A0A3"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286" w:type="dxa"/>
            <w:vMerge/>
            <w:noWrap/>
            <w:vAlign w:val="center"/>
          </w:tcPr>
          <w:p w14:paraId="07D9572C"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c>
          <w:tcPr>
            <w:tcW w:w="1152" w:type="dxa"/>
            <w:tcBorders>
              <w:top w:val="single" w:sz="4" w:space="0" w:color="auto"/>
            </w:tcBorders>
            <w:shd w:val="clear" w:color="auto" w:fill="B8CCE4" w:themeFill="accent1" w:themeFillTint="66"/>
            <w:noWrap/>
            <w:vAlign w:val="center"/>
          </w:tcPr>
          <w:p w14:paraId="37F1F12D" w14:textId="77777777" w:rsidR="001B186F" w:rsidRPr="00DE4E4F" w:rsidRDefault="0074517F" w:rsidP="001E23A0">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Unit of measure</w:t>
            </w:r>
          </w:p>
        </w:tc>
        <w:tc>
          <w:tcPr>
            <w:tcW w:w="885" w:type="dxa"/>
            <w:tcBorders>
              <w:top w:val="single" w:sz="4" w:space="0" w:color="auto"/>
            </w:tcBorders>
            <w:shd w:val="clear" w:color="auto" w:fill="B8CCE4" w:themeFill="accent1" w:themeFillTint="66"/>
            <w:vAlign w:val="center"/>
          </w:tcPr>
          <w:p w14:paraId="57BE1C0B" w14:textId="77777777" w:rsidR="001B186F" w:rsidRPr="00DE4E4F" w:rsidRDefault="0074517F" w:rsidP="001E23A0">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Baseline</w:t>
            </w:r>
          </w:p>
        </w:tc>
        <w:tc>
          <w:tcPr>
            <w:tcW w:w="1195" w:type="dxa"/>
            <w:tcBorders>
              <w:top w:val="single" w:sz="4" w:space="0" w:color="auto"/>
            </w:tcBorders>
            <w:shd w:val="clear" w:color="auto" w:fill="B8CCE4" w:themeFill="accent1" w:themeFillTint="66"/>
            <w:vAlign w:val="center"/>
          </w:tcPr>
          <w:p w14:paraId="3346C3E3" w14:textId="77777777" w:rsidR="001B186F" w:rsidRPr="00DE4E4F" w:rsidRDefault="0074517F" w:rsidP="001E23A0">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Goal</w:t>
            </w:r>
          </w:p>
        </w:tc>
        <w:tc>
          <w:tcPr>
            <w:tcW w:w="846" w:type="dxa"/>
            <w:tcBorders>
              <w:top w:val="single" w:sz="4" w:space="0" w:color="auto"/>
            </w:tcBorders>
            <w:shd w:val="clear" w:color="auto" w:fill="B8CCE4" w:themeFill="accent1" w:themeFillTint="66"/>
            <w:noWrap/>
            <w:vAlign w:val="center"/>
          </w:tcPr>
          <w:p w14:paraId="3CD5B8E7" w14:textId="77777777" w:rsidR="001B186F" w:rsidRPr="00DE4E4F" w:rsidRDefault="0074517F" w:rsidP="001E23A0">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Quarter</w:t>
            </w:r>
          </w:p>
        </w:tc>
        <w:tc>
          <w:tcPr>
            <w:tcW w:w="956" w:type="dxa"/>
            <w:tcBorders>
              <w:top w:val="single" w:sz="4" w:space="0" w:color="auto"/>
            </w:tcBorders>
            <w:shd w:val="clear" w:color="auto" w:fill="B8CCE4" w:themeFill="accent1" w:themeFillTint="66"/>
            <w:vAlign w:val="center"/>
          </w:tcPr>
          <w:p w14:paraId="6E233CCC" w14:textId="77777777" w:rsidR="001B186F" w:rsidRPr="00DE4E4F" w:rsidRDefault="0074517F" w:rsidP="001E23A0">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rPr>
              <w:t>Year</w:t>
            </w:r>
          </w:p>
        </w:tc>
        <w:tc>
          <w:tcPr>
            <w:tcW w:w="2698" w:type="dxa"/>
            <w:vMerge/>
            <w:noWrap/>
          </w:tcPr>
          <w:p w14:paraId="58E057DE" w14:textId="77777777" w:rsidR="001B186F" w:rsidRPr="00DE4E4F" w:rsidRDefault="001B186F" w:rsidP="001E23A0">
            <w:pPr>
              <w:spacing w:after="0" w:line="240" w:lineRule="auto"/>
              <w:rPr>
                <w:rFonts w:ascii="Times New Roman" w:eastAsia="Times New Roman" w:hAnsi="Times New Roman" w:cs="Times New Roman"/>
                <w:b/>
                <w:bCs/>
                <w:noProof/>
                <w:sz w:val="18"/>
                <w:szCs w:val="18"/>
                <w:lang w:eastAsia="en-GB"/>
              </w:rPr>
            </w:pPr>
          </w:p>
        </w:tc>
      </w:tr>
      <w:tr w:rsidR="00682269" w:rsidRPr="00DE4E4F" w14:paraId="7004D8C7" w14:textId="77777777" w:rsidTr="001E23A0">
        <w:trPr>
          <w:trHeight w:val="300"/>
        </w:trPr>
        <w:tc>
          <w:tcPr>
            <w:tcW w:w="534" w:type="dxa"/>
            <w:tcBorders>
              <w:left w:val="single" w:sz="4" w:space="0" w:color="auto"/>
            </w:tcBorders>
            <w:shd w:val="clear" w:color="auto" w:fill="C6EFCE"/>
            <w:noWrap/>
          </w:tcPr>
          <w:p w14:paraId="25AAF6F6"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367</w:t>
            </w:r>
          </w:p>
        </w:tc>
        <w:tc>
          <w:tcPr>
            <w:tcW w:w="2461" w:type="dxa"/>
            <w:shd w:val="clear" w:color="auto" w:fill="C6EFCE"/>
            <w:noWrap/>
          </w:tcPr>
          <w:p w14:paraId="2AD10B9E"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21 - 5.2 REPowerEU investments - 16994_Energy Efficiency and promotion of RES for auto-consumption </w:t>
            </w:r>
          </w:p>
        </w:tc>
        <w:tc>
          <w:tcPr>
            <w:tcW w:w="1142" w:type="dxa"/>
            <w:shd w:val="clear" w:color="auto" w:fill="C6EFCE"/>
            <w:noWrap/>
          </w:tcPr>
          <w:p w14:paraId="30B7747B"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34" w:type="dxa"/>
            <w:shd w:val="clear" w:color="auto" w:fill="C6EFCE"/>
            <w:noWrap/>
          </w:tcPr>
          <w:p w14:paraId="08FC627C"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Launch of support programmes</w:t>
            </w:r>
          </w:p>
        </w:tc>
        <w:tc>
          <w:tcPr>
            <w:tcW w:w="1286" w:type="dxa"/>
            <w:shd w:val="clear" w:color="auto" w:fill="C6EFCE"/>
            <w:noWrap/>
          </w:tcPr>
          <w:p w14:paraId="555AF3AE"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52" w:type="dxa"/>
            <w:shd w:val="clear" w:color="auto" w:fill="C6EFCE"/>
            <w:noWrap/>
          </w:tcPr>
          <w:p w14:paraId="1D4342BD"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85" w:type="dxa"/>
            <w:shd w:val="clear" w:color="auto" w:fill="C6EFCE"/>
            <w:noWrap/>
          </w:tcPr>
          <w:p w14:paraId="38640F0C"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95" w:type="dxa"/>
            <w:shd w:val="clear" w:color="auto" w:fill="C6EFCE"/>
            <w:noWrap/>
          </w:tcPr>
          <w:p w14:paraId="71A216A6"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724BCF98"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56" w:type="dxa"/>
            <w:shd w:val="clear" w:color="auto" w:fill="C6EFCE"/>
            <w:noWrap/>
          </w:tcPr>
          <w:p w14:paraId="6167ECA2"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2023</w:t>
            </w:r>
          </w:p>
        </w:tc>
        <w:tc>
          <w:tcPr>
            <w:tcW w:w="2698" w:type="dxa"/>
            <w:tcBorders>
              <w:bottom w:val="single" w:sz="4" w:space="0" w:color="auto"/>
              <w:right w:val="single" w:sz="4" w:space="0" w:color="auto"/>
            </w:tcBorders>
            <w:shd w:val="clear" w:color="auto" w:fill="C6EFCE"/>
            <w:noWrap/>
          </w:tcPr>
          <w:p w14:paraId="6AEDEAC6"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Entry into force of a Ministerial Decision launching the following support programmes: </w:t>
            </w:r>
          </w:p>
          <w:p w14:paraId="4454ABA9"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p w14:paraId="7F4A4470"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renovation on residential buildings, including setting up a selection process to ensure that the primary energy consumption of residences is reduced by at least 30% compared to the residence's initial performance calculated in kWh/m</w:t>
            </w:r>
            <w:r w:rsidRPr="00DE4E4F">
              <w:rPr>
                <w:rFonts w:ascii="Times New Roman" w:hAnsi="Times New Roman" w:cs="Times New Roman"/>
                <w:noProof/>
                <w:color w:val="006100"/>
                <w:sz w:val="18"/>
                <w:szCs w:val="18"/>
                <w:vertAlign w:val="superscript"/>
              </w:rPr>
              <w:t>2</w:t>
            </w:r>
            <w:r w:rsidRPr="00DE4E4F">
              <w:rPr>
                <w:rFonts w:ascii="Times New Roman" w:hAnsi="Times New Roman" w:cs="Times New Roman"/>
                <w:noProof/>
                <w:color w:val="006100"/>
                <w:sz w:val="18"/>
                <w:szCs w:val="18"/>
              </w:rPr>
              <w:t xml:space="preserve"> and energy-poor households shall be supported in the form of increased grants percentage.</w:t>
            </w:r>
          </w:p>
          <w:p w14:paraId="5F3078EB"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Energy efficiency on public sector buildings and the private sector (non-residential buildings), including setting up a selection process to ensure that the primary energy consumption of beneficiaries is reduced by at least 30% compared to the residence's initial performance calculated in kWh/m</w:t>
            </w:r>
            <w:r w:rsidRPr="00DE4E4F">
              <w:rPr>
                <w:rFonts w:ascii="Times New Roman" w:hAnsi="Times New Roman" w:cs="Times New Roman"/>
                <w:noProof/>
                <w:color w:val="006100"/>
                <w:sz w:val="18"/>
                <w:szCs w:val="18"/>
                <w:vertAlign w:val="superscript"/>
              </w:rPr>
              <w:t>2</w:t>
            </w:r>
            <w:r w:rsidRPr="00DE4E4F">
              <w:rPr>
                <w:rFonts w:ascii="Times New Roman" w:hAnsi="Times New Roman" w:cs="Times New Roman"/>
                <w:noProof/>
                <w:color w:val="006100"/>
                <w:sz w:val="18"/>
                <w:szCs w:val="18"/>
              </w:rPr>
              <w:t xml:space="preserve">. </w:t>
            </w:r>
          </w:p>
          <w:p w14:paraId="619BAF81"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 Photovoltaic systems for auto-consumption in residential buildings and agricultural sector.</w:t>
            </w:r>
          </w:p>
          <w:p w14:paraId="2CA8C36D"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Renewable water heating systems for households to support the deployment of renewable energy sources (RES) in residential buildings by</w:t>
            </w:r>
            <w:r w:rsidRPr="00DE4E4F">
              <w:rPr>
                <w:rFonts w:ascii="Times New Roman" w:hAnsi="Times New Roman" w:cs="Times New Roman"/>
                <w:noProof/>
                <w:sz w:val="18"/>
                <w:szCs w:val="18"/>
              </w:rPr>
              <w:t xml:space="preserve"> </w:t>
            </w:r>
            <w:r w:rsidRPr="00DE4E4F">
              <w:rPr>
                <w:rFonts w:ascii="Times New Roman" w:hAnsi="Times New Roman" w:cs="Times New Roman"/>
                <w:noProof/>
                <w:color w:val="006100"/>
                <w:sz w:val="18"/>
                <w:szCs w:val="18"/>
              </w:rPr>
              <w:t>installation of new solar water heaters, heat pumps and RES systems using new modern technology, or replacement of energy-consuming electric water heaters using old technology with new solar water heaters, heat pumps and RES systems using new modern technology. Energy-poor households shall be supported in the form of increased grants percentage (applicable only to solar water heaters).</w:t>
            </w:r>
          </w:p>
          <w:p w14:paraId="615E0516"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Promoting energy efficiency measures in municipal water and sewage companies through (i) reducing energy consumption of pumping stations and pumping motors; and (ii) undertake studies for the optimal implementation of actions to further improve energy efficiency of these companies.</w:t>
            </w:r>
          </w:p>
          <w:p w14:paraId="6EF60AAF" w14:textId="77777777" w:rsidR="001B186F" w:rsidRPr="00DE4E4F" w:rsidRDefault="0074517F" w:rsidP="001E23A0">
            <w:pPr>
              <w:pStyle w:val="ListParagraph"/>
              <w:numPr>
                <w:ilvl w:val="0"/>
                <w:numId w:val="90"/>
              </w:num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rPr>
              <w:t>Support for the installation of battery storage systems for businesses.</w:t>
            </w:r>
          </w:p>
        </w:tc>
      </w:tr>
      <w:tr w:rsidR="00682269" w:rsidRPr="00DE4E4F" w14:paraId="3D05CC47" w14:textId="77777777" w:rsidTr="001E23A0">
        <w:trPr>
          <w:trHeight w:val="300"/>
        </w:trPr>
        <w:tc>
          <w:tcPr>
            <w:tcW w:w="534" w:type="dxa"/>
            <w:tcBorders>
              <w:left w:val="single" w:sz="4" w:space="0" w:color="auto"/>
              <w:bottom w:val="single" w:sz="4" w:space="0" w:color="auto"/>
            </w:tcBorders>
            <w:shd w:val="clear" w:color="auto" w:fill="C6EFCE"/>
            <w:noWrap/>
          </w:tcPr>
          <w:p w14:paraId="04FD3837"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368</w:t>
            </w:r>
          </w:p>
        </w:tc>
        <w:tc>
          <w:tcPr>
            <w:tcW w:w="2461" w:type="dxa"/>
            <w:tcBorders>
              <w:bottom w:val="single" w:sz="4" w:space="0" w:color="auto"/>
            </w:tcBorders>
            <w:shd w:val="clear" w:color="auto" w:fill="C6EFCE"/>
            <w:noWrap/>
          </w:tcPr>
          <w:p w14:paraId="01625B71"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21 - 5.2 REPowerEU investments - 16994_Energy Efficiency and promotion of RES for auto-consumption</w:t>
            </w:r>
          </w:p>
        </w:tc>
        <w:tc>
          <w:tcPr>
            <w:tcW w:w="1142" w:type="dxa"/>
            <w:tcBorders>
              <w:bottom w:val="single" w:sz="4" w:space="0" w:color="auto"/>
            </w:tcBorders>
            <w:shd w:val="clear" w:color="auto" w:fill="C6EFCE"/>
            <w:noWrap/>
          </w:tcPr>
          <w:p w14:paraId="355AC023"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 xml:space="preserve"> Target</w:t>
            </w:r>
          </w:p>
        </w:tc>
        <w:tc>
          <w:tcPr>
            <w:tcW w:w="1234" w:type="dxa"/>
            <w:tcBorders>
              <w:bottom w:val="single" w:sz="4" w:space="0" w:color="auto"/>
            </w:tcBorders>
            <w:shd w:val="clear" w:color="auto" w:fill="C6EFCE"/>
            <w:noWrap/>
          </w:tcPr>
          <w:p w14:paraId="7589E07F"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Installation of photovoltaic systems for auto-consumption</w:t>
            </w:r>
          </w:p>
        </w:tc>
        <w:tc>
          <w:tcPr>
            <w:tcW w:w="1286" w:type="dxa"/>
            <w:tcBorders>
              <w:bottom w:val="single" w:sz="4" w:space="0" w:color="auto"/>
            </w:tcBorders>
            <w:shd w:val="clear" w:color="auto" w:fill="C6EFCE"/>
            <w:noWrap/>
          </w:tcPr>
          <w:p w14:paraId="45764F0D"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52" w:type="dxa"/>
            <w:tcBorders>
              <w:bottom w:val="single" w:sz="4" w:space="0" w:color="auto"/>
            </w:tcBorders>
            <w:shd w:val="clear" w:color="auto" w:fill="C6EFCE"/>
            <w:noWrap/>
          </w:tcPr>
          <w:p w14:paraId="66C37EF6"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Number of installed PV systems</w:t>
            </w:r>
          </w:p>
        </w:tc>
        <w:tc>
          <w:tcPr>
            <w:tcW w:w="885" w:type="dxa"/>
            <w:tcBorders>
              <w:bottom w:val="single" w:sz="4" w:space="0" w:color="auto"/>
            </w:tcBorders>
            <w:shd w:val="clear" w:color="auto" w:fill="C6EFCE"/>
            <w:noWrap/>
          </w:tcPr>
          <w:p w14:paraId="74EA8A04"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0</w:t>
            </w:r>
          </w:p>
        </w:tc>
        <w:tc>
          <w:tcPr>
            <w:tcW w:w="1195" w:type="dxa"/>
            <w:tcBorders>
              <w:bottom w:val="single" w:sz="4" w:space="0" w:color="auto"/>
            </w:tcBorders>
            <w:shd w:val="clear" w:color="auto" w:fill="C6EFCE"/>
            <w:noWrap/>
          </w:tcPr>
          <w:p w14:paraId="64BDB5CF"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11 580</w:t>
            </w:r>
          </w:p>
        </w:tc>
        <w:tc>
          <w:tcPr>
            <w:tcW w:w="846" w:type="dxa"/>
            <w:tcBorders>
              <w:bottom w:val="single" w:sz="4" w:space="0" w:color="auto"/>
            </w:tcBorders>
            <w:shd w:val="clear" w:color="auto" w:fill="C6EFCE"/>
            <w:noWrap/>
          </w:tcPr>
          <w:p w14:paraId="5CF4B7DD"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956" w:type="dxa"/>
            <w:tcBorders>
              <w:bottom w:val="single" w:sz="4" w:space="0" w:color="auto"/>
            </w:tcBorders>
            <w:shd w:val="clear" w:color="auto" w:fill="C6EFCE"/>
            <w:noWrap/>
          </w:tcPr>
          <w:p w14:paraId="333E882E"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2698" w:type="dxa"/>
            <w:tcBorders>
              <w:bottom w:val="single" w:sz="4" w:space="0" w:color="auto"/>
              <w:right w:val="single" w:sz="4" w:space="0" w:color="auto"/>
            </w:tcBorders>
            <w:shd w:val="clear" w:color="auto" w:fill="C6EFCE"/>
            <w:noWrap/>
          </w:tcPr>
          <w:p w14:paraId="00FB1FF6"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highlight w:val="yellow"/>
              </w:rPr>
            </w:pPr>
            <w:r w:rsidRPr="00DE4E4F">
              <w:rPr>
                <w:rFonts w:ascii="Times New Roman" w:hAnsi="Times New Roman" w:cs="Times New Roman"/>
                <w:noProof/>
                <w:color w:val="006100"/>
                <w:sz w:val="18"/>
                <w:szCs w:val="18"/>
              </w:rPr>
              <w:t>Photovoltaic (PV) systems for auto-consumption in residential buildings and agricultural sector: 11 580 PV systems installed, out of which 900 shall be for energy-poor households and 360 for farmers.</w:t>
            </w:r>
          </w:p>
        </w:tc>
      </w:tr>
      <w:tr w:rsidR="00682269" w:rsidRPr="00DE4E4F" w14:paraId="37BB2A3F" w14:textId="77777777" w:rsidTr="001E23A0">
        <w:trPr>
          <w:trHeight w:val="300"/>
        </w:trPr>
        <w:tc>
          <w:tcPr>
            <w:tcW w:w="534" w:type="dxa"/>
            <w:tcBorders>
              <w:left w:val="single" w:sz="4" w:space="0" w:color="auto"/>
              <w:bottom w:val="single" w:sz="4" w:space="0" w:color="auto"/>
            </w:tcBorders>
            <w:shd w:val="clear" w:color="auto" w:fill="C6EFCE"/>
            <w:noWrap/>
          </w:tcPr>
          <w:p w14:paraId="227A8435"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369</w:t>
            </w:r>
          </w:p>
        </w:tc>
        <w:tc>
          <w:tcPr>
            <w:tcW w:w="2461" w:type="dxa"/>
            <w:tcBorders>
              <w:bottom w:val="single" w:sz="4" w:space="0" w:color="auto"/>
            </w:tcBorders>
            <w:shd w:val="clear" w:color="auto" w:fill="C6EFCE"/>
            <w:noWrap/>
          </w:tcPr>
          <w:p w14:paraId="512E9DF9"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21 - 5.2 REPowerEU investments - 16994_Energy Efficiency and promotion of RES for auto-consumption</w:t>
            </w:r>
          </w:p>
        </w:tc>
        <w:tc>
          <w:tcPr>
            <w:tcW w:w="1142" w:type="dxa"/>
            <w:tcBorders>
              <w:bottom w:val="single" w:sz="4" w:space="0" w:color="auto"/>
            </w:tcBorders>
            <w:shd w:val="clear" w:color="auto" w:fill="C6EFCE"/>
            <w:noWrap/>
          </w:tcPr>
          <w:p w14:paraId="046F468E"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Target</w:t>
            </w:r>
          </w:p>
        </w:tc>
        <w:tc>
          <w:tcPr>
            <w:tcW w:w="1234" w:type="dxa"/>
            <w:tcBorders>
              <w:bottom w:val="single" w:sz="4" w:space="0" w:color="auto"/>
            </w:tcBorders>
            <w:shd w:val="clear" w:color="auto" w:fill="C6EFCE"/>
            <w:noWrap/>
          </w:tcPr>
          <w:p w14:paraId="3BF27B0C" w14:textId="50C33231"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Sub-investments on </w:t>
            </w:r>
            <w:r w:rsidR="00000150" w:rsidRPr="00DE4E4F">
              <w:rPr>
                <w:rFonts w:ascii="Times New Roman" w:hAnsi="Times New Roman" w:cs="Times New Roman"/>
                <w:noProof/>
                <w:color w:val="006100"/>
                <w:sz w:val="18"/>
                <w:szCs w:val="18"/>
              </w:rPr>
              <w:t xml:space="preserve">installation of photovoltaic systems for auto consumption, </w:t>
            </w:r>
            <w:r w:rsidRPr="00DE4E4F">
              <w:rPr>
                <w:rFonts w:ascii="Times New Roman" w:hAnsi="Times New Roman" w:cs="Times New Roman"/>
                <w:noProof/>
                <w:color w:val="006100"/>
                <w:sz w:val="18"/>
                <w:szCs w:val="18"/>
              </w:rPr>
              <w:t>energy efficiency renovations, solar water heaters</w:t>
            </w:r>
            <w:r w:rsidR="00304B99" w:rsidRPr="00DE4E4F">
              <w:rPr>
                <w:rFonts w:ascii="Times New Roman" w:hAnsi="Times New Roman" w:cs="Times New Roman"/>
                <w:noProof/>
                <w:color w:val="006100"/>
                <w:sz w:val="18"/>
                <w:szCs w:val="18"/>
              </w:rPr>
              <w:t xml:space="preserve"> and</w:t>
            </w:r>
            <w:r w:rsidRPr="00DE4E4F">
              <w:rPr>
                <w:rFonts w:ascii="Times New Roman" w:hAnsi="Times New Roman" w:cs="Times New Roman"/>
                <w:noProof/>
                <w:color w:val="006100"/>
                <w:sz w:val="18"/>
                <w:szCs w:val="18"/>
              </w:rPr>
              <w:t xml:space="preserve"> heat pumps.</w:t>
            </w:r>
          </w:p>
        </w:tc>
        <w:tc>
          <w:tcPr>
            <w:tcW w:w="1286" w:type="dxa"/>
            <w:tcBorders>
              <w:bottom w:val="single" w:sz="4" w:space="0" w:color="auto"/>
            </w:tcBorders>
            <w:shd w:val="clear" w:color="auto" w:fill="C6EFCE"/>
            <w:noWrap/>
          </w:tcPr>
          <w:p w14:paraId="60673D72" w14:textId="77777777" w:rsidR="001B186F" w:rsidRPr="00DE4E4F" w:rsidRDefault="001B186F" w:rsidP="001E23A0">
            <w:pPr>
              <w:spacing w:after="0" w:line="240" w:lineRule="auto"/>
              <w:rPr>
                <w:rFonts w:ascii="Times New Roman" w:eastAsia="Times New Roman" w:hAnsi="Times New Roman" w:cs="Times New Roman"/>
                <w:noProof/>
                <w:color w:val="006100"/>
                <w:sz w:val="18"/>
                <w:szCs w:val="18"/>
                <w:lang w:eastAsia="en-GB"/>
              </w:rPr>
            </w:pPr>
          </w:p>
        </w:tc>
        <w:tc>
          <w:tcPr>
            <w:tcW w:w="1152" w:type="dxa"/>
            <w:tcBorders>
              <w:bottom w:val="single" w:sz="4" w:space="0" w:color="auto"/>
            </w:tcBorders>
            <w:shd w:val="clear" w:color="auto" w:fill="C6EFCE"/>
            <w:noWrap/>
          </w:tcPr>
          <w:p w14:paraId="53B8F993" w14:textId="3A1388C6" w:rsidR="001B186F" w:rsidRPr="00DE4E4F" w:rsidRDefault="00E76FC9" w:rsidP="001E23A0">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Number of installed PV systems</w:t>
            </w:r>
          </w:p>
        </w:tc>
        <w:tc>
          <w:tcPr>
            <w:tcW w:w="885" w:type="dxa"/>
            <w:tcBorders>
              <w:bottom w:val="single" w:sz="4" w:space="0" w:color="auto"/>
            </w:tcBorders>
            <w:shd w:val="clear" w:color="auto" w:fill="C6EFCE"/>
            <w:noWrap/>
          </w:tcPr>
          <w:p w14:paraId="7A4B6D51" w14:textId="147A7F3C" w:rsidR="00157E33" w:rsidRPr="00DE4E4F" w:rsidRDefault="00157E33"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11 580</w:t>
            </w:r>
          </w:p>
        </w:tc>
        <w:tc>
          <w:tcPr>
            <w:tcW w:w="1195" w:type="dxa"/>
            <w:tcBorders>
              <w:bottom w:val="single" w:sz="4" w:space="0" w:color="auto"/>
            </w:tcBorders>
            <w:shd w:val="clear" w:color="auto" w:fill="C6EFCE"/>
            <w:noWrap/>
          </w:tcPr>
          <w:p w14:paraId="663573FE" w14:textId="054087A9" w:rsidR="001B186F" w:rsidRPr="00DE4E4F" w:rsidRDefault="00E920E9"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13 700</w:t>
            </w:r>
          </w:p>
        </w:tc>
        <w:tc>
          <w:tcPr>
            <w:tcW w:w="846" w:type="dxa"/>
            <w:tcBorders>
              <w:bottom w:val="single" w:sz="4" w:space="0" w:color="auto"/>
            </w:tcBorders>
            <w:shd w:val="clear" w:color="auto" w:fill="C6EFCE"/>
            <w:noWrap/>
          </w:tcPr>
          <w:p w14:paraId="2BAFB29D"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Q4</w:t>
            </w:r>
          </w:p>
        </w:tc>
        <w:tc>
          <w:tcPr>
            <w:tcW w:w="956" w:type="dxa"/>
            <w:tcBorders>
              <w:bottom w:val="single" w:sz="4" w:space="0" w:color="auto"/>
            </w:tcBorders>
            <w:shd w:val="clear" w:color="auto" w:fill="C6EFCE"/>
            <w:noWrap/>
          </w:tcPr>
          <w:p w14:paraId="0E63F4A0" w14:textId="77777777" w:rsidR="001B186F" w:rsidRPr="00DE4E4F" w:rsidRDefault="0074517F" w:rsidP="001E23A0">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2698" w:type="dxa"/>
            <w:tcBorders>
              <w:bottom w:val="single" w:sz="4" w:space="0" w:color="auto"/>
              <w:right w:val="single" w:sz="4" w:space="0" w:color="auto"/>
            </w:tcBorders>
            <w:shd w:val="clear" w:color="auto" w:fill="C6EFCE"/>
            <w:noWrap/>
          </w:tcPr>
          <w:p w14:paraId="0EF23E43" w14:textId="3DA74996" w:rsidR="00F30042" w:rsidRPr="00DE4E4F" w:rsidRDefault="009E0865" w:rsidP="001E23A0">
            <w:pPr>
              <w:pStyle w:val="ListParagraph"/>
              <w:numPr>
                <w:ilvl w:val="0"/>
                <w:numId w:val="91"/>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Photovoltaic (PV) systems for auto-consumption in residential buildings and agricultural sector: 13 700</w:t>
            </w:r>
            <w:r w:rsidR="007607D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PV systems installed, out of which 1 080 shall be for energy-poor households and 430 for farmers.</w:t>
            </w:r>
          </w:p>
          <w:p w14:paraId="2BAC4B75" w14:textId="15B2C2E8" w:rsidR="001B186F" w:rsidRPr="00DE4E4F" w:rsidRDefault="0074517F" w:rsidP="001E23A0">
            <w:pPr>
              <w:pStyle w:val="ListParagraph"/>
              <w:numPr>
                <w:ilvl w:val="0"/>
                <w:numId w:val="91"/>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Energy renovation of residential buildings: energy efficiency renovations certified for </w:t>
            </w:r>
            <w:r w:rsidR="009B5F27" w:rsidRPr="00DE4E4F">
              <w:rPr>
                <w:rFonts w:ascii="Times New Roman" w:hAnsi="Times New Roman" w:cs="Times New Roman"/>
                <w:noProof/>
                <w:color w:val="006100"/>
                <w:sz w:val="18"/>
                <w:szCs w:val="18"/>
              </w:rPr>
              <w:t>22 740</w:t>
            </w:r>
            <w:r w:rsidR="007607D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buildings, with primary energy savings, on average, of at least 30%.</w:t>
            </w:r>
          </w:p>
          <w:p w14:paraId="0BD79D3A" w14:textId="74CCA1B1" w:rsidR="001B186F" w:rsidRPr="00DE4E4F" w:rsidRDefault="001B186F" w:rsidP="001E23A0">
            <w:pPr>
              <w:pStyle w:val="ListParagraph"/>
              <w:spacing w:after="0" w:line="240" w:lineRule="auto"/>
              <w:ind w:left="360"/>
              <w:rPr>
                <w:rFonts w:ascii="Times New Roman" w:eastAsia="Times New Roman" w:hAnsi="Times New Roman" w:cs="Times New Roman"/>
                <w:noProof/>
                <w:color w:val="006100"/>
                <w:sz w:val="18"/>
                <w:szCs w:val="18"/>
              </w:rPr>
            </w:pPr>
          </w:p>
          <w:p w14:paraId="69B765C0" w14:textId="44D32E32" w:rsidR="001B186F" w:rsidRPr="00DE4E4F" w:rsidRDefault="0074517F" w:rsidP="001E23A0">
            <w:pPr>
              <w:pStyle w:val="ListParagraph"/>
              <w:numPr>
                <w:ilvl w:val="0"/>
                <w:numId w:val="91"/>
              </w:num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Renewable water heating systems: </w:t>
            </w:r>
            <w:r w:rsidR="00707A91" w:rsidRPr="00DE4E4F">
              <w:rPr>
                <w:rFonts w:ascii="Times New Roman" w:hAnsi="Times New Roman" w:cs="Times New Roman"/>
                <w:noProof/>
                <w:color w:val="006100"/>
                <w:sz w:val="18"/>
                <w:szCs w:val="18"/>
              </w:rPr>
              <w:t>117 </w:t>
            </w:r>
            <w:r w:rsidRPr="00DE4E4F">
              <w:rPr>
                <w:rFonts w:ascii="Times New Roman" w:hAnsi="Times New Roman" w:cs="Times New Roman"/>
                <w:noProof/>
                <w:color w:val="006100"/>
                <w:sz w:val="18"/>
                <w:szCs w:val="18"/>
              </w:rPr>
              <w:t xml:space="preserve">455 solar water heating systems and </w:t>
            </w:r>
            <w:r w:rsidR="00707A91" w:rsidRPr="00DE4E4F">
              <w:rPr>
                <w:rFonts w:ascii="Times New Roman" w:hAnsi="Times New Roman" w:cs="Times New Roman"/>
                <w:noProof/>
                <w:color w:val="006100"/>
                <w:sz w:val="18"/>
                <w:szCs w:val="18"/>
              </w:rPr>
              <w:t>22 500</w:t>
            </w:r>
            <w:r w:rsidR="007607D9" w:rsidRPr="00DE4E4F">
              <w:rPr>
                <w:rFonts w:ascii="Times New Roman" w:hAnsi="Times New Roman" w:cs="Times New Roman"/>
                <w:noProof/>
                <w:color w:val="006100"/>
                <w:sz w:val="18"/>
                <w:szCs w:val="18"/>
              </w:rPr>
              <w:t> </w:t>
            </w:r>
            <w:r w:rsidRPr="00DE4E4F">
              <w:rPr>
                <w:rFonts w:ascii="Times New Roman" w:hAnsi="Times New Roman" w:cs="Times New Roman"/>
                <w:noProof/>
                <w:color w:val="006100"/>
                <w:sz w:val="18"/>
                <w:szCs w:val="18"/>
              </w:rPr>
              <w:t xml:space="preserve">heat pumps </w:t>
            </w:r>
            <w:r w:rsidR="00856D7A" w:rsidRPr="00DE4E4F">
              <w:rPr>
                <w:rFonts w:ascii="Times New Roman" w:hAnsi="Times New Roman" w:cs="Times New Roman"/>
                <w:noProof/>
                <w:color w:val="006100"/>
                <w:sz w:val="18"/>
                <w:szCs w:val="18"/>
              </w:rPr>
              <w:t xml:space="preserve">purchased </w:t>
            </w:r>
            <w:r w:rsidRPr="00DE4E4F">
              <w:rPr>
                <w:rFonts w:ascii="Times New Roman" w:hAnsi="Times New Roman" w:cs="Times New Roman"/>
                <w:noProof/>
                <w:color w:val="006100"/>
                <w:sz w:val="18"/>
                <w:szCs w:val="18"/>
              </w:rPr>
              <w:t xml:space="preserve">for households, out of which </w:t>
            </w:r>
            <w:r w:rsidR="00582DFF" w:rsidRPr="00DE4E4F">
              <w:rPr>
                <w:rFonts w:ascii="Times New Roman" w:hAnsi="Times New Roman" w:cs="Times New Roman"/>
                <w:noProof/>
                <w:color w:val="006100"/>
                <w:sz w:val="18"/>
                <w:szCs w:val="18"/>
              </w:rPr>
              <w:t xml:space="preserve">24 130 </w:t>
            </w:r>
            <w:r w:rsidRPr="00DE4E4F">
              <w:rPr>
                <w:rFonts w:ascii="Times New Roman" w:hAnsi="Times New Roman" w:cs="Times New Roman"/>
                <w:noProof/>
                <w:color w:val="006100"/>
                <w:sz w:val="18"/>
                <w:szCs w:val="18"/>
              </w:rPr>
              <w:t xml:space="preserve">and </w:t>
            </w:r>
            <w:r w:rsidR="00582DFF" w:rsidRPr="00DE4E4F">
              <w:rPr>
                <w:rFonts w:ascii="Times New Roman" w:hAnsi="Times New Roman" w:cs="Times New Roman"/>
                <w:noProof/>
                <w:color w:val="006100"/>
                <w:sz w:val="18"/>
                <w:szCs w:val="18"/>
              </w:rPr>
              <w:t xml:space="preserve">2 250 </w:t>
            </w:r>
            <w:r w:rsidRPr="00DE4E4F">
              <w:rPr>
                <w:rFonts w:ascii="Times New Roman" w:hAnsi="Times New Roman" w:cs="Times New Roman"/>
                <w:noProof/>
                <w:color w:val="006100"/>
                <w:sz w:val="18"/>
                <w:szCs w:val="18"/>
              </w:rPr>
              <w:t xml:space="preserve">respectively vulnerable households. </w:t>
            </w:r>
          </w:p>
          <w:p w14:paraId="6D92E72A" w14:textId="0EFD1904" w:rsidR="001B186F" w:rsidRPr="00DE4E4F" w:rsidRDefault="001B186F" w:rsidP="00C772A0">
            <w:pPr>
              <w:spacing w:after="0" w:line="240" w:lineRule="auto"/>
              <w:rPr>
                <w:rFonts w:ascii="Times New Roman" w:eastAsia="Times New Roman" w:hAnsi="Times New Roman" w:cs="Times New Roman"/>
                <w:noProof/>
                <w:color w:val="006100"/>
                <w:sz w:val="18"/>
                <w:szCs w:val="18"/>
              </w:rPr>
            </w:pPr>
          </w:p>
        </w:tc>
      </w:tr>
    </w:tbl>
    <w:p w14:paraId="7A476302" w14:textId="77777777" w:rsidR="007607D9" w:rsidRPr="00DE4E4F" w:rsidRDefault="007607D9">
      <w:pPr>
        <w:keepNext/>
        <w:keepLines/>
        <w:spacing w:before="240" w:after="240" w:line="240" w:lineRule="auto"/>
        <w:jc w:val="both"/>
        <w:outlineLvl w:val="4"/>
        <w:rPr>
          <w:rFonts w:ascii="Cambria" w:hAnsi="Cambria"/>
          <w:noProof/>
          <w:color w:val="365F91" w:themeColor="accent1" w:themeShade="BF"/>
          <w:sz w:val="24"/>
        </w:rPr>
      </w:pPr>
    </w:p>
    <w:p w14:paraId="2250939F" w14:textId="1FAE486D" w:rsidR="001B186F" w:rsidRPr="00DE4E4F" w:rsidRDefault="007607D9" w:rsidP="007607D9">
      <w:pPr>
        <w:rPr>
          <w:rFonts w:eastAsia="Times New Roman"/>
          <w:noProof/>
          <w:color w:val="365F91"/>
          <w:szCs w:val="24"/>
        </w:rPr>
      </w:pPr>
      <w:r w:rsidRPr="00DE4E4F">
        <w:rPr>
          <w:noProof/>
        </w:rPr>
        <w:br w:type="page"/>
      </w:r>
      <w:r w:rsidR="0074517F" w:rsidRPr="00DE4E4F">
        <w:rPr>
          <w:rFonts w:ascii="Cambria" w:hAnsi="Cambria"/>
          <w:noProof/>
          <w:color w:val="365F91"/>
          <w:sz w:val="24"/>
        </w:rPr>
        <w:t>Investment 3: Renewable Hydrogen Production project (measure ID: 16995)</w:t>
      </w:r>
    </w:p>
    <w:tbl>
      <w:tblPr>
        <w:tblW w:w="14341" w:type="dxa"/>
        <w:tblInd w:w="1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704"/>
        <w:gridCol w:w="2165"/>
        <w:gridCol w:w="1094"/>
        <w:gridCol w:w="1205"/>
        <w:gridCol w:w="1553"/>
        <w:gridCol w:w="1205"/>
        <w:gridCol w:w="927"/>
        <w:gridCol w:w="713"/>
        <w:gridCol w:w="922"/>
        <w:gridCol w:w="720"/>
        <w:gridCol w:w="3133"/>
      </w:tblGrid>
      <w:tr w:rsidR="00682269" w:rsidRPr="00DE4E4F" w14:paraId="1D9DAEB1" w14:textId="77777777" w:rsidTr="007607D9">
        <w:trPr>
          <w:trHeight w:val="927"/>
          <w:tblHeader/>
        </w:trPr>
        <w:tc>
          <w:tcPr>
            <w:tcW w:w="704" w:type="dxa"/>
            <w:vMerge w:val="restart"/>
            <w:shd w:val="clear" w:color="auto" w:fill="BDD7EE"/>
            <w:vAlign w:val="center"/>
            <w:hideMark/>
          </w:tcPr>
          <w:p w14:paraId="083C0159" w14:textId="77777777" w:rsidR="001B186F" w:rsidRPr="00DE4E4F" w:rsidRDefault="0074517F">
            <w:pPr>
              <w:spacing w:after="0" w:line="240" w:lineRule="auto"/>
              <w:jc w:val="center"/>
              <w:rPr>
                <w:rFonts w:ascii="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165" w:type="dxa"/>
            <w:vMerge w:val="restart"/>
            <w:shd w:val="clear" w:color="auto" w:fill="BDD7EE"/>
            <w:vAlign w:val="center"/>
            <w:hideMark/>
          </w:tcPr>
          <w:p w14:paraId="010C6ADC" w14:textId="77777777" w:rsidR="001B186F" w:rsidRPr="00DE4E4F" w:rsidRDefault="0074517F">
            <w:pPr>
              <w:spacing w:after="0" w:line="240" w:lineRule="auto"/>
              <w:jc w:val="center"/>
              <w:rPr>
                <w:rFonts w:ascii="Cambria" w:hAnsi="Cambria"/>
                <w:noProof/>
                <w:color w:val="365F91"/>
                <w:sz w:val="24"/>
              </w:rPr>
            </w:pPr>
            <w:r w:rsidRPr="00DE4E4F">
              <w:rPr>
                <w:rFonts w:ascii="Times New Roman" w:hAnsi="Times New Roman" w:cs="Times New Roman"/>
                <w:b/>
                <w:noProof/>
                <w:sz w:val="18"/>
                <w:szCs w:val="18"/>
              </w:rPr>
              <w:t>Related Measure (Reform or Investment)</w:t>
            </w:r>
          </w:p>
        </w:tc>
        <w:tc>
          <w:tcPr>
            <w:tcW w:w="1094" w:type="dxa"/>
            <w:vMerge w:val="restart"/>
            <w:shd w:val="clear" w:color="auto" w:fill="BDD7EE"/>
            <w:vAlign w:val="center"/>
            <w:hideMark/>
          </w:tcPr>
          <w:p w14:paraId="546C1DE3"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Milestone / Target</w:t>
            </w:r>
          </w:p>
        </w:tc>
        <w:tc>
          <w:tcPr>
            <w:tcW w:w="1205" w:type="dxa"/>
            <w:vMerge w:val="restart"/>
            <w:shd w:val="clear" w:color="auto" w:fill="BDD7EE"/>
            <w:vAlign w:val="center"/>
            <w:hideMark/>
          </w:tcPr>
          <w:p w14:paraId="52C36E7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Name</w:t>
            </w:r>
          </w:p>
        </w:tc>
        <w:tc>
          <w:tcPr>
            <w:tcW w:w="1553" w:type="dxa"/>
            <w:vMerge w:val="restart"/>
            <w:shd w:val="clear" w:color="auto" w:fill="BDD7EE"/>
            <w:vAlign w:val="center"/>
            <w:hideMark/>
          </w:tcPr>
          <w:p w14:paraId="2E72EC0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Qualitative indicators (for milestones)</w:t>
            </w:r>
          </w:p>
        </w:tc>
        <w:tc>
          <w:tcPr>
            <w:tcW w:w="2845" w:type="dxa"/>
            <w:gridSpan w:val="3"/>
            <w:shd w:val="clear" w:color="auto" w:fill="BDD7EE"/>
            <w:vAlign w:val="center"/>
            <w:hideMark/>
          </w:tcPr>
          <w:p w14:paraId="09D6C0D6"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Quantitative indicators (for targets)</w:t>
            </w:r>
          </w:p>
        </w:tc>
        <w:tc>
          <w:tcPr>
            <w:tcW w:w="1642" w:type="dxa"/>
            <w:gridSpan w:val="2"/>
            <w:shd w:val="clear" w:color="auto" w:fill="BDD7EE"/>
            <w:vAlign w:val="center"/>
            <w:hideMark/>
          </w:tcPr>
          <w:p w14:paraId="0EB08CDD"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Indicative timeline for completion </w:t>
            </w:r>
          </w:p>
        </w:tc>
        <w:tc>
          <w:tcPr>
            <w:tcW w:w="3133" w:type="dxa"/>
            <w:vMerge w:val="restart"/>
            <w:shd w:val="clear" w:color="auto" w:fill="BDD7EE"/>
            <w:vAlign w:val="center"/>
            <w:hideMark/>
          </w:tcPr>
          <w:p w14:paraId="2618B9D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Description of each milestone and target</w:t>
            </w:r>
          </w:p>
        </w:tc>
      </w:tr>
      <w:tr w:rsidR="00682269" w:rsidRPr="00DE4E4F" w14:paraId="1627D3BF" w14:textId="77777777" w:rsidTr="007607D9">
        <w:trPr>
          <w:trHeight w:val="1013"/>
        </w:trPr>
        <w:tc>
          <w:tcPr>
            <w:tcW w:w="704" w:type="dxa"/>
            <w:vMerge/>
            <w:vAlign w:val="center"/>
            <w:hideMark/>
          </w:tcPr>
          <w:p w14:paraId="45438A60"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165" w:type="dxa"/>
            <w:vMerge/>
            <w:vAlign w:val="center"/>
            <w:hideMark/>
          </w:tcPr>
          <w:p w14:paraId="4B20690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094" w:type="dxa"/>
            <w:vMerge/>
            <w:vAlign w:val="center"/>
            <w:hideMark/>
          </w:tcPr>
          <w:p w14:paraId="356B124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5" w:type="dxa"/>
            <w:vMerge/>
            <w:vAlign w:val="center"/>
            <w:hideMark/>
          </w:tcPr>
          <w:p w14:paraId="67AA1A78"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553" w:type="dxa"/>
            <w:vMerge/>
            <w:vAlign w:val="center"/>
            <w:hideMark/>
          </w:tcPr>
          <w:p w14:paraId="03C64929"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205" w:type="dxa"/>
            <w:shd w:val="clear" w:color="auto" w:fill="BDD7EE"/>
            <w:vAlign w:val="center"/>
            <w:hideMark/>
          </w:tcPr>
          <w:p w14:paraId="68F15C05"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Unit of measure</w:t>
            </w:r>
          </w:p>
        </w:tc>
        <w:tc>
          <w:tcPr>
            <w:tcW w:w="927" w:type="dxa"/>
            <w:shd w:val="clear" w:color="auto" w:fill="BDD7EE"/>
            <w:vAlign w:val="center"/>
            <w:hideMark/>
          </w:tcPr>
          <w:p w14:paraId="0E641984"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Baseline </w:t>
            </w:r>
          </w:p>
        </w:tc>
        <w:tc>
          <w:tcPr>
            <w:tcW w:w="713" w:type="dxa"/>
            <w:shd w:val="clear" w:color="auto" w:fill="BDD7EE"/>
            <w:vAlign w:val="center"/>
            <w:hideMark/>
          </w:tcPr>
          <w:p w14:paraId="31338D6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Goal </w:t>
            </w:r>
          </w:p>
        </w:tc>
        <w:tc>
          <w:tcPr>
            <w:tcW w:w="922" w:type="dxa"/>
            <w:shd w:val="clear" w:color="auto" w:fill="BDD7EE"/>
            <w:vAlign w:val="center"/>
            <w:hideMark/>
          </w:tcPr>
          <w:p w14:paraId="21C5A2CF"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Quarter</w:t>
            </w:r>
          </w:p>
        </w:tc>
        <w:tc>
          <w:tcPr>
            <w:tcW w:w="720" w:type="dxa"/>
            <w:shd w:val="clear" w:color="auto" w:fill="BDD7EE"/>
            <w:vAlign w:val="center"/>
            <w:hideMark/>
          </w:tcPr>
          <w:p w14:paraId="36039D9E" w14:textId="77777777" w:rsidR="001B186F" w:rsidRPr="00DE4E4F" w:rsidRDefault="0074517F">
            <w:pPr>
              <w:spacing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Year</w:t>
            </w:r>
          </w:p>
        </w:tc>
        <w:tc>
          <w:tcPr>
            <w:tcW w:w="3133" w:type="dxa"/>
            <w:vMerge/>
            <w:vAlign w:val="center"/>
            <w:hideMark/>
          </w:tcPr>
          <w:p w14:paraId="43C275A3"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682269" w:rsidRPr="00DE4E4F" w14:paraId="73039A7B" w14:textId="77777777" w:rsidTr="007607D9">
        <w:tc>
          <w:tcPr>
            <w:tcW w:w="704" w:type="dxa"/>
            <w:shd w:val="clear" w:color="auto" w:fill="C6EFCE"/>
            <w:noWrap/>
          </w:tcPr>
          <w:p w14:paraId="10F2FE9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370</w:t>
            </w:r>
          </w:p>
        </w:tc>
        <w:tc>
          <w:tcPr>
            <w:tcW w:w="2165" w:type="dxa"/>
            <w:shd w:val="clear" w:color="auto" w:fill="C6EFCE"/>
            <w:noWrap/>
          </w:tcPr>
          <w:p w14:paraId="551D7CCF" w14:textId="77777777" w:rsidR="001B186F" w:rsidRPr="00DE4E4F" w:rsidRDefault="0074517F">
            <w:pPr>
              <w:spacing w:after="0" w:line="240" w:lineRule="auto"/>
              <w:rPr>
                <w:rFonts w:ascii="Times New Roman" w:hAnsi="Times New Roman" w:cs="Times New Roman"/>
                <w:noProof/>
                <w:sz w:val="18"/>
                <w:szCs w:val="18"/>
              </w:rPr>
            </w:pPr>
            <w:r w:rsidRPr="00DE4E4F">
              <w:rPr>
                <w:rFonts w:ascii="Times New Roman" w:hAnsi="Times New Roman" w:cs="Times New Roman"/>
                <w:noProof/>
                <w:color w:val="006100"/>
                <w:sz w:val="18"/>
                <w:szCs w:val="18"/>
              </w:rPr>
              <w:t>21 - 5.2 REPowerEU investments - 16995_Renewable Hydrogen production project</w:t>
            </w:r>
          </w:p>
        </w:tc>
        <w:tc>
          <w:tcPr>
            <w:tcW w:w="1094" w:type="dxa"/>
            <w:shd w:val="clear" w:color="auto" w:fill="C6EFCE"/>
            <w:noWrap/>
          </w:tcPr>
          <w:p w14:paraId="6749F38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5" w:type="dxa"/>
            <w:shd w:val="clear" w:color="auto" w:fill="C6EFCE"/>
            <w:noWrap/>
          </w:tcPr>
          <w:p w14:paraId="1B0F81B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Joint Ministerial Decision for the provision of the grant to the Beneficiary</w:t>
            </w:r>
          </w:p>
        </w:tc>
        <w:tc>
          <w:tcPr>
            <w:tcW w:w="1553" w:type="dxa"/>
            <w:shd w:val="clear" w:color="auto" w:fill="C6EFCE"/>
            <w:noWrap/>
          </w:tcPr>
          <w:p w14:paraId="3CEF375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Joint Ministerial Decision</w:t>
            </w:r>
          </w:p>
        </w:tc>
        <w:tc>
          <w:tcPr>
            <w:tcW w:w="1205" w:type="dxa"/>
            <w:shd w:val="clear" w:color="auto" w:fill="C6EFCE"/>
            <w:noWrap/>
          </w:tcPr>
          <w:p w14:paraId="402C09B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7" w:type="dxa"/>
            <w:shd w:val="clear" w:color="auto" w:fill="C6EFCE"/>
            <w:noWrap/>
          </w:tcPr>
          <w:p w14:paraId="747D488E"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713" w:type="dxa"/>
            <w:shd w:val="clear" w:color="auto" w:fill="C6EFCE"/>
            <w:noWrap/>
          </w:tcPr>
          <w:p w14:paraId="05556DB2"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922" w:type="dxa"/>
            <w:shd w:val="clear" w:color="auto" w:fill="C6EFCE"/>
            <w:noWrap/>
          </w:tcPr>
          <w:p w14:paraId="395DEDC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Q2</w:t>
            </w:r>
          </w:p>
        </w:tc>
        <w:tc>
          <w:tcPr>
            <w:tcW w:w="720" w:type="dxa"/>
            <w:shd w:val="clear" w:color="auto" w:fill="C6EFCE"/>
            <w:noWrap/>
          </w:tcPr>
          <w:p w14:paraId="6376BF68"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2024</w:t>
            </w:r>
          </w:p>
        </w:tc>
        <w:tc>
          <w:tcPr>
            <w:tcW w:w="3133" w:type="dxa"/>
            <w:shd w:val="clear" w:color="auto" w:fill="C6EFCE"/>
            <w:noWrap/>
          </w:tcPr>
          <w:p w14:paraId="5D99DEC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Issuance of Joint Ministerial Decision for the provision of the grant to the Beneficiary for at least 45 MW of new installed renewable hydrogen.</w:t>
            </w:r>
          </w:p>
        </w:tc>
      </w:tr>
      <w:tr w:rsidR="00682269" w:rsidRPr="00DE4E4F" w14:paraId="4E227898" w14:textId="77777777" w:rsidTr="007607D9">
        <w:trPr>
          <w:trHeight w:val="2505"/>
        </w:trPr>
        <w:tc>
          <w:tcPr>
            <w:tcW w:w="704" w:type="dxa"/>
            <w:shd w:val="clear" w:color="auto" w:fill="C6EFCE"/>
            <w:noWrap/>
          </w:tcPr>
          <w:p w14:paraId="6C4A510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371</w:t>
            </w:r>
          </w:p>
        </w:tc>
        <w:tc>
          <w:tcPr>
            <w:tcW w:w="2165" w:type="dxa"/>
            <w:shd w:val="clear" w:color="auto" w:fill="C6EFCE"/>
            <w:noWrap/>
          </w:tcPr>
          <w:p w14:paraId="7A1251A0"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21 - 5.2 REPowerEU investments - 16995_Renewable Hydrogen production project</w:t>
            </w:r>
          </w:p>
        </w:tc>
        <w:tc>
          <w:tcPr>
            <w:tcW w:w="1094" w:type="dxa"/>
            <w:shd w:val="clear" w:color="auto" w:fill="C6EFCE"/>
            <w:noWrap/>
          </w:tcPr>
          <w:p w14:paraId="2BD2653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205" w:type="dxa"/>
            <w:shd w:val="clear" w:color="auto" w:fill="C6EFCE"/>
            <w:noWrap/>
          </w:tcPr>
          <w:p w14:paraId="418256E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Renewable hydrogen production capacity</w:t>
            </w:r>
          </w:p>
        </w:tc>
        <w:tc>
          <w:tcPr>
            <w:tcW w:w="1553" w:type="dxa"/>
            <w:shd w:val="clear" w:color="auto" w:fill="C6EFCE"/>
            <w:noWrap/>
          </w:tcPr>
          <w:p w14:paraId="404BFCC2" w14:textId="77777777" w:rsidR="001B186F" w:rsidRPr="00DE4E4F" w:rsidRDefault="0074517F">
            <w:pPr>
              <w:spacing w:after="0" w:line="240" w:lineRule="auto"/>
              <w:rPr>
                <w:rFonts w:ascii="Times New Roman" w:eastAsia="Times New Roman" w:hAnsi="Times New Roman" w:cs="Times New Roman"/>
                <w:noProof/>
                <w:color w:val="006100"/>
                <w:sz w:val="18"/>
                <w:szCs w:val="18"/>
                <w:lang w:eastAsia="en-GB"/>
              </w:rPr>
            </w:pPr>
            <w:r w:rsidRPr="00DE4E4F">
              <w:rPr>
                <w:rFonts w:ascii="Times New Roman" w:eastAsia="Times New Roman" w:hAnsi="Times New Roman" w:cs="Times New Roman"/>
                <w:noProof/>
                <w:color w:val="006100"/>
                <w:sz w:val="18"/>
                <w:szCs w:val="18"/>
                <w:lang w:eastAsia="en-GB"/>
              </w:rPr>
              <w:t xml:space="preserve">Technical report from the Independent Certification Body </w:t>
            </w:r>
          </w:p>
        </w:tc>
        <w:tc>
          <w:tcPr>
            <w:tcW w:w="1205" w:type="dxa"/>
            <w:shd w:val="clear" w:color="auto" w:fill="C6EFCE"/>
            <w:noWrap/>
          </w:tcPr>
          <w:p w14:paraId="3E2C8474"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27" w:type="dxa"/>
            <w:shd w:val="clear" w:color="auto" w:fill="C6EFCE"/>
            <w:noWrap/>
          </w:tcPr>
          <w:p w14:paraId="4CE23825"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713" w:type="dxa"/>
            <w:shd w:val="clear" w:color="auto" w:fill="C6EFCE"/>
            <w:noWrap/>
          </w:tcPr>
          <w:p w14:paraId="1D90D3C3" w14:textId="77777777" w:rsidR="001B186F" w:rsidRPr="00DE4E4F" w:rsidRDefault="001B186F">
            <w:pPr>
              <w:spacing w:after="0" w:line="240" w:lineRule="auto"/>
              <w:rPr>
                <w:rFonts w:ascii="Times New Roman" w:eastAsia="Times New Roman" w:hAnsi="Times New Roman" w:cs="Times New Roman"/>
                <w:noProof/>
                <w:color w:val="006100"/>
                <w:sz w:val="18"/>
                <w:szCs w:val="18"/>
              </w:rPr>
            </w:pPr>
          </w:p>
        </w:tc>
        <w:tc>
          <w:tcPr>
            <w:tcW w:w="922" w:type="dxa"/>
            <w:shd w:val="clear" w:color="auto" w:fill="C6EFCE"/>
            <w:noWrap/>
          </w:tcPr>
          <w:p w14:paraId="58189E07"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Q4 </w:t>
            </w:r>
          </w:p>
        </w:tc>
        <w:tc>
          <w:tcPr>
            <w:tcW w:w="720" w:type="dxa"/>
            <w:shd w:val="clear" w:color="auto" w:fill="C6EFCE"/>
            <w:noWrap/>
          </w:tcPr>
          <w:p w14:paraId="4373699B"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2025</w:t>
            </w:r>
          </w:p>
        </w:tc>
        <w:tc>
          <w:tcPr>
            <w:tcW w:w="3133" w:type="dxa"/>
            <w:shd w:val="clear" w:color="auto" w:fill="C6EFCE"/>
            <w:noWrap/>
          </w:tcPr>
          <w:p w14:paraId="5123312D" w14:textId="284E9977" w:rsidR="001B186F" w:rsidRPr="00DE4E4F" w:rsidRDefault="007745F9" w:rsidP="00C31BD8">
            <w:pPr>
              <w:spacing w:after="0" w:line="240" w:lineRule="auto"/>
              <w:rPr>
                <w:rFonts w:ascii="Times New Roman" w:eastAsia="Times New Roman" w:hAnsi="Times New Roman" w:cs="Times New Roman"/>
                <w:noProof/>
                <w:color w:val="006100"/>
                <w:sz w:val="18"/>
                <w:szCs w:val="18"/>
              </w:rPr>
            </w:pPr>
            <w:r w:rsidRPr="00DE4E4F">
              <w:rPr>
                <w:rFonts w:ascii="Times New Roman" w:eastAsia="Times New Roman" w:hAnsi="Times New Roman" w:cs="Times New Roman"/>
                <w:noProof/>
                <w:color w:val="006100"/>
                <w:sz w:val="18"/>
                <w:szCs w:val="18"/>
                <w:lang w:eastAsia="en-GB"/>
              </w:rPr>
              <w:t>Technical report from the Independent Certification Body that certifies the</w:t>
            </w:r>
            <w:r w:rsidRPr="00DE4E4F">
              <w:rPr>
                <w:rFonts w:ascii="Times New Roman" w:hAnsi="Times New Roman" w:cs="Times New Roman"/>
                <w:noProof/>
                <w:color w:val="006100"/>
                <w:sz w:val="18"/>
                <w:szCs w:val="18"/>
              </w:rPr>
              <w:t xml:space="preserve"> i</w:t>
            </w:r>
            <w:r w:rsidR="0074517F" w:rsidRPr="00DE4E4F">
              <w:rPr>
                <w:rFonts w:ascii="Times New Roman" w:hAnsi="Times New Roman" w:cs="Times New Roman"/>
                <w:noProof/>
                <w:color w:val="006100"/>
                <w:sz w:val="18"/>
                <w:szCs w:val="18"/>
              </w:rPr>
              <w:t xml:space="preserve">nstallation of </w:t>
            </w:r>
            <w:r w:rsidR="0074517F" w:rsidRPr="00DE4E4F">
              <w:rPr>
                <w:rFonts w:ascii="Times New Roman" w:eastAsia="Times New Roman" w:hAnsi="Times New Roman" w:cs="Times New Roman"/>
                <w:noProof/>
                <w:color w:val="006100"/>
                <w:sz w:val="18"/>
                <w:szCs w:val="18"/>
              </w:rPr>
              <w:t xml:space="preserve">equipment for the production of renewable hydrogen via electrolysis with a capacity of at least 45 MW. This includes the installation of electrolysers, ancillary equipment and an electrical substation, as well as the installation of a hydrogen network </w:t>
            </w:r>
            <w:r w:rsidR="008E0F60" w:rsidRPr="00DE4E4F">
              <w:rPr>
                <w:rFonts w:ascii="Times New Roman" w:eastAsia="Times New Roman" w:hAnsi="Times New Roman" w:cs="Times New Roman"/>
                <w:noProof/>
                <w:color w:val="006100"/>
                <w:sz w:val="18"/>
                <w:szCs w:val="18"/>
              </w:rPr>
              <w:t xml:space="preserve">within the refinery </w:t>
            </w:r>
            <w:r w:rsidR="0074517F" w:rsidRPr="00DE4E4F">
              <w:rPr>
                <w:rFonts w:ascii="Times New Roman" w:eastAsia="Times New Roman" w:hAnsi="Times New Roman" w:cs="Times New Roman"/>
                <w:noProof/>
                <w:color w:val="006100"/>
                <w:sz w:val="18"/>
                <w:szCs w:val="18"/>
              </w:rPr>
              <w:t>for the compression, conditioning, metering</w:t>
            </w:r>
            <w:r w:rsidR="008E0F60" w:rsidRPr="00DE4E4F">
              <w:rPr>
                <w:rFonts w:ascii="Times New Roman" w:eastAsia="Times New Roman" w:hAnsi="Times New Roman" w:cs="Times New Roman"/>
                <w:noProof/>
                <w:color w:val="006100"/>
                <w:sz w:val="18"/>
                <w:szCs w:val="18"/>
              </w:rPr>
              <w:t xml:space="preserve">, </w:t>
            </w:r>
            <w:r w:rsidR="0074517F" w:rsidRPr="00DE4E4F">
              <w:rPr>
                <w:rFonts w:ascii="Times New Roman" w:eastAsia="Times New Roman" w:hAnsi="Times New Roman" w:cs="Times New Roman"/>
                <w:noProof/>
                <w:color w:val="006100"/>
                <w:sz w:val="18"/>
                <w:szCs w:val="18"/>
              </w:rPr>
              <w:t xml:space="preserve">purification, </w:t>
            </w:r>
            <w:r w:rsidR="00266DA0" w:rsidRPr="00DE4E4F">
              <w:rPr>
                <w:rFonts w:ascii="Times New Roman" w:eastAsia="Times New Roman" w:hAnsi="Times New Roman" w:cs="Times New Roman"/>
                <w:noProof/>
                <w:color w:val="006100"/>
                <w:sz w:val="18"/>
                <w:szCs w:val="18"/>
              </w:rPr>
              <w:t xml:space="preserve">and </w:t>
            </w:r>
            <w:r w:rsidR="0074517F" w:rsidRPr="00DE4E4F">
              <w:rPr>
                <w:rFonts w:ascii="Times New Roman" w:eastAsia="Times New Roman" w:hAnsi="Times New Roman" w:cs="Times New Roman"/>
                <w:noProof/>
                <w:color w:val="006100"/>
                <w:sz w:val="18"/>
                <w:szCs w:val="18"/>
              </w:rPr>
              <w:t xml:space="preserve">distribution of the hydrogen </w:t>
            </w:r>
            <w:r w:rsidR="00266DA0" w:rsidRPr="00DE4E4F">
              <w:rPr>
                <w:rFonts w:ascii="Times New Roman" w:eastAsia="Times New Roman" w:hAnsi="Times New Roman" w:cs="Times New Roman"/>
                <w:noProof/>
                <w:color w:val="006100"/>
                <w:sz w:val="18"/>
                <w:szCs w:val="18"/>
              </w:rPr>
              <w:t xml:space="preserve">together with the </w:t>
            </w:r>
            <w:r w:rsidR="0074517F" w:rsidRPr="00DE4E4F">
              <w:rPr>
                <w:rFonts w:ascii="Times New Roman" w:eastAsia="Times New Roman" w:hAnsi="Times New Roman" w:cs="Times New Roman"/>
                <w:noProof/>
                <w:color w:val="006100"/>
                <w:sz w:val="18"/>
                <w:szCs w:val="18"/>
              </w:rPr>
              <w:t>injection facility.</w:t>
            </w:r>
          </w:p>
        </w:tc>
      </w:tr>
    </w:tbl>
    <w:p w14:paraId="5F8C17A2" w14:textId="3EE11BF6" w:rsidR="00C31BD8" w:rsidRPr="00DE4E4F" w:rsidRDefault="00C31BD8">
      <w:pPr>
        <w:keepNext/>
        <w:spacing w:before="40" w:after="0" w:line="259" w:lineRule="auto"/>
        <w:ind w:left="130" w:firstLine="720"/>
        <w:jc w:val="both"/>
        <w:outlineLvl w:val="1"/>
        <w:rPr>
          <w:rFonts w:ascii="Times New Roman" w:hAnsi="Times New Roman" w:cs="Times New Roman"/>
          <w:noProof/>
          <w:sz w:val="24"/>
          <w:szCs w:val="24"/>
        </w:rPr>
        <w:sectPr w:rsidR="00C31BD8" w:rsidRPr="00DE4E4F">
          <w:headerReference w:type="even" r:id="rId414"/>
          <w:headerReference w:type="default" r:id="rId415"/>
          <w:footerReference w:type="even" r:id="rId416"/>
          <w:footerReference w:type="default" r:id="rId417"/>
          <w:headerReference w:type="first" r:id="rId418"/>
          <w:footerReference w:type="first" r:id="rId419"/>
          <w:pgSz w:w="16839" w:h="11907" w:orient="landscape"/>
          <w:pgMar w:top="1134" w:right="1134" w:bottom="1134" w:left="1134" w:header="567" w:footer="567" w:gutter="0"/>
          <w:cols w:space="720"/>
          <w:docGrid w:linePitch="360"/>
        </w:sectPr>
      </w:pPr>
    </w:p>
    <w:p w14:paraId="1397913F" w14:textId="77777777" w:rsidR="001B186F" w:rsidRPr="00DE4E4F" w:rsidRDefault="0074517F">
      <w:pPr>
        <w:spacing w:before="120" w:after="120" w:line="240" w:lineRule="auto"/>
        <w:ind w:firstLine="6"/>
        <w:jc w:val="both"/>
        <w:outlineLvl w:val="3"/>
        <w:rPr>
          <w:rFonts w:ascii="Times New Roman" w:hAnsi="Times New Roman" w:cs="Times New Roman"/>
          <w:b/>
          <w:bCs/>
          <w:noProof/>
          <w:sz w:val="24"/>
        </w:rPr>
      </w:pPr>
      <w:r w:rsidRPr="00DE4E4F">
        <w:rPr>
          <w:rFonts w:ascii="Times New Roman" w:hAnsi="Times New Roman"/>
          <w:b/>
          <w:noProof/>
          <w:sz w:val="24"/>
        </w:rPr>
        <w:t>S. TECHNICAL ASSISTANCE</w:t>
      </w:r>
    </w:p>
    <w:p w14:paraId="38ABDA0E"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This component of the Greek recovery and resilience plan consists of measures to strengthen the administrative capacity of the Recovery and Resilience Facility Agency, which is the newly established structure exclusively dedicated to the coordination and implementation of Greece’s recovery and resilience plan. The measure is aimed at providing the necessary assistance to the Greek administration to successfully steer the RRP implementation. It is thus expected to indirectly contribute to RRP’s objectives, as underpinned by the measures included across the four pillars, and to support addressing the relevant Country Specific Recommendations for Greece i.e. public and private investment (Country Specific Recommendation 2 2019 and Country Specific Recommendation 3 2020), public finances and health care (Country Specific Recommendation 1 2020), and labour market and social policy (Country Specific Recommendation 2 2020).</w:t>
      </w:r>
    </w:p>
    <w:p w14:paraId="33D91F75" w14:textId="77777777" w:rsidR="001B186F" w:rsidRPr="00DE4E4F" w:rsidRDefault="0074517F">
      <w:pPr>
        <w:spacing w:before="120" w:after="120" w:line="240" w:lineRule="auto"/>
        <w:jc w:val="both"/>
        <w:rPr>
          <w:rFonts w:ascii="Times New Roman" w:hAnsi="Times New Roman" w:cs="Times New Roman"/>
          <w:b/>
          <w:i/>
          <w:noProof/>
          <w:color w:val="4F81BD"/>
          <w:sz w:val="24"/>
        </w:rPr>
      </w:pPr>
      <w:r w:rsidRPr="00DE4E4F">
        <w:rPr>
          <w:rFonts w:ascii="Times New Roman" w:hAnsi="Times New Roman"/>
          <w:b/>
          <w:noProof/>
          <w:sz w:val="24"/>
          <w:u w:val="single"/>
        </w:rPr>
        <w:t>S.1. Description of the reforms and investments for non-repayable financial support</w:t>
      </w:r>
    </w:p>
    <w:p w14:paraId="2B989336" w14:textId="77777777" w:rsidR="001B186F" w:rsidRPr="00DE4E4F" w:rsidRDefault="0074517F">
      <w:pPr>
        <w:spacing w:before="120" w:after="120" w:line="240" w:lineRule="auto"/>
        <w:jc w:val="both"/>
        <w:rPr>
          <w:rFonts w:ascii="Times New Roman" w:hAnsi="Times New Roman" w:cs="Times New Roman"/>
          <w:noProof/>
          <w:sz w:val="24"/>
          <w:szCs w:val="24"/>
        </w:rPr>
      </w:pPr>
      <w:r w:rsidRPr="00DE4E4F">
        <w:rPr>
          <w:rFonts w:ascii="Times New Roman" w:hAnsi="Times New Roman"/>
          <w:b/>
          <w:bCs/>
          <w:noProof/>
          <w:sz w:val="24"/>
          <w:szCs w:val="24"/>
        </w:rPr>
        <w:t>Investment:</w:t>
      </w:r>
      <w:r w:rsidRPr="00DE4E4F">
        <w:rPr>
          <w:rFonts w:ascii="Times New Roman" w:hAnsi="Times New Roman"/>
          <w:noProof/>
          <w:sz w:val="24"/>
          <w:szCs w:val="24"/>
        </w:rPr>
        <w:t xml:space="preserve"> Technical Assistance (measure ID 16968)</w:t>
      </w:r>
    </w:p>
    <w:p w14:paraId="175451F1" w14:textId="77777777" w:rsidR="001B186F" w:rsidRPr="00DE4E4F" w:rsidRDefault="0074517F">
      <w:pPr>
        <w:spacing w:before="120" w:after="120" w:line="240" w:lineRule="auto"/>
        <w:jc w:val="both"/>
        <w:rPr>
          <w:rFonts w:ascii="Times New Roman" w:hAnsi="Times New Roman" w:cs="Times New Roman"/>
          <w:i/>
          <w:iCs/>
          <w:noProof/>
          <w:color w:val="4F81BD"/>
          <w:sz w:val="24"/>
          <w:szCs w:val="24"/>
        </w:rPr>
      </w:pPr>
      <w:r w:rsidRPr="00DE4E4F">
        <w:rPr>
          <w:rFonts w:ascii="Times New Roman" w:hAnsi="Times New Roman"/>
          <w:noProof/>
          <w:sz w:val="24"/>
          <w:szCs w:val="24"/>
        </w:rPr>
        <w:t xml:space="preserve">The investment consists of six subprojects, namely: 1) development of systems and tools for the organisation of work, 2) purchasing of services from external auditors to carry out audits, inspections and certifications in cases of specific expertise required and the development of an overarching methodological framework for audits, inspections and certifications to support the Recovery and Resilience Facility Agency’s oversight function with respect to the implementation of plan measures, 3) information-raising and publicity actions with respect to key investments and reforms under the plan, 4) conducting studies and purchasing external expertise and technical support in specialised projects, 5) financing expenditure for the daily operation of the Agency (office rent, acquisition of office equipment, coverage of utility bills), and 6) purchase of quality control services for public construction projects to assess compliance with construction contract terms, regulations as well as technical standards. The implementation of subproject 3 shall take place in the context of establishing good governance practices. Relevant actions shall become an integral and permanent feature of the public consultation procedure, and used as a tool to facilitate stakeholder buy-in and ensure sustainable implementation of specific reforms and investments under the plan. Financing of subproject 5 shall be temporary in nature, i.e., insofar it is rendered necessary to support the Recovery and Resilience Facility Agency to carry out its mandate effectively. The measure also concerns the setting up of the management and audit and control systems. The implementation of the investment shall be completed by 30 June 2026. </w:t>
      </w:r>
    </w:p>
    <w:p w14:paraId="18D83D6E" w14:textId="77777777" w:rsidR="001B186F" w:rsidRPr="00DE4E4F" w:rsidRDefault="001B186F">
      <w:pPr>
        <w:rPr>
          <w:rFonts w:ascii="Times New Roman" w:hAnsi="Times New Roman"/>
          <w:b/>
          <w:noProof/>
          <w:sz w:val="24"/>
          <w:u w:val="single"/>
        </w:rPr>
        <w:sectPr w:rsidR="001B186F" w:rsidRPr="00DE4E4F">
          <w:headerReference w:type="even" r:id="rId420"/>
          <w:headerReference w:type="default" r:id="rId421"/>
          <w:footerReference w:type="even" r:id="rId422"/>
          <w:footerReference w:type="default" r:id="rId423"/>
          <w:headerReference w:type="first" r:id="rId424"/>
          <w:footerReference w:type="first" r:id="rId425"/>
          <w:pgSz w:w="11906" w:h="16838"/>
          <w:pgMar w:top="1134" w:right="1134" w:bottom="1134" w:left="1134" w:header="567" w:footer="567" w:gutter="0"/>
          <w:cols w:space="708"/>
          <w:docGrid w:linePitch="360"/>
        </w:sectPr>
      </w:pPr>
    </w:p>
    <w:p w14:paraId="3AB96540" w14:textId="77777777" w:rsidR="001B186F" w:rsidRPr="00DE4E4F" w:rsidRDefault="0074517F">
      <w:pPr>
        <w:spacing w:before="120" w:after="120" w:line="240" w:lineRule="auto"/>
        <w:jc w:val="both"/>
        <w:rPr>
          <w:rFonts w:ascii="Times New Roman" w:hAnsi="Times New Roman" w:cs="Times New Roman"/>
          <w:b/>
          <w:bCs/>
          <w:noProof/>
          <w:sz w:val="24"/>
          <w:u w:val="single"/>
        </w:rPr>
      </w:pPr>
      <w:r w:rsidRPr="00DE4E4F">
        <w:rPr>
          <w:rFonts w:ascii="Times New Roman" w:hAnsi="Times New Roman"/>
          <w:b/>
          <w:noProof/>
          <w:sz w:val="24"/>
          <w:u w:val="single"/>
        </w:rPr>
        <w:t>S.2. Milestones, targets, indicators, and timetable for monitoring and implementation for non-repayable financial support</w:t>
      </w:r>
    </w:p>
    <w:p w14:paraId="756E1C3E" w14:textId="77777777" w:rsidR="001B186F" w:rsidRPr="00DE4E4F" w:rsidRDefault="0074517F">
      <w:pPr>
        <w:keepNext/>
        <w:keepLines/>
        <w:spacing w:before="40" w:after="0" w:line="240" w:lineRule="auto"/>
        <w:jc w:val="both"/>
        <w:outlineLvl w:val="4"/>
        <w:rPr>
          <w:rFonts w:ascii="Cambria" w:eastAsia="Times New Roman" w:hAnsi="Cambria"/>
          <w:noProof/>
          <w:color w:val="365F91"/>
          <w:sz w:val="24"/>
        </w:rPr>
      </w:pPr>
      <w:r w:rsidRPr="00DE4E4F">
        <w:rPr>
          <w:rFonts w:ascii="Cambria" w:hAnsi="Cambria"/>
          <w:noProof/>
          <w:color w:val="365F91"/>
          <w:sz w:val="24"/>
        </w:rPr>
        <w:t>Technical assistance</w:t>
      </w:r>
    </w:p>
    <w:tbl>
      <w:tblPr>
        <w:tblW w:w="157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375"/>
        <w:gridCol w:w="967"/>
        <w:gridCol w:w="1648"/>
        <w:gridCol w:w="1620"/>
        <w:gridCol w:w="866"/>
        <w:gridCol w:w="1035"/>
        <w:gridCol w:w="839"/>
        <w:gridCol w:w="846"/>
        <w:gridCol w:w="764"/>
        <w:gridCol w:w="4263"/>
      </w:tblGrid>
      <w:tr w:rsidR="00833CBD" w:rsidRPr="00DE4E4F" w14:paraId="236754D4" w14:textId="77777777" w:rsidTr="00CF5C87">
        <w:trPr>
          <w:trHeight w:val="706"/>
          <w:tblHead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E681E"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23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2D087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Related Measure (Reform or Investment)</w:t>
            </w:r>
          </w:p>
        </w:tc>
        <w:tc>
          <w:tcPr>
            <w:tcW w:w="9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AA6E3C"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Milestone / Target</w:t>
            </w:r>
          </w:p>
        </w:tc>
        <w:tc>
          <w:tcPr>
            <w:tcW w:w="16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53C5B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Name</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8D4059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Qualitative indicators (for milestones)</w:t>
            </w:r>
          </w:p>
        </w:tc>
        <w:tc>
          <w:tcPr>
            <w:tcW w:w="274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8E78072"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Quantitative indicators (for targets)</w:t>
            </w:r>
          </w:p>
        </w:tc>
        <w:tc>
          <w:tcPr>
            <w:tcW w:w="161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5437624A"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Indicative timeline for completion </w:t>
            </w:r>
          </w:p>
        </w:tc>
        <w:tc>
          <w:tcPr>
            <w:tcW w:w="42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C298A8"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Description of each milestone and target</w:t>
            </w:r>
          </w:p>
        </w:tc>
      </w:tr>
      <w:tr w:rsidR="004B0FF3" w:rsidRPr="00DE4E4F" w14:paraId="0D2810E9" w14:textId="77777777" w:rsidTr="00CF5C87">
        <w:trPr>
          <w:trHeight w:val="620"/>
        </w:trPr>
        <w:tc>
          <w:tcPr>
            <w:tcW w:w="568" w:type="dxa"/>
            <w:vMerge/>
            <w:tcBorders>
              <w:top w:val="single" w:sz="4" w:space="0" w:color="auto"/>
            </w:tcBorders>
            <w:vAlign w:val="center"/>
            <w:hideMark/>
          </w:tcPr>
          <w:p w14:paraId="4E2DFCCA"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2375" w:type="dxa"/>
            <w:vMerge/>
            <w:tcBorders>
              <w:top w:val="single" w:sz="4" w:space="0" w:color="auto"/>
            </w:tcBorders>
            <w:vAlign w:val="center"/>
            <w:hideMark/>
          </w:tcPr>
          <w:p w14:paraId="5547BEED"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967" w:type="dxa"/>
            <w:vMerge/>
            <w:tcBorders>
              <w:top w:val="single" w:sz="4" w:space="0" w:color="auto"/>
            </w:tcBorders>
            <w:vAlign w:val="center"/>
            <w:hideMark/>
          </w:tcPr>
          <w:p w14:paraId="3C74795E"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48" w:type="dxa"/>
            <w:vMerge/>
            <w:tcBorders>
              <w:top w:val="single" w:sz="4" w:space="0" w:color="auto"/>
            </w:tcBorders>
            <w:vAlign w:val="center"/>
            <w:hideMark/>
          </w:tcPr>
          <w:p w14:paraId="5B60DADF"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1620" w:type="dxa"/>
            <w:vMerge/>
            <w:tcBorders>
              <w:top w:val="single" w:sz="4" w:space="0" w:color="auto"/>
            </w:tcBorders>
            <w:vAlign w:val="center"/>
            <w:hideMark/>
          </w:tcPr>
          <w:p w14:paraId="2DB9810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c>
          <w:tcPr>
            <w:tcW w:w="866" w:type="dxa"/>
            <w:tcBorders>
              <w:top w:val="single" w:sz="4" w:space="0" w:color="auto"/>
            </w:tcBorders>
            <w:shd w:val="clear" w:color="auto" w:fill="BDD7EE"/>
            <w:vAlign w:val="center"/>
            <w:hideMark/>
          </w:tcPr>
          <w:p w14:paraId="40984947"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Unit of measure</w:t>
            </w:r>
          </w:p>
        </w:tc>
        <w:tc>
          <w:tcPr>
            <w:tcW w:w="1035" w:type="dxa"/>
            <w:tcBorders>
              <w:top w:val="single" w:sz="4" w:space="0" w:color="auto"/>
            </w:tcBorders>
            <w:shd w:val="clear" w:color="auto" w:fill="BDD7EE"/>
            <w:vAlign w:val="center"/>
            <w:hideMark/>
          </w:tcPr>
          <w:p w14:paraId="2D40112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Baseline </w:t>
            </w:r>
          </w:p>
        </w:tc>
        <w:tc>
          <w:tcPr>
            <w:tcW w:w="839" w:type="dxa"/>
            <w:tcBorders>
              <w:top w:val="single" w:sz="4" w:space="0" w:color="auto"/>
            </w:tcBorders>
            <w:shd w:val="clear" w:color="auto" w:fill="BDD7EE"/>
            <w:vAlign w:val="center"/>
            <w:hideMark/>
          </w:tcPr>
          <w:p w14:paraId="0DDF7970"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 xml:space="preserve">Goal </w:t>
            </w:r>
          </w:p>
        </w:tc>
        <w:tc>
          <w:tcPr>
            <w:tcW w:w="846" w:type="dxa"/>
            <w:tcBorders>
              <w:top w:val="single" w:sz="4" w:space="0" w:color="auto"/>
            </w:tcBorders>
            <w:shd w:val="clear" w:color="auto" w:fill="BDD7EE"/>
            <w:vAlign w:val="center"/>
            <w:hideMark/>
          </w:tcPr>
          <w:p w14:paraId="514276DB"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Quarter</w:t>
            </w:r>
          </w:p>
        </w:tc>
        <w:tc>
          <w:tcPr>
            <w:tcW w:w="764" w:type="dxa"/>
            <w:tcBorders>
              <w:top w:val="single" w:sz="4" w:space="0" w:color="auto"/>
            </w:tcBorders>
            <w:shd w:val="clear" w:color="auto" w:fill="BDD7EE"/>
            <w:vAlign w:val="center"/>
            <w:hideMark/>
          </w:tcPr>
          <w:p w14:paraId="7DD6A019" w14:textId="77777777" w:rsidR="001B186F" w:rsidRPr="00DE4E4F" w:rsidRDefault="0074517F">
            <w:pPr>
              <w:spacing w:after="0" w:line="240" w:lineRule="auto"/>
              <w:jc w:val="center"/>
              <w:rPr>
                <w:rFonts w:ascii="Times New Roman" w:eastAsia="Times New Roman" w:hAnsi="Times New Roman" w:cs="Times New Roman"/>
                <w:b/>
                <w:noProof/>
                <w:sz w:val="18"/>
                <w:szCs w:val="18"/>
              </w:rPr>
            </w:pPr>
            <w:r w:rsidRPr="00DE4E4F">
              <w:rPr>
                <w:rFonts w:ascii="Times New Roman" w:hAnsi="Times New Roman"/>
                <w:b/>
                <w:noProof/>
                <w:sz w:val="18"/>
              </w:rPr>
              <w:t>Year</w:t>
            </w:r>
          </w:p>
        </w:tc>
        <w:tc>
          <w:tcPr>
            <w:tcW w:w="4263" w:type="dxa"/>
            <w:vMerge/>
            <w:tcBorders>
              <w:top w:val="single" w:sz="4" w:space="0" w:color="auto"/>
            </w:tcBorders>
            <w:vAlign w:val="center"/>
            <w:hideMark/>
          </w:tcPr>
          <w:p w14:paraId="2DC8D88B" w14:textId="77777777" w:rsidR="001B186F" w:rsidRPr="00DE4E4F" w:rsidRDefault="001B186F">
            <w:pPr>
              <w:spacing w:after="0" w:line="240" w:lineRule="auto"/>
              <w:rPr>
                <w:rFonts w:ascii="Times New Roman" w:eastAsia="Times New Roman" w:hAnsi="Times New Roman" w:cs="Times New Roman"/>
                <w:b/>
                <w:bCs/>
                <w:noProof/>
                <w:sz w:val="18"/>
                <w:szCs w:val="18"/>
                <w:lang w:eastAsia="en-GB"/>
              </w:rPr>
            </w:pPr>
          </w:p>
        </w:tc>
      </w:tr>
      <w:tr w:rsidR="00833CBD" w:rsidRPr="00DE4E4F" w14:paraId="74C0DD5E" w14:textId="77777777" w:rsidTr="00CF5C87">
        <w:trPr>
          <w:trHeight w:val="309"/>
        </w:trPr>
        <w:tc>
          <w:tcPr>
            <w:tcW w:w="568" w:type="dxa"/>
            <w:shd w:val="clear" w:color="auto" w:fill="C6EFCE"/>
            <w:noWrap/>
          </w:tcPr>
          <w:p w14:paraId="551D67E6"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331</w:t>
            </w:r>
          </w:p>
        </w:tc>
        <w:tc>
          <w:tcPr>
            <w:tcW w:w="2375" w:type="dxa"/>
            <w:shd w:val="clear" w:color="auto" w:fill="C6EFCE"/>
            <w:noWrap/>
          </w:tcPr>
          <w:p w14:paraId="6427D7A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19 - 16968_Technical Assistance</w:t>
            </w:r>
          </w:p>
        </w:tc>
        <w:tc>
          <w:tcPr>
            <w:tcW w:w="967" w:type="dxa"/>
            <w:shd w:val="clear" w:color="auto" w:fill="C6EFCE"/>
            <w:noWrap/>
          </w:tcPr>
          <w:p w14:paraId="67899149"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Milestone</w:t>
            </w:r>
          </w:p>
        </w:tc>
        <w:tc>
          <w:tcPr>
            <w:tcW w:w="1648" w:type="dxa"/>
            <w:shd w:val="clear" w:color="auto" w:fill="C6EFCE"/>
            <w:noWrap/>
          </w:tcPr>
          <w:p w14:paraId="23979961"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EDEL’s legal mandate and setting up the management, control and audit systems </w:t>
            </w:r>
          </w:p>
        </w:tc>
        <w:tc>
          <w:tcPr>
            <w:tcW w:w="1620" w:type="dxa"/>
            <w:shd w:val="clear" w:color="auto" w:fill="C6EFCE"/>
            <w:noWrap/>
          </w:tcPr>
          <w:p w14:paraId="09E3DB62"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 xml:space="preserve">EDEL’s legal mandate in force and the Management, Control and Audit Systems established </w:t>
            </w:r>
          </w:p>
        </w:tc>
        <w:tc>
          <w:tcPr>
            <w:tcW w:w="866" w:type="dxa"/>
            <w:shd w:val="clear" w:color="auto" w:fill="C6EFCE"/>
            <w:noWrap/>
          </w:tcPr>
          <w:p w14:paraId="0563FA79"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1035" w:type="dxa"/>
            <w:shd w:val="clear" w:color="auto" w:fill="C6EFCE"/>
            <w:noWrap/>
          </w:tcPr>
          <w:p w14:paraId="678CAC73"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39" w:type="dxa"/>
            <w:shd w:val="clear" w:color="auto" w:fill="C6EFCE"/>
            <w:noWrap/>
          </w:tcPr>
          <w:p w14:paraId="1AC0B655" w14:textId="77777777" w:rsidR="001B186F" w:rsidRPr="00DE4E4F" w:rsidRDefault="001B186F">
            <w:pPr>
              <w:spacing w:after="0" w:line="240" w:lineRule="auto"/>
              <w:rPr>
                <w:rFonts w:ascii="Times New Roman" w:eastAsia="Times New Roman" w:hAnsi="Times New Roman" w:cs="Times New Roman"/>
                <w:noProof/>
                <w:color w:val="006100"/>
                <w:sz w:val="18"/>
                <w:szCs w:val="18"/>
                <w:lang w:eastAsia="en-GB"/>
              </w:rPr>
            </w:pPr>
          </w:p>
        </w:tc>
        <w:tc>
          <w:tcPr>
            <w:tcW w:w="846" w:type="dxa"/>
            <w:shd w:val="clear" w:color="auto" w:fill="C6EFCE"/>
            <w:noWrap/>
          </w:tcPr>
          <w:p w14:paraId="6E1FACB3"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Q3</w:t>
            </w:r>
          </w:p>
        </w:tc>
        <w:tc>
          <w:tcPr>
            <w:tcW w:w="764" w:type="dxa"/>
            <w:shd w:val="clear" w:color="auto" w:fill="C6EFCE"/>
            <w:noWrap/>
          </w:tcPr>
          <w:p w14:paraId="5031365A"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2021</w:t>
            </w:r>
          </w:p>
        </w:tc>
        <w:tc>
          <w:tcPr>
            <w:tcW w:w="4263" w:type="dxa"/>
            <w:shd w:val="clear" w:color="auto" w:fill="C6EFCE"/>
            <w:noWrap/>
          </w:tcPr>
          <w:p w14:paraId="0AFF071F" w14:textId="77777777" w:rsidR="001B186F" w:rsidRPr="00DE4E4F" w:rsidRDefault="0074517F">
            <w:pPr>
              <w:spacing w:after="0" w:line="240" w:lineRule="auto"/>
              <w:rPr>
                <w:rFonts w:ascii="Times New Roman" w:eastAsia="Times New Roman" w:hAnsi="Times New Roman" w:cs="Times New Roman"/>
                <w:noProof/>
                <w:color w:val="006100"/>
                <w:sz w:val="18"/>
                <w:szCs w:val="18"/>
              </w:rPr>
            </w:pPr>
            <w:r w:rsidRPr="00DE4E4F">
              <w:rPr>
                <w:rFonts w:ascii="Times New Roman" w:hAnsi="Times New Roman" w:cs="Times New Roman"/>
                <w:noProof/>
                <w:color w:val="006100"/>
                <w:sz w:val="18"/>
                <w:szCs w:val="18"/>
              </w:rPr>
              <w:t>Entry into force of EDEL’s legal mandate and establishment of the Audit and Control System that shall (a) ensure the collection of data and monitoring of the achievement of milestones and targets; (b) allow for the preparation of management declarations and the audit summary as well as payment claims and (c) establish the necessary procedures to collect and store data on beneficiaries, contractors, subcontractors, and beneficial owners in accordance with Article 22 of Regulation (EU) 2021/241, before the first payment request is made. A dedicated audit report on the system set up shall be undertaken. In case that the report identifies any weaknesses, the audit report shall recommend corrective actions.</w:t>
            </w:r>
          </w:p>
        </w:tc>
      </w:tr>
    </w:tbl>
    <w:p w14:paraId="25F94654" w14:textId="77777777" w:rsidR="001B186F" w:rsidRPr="00DE4E4F" w:rsidRDefault="001B186F">
      <w:pPr>
        <w:spacing w:before="120" w:after="120" w:line="240" w:lineRule="auto"/>
        <w:ind w:left="709"/>
        <w:jc w:val="both"/>
        <w:rPr>
          <w:rFonts w:ascii="Times New Roman" w:hAnsi="Times New Roman" w:cs="Times New Roman"/>
          <w:noProof/>
          <w:sz w:val="24"/>
          <w:szCs w:val="24"/>
        </w:rPr>
      </w:pPr>
    </w:p>
    <w:p w14:paraId="670BBCA3" w14:textId="77777777" w:rsidR="001B186F" w:rsidRPr="00DE4E4F" w:rsidRDefault="001B186F">
      <w:pPr>
        <w:spacing w:before="120" w:after="120" w:line="240" w:lineRule="auto"/>
        <w:jc w:val="both"/>
        <w:rPr>
          <w:rFonts w:ascii="Times New Roman" w:hAnsi="Times New Roman" w:cs="Times New Roman"/>
          <w:noProof/>
          <w:sz w:val="24"/>
        </w:rPr>
        <w:sectPr w:rsidR="001B186F" w:rsidRPr="00DE4E4F">
          <w:headerReference w:type="even" r:id="rId426"/>
          <w:headerReference w:type="default" r:id="rId427"/>
          <w:footerReference w:type="even" r:id="rId428"/>
          <w:footerReference w:type="default" r:id="rId429"/>
          <w:headerReference w:type="first" r:id="rId430"/>
          <w:footerReference w:type="first" r:id="rId431"/>
          <w:pgSz w:w="16839" w:h="11907" w:orient="landscape"/>
          <w:pgMar w:top="1134" w:right="1134" w:bottom="1134" w:left="1134" w:header="567" w:footer="567" w:gutter="0"/>
          <w:cols w:space="720"/>
          <w:docGrid w:linePitch="360"/>
        </w:sectPr>
      </w:pPr>
    </w:p>
    <w:p w14:paraId="485094ED" w14:textId="77777777" w:rsidR="001B186F" w:rsidRPr="00DE4E4F" w:rsidRDefault="0074517F">
      <w:pPr>
        <w:keepNext/>
        <w:spacing w:before="40" w:after="0" w:line="259" w:lineRule="auto"/>
        <w:jc w:val="both"/>
        <w:outlineLvl w:val="1"/>
        <w:rPr>
          <w:rFonts w:ascii="Times New Roman" w:eastAsia="Times New Roman" w:hAnsi="Times New Roman" w:cs="Times New Roman"/>
          <w:b/>
          <w:noProof/>
          <w:sz w:val="24"/>
          <w:u w:val="single"/>
        </w:rPr>
      </w:pPr>
      <w:r w:rsidRPr="00DE4E4F">
        <w:rPr>
          <w:rFonts w:ascii="Times New Roman" w:hAnsi="Times New Roman"/>
          <w:b/>
          <w:noProof/>
          <w:sz w:val="24"/>
          <w:u w:val="single"/>
        </w:rPr>
        <w:t>2. Estimated total cost of the recovery and resilience plan</w:t>
      </w:r>
    </w:p>
    <w:p w14:paraId="566E2E86" w14:textId="270B430F" w:rsidR="001B186F" w:rsidRPr="00DE4E4F" w:rsidRDefault="0074517F">
      <w:pPr>
        <w:keepNext/>
        <w:spacing w:before="40" w:after="0" w:line="259" w:lineRule="auto"/>
        <w:jc w:val="both"/>
        <w:rPr>
          <w:rFonts w:ascii="Times New Roman" w:hAnsi="Times New Roman"/>
          <w:noProof/>
          <w:sz w:val="24"/>
          <w:szCs w:val="24"/>
        </w:rPr>
      </w:pPr>
      <w:r w:rsidRPr="00DE4E4F">
        <w:rPr>
          <w:rFonts w:ascii="Times New Roman" w:hAnsi="Times New Roman"/>
          <w:noProof/>
          <w:sz w:val="24"/>
          <w:szCs w:val="24"/>
        </w:rPr>
        <w:t>The estimated total cost of the recovery and resilience plan including the REPowerEU chapter of Greece is EUR</w:t>
      </w:r>
      <w:r w:rsidRPr="00DE4E4F">
        <w:rPr>
          <w:rFonts w:ascii="Times New Roman" w:hAnsi="Times New Roman" w:cs="Times New Roman"/>
          <w:noProof/>
          <w:color w:val="006100"/>
          <w:sz w:val="24"/>
          <w:szCs w:val="24"/>
        </w:rPr>
        <w:t> </w:t>
      </w:r>
      <w:r w:rsidR="00787374" w:rsidRPr="00DE4E4F">
        <w:rPr>
          <w:rFonts w:ascii="Times New Roman" w:hAnsi="Times New Roman"/>
          <w:noProof/>
          <w:sz w:val="24"/>
          <w:szCs w:val="24"/>
        </w:rPr>
        <w:t>36</w:t>
      </w:r>
      <w:r w:rsidR="004E489F" w:rsidRPr="00DE4E4F">
        <w:rPr>
          <w:rFonts w:ascii="Times New Roman" w:hAnsi="Times New Roman"/>
          <w:noProof/>
          <w:sz w:val="24"/>
          <w:szCs w:val="24"/>
        </w:rPr>
        <w:t> </w:t>
      </w:r>
      <w:r w:rsidR="00787374" w:rsidRPr="00DE4E4F">
        <w:rPr>
          <w:rFonts w:ascii="Times New Roman" w:hAnsi="Times New Roman"/>
          <w:noProof/>
          <w:sz w:val="24"/>
          <w:szCs w:val="24"/>
        </w:rPr>
        <w:t>113</w:t>
      </w:r>
      <w:r w:rsidR="004E489F" w:rsidRPr="00DE4E4F">
        <w:rPr>
          <w:rFonts w:ascii="Times New Roman" w:hAnsi="Times New Roman"/>
          <w:noProof/>
          <w:sz w:val="24"/>
          <w:szCs w:val="24"/>
        </w:rPr>
        <w:t> </w:t>
      </w:r>
      <w:r w:rsidR="00787374" w:rsidRPr="00DE4E4F">
        <w:rPr>
          <w:rFonts w:ascii="Times New Roman" w:hAnsi="Times New Roman"/>
          <w:noProof/>
          <w:sz w:val="24"/>
          <w:szCs w:val="24"/>
        </w:rPr>
        <w:t>375</w:t>
      </w:r>
      <w:r w:rsidR="004E489F" w:rsidRPr="00DE4E4F">
        <w:rPr>
          <w:rFonts w:ascii="Times New Roman" w:hAnsi="Times New Roman"/>
          <w:noProof/>
          <w:sz w:val="24"/>
          <w:szCs w:val="24"/>
        </w:rPr>
        <w:t> </w:t>
      </w:r>
      <w:r w:rsidR="00787374" w:rsidRPr="00DE4E4F">
        <w:rPr>
          <w:rFonts w:ascii="Times New Roman" w:hAnsi="Times New Roman"/>
          <w:noProof/>
          <w:sz w:val="24"/>
          <w:szCs w:val="24"/>
        </w:rPr>
        <w:t>270</w:t>
      </w:r>
      <w:r w:rsidRPr="00DE4E4F">
        <w:rPr>
          <w:rFonts w:ascii="Times New Roman" w:hAnsi="Times New Roman"/>
          <w:noProof/>
          <w:sz w:val="24"/>
          <w:szCs w:val="24"/>
        </w:rPr>
        <w:t>. The estimated total cost of the REPowerEU chapter is EUR</w:t>
      </w:r>
      <w:r w:rsidRPr="00DE4E4F">
        <w:rPr>
          <w:rFonts w:ascii="Times New Roman" w:hAnsi="Times New Roman" w:cs="Times New Roman"/>
          <w:noProof/>
          <w:color w:val="006100"/>
          <w:sz w:val="24"/>
          <w:szCs w:val="24"/>
        </w:rPr>
        <w:t> </w:t>
      </w:r>
      <w:r w:rsidR="00A4202C" w:rsidRPr="00DE4E4F">
        <w:rPr>
          <w:rFonts w:ascii="Times New Roman" w:hAnsi="Times New Roman"/>
          <w:noProof/>
          <w:sz w:val="24"/>
          <w:szCs w:val="24"/>
        </w:rPr>
        <w:t>794</w:t>
      </w:r>
      <w:r w:rsidR="007607D9" w:rsidRPr="00DE4E4F">
        <w:rPr>
          <w:rFonts w:ascii="Times New Roman" w:hAnsi="Times New Roman"/>
          <w:noProof/>
          <w:sz w:val="24"/>
          <w:szCs w:val="24"/>
        </w:rPr>
        <w:t> </w:t>
      </w:r>
      <w:r w:rsidR="00A4202C" w:rsidRPr="00DE4E4F">
        <w:rPr>
          <w:rFonts w:ascii="Times New Roman" w:hAnsi="Times New Roman"/>
          <w:noProof/>
          <w:sz w:val="24"/>
          <w:szCs w:val="24"/>
        </w:rPr>
        <w:t>921</w:t>
      </w:r>
      <w:r w:rsidR="007607D9" w:rsidRPr="00DE4E4F">
        <w:rPr>
          <w:rFonts w:ascii="Times New Roman" w:hAnsi="Times New Roman"/>
          <w:noProof/>
          <w:sz w:val="24"/>
          <w:szCs w:val="24"/>
        </w:rPr>
        <w:t> </w:t>
      </w:r>
      <w:r w:rsidR="00A4202C" w:rsidRPr="00DE4E4F">
        <w:rPr>
          <w:rFonts w:ascii="Times New Roman" w:hAnsi="Times New Roman"/>
          <w:noProof/>
          <w:sz w:val="24"/>
          <w:szCs w:val="24"/>
        </w:rPr>
        <w:t>705</w:t>
      </w:r>
      <w:r w:rsidRPr="00DE4E4F">
        <w:rPr>
          <w:rFonts w:ascii="Times New Roman" w:hAnsi="Times New Roman"/>
          <w:noProof/>
          <w:sz w:val="24"/>
          <w:szCs w:val="24"/>
        </w:rPr>
        <w:t>. In particular, the estimated total cost of the measures referred to in Article 21c(3), point (a) of Regulation (EU) 2023/435 is EUR 0 whilst the cost of the other measures in the REPowerEU chapter is EUR</w:t>
      </w:r>
      <w:r w:rsidRPr="00DE4E4F">
        <w:rPr>
          <w:rFonts w:ascii="Times New Roman" w:hAnsi="Times New Roman" w:cs="Times New Roman"/>
          <w:noProof/>
          <w:color w:val="006100"/>
          <w:sz w:val="24"/>
          <w:szCs w:val="24"/>
        </w:rPr>
        <w:t> </w:t>
      </w:r>
      <w:r w:rsidR="00A4202C" w:rsidRPr="00DE4E4F">
        <w:rPr>
          <w:rFonts w:ascii="Times New Roman" w:hAnsi="Times New Roman"/>
          <w:noProof/>
          <w:sz w:val="24"/>
          <w:szCs w:val="24"/>
        </w:rPr>
        <w:t>794</w:t>
      </w:r>
      <w:r w:rsidR="007607D9" w:rsidRPr="00DE4E4F">
        <w:rPr>
          <w:rFonts w:ascii="Times New Roman" w:hAnsi="Times New Roman"/>
          <w:noProof/>
          <w:sz w:val="24"/>
          <w:szCs w:val="24"/>
        </w:rPr>
        <w:t> </w:t>
      </w:r>
      <w:r w:rsidR="00A4202C" w:rsidRPr="00DE4E4F">
        <w:rPr>
          <w:rFonts w:ascii="Times New Roman" w:hAnsi="Times New Roman"/>
          <w:noProof/>
          <w:sz w:val="24"/>
          <w:szCs w:val="24"/>
        </w:rPr>
        <w:t>921</w:t>
      </w:r>
      <w:r w:rsidR="007607D9" w:rsidRPr="00DE4E4F">
        <w:rPr>
          <w:rFonts w:ascii="Times New Roman" w:hAnsi="Times New Roman"/>
          <w:noProof/>
          <w:sz w:val="24"/>
          <w:szCs w:val="24"/>
        </w:rPr>
        <w:t> </w:t>
      </w:r>
      <w:r w:rsidR="00A4202C" w:rsidRPr="00DE4E4F">
        <w:rPr>
          <w:rFonts w:ascii="Times New Roman" w:hAnsi="Times New Roman"/>
          <w:noProof/>
          <w:sz w:val="24"/>
          <w:szCs w:val="24"/>
        </w:rPr>
        <w:t>705</w:t>
      </w:r>
      <w:r w:rsidRPr="00DE4E4F">
        <w:rPr>
          <w:rFonts w:ascii="Times New Roman" w:hAnsi="Times New Roman"/>
          <w:noProof/>
          <w:sz w:val="24"/>
          <w:szCs w:val="24"/>
        </w:rPr>
        <w:t>.</w:t>
      </w:r>
    </w:p>
    <w:p w14:paraId="5BFBB022" w14:textId="77777777" w:rsidR="001B186F" w:rsidRPr="00DE4E4F" w:rsidRDefault="0074517F">
      <w:pPr>
        <w:keepNext/>
        <w:tabs>
          <w:tab w:val="num" w:pos="850"/>
        </w:tabs>
        <w:spacing w:before="360" w:after="0" w:line="259" w:lineRule="auto"/>
        <w:jc w:val="both"/>
        <w:outlineLvl w:val="0"/>
        <w:rPr>
          <w:rFonts w:ascii="Times New Roman" w:hAnsi="Times New Roman"/>
          <w:b/>
          <w:smallCaps/>
          <w:noProof/>
          <w:sz w:val="24"/>
        </w:rPr>
      </w:pPr>
      <w:r w:rsidRPr="00DE4E4F">
        <w:rPr>
          <w:rFonts w:ascii="Times New Roman" w:hAnsi="Times New Roman"/>
          <w:b/>
          <w:smallCaps/>
          <w:noProof/>
          <w:sz w:val="24"/>
        </w:rPr>
        <w:t xml:space="preserve">SECTION 2: FINANCIAL SUPPORT </w:t>
      </w:r>
    </w:p>
    <w:p w14:paraId="1E208C07" w14:textId="77777777" w:rsidR="004E489F" w:rsidRPr="00DE4E4F" w:rsidRDefault="004E489F">
      <w:pPr>
        <w:keepNext/>
        <w:tabs>
          <w:tab w:val="num" w:pos="850"/>
        </w:tabs>
        <w:spacing w:before="360" w:after="0" w:line="259" w:lineRule="auto"/>
        <w:jc w:val="both"/>
        <w:outlineLvl w:val="0"/>
        <w:rPr>
          <w:rFonts w:ascii="Times New Roman" w:eastAsia="Times New Roman" w:hAnsi="Times New Roman" w:cs="Times New Roman"/>
          <w:b/>
          <w:smallCaps/>
          <w:noProof/>
          <w:sz w:val="24"/>
        </w:rPr>
      </w:pPr>
    </w:p>
    <w:p w14:paraId="61A0DFF1" w14:textId="77777777" w:rsidR="001B186F" w:rsidRPr="00DE4E4F" w:rsidRDefault="0074517F">
      <w:pPr>
        <w:keepNext/>
        <w:numPr>
          <w:ilvl w:val="1"/>
          <w:numId w:val="92"/>
        </w:numPr>
        <w:spacing w:before="40" w:after="0" w:line="259" w:lineRule="auto"/>
        <w:ind w:left="0"/>
        <w:jc w:val="both"/>
        <w:outlineLvl w:val="1"/>
        <w:rPr>
          <w:rFonts w:ascii="Times New Roman" w:eastAsia="Times New Roman" w:hAnsi="Times New Roman" w:cs="Times New Roman"/>
          <w:b/>
          <w:noProof/>
          <w:sz w:val="24"/>
          <w:u w:val="single"/>
        </w:rPr>
      </w:pPr>
      <w:r w:rsidRPr="00DE4E4F">
        <w:rPr>
          <w:rFonts w:ascii="Times New Roman" w:hAnsi="Times New Roman"/>
          <w:b/>
          <w:noProof/>
          <w:sz w:val="24"/>
          <w:u w:val="single"/>
        </w:rPr>
        <w:t xml:space="preserve">Financial contribution </w:t>
      </w:r>
    </w:p>
    <w:p w14:paraId="73BC0759" w14:textId="77777777" w:rsidR="001B186F" w:rsidRPr="00DE4E4F" w:rsidRDefault="0074517F">
      <w:pPr>
        <w:keepNext/>
        <w:spacing w:before="40" w:after="0" w:line="259" w:lineRule="auto"/>
        <w:jc w:val="both"/>
        <w:rPr>
          <w:rFonts w:ascii="Times New Roman" w:hAnsi="Times New Roman"/>
          <w:noProof/>
          <w:sz w:val="24"/>
        </w:rPr>
      </w:pPr>
      <w:r w:rsidRPr="00DE4E4F">
        <w:rPr>
          <w:rFonts w:ascii="Times New Roman" w:hAnsi="Times New Roman"/>
          <w:noProof/>
          <w:sz w:val="24"/>
        </w:rPr>
        <w:t>The instalments referred to in Article 2(2) shall be organised in the following manner:</w:t>
      </w:r>
    </w:p>
    <w:p w14:paraId="0F72E9A1" w14:textId="77777777" w:rsidR="001B186F" w:rsidRPr="00DE4E4F" w:rsidRDefault="001B186F">
      <w:pPr>
        <w:keepNext/>
        <w:spacing w:before="40" w:after="0" w:line="259" w:lineRule="auto"/>
        <w:jc w:val="both"/>
        <w:rPr>
          <w:rFonts w:ascii="Times New Roman" w:hAnsi="Times New Roman"/>
          <w:noProof/>
          <w:sz w:val="24"/>
        </w:rPr>
      </w:pPr>
    </w:p>
    <w:p w14:paraId="4679888D" w14:textId="77777777" w:rsidR="001B186F" w:rsidRPr="00DE4E4F" w:rsidRDefault="0074517F">
      <w:pPr>
        <w:keepNext/>
        <w:numPr>
          <w:ilvl w:val="1"/>
          <w:numId w:val="93"/>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First Payment Request (non-repayable support):</w:t>
      </w:r>
    </w:p>
    <w:tbl>
      <w:tblPr>
        <w:tblW w:w="9941" w:type="dxa"/>
        <w:jc w:val="center"/>
        <w:tblLook w:val="04A0" w:firstRow="1" w:lastRow="0" w:firstColumn="1" w:lastColumn="0" w:noHBand="0" w:noVBand="1"/>
      </w:tblPr>
      <w:tblGrid>
        <w:gridCol w:w="817"/>
        <w:gridCol w:w="5270"/>
        <w:gridCol w:w="976"/>
        <w:gridCol w:w="2985"/>
      </w:tblGrid>
      <w:tr w:rsidR="00682269" w:rsidRPr="00DE4E4F" w14:paraId="129EB237" w14:textId="77777777" w:rsidTr="004E489F">
        <w:trPr>
          <w:trHeight w:val="509"/>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F785281"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Seq. No.</w:t>
            </w:r>
          </w:p>
        </w:tc>
        <w:tc>
          <w:tcPr>
            <w:tcW w:w="527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01EB12"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8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2A3BA9A"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3A6E1A"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4FA8AE6C" w14:textId="77777777" w:rsidTr="004E489F">
        <w:trPr>
          <w:trHeight w:val="509"/>
          <w:jc w:val="center"/>
        </w:trPr>
        <w:tc>
          <w:tcPr>
            <w:tcW w:w="817" w:type="dxa"/>
            <w:vMerge/>
            <w:tcBorders>
              <w:top w:val="single" w:sz="4" w:space="0" w:color="auto"/>
              <w:left w:val="single" w:sz="4" w:space="0" w:color="auto"/>
              <w:bottom w:val="single" w:sz="4" w:space="0" w:color="auto"/>
              <w:right w:val="single" w:sz="4" w:space="0" w:color="auto"/>
            </w:tcBorders>
            <w:vAlign w:val="center"/>
            <w:hideMark/>
          </w:tcPr>
          <w:p w14:paraId="6D27A87E"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5270" w:type="dxa"/>
            <w:vMerge/>
            <w:tcBorders>
              <w:top w:val="single" w:sz="4" w:space="0" w:color="auto"/>
              <w:left w:val="single" w:sz="4" w:space="0" w:color="auto"/>
              <w:bottom w:val="single" w:sz="4" w:space="0" w:color="auto"/>
              <w:right w:val="single" w:sz="4" w:space="0" w:color="auto"/>
            </w:tcBorders>
            <w:vAlign w:val="center"/>
            <w:hideMark/>
          </w:tcPr>
          <w:p w14:paraId="2577D2AD"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869" w:type="dxa"/>
            <w:vMerge/>
            <w:tcBorders>
              <w:top w:val="single" w:sz="4" w:space="0" w:color="auto"/>
              <w:left w:val="single" w:sz="4" w:space="0" w:color="auto"/>
              <w:bottom w:val="single" w:sz="4" w:space="0" w:color="auto"/>
              <w:right w:val="single" w:sz="4" w:space="0" w:color="auto"/>
            </w:tcBorders>
            <w:vAlign w:val="center"/>
            <w:hideMark/>
          </w:tcPr>
          <w:p w14:paraId="00D9F5B7"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2985" w:type="dxa"/>
            <w:vMerge/>
            <w:tcBorders>
              <w:top w:val="single" w:sz="4" w:space="0" w:color="auto"/>
              <w:left w:val="single" w:sz="4" w:space="0" w:color="auto"/>
              <w:bottom w:val="single" w:sz="4" w:space="0" w:color="auto"/>
              <w:right w:val="single" w:sz="4" w:space="0" w:color="auto"/>
            </w:tcBorders>
            <w:vAlign w:val="center"/>
            <w:hideMark/>
          </w:tcPr>
          <w:p w14:paraId="44B4302B"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270F6722" w14:textId="77777777" w:rsidTr="004E489F">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1538518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20</w:t>
            </w:r>
          </w:p>
        </w:tc>
        <w:tc>
          <w:tcPr>
            <w:tcW w:w="5270" w:type="dxa"/>
            <w:tcBorders>
              <w:top w:val="single" w:sz="4" w:space="0" w:color="auto"/>
              <w:left w:val="nil"/>
              <w:bottom w:val="single" w:sz="4" w:space="0" w:color="auto"/>
              <w:right w:val="single" w:sz="4" w:space="0" w:color="auto"/>
            </w:tcBorders>
            <w:shd w:val="clear" w:color="000000" w:fill="C6EFCE"/>
            <w:noWrap/>
            <w:vAlign w:val="center"/>
          </w:tcPr>
          <w:p w14:paraId="2C9BADC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2 - 1.2. Renovate - 16872_Energy renovation on residential buildings</w:t>
            </w:r>
          </w:p>
        </w:tc>
        <w:tc>
          <w:tcPr>
            <w:tcW w:w="869" w:type="dxa"/>
            <w:tcBorders>
              <w:top w:val="single" w:sz="4" w:space="0" w:color="auto"/>
              <w:left w:val="nil"/>
              <w:bottom w:val="single" w:sz="4" w:space="0" w:color="auto"/>
              <w:right w:val="single" w:sz="4" w:space="0" w:color="auto"/>
            </w:tcBorders>
            <w:shd w:val="clear" w:color="000000" w:fill="C6EFCE"/>
            <w:noWrap/>
            <w:vAlign w:val="center"/>
          </w:tcPr>
          <w:p w14:paraId="6B65DAE5"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single" w:sz="4" w:space="0" w:color="auto"/>
              <w:left w:val="nil"/>
              <w:bottom w:val="single" w:sz="4" w:space="0" w:color="auto"/>
              <w:right w:val="single" w:sz="4" w:space="0" w:color="auto"/>
            </w:tcBorders>
            <w:shd w:val="clear" w:color="000000" w:fill="C6EFCE"/>
            <w:noWrap/>
            <w:vAlign w:val="center"/>
          </w:tcPr>
          <w:p w14:paraId="3D8B60DA"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Residential renovation – 1st round launch</w:t>
            </w:r>
          </w:p>
        </w:tc>
      </w:tr>
      <w:tr w:rsidR="00682269" w:rsidRPr="00DE4E4F" w14:paraId="351C6BB8"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4F4585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w:t>
            </w:r>
          </w:p>
        </w:tc>
        <w:tc>
          <w:tcPr>
            <w:tcW w:w="5270" w:type="dxa"/>
            <w:tcBorders>
              <w:top w:val="nil"/>
              <w:left w:val="nil"/>
              <w:bottom w:val="single" w:sz="4" w:space="0" w:color="auto"/>
              <w:right w:val="single" w:sz="4" w:space="0" w:color="auto"/>
            </w:tcBorders>
            <w:shd w:val="clear" w:color="000000" w:fill="C6EFCE"/>
            <w:noWrap/>
            <w:vAlign w:val="center"/>
          </w:tcPr>
          <w:p w14:paraId="7CED1AE0"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2 - 1.2. Renovate - 16920_Energy poverty action plan</w:t>
            </w:r>
          </w:p>
        </w:tc>
        <w:tc>
          <w:tcPr>
            <w:tcW w:w="869" w:type="dxa"/>
            <w:tcBorders>
              <w:top w:val="nil"/>
              <w:left w:val="nil"/>
              <w:bottom w:val="single" w:sz="4" w:space="0" w:color="auto"/>
              <w:right w:val="single" w:sz="4" w:space="0" w:color="auto"/>
            </w:tcBorders>
            <w:shd w:val="clear" w:color="000000" w:fill="C6EFCE"/>
            <w:noWrap/>
            <w:vAlign w:val="center"/>
          </w:tcPr>
          <w:p w14:paraId="2F2D0274"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6CC3F860"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Energy poverty – adoption of action plan</w:t>
            </w:r>
          </w:p>
        </w:tc>
      </w:tr>
      <w:tr w:rsidR="00682269" w:rsidRPr="00DE4E4F" w14:paraId="4215914F"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hideMark/>
          </w:tcPr>
          <w:p w14:paraId="1E5D3A9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42</w:t>
            </w:r>
          </w:p>
        </w:tc>
        <w:tc>
          <w:tcPr>
            <w:tcW w:w="5270" w:type="dxa"/>
            <w:tcBorders>
              <w:top w:val="nil"/>
              <w:left w:val="nil"/>
              <w:bottom w:val="single" w:sz="4" w:space="0" w:color="auto"/>
              <w:right w:val="single" w:sz="4" w:space="0" w:color="auto"/>
            </w:tcBorders>
            <w:shd w:val="clear" w:color="000000" w:fill="C6EFCE"/>
            <w:noWrap/>
            <w:vAlign w:val="center"/>
          </w:tcPr>
          <w:p w14:paraId="799DE7BB"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- 16281_Framework for installation and operation of EV charging infrastructure</w:t>
            </w:r>
          </w:p>
        </w:tc>
        <w:tc>
          <w:tcPr>
            <w:tcW w:w="869" w:type="dxa"/>
            <w:tcBorders>
              <w:top w:val="nil"/>
              <w:left w:val="nil"/>
              <w:bottom w:val="single" w:sz="4" w:space="0" w:color="auto"/>
              <w:right w:val="single" w:sz="4" w:space="0" w:color="auto"/>
            </w:tcBorders>
            <w:shd w:val="clear" w:color="000000" w:fill="C6EFCE"/>
            <w:noWrap/>
            <w:vAlign w:val="center"/>
          </w:tcPr>
          <w:p w14:paraId="39CFDD35"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7665FFDC"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Charging points for electric vehicles – Entry into force of legal framework</w:t>
            </w:r>
          </w:p>
        </w:tc>
      </w:tr>
      <w:tr w:rsidR="00682269" w:rsidRPr="00DE4E4F" w14:paraId="6CB3D4E2"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50745D3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56</w:t>
            </w:r>
          </w:p>
        </w:tc>
        <w:tc>
          <w:tcPr>
            <w:tcW w:w="5270" w:type="dxa"/>
            <w:tcBorders>
              <w:top w:val="nil"/>
              <w:left w:val="nil"/>
              <w:bottom w:val="single" w:sz="4" w:space="0" w:color="auto"/>
              <w:right w:val="single" w:sz="4" w:space="0" w:color="auto"/>
            </w:tcBorders>
            <w:shd w:val="clear" w:color="000000" w:fill="C6EFCE"/>
            <w:noWrap/>
            <w:vAlign w:val="center"/>
          </w:tcPr>
          <w:p w14:paraId="1B29C95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- 16772_Waste management law for the implementation of sustainable landfilling and recycling</w:t>
            </w:r>
          </w:p>
        </w:tc>
        <w:tc>
          <w:tcPr>
            <w:tcW w:w="869" w:type="dxa"/>
            <w:tcBorders>
              <w:top w:val="nil"/>
              <w:left w:val="nil"/>
              <w:bottom w:val="single" w:sz="4" w:space="0" w:color="auto"/>
              <w:right w:val="single" w:sz="4" w:space="0" w:color="auto"/>
            </w:tcBorders>
            <w:shd w:val="clear" w:color="000000" w:fill="C6EFCE"/>
            <w:noWrap/>
            <w:vAlign w:val="center"/>
          </w:tcPr>
          <w:p w14:paraId="2D1D38AA"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55139E7C"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Entry into force of waste management law</w:t>
            </w:r>
          </w:p>
        </w:tc>
      </w:tr>
      <w:tr w:rsidR="00682269" w:rsidRPr="00DE4E4F" w14:paraId="6C115F8F"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9FADA2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77</w:t>
            </w:r>
          </w:p>
        </w:tc>
        <w:tc>
          <w:tcPr>
            <w:tcW w:w="5270" w:type="dxa"/>
            <w:tcBorders>
              <w:top w:val="nil"/>
              <w:left w:val="nil"/>
              <w:bottom w:val="single" w:sz="4" w:space="0" w:color="auto"/>
              <w:right w:val="single" w:sz="4" w:space="0" w:color="auto"/>
            </w:tcBorders>
            <w:shd w:val="clear" w:color="000000" w:fill="C6EFCE"/>
            <w:noWrap/>
            <w:vAlign w:val="center"/>
          </w:tcPr>
          <w:p w14:paraId="378F4A41"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- 16283_Implementation of Regional Civil Protection Centers (PEKEPP) through PPP schemes</w:t>
            </w:r>
          </w:p>
        </w:tc>
        <w:tc>
          <w:tcPr>
            <w:tcW w:w="869" w:type="dxa"/>
            <w:tcBorders>
              <w:top w:val="nil"/>
              <w:left w:val="nil"/>
              <w:bottom w:val="single" w:sz="4" w:space="0" w:color="auto"/>
              <w:right w:val="single" w:sz="4" w:space="0" w:color="auto"/>
            </w:tcBorders>
            <w:shd w:val="clear" w:color="000000" w:fill="C6EFCE"/>
            <w:noWrap/>
            <w:vAlign w:val="center"/>
          </w:tcPr>
          <w:p w14:paraId="0F207BC7"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6C3944CD"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Tender for 13 Regional Centres</w:t>
            </w:r>
          </w:p>
        </w:tc>
      </w:tr>
      <w:tr w:rsidR="00682269" w:rsidRPr="00DE4E4F" w14:paraId="738D9AC7"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8BF12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133</w:t>
            </w:r>
          </w:p>
        </w:tc>
        <w:tc>
          <w:tcPr>
            <w:tcW w:w="5270" w:type="dxa"/>
            <w:tcBorders>
              <w:top w:val="nil"/>
              <w:left w:val="nil"/>
              <w:bottom w:val="single" w:sz="4" w:space="0" w:color="auto"/>
              <w:right w:val="single" w:sz="4" w:space="0" w:color="auto"/>
            </w:tcBorders>
            <w:shd w:val="clear" w:color="000000" w:fill="C6EFCE"/>
            <w:noWrap/>
            <w:vAlign w:val="center"/>
          </w:tcPr>
          <w:p w14:paraId="20AF36EB"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8 - 3.1. Promote job creation and participation in the labour market - 16744_Modernisation and Simplification of Labour Law</w:t>
            </w:r>
          </w:p>
        </w:tc>
        <w:tc>
          <w:tcPr>
            <w:tcW w:w="869" w:type="dxa"/>
            <w:tcBorders>
              <w:top w:val="nil"/>
              <w:left w:val="nil"/>
              <w:bottom w:val="single" w:sz="4" w:space="0" w:color="auto"/>
              <w:right w:val="single" w:sz="4" w:space="0" w:color="auto"/>
            </w:tcBorders>
            <w:shd w:val="clear" w:color="000000" w:fill="C6EFCE"/>
            <w:noWrap/>
            <w:vAlign w:val="center"/>
          </w:tcPr>
          <w:p w14:paraId="7CDA8F70"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67BDB31F"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Entry into force Labour law</w:t>
            </w:r>
          </w:p>
        </w:tc>
      </w:tr>
      <w:tr w:rsidR="00682269" w:rsidRPr="00DE4E4F" w14:paraId="1A66B57A"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1A77C16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141</w:t>
            </w:r>
          </w:p>
        </w:tc>
        <w:tc>
          <w:tcPr>
            <w:tcW w:w="5270" w:type="dxa"/>
            <w:tcBorders>
              <w:top w:val="nil"/>
              <w:left w:val="nil"/>
              <w:bottom w:val="single" w:sz="4" w:space="0" w:color="auto"/>
              <w:right w:val="single" w:sz="4" w:space="0" w:color="auto"/>
            </w:tcBorders>
            <w:shd w:val="clear" w:color="000000" w:fill="C6EFCE"/>
            <w:noWrap/>
            <w:vAlign w:val="center"/>
          </w:tcPr>
          <w:p w14:paraId="7F443342"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8 - 3.1. Promote job creation and participation in the labour market - 16941_Restructuring and rebranding of DYPA local PES (KPA2)</w:t>
            </w:r>
          </w:p>
        </w:tc>
        <w:tc>
          <w:tcPr>
            <w:tcW w:w="869" w:type="dxa"/>
            <w:tcBorders>
              <w:top w:val="nil"/>
              <w:left w:val="nil"/>
              <w:bottom w:val="single" w:sz="4" w:space="0" w:color="auto"/>
              <w:right w:val="single" w:sz="4" w:space="0" w:color="auto"/>
            </w:tcBorders>
            <w:shd w:val="clear" w:color="000000" w:fill="C6EFCE"/>
            <w:noWrap/>
            <w:vAlign w:val="center"/>
          </w:tcPr>
          <w:p w14:paraId="766F61CF"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2A0845B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 xml:space="preserve">DYPA Organisational reform entry into force of legislation </w:t>
            </w:r>
          </w:p>
        </w:tc>
      </w:tr>
      <w:tr w:rsidR="00682269" w:rsidRPr="00DE4E4F" w14:paraId="6E55E7E5"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14CCDC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153</w:t>
            </w:r>
          </w:p>
        </w:tc>
        <w:tc>
          <w:tcPr>
            <w:tcW w:w="5270" w:type="dxa"/>
            <w:tcBorders>
              <w:top w:val="nil"/>
              <w:left w:val="nil"/>
              <w:bottom w:val="single" w:sz="4" w:space="0" w:color="auto"/>
              <w:right w:val="single" w:sz="4" w:space="0" w:color="auto"/>
            </w:tcBorders>
            <w:shd w:val="clear" w:color="000000" w:fill="C6EFCE"/>
            <w:noWrap/>
            <w:vAlign w:val="center"/>
          </w:tcPr>
          <w:p w14:paraId="2A80326D"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869" w:type="dxa"/>
            <w:tcBorders>
              <w:top w:val="nil"/>
              <w:left w:val="nil"/>
              <w:bottom w:val="single" w:sz="4" w:space="0" w:color="auto"/>
              <w:right w:val="single" w:sz="4" w:space="0" w:color="auto"/>
            </w:tcBorders>
            <w:shd w:val="clear" w:color="000000" w:fill="C6EFCE"/>
            <w:noWrap/>
            <w:vAlign w:val="center"/>
          </w:tcPr>
          <w:p w14:paraId="131B4A4E"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18FE497C"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Clawback –legislation entry into force</w:t>
            </w:r>
          </w:p>
        </w:tc>
      </w:tr>
      <w:tr w:rsidR="00682269" w:rsidRPr="00DE4E4F" w14:paraId="3E48AB6C"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70AE31D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199</w:t>
            </w:r>
          </w:p>
        </w:tc>
        <w:tc>
          <w:tcPr>
            <w:tcW w:w="5270" w:type="dxa"/>
            <w:tcBorders>
              <w:top w:val="nil"/>
              <w:left w:val="nil"/>
              <w:bottom w:val="single" w:sz="4" w:space="0" w:color="auto"/>
              <w:right w:val="single" w:sz="4" w:space="0" w:color="auto"/>
            </w:tcBorders>
            <w:shd w:val="clear" w:color="000000" w:fill="C6EFCE"/>
            <w:noWrap/>
            <w:vAlign w:val="center"/>
          </w:tcPr>
          <w:p w14:paraId="65BA72BF"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- 16643_Codification and simplification of tax legislation</w:t>
            </w:r>
          </w:p>
        </w:tc>
        <w:tc>
          <w:tcPr>
            <w:tcW w:w="869" w:type="dxa"/>
            <w:tcBorders>
              <w:top w:val="nil"/>
              <w:left w:val="nil"/>
              <w:bottom w:val="single" w:sz="4" w:space="0" w:color="auto"/>
              <w:right w:val="single" w:sz="4" w:space="0" w:color="auto"/>
            </w:tcBorders>
            <w:shd w:val="clear" w:color="000000" w:fill="C6EFCE"/>
            <w:noWrap/>
            <w:vAlign w:val="center"/>
          </w:tcPr>
          <w:p w14:paraId="3CD0F668"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3789D8A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Schedule for Tax Codification</w:t>
            </w:r>
          </w:p>
        </w:tc>
      </w:tr>
      <w:tr w:rsidR="00682269" w:rsidRPr="00DE4E4F" w14:paraId="43DEA37A"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4E52FA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200</w:t>
            </w:r>
          </w:p>
        </w:tc>
        <w:tc>
          <w:tcPr>
            <w:tcW w:w="5270" w:type="dxa"/>
            <w:tcBorders>
              <w:top w:val="nil"/>
              <w:left w:val="nil"/>
              <w:bottom w:val="single" w:sz="4" w:space="0" w:color="auto"/>
              <w:right w:val="single" w:sz="4" w:space="0" w:color="auto"/>
            </w:tcBorders>
            <w:shd w:val="clear" w:color="000000" w:fill="C6EFCE"/>
            <w:noWrap/>
            <w:vAlign w:val="center"/>
          </w:tcPr>
          <w:p w14:paraId="6761858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18 - 4.7. Improve competitiveness and promote private investments and trade - 16598_Incentivisation regime for productivity and extroversion of enterprises (increasing the size of enterprises)</w:t>
            </w:r>
          </w:p>
        </w:tc>
        <w:tc>
          <w:tcPr>
            <w:tcW w:w="869" w:type="dxa"/>
            <w:tcBorders>
              <w:top w:val="nil"/>
              <w:left w:val="nil"/>
              <w:bottom w:val="single" w:sz="4" w:space="0" w:color="auto"/>
              <w:right w:val="single" w:sz="4" w:space="0" w:color="auto"/>
            </w:tcBorders>
            <w:shd w:val="clear" w:color="000000" w:fill="C6EFCE"/>
            <w:noWrap/>
            <w:vAlign w:val="center"/>
          </w:tcPr>
          <w:p w14:paraId="234BD1C0"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2EBA8074"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Draft legislation to encourage business extroversion</w:t>
            </w:r>
          </w:p>
        </w:tc>
      </w:tr>
      <w:tr w:rsidR="00682269" w:rsidRPr="00DE4E4F" w14:paraId="4996D9F8"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4F32682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222</w:t>
            </w:r>
          </w:p>
        </w:tc>
        <w:tc>
          <w:tcPr>
            <w:tcW w:w="5270" w:type="dxa"/>
            <w:tcBorders>
              <w:top w:val="nil"/>
              <w:left w:val="nil"/>
              <w:bottom w:val="single" w:sz="4" w:space="0" w:color="auto"/>
              <w:right w:val="single" w:sz="4" w:space="0" w:color="auto"/>
            </w:tcBorders>
            <w:shd w:val="clear" w:color="000000" w:fill="C6EFCE"/>
            <w:noWrap/>
            <w:vAlign w:val="center"/>
          </w:tcPr>
          <w:p w14:paraId="5BD231B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- 16292_New Judicial Buildings</w:t>
            </w:r>
          </w:p>
        </w:tc>
        <w:tc>
          <w:tcPr>
            <w:tcW w:w="869" w:type="dxa"/>
            <w:tcBorders>
              <w:top w:val="nil"/>
              <w:left w:val="nil"/>
              <w:bottom w:val="single" w:sz="4" w:space="0" w:color="auto"/>
              <w:right w:val="single" w:sz="4" w:space="0" w:color="auto"/>
            </w:tcBorders>
            <w:shd w:val="clear" w:color="000000" w:fill="C6EFCE"/>
            <w:noWrap/>
            <w:vAlign w:val="center"/>
          </w:tcPr>
          <w:p w14:paraId="29C98D3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343AA9F5"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Identification – Eligible Buildings</w:t>
            </w:r>
          </w:p>
        </w:tc>
      </w:tr>
      <w:tr w:rsidR="00682269" w:rsidRPr="00DE4E4F" w14:paraId="16DEF4C8"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3B34E14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263</w:t>
            </w:r>
          </w:p>
        </w:tc>
        <w:tc>
          <w:tcPr>
            <w:tcW w:w="5270" w:type="dxa"/>
            <w:tcBorders>
              <w:top w:val="nil"/>
              <w:left w:val="nil"/>
              <w:bottom w:val="single" w:sz="4" w:space="0" w:color="auto"/>
              <w:right w:val="single" w:sz="4" w:space="0" w:color="auto"/>
            </w:tcBorders>
            <w:shd w:val="clear" w:color="000000" w:fill="C6EFCE"/>
            <w:noWrap/>
            <w:vAlign w:val="center"/>
          </w:tcPr>
          <w:p w14:paraId="76B22C2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869" w:type="dxa"/>
            <w:tcBorders>
              <w:top w:val="nil"/>
              <w:left w:val="nil"/>
              <w:bottom w:val="single" w:sz="4" w:space="0" w:color="auto"/>
              <w:right w:val="single" w:sz="4" w:space="0" w:color="auto"/>
            </w:tcBorders>
            <w:shd w:val="clear" w:color="000000" w:fill="C6EFCE"/>
            <w:noWrap/>
            <w:vAlign w:val="center"/>
          </w:tcPr>
          <w:p w14:paraId="2C543D64"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36C3F6C7"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Roadmap for railways reform</w:t>
            </w:r>
          </w:p>
        </w:tc>
      </w:tr>
      <w:tr w:rsidR="00682269" w:rsidRPr="00DE4E4F" w14:paraId="43FF4A71" w14:textId="77777777" w:rsidTr="004E489F">
        <w:trPr>
          <w:trHeight w:val="302"/>
          <w:jc w:val="center"/>
        </w:trPr>
        <w:tc>
          <w:tcPr>
            <w:tcW w:w="817" w:type="dxa"/>
            <w:tcBorders>
              <w:top w:val="nil"/>
              <w:left w:val="single" w:sz="4" w:space="0" w:color="auto"/>
              <w:bottom w:val="single" w:sz="4" w:space="0" w:color="auto"/>
              <w:right w:val="single" w:sz="4" w:space="0" w:color="auto"/>
            </w:tcBorders>
            <w:shd w:val="clear" w:color="000000" w:fill="C6EFCE"/>
            <w:noWrap/>
            <w:vAlign w:val="center"/>
          </w:tcPr>
          <w:p w14:paraId="026150E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331</w:t>
            </w:r>
          </w:p>
        </w:tc>
        <w:tc>
          <w:tcPr>
            <w:tcW w:w="5270" w:type="dxa"/>
            <w:tcBorders>
              <w:top w:val="nil"/>
              <w:left w:val="nil"/>
              <w:bottom w:val="single" w:sz="4" w:space="0" w:color="auto"/>
              <w:right w:val="single" w:sz="4" w:space="0" w:color="auto"/>
            </w:tcBorders>
            <w:shd w:val="clear" w:color="000000" w:fill="C6EFCE"/>
            <w:noWrap/>
            <w:vAlign w:val="center"/>
          </w:tcPr>
          <w:p w14:paraId="6A68B8BA"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19 - 16968_Technical Assistance</w:t>
            </w:r>
          </w:p>
        </w:tc>
        <w:tc>
          <w:tcPr>
            <w:tcW w:w="869" w:type="dxa"/>
            <w:tcBorders>
              <w:top w:val="nil"/>
              <w:left w:val="nil"/>
              <w:bottom w:val="single" w:sz="4" w:space="0" w:color="auto"/>
              <w:right w:val="single" w:sz="4" w:space="0" w:color="auto"/>
            </w:tcBorders>
            <w:shd w:val="clear" w:color="000000" w:fill="C6EFCE"/>
            <w:noWrap/>
            <w:vAlign w:val="center"/>
          </w:tcPr>
          <w:p w14:paraId="4E83B47A"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85" w:type="dxa"/>
            <w:tcBorders>
              <w:top w:val="nil"/>
              <w:left w:val="nil"/>
              <w:bottom w:val="single" w:sz="4" w:space="0" w:color="auto"/>
              <w:right w:val="single" w:sz="4" w:space="0" w:color="auto"/>
            </w:tcBorders>
            <w:shd w:val="clear" w:color="000000" w:fill="C6EFCE"/>
            <w:noWrap/>
            <w:vAlign w:val="center"/>
          </w:tcPr>
          <w:p w14:paraId="2DAF954C"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 xml:space="preserve">EDEL’s legal mandate and setting up the management, control and audit systems </w:t>
            </w:r>
          </w:p>
        </w:tc>
      </w:tr>
      <w:tr w:rsidR="00682269" w:rsidRPr="00DE4E4F" w14:paraId="3CA7F165" w14:textId="77777777" w:rsidTr="004E489F">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3D7B5FB" w14:textId="77777777" w:rsidR="001B186F" w:rsidRPr="00DE4E4F" w:rsidRDefault="001B186F" w:rsidP="007E1411">
            <w:pPr>
              <w:keepNext/>
              <w:spacing w:before="40" w:after="0" w:line="259" w:lineRule="auto"/>
              <w:jc w:val="both"/>
              <w:rPr>
                <w:rFonts w:ascii="Times New Roman" w:eastAsia="Times New Roman" w:hAnsi="Times New Roman" w:cs="Times New Roman"/>
                <w:noProof/>
                <w:sz w:val="18"/>
                <w:szCs w:val="18"/>
                <w:lang w:eastAsia="en-GB"/>
              </w:rPr>
            </w:pPr>
          </w:p>
        </w:tc>
        <w:tc>
          <w:tcPr>
            <w:tcW w:w="5270" w:type="dxa"/>
            <w:tcBorders>
              <w:top w:val="single" w:sz="4" w:space="0" w:color="auto"/>
              <w:left w:val="nil"/>
              <w:bottom w:val="single" w:sz="4" w:space="0" w:color="auto"/>
              <w:right w:val="single" w:sz="4" w:space="0" w:color="auto"/>
            </w:tcBorders>
            <w:shd w:val="clear" w:color="auto" w:fill="C6EFCE"/>
            <w:noWrap/>
            <w:vAlign w:val="bottom"/>
          </w:tcPr>
          <w:p w14:paraId="756D2B5B"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869" w:type="dxa"/>
            <w:tcBorders>
              <w:top w:val="single" w:sz="4" w:space="0" w:color="auto"/>
              <w:left w:val="nil"/>
              <w:bottom w:val="single" w:sz="4" w:space="0" w:color="auto"/>
              <w:right w:val="single" w:sz="4" w:space="0" w:color="auto"/>
            </w:tcBorders>
            <w:shd w:val="clear" w:color="auto" w:fill="C6EFCE"/>
            <w:noWrap/>
            <w:vAlign w:val="bottom"/>
          </w:tcPr>
          <w:p w14:paraId="782545B4"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Instalment Amount</w:t>
            </w:r>
          </w:p>
        </w:tc>
        <w:tc>
          <w:tcPr>
            <w:tcW w:w="2985" w:type="dxa"/>
            <w:tcBorders>
              <w:top w:val="single" w:sz="4" w:space="0" w:color="auto"/>
              <w:left w:val="nil"/>
              <w:bottom w:val="single" w:sz="4" w:space="0" w:color="auto"/>
              <w:right w:val="single" w:sz="4" w:space="0" w:color="auto"/>
            </w:tcBorders>
            <w:shd w:val="clear" w:color="auto" w:fill="C6EFCE"/>
            <w:noWrap/>
            <w:vAlign w:val="bottom"/>
          </w:tcPr>
          <w:p w14:paraId="48F01023"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EUR 1 974 438 067</w:t>
            </w:r>
          </w:p>
        </w:tc>
      </w:tr>
    </w:tbl>
    <w:p w14:paraId="11E49200" w14:textId="77777777" w:rsidR="001B186F" w:rsidRPr="00DE4E4F" w:rsidRDefault="001B186F">
      <w:pPr>
        <w:rPr>
          <w:rFonts w:ascii="Times New Roman" w:hAnsi="Times New Roman"/>
          <w:noProof/>
          <w:sz w:val="24"/>
        </w:rPr>
      </w:pPr>
    </w:p>
    <w:p w14:paraId="08C1C978" w14:textId="77777777" w:rsidR="001B186F" w:rsidRPr="00DE4E4F" w:rsidRDefault="0074517F">
      <w:pPr>
        <w:keepNext/>
        <w:numPr>
          <w:ilvl w:val="1"/>
          <w:numId w:val="93"/>
        </w:numPr>
        <w:spacing w:before="40" w:after="160" w:line="259" w:lineRule="auto"/>
        <w:ind w:left="0"/>
        <w:contextualSpacing/>
        <w:jc w:val="both"/>
        <w:rPr>
          <w:rFonts w:ascii="Times New Roman" w:hAnsi="Times New Roman"/>
          <w:noProof/>
          <w:sz w:val="24"/>
        </w:rPr>
      </w:pPr>
      <w:r w:rsidRPr="00DE4E4F">
        <w:rPr>
          <w:rFonts w:ascii="Times New Roman" w:hAnsi="Times New Roman"/>
          <w:noProof/>
          <w:sz w:val="24"/>
        </w:rPr>
        <w:t xml:space="preserve"> Second Payment Request (non-repayable support):</w:t>
      </w:r>
    </w:p>
    <w:p w14:paraId="0D5AAE4E"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tbl>
      <w:tblPr>
        <w:tblW w:w="9837" w:type="dxa"/>
        <w:jc w:val="center"/>
        <w:tblLook w:val="04A0" w:firstRow="1" w:lastRow="0" w:firstColumn="1" w:lastColumn="0" w:noHBand="0" w:noVBand="1"/>
      </w:tblPr>
      <w:tblGrid>
        <w:gridCol w:w="675"/>
        <w:gridCol w:w="5730"/>
        <w:gridCol w:w="1066"/>
        <w:gridCol w:w="2366"/>
      </w:tblGrid>
      <w:tr w:rsidR="00682269" w:rsidRPr="00DE4E4F" w14:paraId="060BC1E0" w14:textId="77777777" w:rsidTr="004E489F">
        <w:trPr>
          <w:trHeight w:val="509"/>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DD922B"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73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13D5F6D"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06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3A82B057"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366" w:type="dxa"/>
            <w:vMerge w:val="restart"/>
            <w:tcBorders>
              <w:top w:val="single" w:sz="4" w:space="0" w:color="auto"/>
              <w:left w:val="nil"/>
              <w:bottom w:val="single" w:sz="4" w:space="0" w:color="000000"/>
              <w:right w:val="single" w:sz="4" w:space="0" w:color="auto"/>
            </w:tcBorders>
            <w:shd w:val="clear" w:color="auto" w:fill="BDD7EE"/>
            <w:vAlign w:val="center"/>
            <w:hideMark/>
          </w:tcPr>
          <w:p w14:paraId="42B3C7FB"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6E0276BE" w14:textId="77777777" w:rsidTr="004E489F">
        <w:trPr>
          <w:trHeight w:val="990"/>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0C19721D"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5730" w:type="dxa"/>
            <w:vMerge/>
            <w:tcBorders>
              <w:top w:val="single" w:sz="4" w:space="0" w:color="auto"/>
              <w:left w:val="single" w:sz="4" w:space="0" w:color="auto"/>
              <w:bottom w:val="single" w:sz="4" w:space="0" w:color="000000"/>
              <w:right w:val="single" w:sz="4" w:space="0" w:color="auto"/>
            </w:tcBorders>
            <w:vAlign w:val="center"/>
            <w:hideMark/>
          </w:tcPr>
          <w:p w14:paraId="473B7DCE"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1066" w:type="dxa"/>
            <w:vMerge/>
            <w:tcBorders>
              <w:top w:val="single" w:sz="4" w:space="0" w:color="auto"/>
              <w:left w:val="single" w:sz="4" w:space="0" w:color="auto"/>
              <w:bottom w:val="single" w:sz="4" w:space="0" w:color="000000"/>
              <w:right w:val="single" w:sz="4" w:space="0" w:color="auto"/>
            </w:tcBorders>
            <w:vAlign w:val="center"/>
            <w:hideMark/>
          </w:tcPr>
          <w:p w14:paraId="50561550"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2366" w:type="dxa"/>
            <w:vMerge/>
            <w:tcBorders>
              <w:top w:val="single" w:sz="4" w:space="0" w:color="auto"/>
              <w:left w:val="nil"/>
              <w:bottom w:val="single" w:sz="4" w:space="0" w:color="000000"/>
              <w:right w:val="single" w:sz="4" w:space="0" w:color="auto"/>
            </w:tcBorders>
            <w:vAlign w:val="center"/>
            <w:hideMark/>
          </w:tcPr>
          <w:p w14:paraId="117C70DD"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215D9961"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6F925A85"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44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5CA7982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- 16924_ Electromobility</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2483EE8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7463526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Public transport – Entry into force of market regulation for Public Service Obligation (buses)</w:t>
            </w:r>
          </w:p>
        </w:tc>
      </w:tr>
      <w:tr w:rsidR="00682269" w:rsidRPr="00DE4E4F" w14:paraId="3532CAE0"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D1F53B"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197</w:t>
            </w:r>
          </w:p>
        </w:tc>
        <w:tc>
          <w:tcPr>
            <w:tcW w:w="5730" w:type="dxa"/>
            <w:tcBorders>
              <w:top w:val="nil"/>
              <w:left w:val="nil"/>
              <w:bottom w:val="single" w:sz="4" w:space="0" w:color="auto"/>
              <w:right w:val="single" w:sz="4" w:space="0" w:color="auto"/>
            </w:tcBorders>
            <w:shd w:val="clear" w:color="000000" w:fill="C6EFCE"/>
            <w:noWrap/>
            <w:vAlign w:val="center"/>
          </w:tcPr>
          <w:p w14:paraId="77B9ADD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- 16863_Super – deduction of expenses on green economy, energy and digital transition</w:t>
            </w:r>
          </w:p>
        </w:tc>
        <w:tc>
          <w:tcPr>
            <w:tcW w:w="1066" w:type="dxa"/>
            <w:tcBorders>
              <w:top w:val="nil"/>
              <w:left w:val="nil"/>
              <w:bottom w:val="single" w:sz="4" w:space="0" w:color="auto"/>
              <w:right w:val="single" w:sz="4" w:space="0" w:color="auto"/>
            </w:tcBorders>
            <w:shd w:val="clear" w:color="000000" w:fill="C6EFCE"/>
            <w:noWrap/>
            <w:vAlign w:val="center"/>
          </w:tcPr>
          <w:p w14:paraId="294F60B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653ECC5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Super-deduction for SME green and digital investments</w:t>
            </w:r>
          </w:p>
        </w:tc>
      </w:tr>
      <w:tr w:rsidR="00682269" w:rsidRPr="00DE4E4F" w14:paraId="3A40BC88"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89DCAF7"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198</w:t>
            </w:r>
          </w:p>
        </w:tc>
        <w:tc>
          <w:tcPr>
            <w:tcW w:w="5730" w:type="dxa"/>
            <w:tcBorders>
              <w:top w:val="nil"/>
              <w:left w:val="nil"/>
              <w:bottom w:val="single" w:sz="4" w:space="0" w:color="auto"/>
              <w:right w:val="single" w:sz="4" w:space="0" w:color="auto"/>
            </w:tcBorders>
            <w:shd w:val="clear" w:color="000000" w:fill="C6EFCE"/>
            <w:noWrap/>
            <w:vAlign w:val="center"/>
          </w:tcPr>
          <w:p w14:paraId="58804C8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- 16616_Adoption of measures and incentives to increase electronic transactions</w:t>
            </w:r>
          </w:p>
        </w:tc>
        <w:tc>
          <w:tcPr>
            <w:tcW w:w="1066" w:type="dxa"/>
            <w:tcBorders>
              <w:top w:val="nil"/>
              <w:left w:val="nil"/>
              <w:bottom w:val="single" w:sz="4" w:space="0" w:color="auto"/>
              <w:right w:val="single" w:sz="4" w:space="0" w:color="auto"/>
            </w:tcBorders>
            <w:shd w:val="clear" w:color="000000" w:fill="C6EFCE"/>
            <w:noWrap/>
            <w:vAlign w:val="center"/>
          </w:tcPr>
          <w:p w14:paraId="4D04DF5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4EF8CF9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Legislation to encourage electronic transactions</w:t>
            </w:r>
          </w:p>
        </w:tc>
      </w:tr>
      <w:tr w:rsidR="00682269" w:rsidRPr="00DE4E4F" w14:paraId="0ADF3A46"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08D7DBA"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240</w:t>
            </w:r>
          </w:p>
        </w:tc>
        <w:tc>
          <w:tcPr>
            <w:tcW w:w="5730" w:type="dxa"/>
            <w:tcBorders>
              <w:top w:val="nil"/>
              <w:left w:val="nil"/>
              <w:bottom w:val="single" w:sz="4" w:space="0" w:color="auto"/>
              <w:right w:val="single" w:sz="4" w:space="0" w:color="auto"/>
            </w:tcBorders>
            <w:shd w:val="clear" w:color="000000" w:fill="C6EFCE"/>
            <w:noWrap/>
            <w:vAlign w:val="center"/>
          </w:tcPr>
          <w:p w14:paraId="2F1D3DF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15 - 4.4. Strengthen the financial sector and capital markets - 16581_Enhanced capital market supervision and trustworthiness</w:t>
            </w:r>
          </w:p>
        </w:tc>
        <w:tc>
          <w:tcPr>
            <w:tcW w:w="1066" w:type="dxa"/>
            <w:tcBorders>
              <w:top w:val="nil"/>
              <w:left w:val="nil"/>
              <w:bottom w:val="single" w:sz="4" w:space="0" w:color="auto"/>
              <w:right w:val="single" w:sz="4" w:space="0" w:color="auto"/>
            </w:tcBorders>
            <w:shd w:val="clear" w:color="000000" w:fill="C6EFCE"/>
            <w:noWrap/>
            <w:vAlign w:val="center"/>
          </w:tcPr>
          <w:p w14:paraId="0FDFB83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14AB4E1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Capital markets, supervision, digitalisation of supervisory processes, Capital Market Union (CMU)</w:t>
            </w:r>
          </w:p>
        </w:tc>
      </w:tr>
      <w:tr w:rsidR="00682269" w:rsidRPr="00DE4E4F" w14:paraId="57743601"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0CB3D36"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299</w:t>
            </w:r>
          </w:p>
        </w:tc>
        <w:tc>
          <w:tcPr>
            <w:tcW w:w="5730" w:type="dxa"/>
            <w:tcBorders>
              <w:top w:val="nil"/>
              <w:left w:val="nil"/>
              <w:bottom w:val="single" w:sz="4" w:space="0" w:color="auto"/>
              <w:right w:val="single" w:sz="4" w:space="0" w:color="auto"/>
            </w:tcBorders>
            <w:shd w:val="clear" w:color="000000" w:fill="C6EFCE"/>
            <w:noWrap/>
            <w:vAlign w:val="center"/>
          </w:tcPr>
          <w:p w14:paraId="7FF819C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- 16593_Amendment of the legal framework for the attraction of strategic investment</w:t>
            </w:r>
          </w:p>
        </w:tc>
        <w:tc>
          <w:tcPr>
            <w:tcW w:w="1066" w:type="dxa"/>
            <w:tcBorders>
              <w:top w:val="nil"/>
              <w:left w:val="nil"/>
              <w:bottom w:val="single" w:sz="4" w:space="0" w:color="auto"/>
              <w:right w:val="single" w:sz="4" w:space="0" w:color="auto"/>
            </w:tcBorders>
            <w:shd w:val="clear" w:color="000000" w:fill="C6EFCE"/>
            <w:noWrap/>
            <w:vAlign w:val="center"/>
          </w:tcPr>
          <w:p w14:paraId="6C01ED5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20FAFAC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Strategic investments –legislative reform</w:t>
            </w:r>
          </w:p>
        </w:tc>
      </w:tr>
      <w:tr w:rsidR="00682269" w:rsidRPr="00DE4E4F" w14:paraId="054A0EF7"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048B2A9"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9</w:t>
            </w:r>
          </w:p>
        </w:tc>
        <w:tc>
          <w:tcPr>
            <w:tcW w:w="5730" w:type="dxa"/>
            <w:tcBorders>
              <w:top w:val="nil"/>
              <w:left w:val="nil"/>
              <w:bottom w:val="single" w:sz="4" w:space="0" w:color="auto"/>
              <w:right w:val="single" w:sz="4" w:space="0" w:color="auto"/>
            </w:tcBorders>
            <w:shd w:val="clear" w:color="000000" w:fill="C6EFCE"/>
            <w:noWrap/>
            <w:vAlign w:val="center"/>
          </w:tcPr>
          <w:p w14:paraId="1FFABF4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- 16871_Revitalization actions of the most affected territories (Just transition territories)</w:t>
            </w:r>
          </w:p>
        </w:tc>
        <w:tc>
          <w:tcPr>
            <w:tcW w:w="1066" w:type="dxa"/>
            <w:tcBorders>
              <w:top w:val="nil"/>
              <w:left w:val="nil"/>
              <w:bottom w:val="single" w:sz="4" w:space="0" w:color="auto"/>
              <w:right w:val="single" w:sz="4" w:space="0" w:color="auto"/>
            </w:tcBorders>
            <w:shd w:val="clear" w:color="000000" w:fill="C6EFCE"/>
            <w:noWrap/>
            <w:vAlign w:val="center"/>
          </w:tcPr>
          <w:p w14:paraId="718813D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0C6E79F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Land rehabilitation — framework law</w:t>
            </w:r>
          </w:p>
        </w:tc>
      </w:tr>
      <w:tr w:rsidR="00682269" w:rsidRPr="00DE4E4F" w14:paraId="1C89C4C3"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52CD47A"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130</w:t>
            </w:r>
          </w:p>
        </w:tc>
        <w:tc>
          <w:tcPr>
            <w:tcW w:w="5730" w:type="dxa"/>
            <w:tcBorders>
              <w:top w:val="nil"/>
              <w:left w:val="nil"/>
              <w:bottom w:val="single" w:sz="4" w:space="0" w:color="auto"/>
              <w:right w:val="single" w:sz="4" w:space="0" w:color="auto"/>
            </w:tcBorders>
            <w:shd w:val="clear" w:color="000000" w:fill="C6EFCE"/>
            <w:noWrap/>
            <w:vAlign w:val="center"/>
          </w:tcPr>
          <w:p w14:paraId="23E00F6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7 - 2.3. Digitalisation of businesses - 16706_Digital Transformation of SMEs</w:t>
            </w:r>
          </w:p>
        </w:tc>
        <w:tc>
          <w:tcPr>
            <w:tcW w:w="1066" w:type="dxa"/>
            <w:tcBorders>
              <w:top w:val="nil"/>
              <w:left w:val="nil"/>
              <w:bottom w:val="single" w:sz="4" w:space="0" w:color="auto"/>
              <w:right w:val="single" w:sz="4" w:space="0" w:color="auto"/>
            </w:tcBorders>
            <w:shd w:val="clear" w:color="000000" w:fill="C6EFCE"/>
            <w:noWrap/>
            <w:vAlign w:val="center"/>
          </w:tcPr>
          <w:p w14:paraId="65BAEBE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4EF8094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Digital transformation of SMEs - calls for proposals</w:t>
            </w:r>
          </w:p>
        </w:tc>
      </w:tr>
      <w:tr w:rsidR="00682269" w:rsidRPr="00DE4E4F" w14:paraId="47B24D73"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C4E34FE"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174</w:t>
            </w:r>
          </w:p>
        </w:tc>
        <w:tc>
          <w:tcPr>
            <w:tcW w:w="5730" w:type="dxa"/>
            <w:tcBorders>
              <w:top w:val="nil"/>
              <w:left w:val="nil"/>
              <w:bottom w:val="single" w:sz="4" w:space="0" w:color="auto"/>
              <w:right w:val="single" w:sz="4" w:space="0" w:color="auto"/>
            </w:tcBorders>
            <w:shd w:val="clear" w:color="000000" w:fill="C6EFCE"/>
            <w:noWrap/>
            <w:vAlign w:val="center"/>
          </w:tcPr>
          <w:p w14:paraId="0F53F16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11 - 3.4. Increase access to effective and inclusive social policies - 16904_Disability</w:t>
            </w:r>
          </w:p>
        </w:tc>
        <w:tc>
          <w:tcPr>
            <w:tcW w:w="1066" w:type="dxa"/>
            <w:tcBorders>
              <w:top w:val="nil"/>
              <w:left w:val="nil"/>
              <w:bottom w:val="single" w:sz="4" w:space="0" w:color="auto"/>
              <w:right w:val="single" w:sz="4" w:space="0" w:color="auto"/>
            </w:tcBorders>
            <w:shd w:val="clear" w:color="000000" w:fill="C6EFCE"/>
            <w:noWrap/>
            <w:vAlign w:val="center"/>
          </w:tcPr>
          <w:p w14:paraId="2260E37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7A025CE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Personal assistance disability law and rollout of first phase pilot scheme</w:t>
            </w:r>
          </w:p>
        </w:tc>
      </w:tr>
      <w:tr w:rsidR="00682269" w:rsidRPr="00DE4E4F" w14:paraId="6267D8A7"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E521EA7"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188</w:t>
            </w:r>
          </w:p>
        </w:tc>
        <w:tc>
          <w:tcPr>
            <w:tcW w:w="5730" w:type="dxa"/>
            <w:tcBorders>
              <w:top w:val="nil"/>
              <w:left w:val="nil"/>
              <w:bottom w:val="single" w:sz="4" w:space="0" w:color="auto"/>
              <w:right w:val="single" w:sz="4" w:space="0" w:color="auto"/>
            </w:tcBorders>
            <w:shd w:val="clear" w:color="000000" w:fill="C6EFCE"/>
            <w:noWrap/>
            <w:vAlign w:val="center"/>
          </w:tcPr>
          <w:p w14:paraId="4F6EB96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- 16614_Online cash registers &amp; POS (reform)</w:t>
            </w:r>
          </w:p>
        </w:tc>
        <w:tc>
          <w:tcPr>
            <w:tcW w:w="1066" w:type="dxa"/>
            <w:tcBorders>
              <w:top w:val="nil"/>
              <w:left w:val="nil"/>
              <w:bottom w:val="single" w:sz="4" w:space="0" w:color="auto"/>
              <w:right w:val="single" w:sz="4" w:space="0" w:color="auto"/>
            </w:tcBorders>
            <w:shd w:val="clear" w:color="000000" w:fill="C6EFCE"/>
            <w:noWrap/>
            <w:vAlign w:val="center"/>
          </w:tcPr>
          <w:p w14:paraId="65CB318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3F38001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Independent Authority for Public Revenue (IAPR): Online cash registers &amp; Point-of-Sale (POS) – Entry into force of the legal framework</w:t>
            </w:r>
          </w:p>
        </w:tc>
      </w:tr>
      <w:tr w:rsidR="00682269" w:rsidRPr="00DE4E4F" w14:paraId="73E4358F"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4EF7342"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190</w:t>
            </w:r>
          </w:p>
        </w:tc>
        <w:tc>
          <w:tcPr>
            <w:tcW w:w="5730" w:type="dxa"/>
            <w:tcBorders>
              <w:top w:val="nil"/>
              <w:left w:val="nil"/>
              <w:bottom w:val="single" w:sz="4" w:space="0" w:color="auto"/>
              <w:right w:val="single" w:sz="4" w:space="0" w:color="auto"/>
            </w:tcBorders>
            <w:shd w:val="clear" w:color="000000" w:fill="C6EFCE"/>
            <w:noWrap/>
            <w:vAlign w:val="center"/>
          </w:tcPr>
          <w:p w14:paraId="312576B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- 16656_New framework for the fight against smuggling, mainly for products subject to excise duties (tobacco, alcohol and energy)</w:t>
            </w:r>
          </w:p>
        </w:tc>
        <w:tc>
          <w:tcPr>
            <w:tcW w:w="1066" w:type="dxa"/>
            <w:tcBorders>
              <w:top w:val="nil"/>
              <w:left w:val="nil"/>
              <w:bottom w:val="single" w:sz="4" w:space="0" w:color="auto"/>
              <w:right w:val="single" w:sz="4" w:space="0" w:color="auto"/>
            </w:tcBorders>
            <w:shd w:val="clear" w:color="000000" w:fill="C6EFCE"/>
            <w:noWrap/>
            <w:vAlign w:val="center"/>
          </w:tcPr>
          <w:p w14:paraId="0548AFE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50915E8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Fight against smuggling – regulatory decisions roadmap</w:t>
            </w:r>
          </w:p>
        </w:tc>
      </w:tr>
      <w:tr w:rsidR="00682269" w:rsidRPr="00DE4E4F" w14:paraId="19703214"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14E7AAF5"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201</w:t>
            </w:r>
          </w:p>
        </w:tc>
        <w:tc>
          <w:tcPr>
            <w:tcW w:w="5730" w:type="dxa"/>
            <w:tcBorders>
              <w:top w:val="nil"/>
              <w:left w:val="nil"/>
              <w:bottom w:val="single" w:sz="4" w:space="0" w:color="auto"/>
              <w:right w:val="single" w:sz="4" w:space="0" w:color="auto"/>
            </w:tcBorders>
            <w:shd w:val="clear" w:color="000000" w:fill="C6EFCE"/>
            <w:noWrap/>
            <w:vAlign w:val="center"/>
          </w:tcPr>
          <w:p w14:paraId="1696442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18 - 4.7. Improve competitiveness and promote private investments and trade - 16598_Incentivisation regime for productivity and extroversion of enterprises (increasing the size of enterprises)</w:t>
            </w:r>
          </w:p>
        </w:tc>
        <w:tc>
          <w:tcPr>
            <w:tcW w:w="1066" w:type="dxa"/>
            <w:tcBorders>
              <w:top w:val="nil"/>
              <w:left w:val="nil"/>
              <w:bottom w:val="single" w:sz="4" w:space="0" w:color="auto"/>
              <w:right w:val="single" w:sz="4" w:space="0" w:color="auto"/>
            </w:tcBorders>
            <w:shd w:val="clear" w:color="000000" w:fill="C6EFCE"/>
            <w:noWrap/>
            <w:vAlign w:val="center"/>
          </w:tcPr>
          <w:p w14:paraId="1DC1937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2643FDE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Legislation to encourage business extroversion</w:t>
            </w:r>
          </w:p>
        </w:tc>
      </w:tr>
      <w:tr w:rsidR="00682269" w:rsidRPr="00DE4E4F" w14:paraId="489B1510"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3DF4B9"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224</w:t>
            </w:r>
          </w:p>
        </w:tc>
        <w:tc>
          <w:tcPr>
            <w:tcW w:w="5730" w:type="dxa"/>
            <w:tcBorders>
              <w:top w:val="nil"/>
              <w:left w:val="nil"/>
              <w:bottom w:val="single" w:sz="4" w:space="0" w:color="auto"/>
              <w:right w:val="single" w:sz="4" w:space="0" w:color="auto"/>
            </w:tcBorders>
            <w:shd w:val="clear" w:color="000000" w:fill="C6EFCE"/>
            <w:noWrap/>
            <w:vAlign w:val="center"/>
          </w:tcPr>
          <w:p w14:paraId="63E20D4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- 16733_Skills and digital skills for judges and judicial employees (judicial staff)</w:t>
            </w:r>
          </w:p>
        </w:tc>
        <w:tc>
          <w:tcPr>
            <w:tcW w:w="1066" w:type="dxa"/>
            <w:tcBorders>
              <w:top w:val="nil"/>
              <w:left w:val="nil"/>
              <w:bottom w:val="single" w:sz="4" w:space="0" w:color="auto"/>
              <w:right w:val="single" w:sz="4" w:space="0" w:color="auto"/>
            </w:tcBorders>
            <w:shd w:val="clear" w:color="000000" w:fill="C6EFCE"/>
            <w:noWrap/>
            <w:vAlign w:val="center"/>
          </w:tcPr>
          <w:p w14:paraId="7225811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2366" w:type="dxa"/>
            <w:tcBorders>
              <w:top w:val="nil"/>
              <w:left w:val="nil"/>
              <w:bottom w:val="single" w:sz="4" w:space="0" w:color="auto"/>
              <w:right w:val="single" w:sz="4" w:space="0" w:color="auto"/>
            </w:tcBorders>
            <w:shd w:val="clear" w:color="000000" w:fill="C6EFCE"/>
            <w:noWrap/>
            <w:vAlign w:val="center"/>
          </w:tcPr>
          <w:p w14:paraId="23D54A9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Training – Judges and Clerks</w:t>
            </w:r>
          </w:p>
        </w:tc>
      </w:tr>
      <w:tr w:rsidR="00682269" w:rsidRPr="00DE4E4F" w14:paraId="04156F74"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083E5FA"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245</w:t>
            </w:r>
          </w:p>
        </w:tc>
        <w:tc>
          <w:tcPr>
            <w:tcW w:w="5730" w:type="dxa"/>
            <w:tcBorders>
              <w:top w:val="nil"/>
              <w:left w:val="nil"/>
              <w:bottom w:val="single" w:sz="4" w:space="0" w:color="auto"/>
              <w:right w:val="single" w:sz="4" w:space="0" w:color="auto"/>
            </w:tcBorders>
            <w:shd w:val="clear" w:color="000000" w:fill="C6EFCE"/>
            <w:noWrap/>
            <w:vAlign w:val="center"/>
          </w:tcPr>
          <w:p w14:paraId="5F1A4F2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16 - 4.5. Promote research and innovation - 16618_Basic &amp; Applied Research</w:t>
            </w:r>
          </w:p>
        </w:tc>
        <w:tc>
          <w:tcPr>
            <w:tcW w:w="1066" w:type="dxa"/>
            <w:tcBorders>
              <w:top w:val="nil"/>
              <w:left w:val="nil"/>
              <w:bottom w:val="single" w:sz="4" w:space="0" w:color="auto"/>
              <w:right w:val="single" w:sz="4" w:space="0" w:color="auto"/>
            </w:tcBorders>
            <w:shd w:val="clear" w:color="000000" w:fill="C6EFCE"/>
            <w:noWrap/>
            <w:vAlign w:val="center"/>
          </w:tcPr>
          <w:p w14:paraId="0F5B993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481260B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Legislation on Basic &amp; Applied Research</w:t>
            </w:r>
          </w:p>
        </w:tc>
      </w:tr>
      <w:tr w:rsidR="00682269" w:rsidRPr="00DE4E4F" w14:paraId="10AFBBAF"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5616B3D"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246</w:t>
            </w:r>
          </w:p>
        </w:tc>
        <w:tc>
          <w:tcPr>
            <w:tcW w:w="5730" w:type="dxa"/>
            <w:tcBorders>
              <w:top w:val="nil"/>
              <w:left w:val="nil"/>
              <w:bottom w:val="single" w:sz="4" w:space="0" w:color="auto"/>
              <w:right w:val="single" w:sz="4" w:space="0" w:color="auto"/>
            </w:tcBorders>
            <w:shd w:val="clear" w:color="000000" w:fill="C6EFCE"/>
            <w:noWrap/>
            <w:vAlign w:val="center"/>
          </w:tcPr>
          <w:p w14:paraId="455BE28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16 - 4.5. Promote research and innovation - 16624_Creation - Expansion – Upgrade of Infrastructures of Research Centers supervised by the General Secretariat for Research and Innovation (GSRI)</w:t>
            </w:r>
          </w:p>
        </w:tc>
        <w:tc>
          <w:tcPr>
            <w:tcW w:w="1066" w:type="dxa"/>
            <w:tcBorders>
              <w:top w:val="nil"/>
              <w:left w:val="nil"/>
              <w:bottom w:val="single" w:sz="4" w:space="0" w:color="auto"/>
              <w:right w:val="single" w:sz="4" w:space="0" w:color="auto"/>
            </w:tcBorders>
            <w:shd w:val="clear" w:color="000000" w:fill="C6EFCE"/>
            <w:noWrap/>
            <w:vAlign w:val="center"/>
          </w:tcPr>
          <w:p w14:paraId="710ED11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6078ADC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Call for proposals for Research Centres</w:t>
            </w:r>
          </w:p>
        </w:tc>
      </w:tr>
      <w:tr w:rsidR="00682269" w:rsidRPr="00DE4E4F" w14:paraId="37897172"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0BFDCE0"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292</w:t>
            </w:r>
          </w:p>
        </w:tc>
        <w:tc>
          <w:tcPr>
            <w:tcW w:w="5730" w:type="dxa"/>
            <w:tcBorders>
              <w:top w:val="nil"/>
              <w:left w:val="nil"/>
              <w:bottom w:val="single" w:sz="4" w:space="0" w:color="auto"/>
              <w:right w:val="single" w:sz="4" w:space="0" w:color="auto"/>
            </w:tcBorders>
            <w:shd w:val="clear" w:color="000000" w:fill="C6EFCE"/>
            <w:noWrap/>
            <w:vAlign w:val="center"/>
          </w:tcPr>
          <w:p w14:paraId="1B894EF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- 16931_Tourism Development</w:t>
            </w:r>
          </w:p>
        </w:tc>
        <w:tc>
          <w:tcPr>
            <w:tcW w:w="1066" w:type="dxa"/>
            <w:tcBorders>
              <w:top w:val="nil"/>
              <w:left w:val="nil"/>
              <w:bottom w:val="single" w:sz="4" w:space="0" w:color="auto"/>
              <w:right w:val="single" w:sz="4" w:space="0" w:color="auto"/>
            </w:tcBorders>
            <w:shd w:val="clear" w:color="000000" w:fill="C6EFCE"/>
            <w:noWrap/>
            <w:vAlign w:val="center"/>
          </w:tcPr>
          <w:p w14:paraId="7DA778E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1CD5221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Tourist development: reforms for tourist ports</w:t>
            </w:r>
          </w:p>
        </w:tc>
      </w:tr>
      <w:tr w:rsidR="00682269" w:rsidRPr="00DE4E4F" w14:paraId="6C9B8B28"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ED1F8E2"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300</w:t>
            </w:r>
          </w:p>
        </w:tc>
        <w:tc>
          <w:tcPr>
            <w:tcW w:w="5730" w:type="dxa"/>
            <w:tcBorders>
              <w:top w:val="nil"/>
              <w:left w:val="nil"/>
              <w:bottom w:val="single" w:sz="4" w:space="0" w:color="auto"/>
              <w:right w:val="single" w:sz="4" w:space="0" w:color="auto"/>
            </w:tcBorders>
            <w:shd w:val="clear" w:color="000000" w:fill="C6EFCE"/>
            <w:noWrap/>
            <w:vAlign w:val="center"/>
          </w:tcPr>
          <w:p w14:paraId="4845C11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- 16721_Acceleration of smart manufacturing</w:t>
            </w:r>
          </w:p>
        </w:tc>
        <w:tc>
          <w:tcPr>
            <w:tcW w:w="1066" w:type="dxa"/>
            <w:tcBorders>
              <w:top w:val="nil"/>
              <w:left w:val="nil"/>
              <w:bottom w:val="single" w:sz="4" w:space="0" w:color="auto"/>
              <w:right w:val="single" w:sz="4" w:space="0" w:color="auto"/>
            </w:tcBorders>
            <w:shd w:val="clear" w:color="000000" w:fill="C6EFCE"/>
            <w:noWrap/>
            <w:vAlign w:val="center"/>
          </w:tcPr>
          <w:p w14:paraId="370DFBD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2E82D7B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Launch of calls for manufacturing</w:t>
            </w:r>
          </w:p>
        </w:tc>
      </w:tr>
      <w:tr w:rsidR="00682269" w:rsidRPr="00DE4E4F" w14:paraId="6EA17739"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26367664"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301</w:t>
            </w:r>
          </w:p>
        </w:tc>
        <w:tc>
          <w:tcPr>
            <w:tcW w:w="5730" w:type="dxa"/>
            <w:tcBorders>
              <w:top w:val="nil"/>
              <w:left w:val="nil"/>
              <w:bottom w:val="single" w:sz="4" w:space="0" w:color="auto"/>
              <w:right w:val="single" w:sz="4" w:space="0" w:color="auto"/>
            </w:tcBorders>
            <w:shd w:val="clear" w:color="000000" w:fill="C6EFCE"/>
            <w:noWrap/>
            <w:vAlign w:val="center"/>
          </w:tcPr>
          <w:p w14:paraId="1268B3B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- 16634_New Industrial Parks</w:t>
            </w:r>
          </w:p>
        </w:tc>
        <w:tc>
          <w:tcPr>
            <w:tcW w:w="1066" w:type="dxa"/>
            <w:tcBorders>
              <w:top w:val="nil"/>
              <w:left w:val="nil"/>
              <w:bottom w:val="single" w:sz="4" w:space="0" w:color="auto"/>
              <w:right w:val="single" w:sz="4" w:space="0" w:color="auto"/>
            </w:tcBorders>
            <w:shd w:val="clear" w:color="000000" w:fill="C6EFCE"/>
            <w:noWrap/>
            <w:vAlign w:val="center"/>
          </w:tcPr>
          <w:p w14:paraId="55C3681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447C464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Launch of calls for Industrial parks</w:t>
            </w:r>
          </w:p>
        </w:tc>
      </w:tr>
      <w:tr w:rsidR="00682269" w:rsidRPr="00DE4E4F" w14:paraId="22FA48E3"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4367A697"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310</w:t>
            </w:r>
          </w:p>
        </w:tc>
        <w:tc>
          <w:tcPr>
            <w:tcW w:w="5730" w:type="dxa"/>
            <w:tcBorders>
              <w:top w:val="nil"/>
              <w:left w:val="nil"/>
              <w:bottom w:val="single" w:sz="4" w:space="0" w:color="auto"/>
              <w:right w:val="single" w:sz="4" w:space="0" w:color="auto"/>
            </w:tcBorders>
            <w:shd w:val="clear" w:color="000000" w:fill="C6EFCE"/>
            <w:noWrap/>
            <w:vAlign w:val="center"/>
          </w:tcPr>
          <w:p w14:paraId="7A6EC37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- 16626_Economic transformation on the Agricultural Sector</w:t>
            </w:r>
          </w:p>
        </w:tc>
        <w:tc>
          <w:tcPr>
            <w:tcW w:w="1066" w:type="dxa"/>
            <w:tcBorders>
              <w:top w:val="nil"/>
              <w:left w:val="nil"/>
              <w:bottom w:val="single" w:sz="4" w:space="0" w:color="auto"/>
              <w:right w:val="single" w:sz="4" w:space="0" w:color="auto"/>
            </w:tcBorders>
            <w:shd w:val="clear" w:color="000000" w:fill="C6EFCE"/>
            <w:noWrap/>
            <w:vAlign w:val="center"/>
          </w:tcPr>
          <w:p w14:paraId="064CEF6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5088964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Economic transformation of agriculture: Launching of the programme</w:t>
            </w:r>
          </w:p>
        </w:tc>
      </w:tr>
      <w:tr w:rsidR="00682269" w:rsidRPr="00DE4E4F" w14:paraId="11885686"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76CAE22F"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4</w:t>
            </w:r>
          </w:p>
        </w:tc>
        <w:tc>
          <w:tcPr>
            <w:tcW w:w="5730" w:type="dxa"/>
            <w:tcBorders>
              <w:top w:val="nil"/>
              <w:left w:val="nil"/>
              <w:bottom w:val="single" w:sz="4" w:space="0" w:color="auto"/>
              <w:right w:val="single" w:sz="4" w:space="0" w:color="auto"/>
            </w:tcBorders>
            <w:shd w:val="clear" w:color="000000" w:fill="C6EFCE"/>
            <w:noWrap/>
            <w:vAlign w:val="center"/>
          </w:tcPr>
          <w:p w14:paraId="60542E5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- 16865_Restructuring and enhancement of the RES CHP Account revenues</w:t>
            </w:r>
          </w:p>
        </w:tc>
        <w:tc>
          <w:tcPr>
            <w:tcW w:w="1066" w:type="dxa"/>
            <w:tcBorders>
              <w:top w:val="nil"/>
              <w:left w:val="nil"/>
              <w:bottom w:val="single" w:sz="4" w:space="0" w:color="auto"/>
              <w:right w:val="single" w:sz="4" w:space="0" w:color="auto"/>
            </w:tcBorders>
            <w:shd w:val="clear" w:color="000000" w:fill="C6EFCE"/>
            <w:noWrap/>
            <w:vAlign w:val="center"/>
          </w:tcPr>
          <w:p w14:paraId="1882B6D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69AC496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RES account — legislation to amend L. 4001/2011; entry into force of all relevant decisions, including codes, by ministries, by the National Regulatory Authority (RAE) and by the Administrator of Renewable Energy Sources and Guarantees of Origin (DAPEEP).</w:t>
            </w:r>
          </w:p>
        </w:tc>
      </w:tr>
      <w:tr w:rsidR="00682269" w:rsidRPr="00DE4E4F" w14:paraId="15077B5C"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66C1A50"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5</w:t>
            </w:r>
          </w:p>
        </w:tc>
        <w:tc>
          <w:tcPr>
            <w:tcW w:w="5730" w:type="dxa"/>
            <w:tcBorders>
              <w:top w:val="nil"/>
              <w:left w:val="nil"/>
              <w:bottom w:val="single" w:sz="4" w:space="0" w:color="auto"/>
              <w:right w:val="single" w:sz="4" w:space="0" w:color="auto"/>
            </w:tcBorders>
            <w:shd w:val="clear" w:color="000000" w:fill="C6EFCE"/>
            <w:noWrap/>
            <w:vAlign w:val="center"/>
          </w:tcPr>
          <w:p w14:paraId="6C3A3B6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- 16860_Streamline the efficient operation of the new electricity market model and the development of new RES plants to reach NECP targets through the implementation of monitoring mechanism, the participation of demand response and an extensive reform of the licensing procedure for new RES</w:t>
            </w:r>
          </w:p>
        </w:tc>
        <w:tc>
          <w:tcPr>
            <w:tcW w:w="1066" w:type="dxa"/>
            <w:tcBorders>
              <w:top w:val="nil"/>
              <w:left w:val="nil"/>
              <w:bottom w:val="single" w:sz="4" w:space="0" w:color="auto"/>
              <w:right w:val="single" w:sz="4" w:space="0" w:color="auto"/>
            </w:tcBorders>
            <w:shd w:val="clear" w:color="000000" w:fill="C6EFCE"/>
            <w:noWrap/>
            <w:vAlign w:val="center"/>
          </w:tcPr>
          <w:p w14:paraId="11062ED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3540E11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RES account — market reforms and simplification of licensing</w:t>
            </w:r>
          </w:p>
        </w:tc>
      </w:tr>
      <w:tr w:rsidR="00682269" w:rsidRPr="00DE4E4F" w14:paraId="525C7267"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5B1429A6"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138</w:t>
            </w:r>
          </w:p>
        </w:tc>
        <w:tc>
          <w:tcPr>
            <w:tcW w:w="5730" w:type="dxa"/>
            <w:tcBorders>
              <w:top w:val="nil"/>
              <w:left w:val="nil"/>
              <w:bottom w:val="single" w:sz="4" w:space="0" w:color="auto"/>
              <w:right w:val="single" w:sz="4" w:space="0" w:color="auto"/>
            </w:tcBorders>
            <w:shd w:val="clear" w:color="000000" w:fill="C6EFCE"/>
            <w:noWrap/>
            <w:vAlign w:val="center"/>
          </w:tcPr>
          <w:p w14:paraId="2F8EAC1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- 16913_A New Strategy for Lifelong Skilling: Modernising and Upgrading Greece’s Upskilling and Reskilling System</w:t>
            </w:r>
          </w:p>
        </w:tc>
        <w:tc>
          <w:tcPr>
            <w:tcW w:w="1066" w:type="dxa"/>
            <w:tcBorders>
              <w:top w:val="nil"/>
              <w:left w:val="nil"/>
              <w:bottom w:val="single" w:sz="4" w:space="0" w:color="auto"/>
              <w:right w:val="single" w:sz="4" w:space="0" w:color="auto"/>
            </w:tcBorders>
            <w:shd w:val="clear" w:color="000000" w:fill="C6EFCE"/>
            <w:noWrap/>
            <w:vAlign w:val="center"/>
          </w:tcPr>
          <w:p w14:paraId="0F6D69B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737E610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Lifelong learning strategy entry into force of legislation</w:t>
            </w:r>
          </w:p>
        </w:tc>
      </w:tr>
      <w:tr w:rsidR="00682269" w:rsidRPr="00DE4E4F" w14:paraId="7949353C"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3F9DA9D1"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202</w:t>
            </w:r>
          </w:p>
        </w:tc>
        <w:tc>
          <w:tcPr>
            <w:tcW w:w="5730" w:type="dxa"/>
            <w:tcBorders>
              <w:top w:val="nil"/>
              <w:left w:val="nil"/>
              <w:bottom w:val="single" w:sz="4" w:space="0" w:color="auto"/>
              <w:right w:val="single" w:sz="4" w:space="0" w:color="auto"/>
            </w:tcBorders>
            <w:shd w:val="clear" w:color="000000" w:fill="C6EFCE"/>
            <w:noWrap/>
            <w:vAlign w:val="center"/>
          </w:tcPr>
          <w:p w14:paraId="1E888CF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 4.1. Making taxes more growth friendly and improving tax administration and tax collection - 16643_Codification and simplification of tax legislation</w:t>
            </w:r>
          </w:p>
        </w:tc>
        <w:tc>
          <w:tcPr>
            <w:tcW w:w="1066" w:type="dxa"/>
            <w:tcBorders>
              <w:top w:val="nil"/>
              <w:left w:val="nil"/>
              <w:bottom w:val="single" w:sz="4" w:space="0" w:color="auto"/>
              <w:right w:val="single" w:sz="4" w:space="0" w:color="auto"/>
            </w:tcBorders>
            <w:shd w:val="clear" w:color="000000" w:fill="C6EFCE"/>
            <w:noWrap/>
            <w:vAlign w:val="center"/>
          </w:tcPr>
          <w:p w14:paraId="7793E77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0023D25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Raising capacity for tax codification</w:t>
            </w:r>
          </w:p>
        </w:tc>
      </w:tr>
      <w:tr w:rsidR="00682269" w:rsidRPr="00DE4E4F" w14:paraId="1BBE14BF"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088C32A4"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205</w:t>
            </w:r>
          </w:p>
        </w:tc>
        <w:tc>
          <w:tcPr>
            <w:tcW w:w="5730" w:type="dxa"/>
            <w:tcBorders>
              <w:top w:val="nil"/>
              <w:left w:val="nil"/>
              <w:bottom w:val="single" w:sz="4" w:space="0" w:color="auto"/>
              <w:right w:val="single" w:sz="4" w:space="0" w:color="auto"/>
            </w:tcBorders>
            <w:shd w:val="clear" w:color="000000" w:fill="C6EFCE"/>
            <w:noWrap/>
            <w:vAlign w:val="center"/>
          </w:tcPr>
          <w:p w14:paraId="057F786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066" w:type="dxa"/>
            <w:tcBorders>
              <w:top w:val="nil"/>
              <w:left w:val="nil"/>
              <w:bottom w:val="single" w:sz="4" w:space="0" w:color="auto"/>
              <w:right w:val="single" w:sz="4" w:space="0" w:color="auto"/>
            </w:tcBorders>
            <w:shd w:val="clear" w:color="000000" w:fill="C6EFCE"/>
            <w:noWrap/>
            <w:vAlign w:val="center"/>
          </w:tcPr>
          <w:p w14:paraId="063AAB1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13C2302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Public administration – launch of performance-pay system</w:t>
            </w:r>
          </w:p>
        </w:tc>
      </w:tr>
      <w:tr w:rsidR="00682269" w:rsidRPr="00DE4E4F" w14:paraId="3E02A66B"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000000" w:fill="C6EFCE"/>
            <w:noWrap/>
            <w:vAlign w:val="center"/>
          </w:tcPr>
          <w:p w14:paraId="662EAF49"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254</w:t>
            </w:r>
          </w:p>
        </w:tc>
        <w:tc>
          <w:tcPr>
            <w:tcW w:w="5730" w:type="dxa"/>
            <w:tcBorders>
              <w:top w:val="nil"/>
              <w:left w:val="nil"/>
              <w:bottom w:val="single" w:sz="4" w:space="0" w:color="auto"/>
              <w:right w:val="single" w:sz="4" w:space="0" w:color="auto"/>
            </w:tcBorders>
            <w:shd w:val="clear" w:color="000000" w:fill="C6EFCE"/>
            <w:noWrap/>
            <w:vAlign w:val="center"/>
          </w:tcPr>
          <w:p w14:paraId="280783C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- 16628_Central Greece Highway E-65: Trikala- Egnatia Section</w:t>
            </w:r>
          </w:p>
        </w:tc>
        <w:tc>
          <w:tcPr>
            <w:tcW w:w="1066" w:type="dxa"/>
            <w:tcBorders>
              <w:top w:val="nil"/>
              <w:left w:val="nil"/>
              <w:bottom w:val="single" w:sz="4" w:space="0" w:color="auto"/>
              <w:right w:val="single" w:sz="4" w:space="0" w:color="auto"/>
            </w:tcBorders>
            <w:shd w:val="clear" w:color="000000" w:fill="C6EFCE"/>
            <w:noWrap/>
            <w:vAlign w:val="center"/>
          </w:tcPr>
          <w:p w14:paraId="435801C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nil"/>
              <w:left w:val="nil"/>
              <w:bottom w:val="single" w:sz="4" w:space="0" w:color="auto"/>
              <w:right w:val="single" w:sz="4" w:space="0" w:color="auto"/>
            </w:tcBorders>
            <w:shd w:val="clear" w:color="000000" w:fill="C6EFCE"/>
            <w:noWrap/>
            <w:vAlign w:val="center"/>
          </w:tcPr>
          <w:p w14:paraId="2247F80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Start of construction works in E-65</w:t>
            </w:r>
          </w:p>
        </w:tc>
      </w:tr>
      <w:tr w:rsidR="00682269" w:rsidRPr="00DE4E4F" w14:paraId="3C969992"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06B71F1B"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264</w:t>
            </w:r>
          </w:p>
        </w:tc>
        <w:tc>
          <w:tcPr>
            <w:tcW w:w="5730" w:type="dxa"/>
            <w:tcBorders>
              <w:top w:val="single" w:sz="4" w:space="0" w:color="auto"/>
              <w:left w:val="nil"/>
              <w:bottom w:val="single" w:sz="4" w:space="0" w:color="auto"/>
              <w:right w:val="single" w:sz="4" w:space="0" w:color="auto"/>
            </w:tcBorders>
            <w:shd w:val="clear" w:color="000000" w:fill="C6EFCE"/>
            <w:noWrap/>
            <w:vAlign w:val="center"/>
          </w:tcPr>
          <w:p w14:paraId="3A31062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1066" w:type="dxa"/>
            <w:tcBorders>
              <w:top w:val="single" w:sz="4" w:space="0" w:color="auto"/>
              <w:left w:val="nil"/>
              <w:bottom w:val="single" w:sz="4" w:space="0" w:color="auto"/>
              <w:right w:val="single" w:sz="4" w:space="0" w:color="auto"/>
            </w:tcBorders>
            <w:shd w:val="clear" w:color="000000" w:fill="C6EFCE"/>
            <w:noWrap/>
            <w:vAlign w:val="center"/>
          </w:tcPr>
          <w:p w14:paraId="05C6F57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366" w:type="dxa"/>
            <w:tcBorders>
              <w:top w:val="single" w:sz="4" w:space="0" w:color="auto"/>
              <w:left w:val="nil"/>
              <w:bottom w:val="single" w:sz="4" w:space="0" w:color="auto"/>
              <w:right w:val="single" w:sz="4" w:space="0" w:color="auto"/>
            </w:tcBorders>
            <w:shd w:val="clear" w:color="000000" w:fill="C6EFCE"/>
            <w:noWrap/>
            <w:vAlign w:val="center"/>
          </w:tcPr>
          <w:p w14:paraId="3CC3BF8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Railways reform law</w:t>
            </w:r>
          </w:p>
        </w:tc>
      </w:tr>
      <w:tr w:rsidR="00682269" w:rsidRPr="00DE4E4F" w14:paraId="52974D9A"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88E4A7B"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573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5CC45BA" w14:textId="77777777" w:rsidR="001B186F" w:rsidRPr="00DE4E4F" w:rsidRDefault="001B186F" w:rsidP="007E1411">
            <w:pPr>
              <w:keepNext/>
              <w:spacing w:before="40" w:after="0" w:line="240" w:lineRule="auto"/>
              <w:jc w:val="both"/>
              <w:rPr>
                <w:rFonts w:ascii="Times New Roman" w:eastAsia="Times New Roman" w:hAnsi="Times New Roman" w:cs="Times New Roman"/>
                <w:bCs/>
                <w:noProof/>
                <w:sz w:val="18"/>
                <w:szCs w:val="18"/>
                <w:lang w:eastAsia="en-GB"/>
              </w:rPr>
            </w:pPr>
          </w:p>
        </w:tc>
        <w:tc>
          <w:tcPr>
            <w:tcW w:w="10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89B998F"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36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545EC42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1 974 438 067</w:t>
            </w:r>
          </w:p>
        </w:tc>
      </w:tr>
    </w:tbl>
    <w:p w14:paraId="1188F373" w14:textId="77777777" w:rsidR="001B186F" w:rsidRPr="00DE4E4F" w:rsidRDefault="001B186F">
      <w:pPr>
        <w:keepNext/>
        <w:numPr>
          <w:ilvl w:val="1"/>
          <w:numId w:val="93"/>
        </w:numPr>
        <w:spacing w:before="40" w:after="160" w:line="259" w:lineRule="auto"/>
        <w:ind w:left="0"/>
        <w:contextualSpacing/>
        <w:jc w:val="both"/>
        <w:rPr>
          <w:rFonts w:ascii="Times New Roman" w:hAnsi="Times New Roman"/>
          <w:noProof/>
          <w:sz w:val="24"/>
        </w:rPr>
        <w:sectPr w:rsidR="001B186F" w:rsidRPr="00DE4E4F">
          <w:headerReference w:type="even" r:id="rId432"/>
          <w:headerReference w:type="default" r:id="rId433"/>
          <w:footerReference w:type="even" r:id="rId434"/>
          <w:footerReference w:type="default" r:id="rId435"/>
          <w:headerReference w:type="first" r:id="rId436"/>
          <w:footerReference w:type="first" r:id="rId437"/>
          <w:pgSz w:w="11906" w:h="16838"/>
          <w:pgMar w:top="1134" w:right="1134" w:bottom="1134" w:left="1134" w:header="567" w:footer="567" w:gutter="0"/>
          <w:cols w:space="708"/>
          <w:docGrid w:linePitch="360"/>
        </w:sectPr>
      </w:pPr>
    </w:p>
    <w:p w14:paraId="4DF048D6" w14:textId="77777777" w:rsidR="001B186F" w:rsidRPr="00DE4E4F" w:rsidRDefault="0074517F">
      <w:pPr>
        <w:keepNext/>
        <w:numPr>
          <w:ilvl w:val="1"/>
          <w:numId w:val="93"/>
        </w:numPr>
        <w:spacing w:before="40" w:after="160" w:line="259" w:lineRule="auto"/>
        <w:ind w:left="0"/>
        <w:contextualSpacing/>
        <w:jc w:val="both"/>
        <w:rPr>
          <w:rFonts w:ascii="Times New Roman" w:hAnsi="Times New Roman"/>
          <w:noProof/>
          <w:sz w:val="24"/>
        </w:rPr>
      </w:pPr>
      <w:r w:rsidRPr="00DE4E4F">
        <w:rPr>
          <w:rFonts w:ascii="Times New Roman" w:hAnsi="Times New Roman"/>
          <w:noProof/>
          <w:sz w:val="24"/>
        </w:rPr>
        <w:t xml:space="preserve"> Third Payment Request (non-repayable support):</w:t>
      </w:r>
    </w:p>
    <w:p w14:paraId="16270D37" w14:textId="77777777" w:rsidR="001B186F" w:rsidRPr="00DE4E4F" w:rsidRDefault="001B186F">
      <w:pPr>
        <w:keepNext/>
        <w:spacing w:before="40" w:after="160" w:line="259" w:lineRule="auto"/>
        <w:contextualSpacing/>
        <w:jc w:val="both"/>
        <w:rPr>
          <w:rFonts w:ascii="Times New Roman" w:hAnsi="Times New Roman"/>
          <w:noProof/>
          <w:sz w:val="24"/>
        </w:rPr>
      </w:pPr>
    </w:p>
    <w:tbl>
      <w:tblPr>
        <w:tblW w:w="9624" w:type="dxa"/>
        <w:jc w:val="center"/>
        <w:tblLook w:val="04A0" w:firstRow="1" w:lastRow="0" w:firstColumn="1" w:lastColumn="0" w:noHBand="0" w:noVBand="1"/>
      </w:tblPr>
      <w:tblGrid>
        <w:gridCol w:w="542"/>
        <w:gridCol w:w="4838"/>
        <w:gridCol w:w="1134"/>
        <w:gridCol w:w="3110"/>
      </w:tblGrid>
      <w:tr w:rsidR="00682269" w:rsidRPr="00DE4E4F" w14:paraId="2C3F2AC5" w14:textId="77777777" w:rsidTr="004E489F">
        <w:trPr>
          <w:trHeight w:val="906"/>
          <w:tblHeader/>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32B7CA"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4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C1C527"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B56446"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3110" w:type="dxa"/>
            <w:vMerge w:val="restart"/>
            <w:tcBorders>
              <w:top w:val="single" w:sz="4" w:space="0" w:color="auto"/>
              <w:left w:val="nil"/>
              <w:bottom w:val="single" w:sz="4" w:space="0" w:color="auto"/>
              <w:right w:val="single" w:sz="4" w:space="0" w:color="auto"/>
            </w:tcBorders>
            <w:shd w:val="clear" w:color="auto" w:fill="BDD7EE"/>
            <w:vAlign w:val="center"/>
            <w:hideMark/>
          </w:tcPr>
          <w:p w14:paraId="70D4BC0D"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32058344" w14:textId="77777777" w:rsidTr="004E489F">
        <w:trPr>
          <w:trHeight w:val="269"/>
          <w:jc w:val="center"/>
        </w:trPr>
        <w:tc>
          <w:tcPr>
            <w:tcW w:w="542" w:type="dxa"/>
            <w:vMerge/>
            <w:tcBorders>
              <w:top w:val="single" w:sz="4" w:space="0" w:color="auto"/>
              <w:left w:val="single" w:sz="4" w:space="0" w:color="auto"/>
              <w:bottom w:val="single" w:sz="4" w:space="0" w:color="auto"/>
              <w:right w:val="single" w:sz="4" w:space="0" w:color="auto"/>
            </w:tcBorders>
            <w:vAlign w:val="center"/>
            <w:hideMark/>
          </w:tcPr>
          <w:p w14:paraId="0E589EB6"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4838" w:type="dxa"/>
            <w:vMerge/>
            <w:tcBorders>
              <w:top w:val="single" w:sz="4" w:space="0" w:color="auto"/>
              <w:left w:val="single" w:sz="4" w:space="0" w:color="auto"/>
              <w:bottom w:val="single" w:sz="4" w:space="0" w:color="auto"/>
              <w:right w:val="single" w:sz="4" w:space="0" w:color="auto"/>
            </w:tcBorders>
            <w:vAlign w:val="center"/>
            <w:hideMark/>
          </w:tcPr>
          <w:p w14:paraId="78CD691B"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462B77"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3110" w:type="dxa"/>
            <w:vMerge/>
            <w:tcBorders>
              <w:top w:val="single" w:sz="4" w:space="0" w:color="auto"/>
              <w:left w:val="single" w:sz="4" w:space="0" w:color="auto"/>
              <w:bottom w:val="single" w:sz="4" w:space="0" w:color="auto"/>
              <w:right w:val="single" w:sz="4" w:space="0" w:color="auto"/>
            </w:tcBorders>
            <w:vAlign w:val="center"/>
            <w:hideMark/>
          </w:tcPr>
          <w:p w14:paraId="4DFE5B68"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2D4AE625" w14:textId="77777777" w:rsidTr="004E489F">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9A36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21</w:t>
            </w:r>
          </w:p>
        </w:tc>
        <w:tc>
          <w:tcPr>
            <w:tcW w:w="4838" w:type="dxa"/>
            <w:tcBorders>
              <w:top w:val="single" w:sz="4" w:space="0" w:color="auto"/>
              <w:left w:val="nil"/>
              <w:bottom w:val="single" w:sz="4" w:space="0" w:color="auto"/>
              <w:right w:val="single" w:sz="4" w:space="0" w:color="auto"/>
            </w:tcBorders>
            <w:shd w:val="clear" w:color="auto" w:fill="C6EFCE"/>
            <w:noWrap/>
            <w:vAlign w:val="center"/>
          </w:tcPr>
          <w:p w14:paraId="734EFFE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- 16872_Energy renovation on residential buildings</w:t>
            </w:r>
          </w:p>
        </w:tc>
        <w:tc>
          <w:tcPr>
            <w:tcW w:w="1134" w:type="dxa"/>
            <w:tcBorders>
              <w:top w:val="single" w:sz="4" w:space="0" w:color="auto"/>
              <w:left w:val="nil"/>
              <w:bottom w:val="single" w:sz="4" w:space="0" w:color="auto"/>
              <w:right w:val="single" w:sz="4" w:space="0" w:color="auto"/>
            </w:tcBorders>
            <w:shd w:val="clear" w:color="auto" w:fill="C6EFCE"/>
            <w:noWrap/>
            <w:vAlign w:val="center"/>
          </w:tcPr>
          <w:p w14:paraId="38BD594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3110" w:type="dxa"/>
            <w:tcBorders>
              <w:top w:val="single" w:sz="4" w:space="0" w:color="auto"/>
              <w:left w:val="nil"/>
              <w:bottom w:val="single" w:sz="4" w:space="0" w:color="auto"/>
              <w:right w:val="single" w:sz="4" w:space="0" w:color="auto"/>
            </w:tcBorders>
            <w:shd w:val="clear" w:color="auto" w:fill="C6EFCE"/>
            <w:noWrap/>
            <w:vAlign w:val="center"/>
          </w:tcPr>
          <w:p w14:paraId="5316D08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Residential renovation – 2nd round launch including energy poor households</w:t>
            </w:r>
          </w:p>
        </w:tc>
      </w:tr>
      <w:tr w:rsidR="00682269" w:rsidRPr="00DE4E4F" w14:paraId="641635BD"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D6BF32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45</w:t>
            </w:r>
          </w:p>
        </w:tc>
        <w:tc>
          <w:tcPr>
            <w:tcW w:w="4838" w:type="dxa"/>
            <w:tcBorders>
              <w:top w:val="nil"/>
              <w:left w:val="nil"/>
              <w:bottom w:val="single" w:sz="4" w:space="0" w:color="auto"/>
              <w:right w:val="single" w:sz="4" w:space="0" w:color="auto"/>
            </w:tcBorders>
            <w:shd w:val="clear" w:color="auto" w:fill="C6EFCE"/>
            <w:noWrap/>
            <w:vAlign w:val="center"/>
          </w:tcPr>
          <w:p w14:paraId="215B231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405DE4A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D189B9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Public transport – implementation of new market regulation for Public Service Obligation (busses)</w:t>
            </w:r>
          </w:p>
        </w:tc>
      </w:tr>
      <w:tr w:rsidR="00682269" w:rsidRPr="00DE4E4F" w14:paraId="25481D41"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31888E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57</w:t>
            </w:r>
          </w:p>
        </w:tc>
        <w:tc>
          <w:tcPr>
            <w:tcW w:w="4838" w:type="dxa"/>
            <w:tcBorders>
              <w:top w:val="nil"/>
              <w:left w:val="nil"/>
              <w:bottom w:val="single" w:sz="4" w:space="0" w:color="auto"/>
              <w:right w:val="single" w:sz="4" w:space="0" w:color="auto"/>
            </w:tcBorders>
            <w:shd w:val="clear" w:color="auto" w:fill="C6EFCE"/>
            <w:noWrap/>
            <w:vAlign w:val="center"/>
          </w:tcPr>
          <w:p w14:paraId="1F49A9D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- 16772_Waste management law for the implementation of sustainable landfilling and recycling</w:t>
            </w:r>
          </w:p>
        </w:tc>
        <w:tc>
          <w:tcPr>
            <w:tcW w:w="1134" w:type="dxa"/>
            <w:tcBorders>
              <w:top w:val="nil"/>
              <w:left w:val="nil"/>
              <w:bottom w:val="single" w:sz="4" w:space="0" w:color="auto"/>
              <w:right w:val="single" w:sz="4" w:space="0" w:color="auto"/>
            </w:tcBorders>
            <w:shd w:val="clear" w:color="auto" w:fill="C6EFCE"/>
            <w:noWrap/>
            <w:vAlign w:val="center"/>
          </w:tcPr>
          <w:p w14:paraId="68056A5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2CE095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Entry into force of waste management regulator law</w:t>
            </w:r>
          </w:p>
        </w:tc>
      </w:tr>
      <w:tr w:rsidR="00682269" w:rsidRPr="00DE4E4F" w14:paraId="0AD3E1FF"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A96FC4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85</w:t>
            </w:r>
          </w:p>
        </w:tc>
        <w:tc>
          <w:tcPr>
            <w:tcW w:w="4838" w:type="dxa"/>
            <w:tcBorders>
              <w:top w:val="nil"/>
              <w:left w:val="nil"/>
              <w:bottom w:val="single" w:sz="4" w:space="0" w:color="auto"/>
              <w:right w:val="single" w:sz="4" w:space="0" w:color="auto"/>
            </w:tcBorders>
            <w:shd w:val="clear" w:color="auto" w:fill="C6EFCE"/>
            <w:noWrap/>
            <w:vAlign w:val="center"/>
          </w:tcPr>
          <w:p w14:paraId="6D58724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5 - 2.1. Connect - 16818_Fiber optic infrastructure in buildings</w:t>
            </w:r>
          </w:p>
        </w:tc>
        <w:tc>
          <w:tcPr>
            <w:tcW w:w="1134" w:type="dxa"/>
            <w:tcBorders>
              <w:top w:val="nil"/>
              <w:left w:val="nil"/>
              <w:bottom w:val="single" w:sz="4" w:space="0" w:color="auto"/>
              <w:right w:val="single" w:sz="4" w:space="0" w:color="auto"/>
            </w:tcBorders>
            <w:shd w:val="clear" w:color="auto" w:fill="C6EFCE"/>
            <w:noWrap/>
            <w:vAlign w:val="center"/>
          </w:tcPr>
          <w:p w14:paraId="7524E2C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231C2C1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Award of contract(s) for the ‘Fiber optic infrastructure in buildings’ project</w:t>
            </w:r>
          </w:p>
        </w:tc>
      </w:tr>
      <w:tr w:rsidR="00682269" w:rsidRPr="00DE4E4F" w14:paraId="3A4D70CD"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91A83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96</w:t>
            </w:r>
          </w:p>
        </w:tc>
        <w:tc>
          <w:tcPr>
            <w:tcW w:w="4838" w:type="dxa"/>
            <w:tcBorders>
              <w:top w:val="nil"/>
              <w:left w:val="nil"/>
              <w:bottom w:val="single" w:sz="4" w:space="0" w:color="auto"/>
              <w:right w:val="single" w:sz="4" w:space="0" w:color="auto"/>
            </w:tcBorders>
            <w:shd w:val="clear" w:color="auto" w:fill="C6EFCE"/>
            <w:noWrap/>
            <w:vAlign w:val="center"/>
          </w:tcPr>
          <w:p w14:paraId="57EFF34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- 16929_Towards Public Administration’s “customer”-oriented services through simplification and improvement of processes, systems enhancements and compliance with European strategies and policies</w:t>
            </w:r>
          </w:p>
        </w:tc>
        <w:tc>
          <w:tcPr>
            <w:tcW w:w="1134" w:type="dxa"/>
            <w:tcBorders>
              <w:top w:val="nil"/>
              <w:left w:val="nil"/>
              <w:bottom w:val="single" w:sz="4" w:space="0" w:color="auto"/>
              <w:right w:val="single" w:sz="4" w:space="0" w:color="auto"/>
            </w:tcBorders>
            <w:shd w:val="clear" w:color="auto" w:fill="C6EFCE"/>
            <w:noWrap/>
            <w:vAlign w:val="center"/>
          </w:tcPr>
          <w:p w14:paraId="2B54601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5EF6BA1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Set up of the national registry of procedures and implementation of national plan for process simplification (first phase)</w:t>
            </w:r>
          </w:p>
        </w:tc>
      </w:tr>
      <w:tr w:rsidR="00682269" w:rsidRPr="00DE4E4F" w14:paraId="5765CDF7"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7ED32A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142</w:t>
            </w:r>
          </w:p>
        </w:tc>
        <w:tc>
          <w:tcPr>
            <w:tcW w:w="4838" w:type="dxa"/>
            <w:tcBorders>
              <w:top w:val="nil"/>
              <w:left w:val="nil"/>
              <w:bottom w:val="single" w:sz="4" w:space="0" w:color="auto"/>
              <w:right w:val="single" w:sz="4" w:space="0" w:color="auto"/>
            </w:tcBorders>
            <w:shd w:val="clear" w:color="auto" w:fill="C6EFCE"/>
            <w:noWrap/>
            <w:vAlign w:val="center"/>
          </w:tcPr>
          <w:p w14:paraId="71BD03C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8 - 3.1. Promote job creation and participation in the labour market - 16746_Reform of Passive Labour Market Policies to Support Transitions to Employment</w:t>
            </w:r>
          </w:p>
        </w:tc>
        <w:tc>
          <w:tcPr>
            <w:tcW w:w="1134" w:type="dxa"/>
            <w:tcBorders>
              <w:top w:val="nil"/>
              <w:left w:val="nil"/>
              <w:bottom w:val="single" w:sz="4" w:space="0" w:color="auto"/>
              <w:right w:val="single" w:sz="4" w:space="0" w:color="auto"/>
            </w:tcBorders>
            <w:shd w:val="clear" w:color="auto" w:fill="C6EFCE"/>
            <w:noWrap/>
            <w:vAlign w:val="center"/>
          </w:tcPr>
          <w:p w14:paraId="7B463A8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50408CC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Mutual obligation framework reform entry into force of legislation </w:t>
            </w:r>
          </w:p>
        </w:tc>
      </w:tr>
      <w:tr w:rsidR="00682269" w:rsidRPr="00DE4E4F" w14:paraId="0201F32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79B597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191</w:t>
            </w:r>
          </w:p>
        </w:tc>
        <w:tc>
          <w:tcPr>
            <w:tcW w:w="4838" w:type="dxa"/>
            <w:tcBorders>
              <w:top w:val="nil"/>
              <w:left w:val="nil"/>
              <w:bottom w:val="single" w:sz="4" w:space="0" w:color="auto"/>
              <w:right w:val="single" w:sz="4" w:space="0" w:color="auto"/>
            </w:tcBorders>
            <w:shd w:val="clear" w:color="auto" w:fill="C6EFCE"/>
            <w:noWrap/>
            <w:vAlign w:val="center"/>
          </w:tcPr>
          <w:p w14:paraId="1DC50BA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- 16656_New framework for the fight against smuggling, mainly for products subject to excise duties (tobacco, alcohol and energy)</w:t>
            </w:r>
          </w:p>
        </w:tc>
        <w:tc>
          <w:tcPr>
            <w:tcW w:w="1134" w:type="dxa"/>
            <w:tcBorders>
              <w:top w:val="nil"/>
              <w:left w:val="nil"/>
              <w:bottom w:val="single" w:sz="4" w:space="0" w:color="auto"/>
              <w:right w:val="single" w:sz="4" w:space="0" w:color="auto"/>
            </w:tcBorders>
            <w:shd w:val="clear" w:color="auto" w:fill="C6EFCE"/>
            <w:noWrap/>
            <w:vAlign w:val="center"/>
          </w:tcPr>
          <w:p w14:paraId="2B5D715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AD1143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Fight against smuggling – adoption of regulatory decisions</w:t>
            </w:r>
          </w:p>
        </w:tc>
      </w:tr>
      <w:tr w:rsidR="00682269" w:rsidRPr="00DE4E4F" w14:paraId="78211A02"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FDAD3B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206</w:t>
            </w:r>
          </w:p>
        </w:tc>
        <w:tc>
          <w:tcPr>
            <w:tcW w:w="4838" w:type="dxa"/>
            <w:tcBorders>
              <w:top w:val="nil"/>
              <w:left w:val="nil"/>
              <w:bottom w:val="single" w:sz="4" w:space="0" w:color="auto"/>
              <w:right w:val="single" w:sz="4" w:space="0" w:color="auto"/>
            </w:tcBorders>
            <w:shd w:val="clear" w:color="auto" w:fill="C6EFCE"/>
            <w:noWrap/>
            <w:vAlign w:val="center"/>
          </w:tcPr>
          <w:p w14:paraId="28F939E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134" w:type="dxa"/>
            <w:tcBorders>
              <w:top w:val="nil"/>
              <w:left w:val="nil"/>
              <w:bottom w:val="single" w:sz="4" w:space="0" w:color="auto"/>
              <w:right w:val="single" w:sz="4" w:space="0" w:color="auto"/>
            </w:tcBorders>
            <w:shd w:val="clear" w:color="auto" w:fill="C6EFCE"/>
            <w:noWrap/>
            <w:vAlign w:val="center"/>
          </w:tcPr>
          <w:p w14:paraId="7C2F074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337A0D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Public administration – legislative framework to clarify mandates</w:t>
            </w:r>
          </w:p>
        </w:tc>
      </w:tr>
      <w:tr w:rsidR="00682269" w:rsidRPr="00DE4E4F" w14:paraId="08661FF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8EFC5C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209</w:t>
            </w:r>
          </w:p>
        </w:tc>
        <w:tc>
          <w:tcPr>
            <w:tcW w:w="4838" w:type="dxa"/>
            <w:tcBorders>
              <w:top w:val="nil"/>
              <w:left w:val="nil"/>
              <w:bottom w:val="single" w:sz="4" w:space="0" w:color="auto"/>
              <w:right w:val="single" w:sz="4" w:space="0" w:color="auto"/>
            </w:tcBorders>
            <w:shd w:val="clear" w:color="auto" w:fill="C6EFCE"/>
            <w:noWrap/>
            <w:vAlign w:val="center"/>
          </w:tcPr>
          <w:p w14:paraId="1182168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- 16978_Efficient Combating of Corruption</w:t>
            </w:r>
          </w:p>
        </w:tc>
        <w:tc>
          <w:tcPr>
            <w:tcW w:w="1134" w:type="dxa"/>
            <w:tcBorders>
              <w:top w:val="nil"/>
              <w:left w:val="nil"/>
              <w:bottom w:val="single" w:sz="4" w:space="0" w:color="auto"/>
              <w:right w:val="single" w:sz="4" w:space="0" w:color="auto"/>
            </w:tcBorders>
            <w:shd w:val="clear" w:color="auto" w:fill="C6EFCE"/>
            <w:noWrap/>
            <w:vAlign w:val="center"/>
          </w:tcPr>
          <w:p w14:paraId="46A68F8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7EDD3C7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Asset declarations and political parties</w:t>
            </w:r>
          </w:p>
        </w:tc>
      </w:tr>
      <w:tr w:rsidR="00682269" w:rsidRPr="00DE4E4F" w14:paraId="592159B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0E5F69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210</w:t>
            </w:r>
          </w:p>
        </w:tc>
        <w:tc>
          <w:tcPr>
            <w:tcW w:w="4838" w:type="dxa"/>
            <w:tcBorders>
              <w:top w:val="nil"/>
              <w:left w:val="nil"/>
              <w:bottom w:val="single" w:sz="4" w:space="0" w:color="auto"/>
              <w:right w:val="single" w:sz="4" w:space="0" w:color="auto"/>
            </w:tcBorders>
            <w:shd w:val="clear" w:color="auto" w:fill="C6EFCE"/>
            <w:noWrap/>
            <w:vAlign w:val="center"/>
          </w:tcPr>
          <w:p w14:paraId="2130E15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134" w:type="dxa"/>
            <w:tcBorders>
              <w:top w:val="nil"/>
              <w:left w:val="nil"/>
              <w:bottom w:val="single" w:sz="4" w:space="0" w:color="auto"/>
              <w:right w:val="single" w:sz="4" w:space="0" w:color="auto"/>
            </w:tcBorders>
            <w:shd w:val="clear" w:color="auto" w:fill="C6EFCE"/>
            <w:noWrap/>
            <w:vAlign w:val="center"/>
          </w:tcPr>
          <w:p w14:paraId="6B42413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7CDB18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National anti-corruption action plan</w:t>
            </w:r>
          </w:p>
        </w:tc>
      </w:tr>
      <w:tr w:rsidR="00682269" w:rsidRPr="00DE4E4F" w14:paraId="098383A2"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F7CC0F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223</w:t>
            </w:r>
          </w:p>
        </w:tc>
        <w:tc>
          <w:tcPr>
            <w:tcW w:w="4838" w:type="dxa"/>
            <w:tcBorders>
              <w:top w:val="nil"/>
              <w:left w:val="nil"/>
              <w:bottom w:val="single" w:sz="4" w:space="0" w:color="auto"/>
              <w:right w:val="single" w:sz="4" w:space="0" w:color="auto"/>
            </w:tcBorders>
            <w:shd w:val="clear" w:color="auto" w:fill="C6EFCE"/>
            <w:noWrap/>
            <w:vAlign w:val="center"/>
          </w:tcPr>
          <w:p w14:paraId="20038FA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- 16575 Accelerating the administration of justice</w:t>
            </w:r>
          </w:p>
        </w:tc>
        <w:tc>
          <w:tcPr>
            <w:tcW w:w="1134" w:type="dxa"/>
            <w:tcBorders>
              <w:top w:val="nil"/>
              <w:left w:val="nil"/>
              <w:bottom w:val="single" w:sz="4" w:space="0" w:color="auto"/>
              <w:right w:val="single" w:sz="4" w:space="0" w:color="auto"/>
            </w:tcBorders>
            <w:shd w:val="clear" w:color="auto" w:fill="C6EFCE"/>
            <w:noWrap/>
            <w:vAlign w:val="center"/>
          </w:tcPr>
          <w:p w14:paraId="43AA13D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EC7FEB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Technical support - Judicial Performance Tool</w:t>
            </w:r>
          </w:p>
        </w:tc>
      </w:tr>
      <w:tr w:rsidR="00682269" w:rsidRPr="00DE4E4F" w14:paraId="31379B2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5D868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225</w:t>
            </w:r>
          </w:p>
        </w:tc>
        <w:tc>
          <w:tcPr>
            <w:tcW w:w="4838" w:type="dxa"/>
            <w:tcBorders>
              <w:top w:val="nil"/>
              <w:left w:val="nil"/>
              <w:bottom w:val="single" w:sz="4" w:space="0" w:color="auto"/>
              <w:right w:val="single" w:sz="4" w:space="0" w:color="auto"/>
            </w:tcBorders>
            <w:shd w:val="clear" w:color="auto" w:fill="C6EFCE"/>
            <w:noWrap/>
            <w:vAlign w:val="center"/>
          </w:tcPr>
          <w:p w14:paraId="3FFF27D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16575 Accelerating the administration of justice</w:t>
            </w:r>
          </w:p>
        </w:tc>
        <w:tc>
          <w:tcPr>
            <w:tcW w:w="1134" w:type="dxa"/>
            <w:tcBorders>
              <w:top w:val="nil"/>
              <w:left w:val="nil"/>
              <w:bottom w:val="single" w:sz="4" w:space="0" w:color="auto"/>
              <w:right w:val="single" w:sz="4" w:space="0" w:color="auto"/>
            </w:tcBorders>
            <w:shd w:val="clear" w:color="auto" w:fill="C6EFCE"/>
            <w:noWrap/>
            <w:vAlign w:val="center"/>
          </w:tcPr>
          <w:p w14:paraId="3AA71B9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7D9950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Judicial Police – Secondary legislation </w:t>
            </w:r>
          </w:p>
        </w:tc>
      </w:tr>
      <w:tr w:rsidR="00682269" w:rsidRPr="00DE4E4F" w14:paraId="7111263B"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478D3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278</w:t>
            </w:r>
          </w:p>
        </w:tc>
        <w:tc>
          <w:tcPr>
            <w:tcW w:w="4838" w:type="dxa"/>
            <w:tcBorders>
              <w:top w:val="nil"/>
              <w:left w:val="nil"/>
              <w:bottom w:val="single" w:sz="4" w:space="0" w:color="auto"/>
              <w:right w:val="single" w:sz="4" w:space="0" w:color="auto"/>
            </w:tcBorders>
            <w:shd w:val="clear" w:color="auto" w:fill="C6EFCE"/>
            <w:noWrap/>
            <w:vAlign w:val="center"/>
          </w:tcPr>
          <w:p w14:paraId="7D02633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- 16715_Labor Reform in the Cultural Sector</w:t>
            </w:r>
          </w:p>
        </w:tc>
        <w:tc>
          <w:tcPr>
            <w:tcW w:w="1134" w:type="dxa"/>
            <w:tcBorders>
              <w:top w:val="nil"/>
              <w:left w:val="nil"/>
              <w:bottom w:val="single" w:sz="4" w:space="0" w:color="auto"/>
              <w:right w:val="single" w:sz="4" w:space="0" w:color="auto"/>
            </w:tcBorders>
            <w:shd w:val="clear" w:color="auto" w:fill="C6EFCE"/>
            <w:noWrap/>
            <w:vAlign w:val="center"/>
          </w:tcPr>
          <w:p w14:paraId="5FA4C05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4E74C75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Legislation for Labour Reform in the Cultural sector</w:t>
            </w:r>
          </w:p>
        </w:tc>
      </w:tr>
      <w:tr w:rsidR="00682269" w:rsidRPr="00DE4E4F" w14:paraId="333D4859"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9F4916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302</w:t>
            </w:r>
          </w:p>
        </w:tc>
        <w:tc>
          <w:tcPr>
            <w:tcW w:w="4838" w:type="dxa"/>
            <w:tcBorders>
              <w:top w:val="nil"/>
              <w:left w:val="nil"/>
              <w:bottom w:val="single" w:sz="4" w:space="0" w:color="auto"/>
              <w:right w:val="single" w:sz="4" w:space="0" w:color="auto"/>
            </w:tcBorders>
            <w:shd w:val="clear" w:color="auto" w:fill="C6EFCE"/>
            <w:noWrap/>
            <w:vAlign w:val="center"/>
          </w:tcPr>
          <w:p w14:paraId="767B12E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- 16634_New Industrial Parks</w:t>
            </w:r>
          </w:p>
        </w:tc>
        <w:tc>
          <w:tcPr>
            <w:tcW w:w="1134" w:type="dxa"/>
            <w:tcBorders>
              <w:top w:val="nil"/>
              <w:left w:val="nil"/>
              <w:bottom w:val="single" w:sz="4" w:space="0" w:color="auto"/>
              <w:right w:val="single" w:sz="4" w:space="0" w:color="auto"/>
            </w:tcBorders>
            <w:shd w:val="clear" w:color="auto" w:fill="C6EFCE"/>
            <w:noWrap/>
            <w:vAlign w:val="center"/>
          </w:tcPr>
          <w:p w14:paraId="6A90223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67EA2E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Industrial Parks – legislative reform (primary law)</w:t>
            </w:r>
          </w:p>
        </w:tc>
      </w:tr>
      <w:tr w:rsidR="00682269" w:rsidRPr="00DE4E4F" w14:paraId="26B83AB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10D478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311</w:t>
            </w:r>
          </w:p>
        </w:tc>
        <w:tc>
          <w:tcPr>
            <w:tcW w:w="4838" w:type="dxa"/>
            <w:tcBorders>
              <w:top w:val="nil"/>
              <w:left w:val="nil"/>
              <w:bottom w:val="single" w:sz="4" w:space="0" w:color="auto"/>
              <w:right w:val="single" w:sz="4" w:space="0" w:color="auto"/>
            </w:tcBorders>
            <w:shd w:val="clear" w:color="auto" w:fill="C6EFCE"/>
            <w:noWrap/>
            <w:vAlign w:val="center"/>
          </w:tcPr>
          <w:p w14:paraId="057E3E5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 17 - 4.6. Modernise and improve resilience of key economic sectors - 16653_Digital Transformation of the Agri-Food Sector </w:t>
            </w:r>
          </w:p>
        </w:tc>
        <w:tc>
          <w:tcPr>
            <w:tcW w:w="1134" w:type="dxa"/>
            <w:tcBorders>
              <w:top w:val="nil"/>
              <w:left w:val="nil"/>
              <w:bottom w:val="single" w:sz="4" w:space="0" w:color="auto"/>
              <w:right w:val="single" w:sz="4" w:space="0" w:color="auto"/>
            </w:tcBorders>
            <w:shd w:val="clear" w:color="auto" w:fill="C6EFCE"/>
            <w:noWrap/>
            <w:vAlign w:val="center"/>
          </w:tcPr>
          <w:p w14:paraId="572B6FB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868C77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Launch of the call for the digital transformation of the agri-food sector </w:t>
            </w:r>
          </w:p>
        </w:tc>
      </w:tr>
      <w:tr w:rsidR="00682269" w:rsidRPr="00DE4E4F" w14:paraId="4C45309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B0E08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w:t>
            </w:r>
          </w:p>
        </w:tc>
        <w:tc>
          <w:tcPr>
            <w:tcW w:w="4838" w:type="dxa"/>
            <w:tcBorders>
              <w:top w:val="nil"/>
              <w:left w:val="nil"/>
              <w:bottom w:val="single" w:sz="4" w:space="0" w:color="auto"/>
              <w:right w:val="single" w:sz="4" w:space="0" w:color="auto"/>
            </w:tcBorders>
            <w:shd w:val="clear" w:color="auto" w:fill="C6EFCE"/>
            <w:noWrap/>
            <w:vAlign w:val="center"/>
          </w:tcPr>
          <w:p w14:paraId="10A1C24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- 16872_Energy renovation on residential buildings</w:t>
            </w:r>
          </w:p>
        </w:tc>
        <w:tc>
          <w:tcPr>
            <w:tcW w:w="1134" w:type="dxa"/>
            <w:tcBorders>
              <w:top w:val="nil"/>
              <w:left w:val="nil"/>
              <w:bottom w:val="single" w:sz="4" w:space="0" w:color="auto"/>
              <w:right w:val="single" w:sz="4" w:space="0" w:color="auto"/>
            </w:tcBorders>
            <w:shd w:val="clear" w:color="auto" w:fill="C6EFCE"/>
            <w:noWrap/>
            <w:vAlign w:val="center"/>
          </w:tcPr>
          <w:p w14:paraId="28A6081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049110F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Residential renovation – 3rd round launch including energy poor households</w:t>
            </w:r>
          </w:p>
        </w:tc>
      </w:tr>
      <w:tr w:rsidR="00682269" w:rsidRPr="00DE4E4F" w14:paraId="164AF889"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67098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w:t>
            </w:r>
          </w:p>
        </w:tc>
        <w:tc>
          <w:tcPr>
            <w:tcW w:w="4838" w:type="dxa"/>
            <w:tcBorders>
              <w:top w:val="nil"/>
              <w:left w:val="nil"/>
              <w:bottom w:val="single" w:sz="4" w:space="0" w:color="auto"/>
              <w:right w:val="single" w:sz="4" w:space="0" w:color="auto"/>
            </w:tcBorders>
            <w:shd w:val="clear" w:color="auto" w:fill="C6EFCE"/>
            <w:noWrap/>
            <w:vAlign w:val="center"/>
          </w:tcPr>
          <w:p w14:paraId="2CE5114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- 16879_Preparation of Urban Plans in implementation of the urban policy reform</w:t>
            </w:r>
          </w:p>
        </w:tc>
        <w:tc>
          <w:tcPr>
            <w:tcW w:w="1134" w:type="dxa"/>
            <w:tcBorders>
              <w:top w:val="nil"/>
              <w:left w:val="nil"/>
              <w:bottom w:val="single" w:sz="4" w:space="0" w:color="auto"/>
              <w:right w:val="single" w:sz="4" w:space="0" w:color="auto"/>
            </w:tcBorders>
            <w:shd w:val="clear" w:color="auto" w:fill="C6EFCE"/>
            <w:noWrap/>
            <w:vAlign w:val="center"/>
          </w:tcPr>
          <w:p w14:paraId="6AD4A21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7A5B294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Urban Plans award</w:t>
            </w:r>
          </w:p>
        </w:tc>
      </w:tr>
      <w:tr w:rsidR="00682269" w:rsidRPr="00DE4E4F" w14:paraId="1AB000D5"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2D69B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43</w:t>
            </w:r>
          </w:p>
        </w:tc>
        <w:tc>
          <w:tcPr>
            <w:tcW w:w="4838" w:type="dxa"/>
            <w:tcBorders>
              <w:top w:val="nil"/>
              <w:left w:val="nil"/>
              <w:bottom w:val="single" w:sz="4" w:space="0" w:color="auto"/>
              <w:right w:val="single" w:sz="4" w:space="0" w:color="auto"/>
            </w:tcBorders>
            <w:shd w:val="clear" w:color="auto" w:fill="C6EFCE"/>
            <w:noWrap/>
            <w:vAlign w:val="center"/>
          </w:tcPr>
          <w:p w14:paraId="4A3DC2C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- 16281_Framework for installation and operation of EV charging infrastructure</w:t>
            </w:r>
          </w:p>
        </w:tc>
        <w:tc>
          <w:tcPr>
            <w:tcW w:w="1134" w:type="dxa"/>
            <w:tcBorders>
              <w:top w:val="nil"/>
              <w:left w:val="nil"/>
              <w:bottom w:val="single" w:sz="4" w:space="0" w:color="auto"/>
              <w:right w:val="single" w:sz="4" w:space="0" w:color="auto"/>
            </w:tcBorders>
            <w:shd w:val="clear" w:color="auto" w:fill="C6EFCE"/>
            <w:noWrap/>
            <w:vAlign w:val="center"/>
          </w:tcPr>
          <w:p w14:paraId="3E65838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110" w:type="dxa"/>
            <w:tcBorders>
              <w:top w:val="nil"/>
              <w:left w:val="nil"/>
              <w:bottom w:val="single" w:sz="4" w:space="0" w:color="auto"/>
              <w:right w:val="single" w:sz="4" w:space="0" w:color="auto"/>
            </w:tcBorders>
            <w:shd w:val="clear" w:color="auto" w:fill="C6EFCE"/>
            <w:noWrap/>
            <w:vAlign w:val="center"/>
          </w:tcPr>
          <w:p w14:paraId="577410A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Charging points for electric vehicles – local plans approved</w:t>
            </w:r>
          </w:p>
        </w:tc>
      </w:tr>
      <w:tr w:rsidR="00682269" w:rsidRPr="00DE4E4F" w14:paraId="2C7C767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D1CB24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46</w:t>
            </w:r>
          </w:p>
        </w:tc>
        <w:tc>
          <w:tcPr>
            <w:tcW w:w="4838" w:type="dxa"/>
            <w:tcBorders>
              <w:top w:val="nil"/>
              <w:left w:val="nil"/>
              <w:bottom w:val="single" w:sz="4" w:space="0" w:color="auto"/>
              <w:right w:val="single" w:sz="4" w:space="0" w:color="auto"/>
            </w:tcBorders>
            <w:shd w:val="clear" w:color="auto" w:fill="C6EFCE"/>
            <w:noWrap/>
            <w:vAlign w:val="center"/>
          </w:tcPr>
          <w:p w14:paraId="00EF87B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3 - 1.3. Recharge and refuel - 16831_Produc- E Green </w:t>
            </w:r>
          </w:p>
        </w:tc>
        <w:tc>
          <w:tcPr>
            <w:tcW w:w="1134" w:type="dxa"/>
            <w:tcBorders>
              <w:top w:val="nil"/>
              <w:left w:val="nil"/>
              <w:bottom w:val="single" w:sz="4" w:space="0" w:color="auto"/>
              <w:right w:val="single" w:sz="4" w:space="0" w:color="auto"/>
            </w:tcBorders>
            <w:shd w:val="clear" w:color="auto" w:fill="C6EFCE"/>
            <w:noWrap/>
            <w:vAlign w:val="center"/>
          </w:tcPr>
          <w:p w14:paraId="0037179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5C90724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Industrial Units– launch of programme</w:t>
            </w:r>
          </w:p>
        </w:tc>
      </w:tr>
      <w:tr w:rsidR="00682269" w:rsidRPr="00DE4E4F" w14:paraId="3621B561"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DD902C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w:t>
            </w:r>
          </w:p>
        </w:tc>
        <w:tc>
          <w:tcPr>
            <w:tcW w:w="4838" w:type="dxa"/>
            <w:tcBorders>
              <w:top w:val="nil"/>
              <w:left w:val="nil"/>
              <w:bottom w:val="single" w:sz="4" w:space="0" w:color="auto"/>
              <w:right w:val="single" w:sz="4" w:space="0" w:color="auto"/>
            </w:tcBorders>
            <w:shd w:val="clear" w:color="auto" w:fill="C6EFCE"/>
            <w:noWrap/>
            <w:vAlign w:val="center"/>
          </w:tcPr>
          <w:p w14:paraId="494B6BF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6D7907D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572EB6A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 Electric vehicles charging points – launch of programmes</w:t>
            </w:r>
          </w:p>
        </w:tc>
      </w:tr>
      <w:tr w:rsidR="00682269" w:rsidRPr="00DE4E4F" w14:paraId="6A38F6AB"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638111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48</w:t>
            </w:r>
          </w:p>
        </w:tc>
        <w:tc>
          <w:tcPr>
            <w:tcW w:w="4838" w:type="dxa"/>
            <w:tcBorders>
              <w:top w:val="nil"/>
              <w:left w:val="nil"/>
              <w:bottom w:val="single" w:sz="4" w:space="0" w:color="auto"/>
              <w:right w:val="single" w:sz="4" w:space="0" w:color="auto"/>
            </w:tcBorders>
            <w:shd w:val="clear" w:color="auto" w:fill="C6EFCE"/>
            <w:noWrap/>
            <w:vAlign w:val="center"/>
          </w:tcPr>
          <w:p w14:paraId="6FF5A5A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- 16924_ Electromobility</w:t>
            </w:r>
          </w:p>
        </w:tc>
        <w:tc>
          <w:tcPr>
            <w:tcW w:w="1134" w:type="dxa"/>
            <w:tcBorders>
              <w:top w:val="nil"/>
              <w:left w:val="nil"/>
              <w:bottom w:val="single" w:sz="4" w:space="0" w:color="auto"/>
              <w:right w:val="single" w:sz="4" w:space="0" w:color="auto"/>
            </w:tcBorders>
            <w:shd w:val="clear" w:color="auto" w:fill="C6EFCE"/>
            <w:noWrap/>
            <w:vAlign w:val="center"/>
          </w:tcPr>
          <w:p w14:paraId="3DE0FE3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7B864CB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Sustainable transport – feasibility study</w:t>
            </w:r>
          </w:p>
        </w:tc>
      </w:tr>
      <w:tr w:rsidR="00682269" w:rsidRPr="00DE4E4F" w14:paraId="79D86CE6"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265BEC5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58</w:t>
            </w:r>
          </w:p>
        </w:tc>
        <w:tc>
          <w:tcPr>
            <w:tcW w:w="4838" w:type="dxa"/>
            <w:tcBorders>
              <w:top w:val="nil"/>
              <w:left w:val="nil"/>
              <w:bottom w:val="single" w:sz="4" w:space="0" w:color="auto"/>
              <w:right w:val="single" w:sz="4" w:space="0" w:color="auto"/>
            </w:tcBorders>
            <w:shd w:val="clear" w:color="auto" w:fill="C6EFCE"/>
            <w:noWrap/>
            <w:vAlign w:val="center"/>
          </w:tcPr>
          <w:p w14:paraId="2F86A6D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- 16979_Establishment of new water and wastewater regulatory authority</w:t>
            </w:r>
          </w:p>
        </w:tc>
        <w:tc>
          <w:tcPr>
            <w:tcW w:w="1134" w:type="dxa"/>
            <w:tcBorders>
              <w:top w:val="nil"/>
              <w:left w:val="nil"/>
              <w:bottom w:val="single" w:sz="4" w:space="0" w:color="auto"/>
              <w:right w:val="single" w:sz="4" w:space="0" w:color="auto"/>
            </w:tcBorders>
            <w:shd w:val="clear" w:color="auto" w:fill="C6EFCE"/>
            <w:noWrap/>
            <w:vAlign w:val="center"/>
          </w:tcPr>
          <w:p w14:paraId="5BBC3D4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5F87DA8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Entry into force of water regulator law</w:t>
            </w:r>
          </w:p>
        </w:tc>
      </w:tr>
      <w:tr w:rsidR="00682269" w:rsidRPr="00DE4E4F" w14:paraId="05AB238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ED6A24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78</w:t>
            </w:r>
          </w:p>
        </w:tc>
        <w:tc>
          <w:tcPr>
            <w:tcW w:w="4838" w:type="dxa"/>
            <w:tcBorders>
              <w:top w:val="nil"/>
              <w:left w:val="nil"/>
              <w:bottom w:val="single" w:sz="4" w:space="0" w:color="auto"/>
              <w:right w:val="single" w:sz="4" w:space="0" w:color="auto"/>
            </w:tcBorders>
            <w:shd w:val="clear" w:color="auto" w:fill="C6EFCE"/>
            <w:noWrap/>
            <w:vAlign w:val="center"/>
          </w:tcPr>
          <w:p w14:paraId="0B1D296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- 16910_Monitoring and Management System</w:t>
            </w:r>
          </w:p>
        </w:tc>
        <w:tc>
          <w:tcPr>
            <w:tcW w:w="1134" w:type="dxa"/>
            <w:tcBorders>
              <w:top w:val="nil"/>
              <w:left w:val="nil"/>
              <w:bottom w:val="single" w:sz="4" w:space="0" w:color="auto"/>
              <w:right w:val="single" w:sz="4" w:space="0" w:color="auto"/>
            </w:tcBorders>
            <w:shd w:val="clear" w:color="auto" w:fill="C6EFCE"/>
            <w:noWrap/>
            <w:vAlign w:val="center"/>
          </w:tcPr>
          <w:p w14:paraId="78CB497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29CF02C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for GPS</w:t>
            </w:r>
          </w:p>
        </w:tc>
      </w:tr>
      <w:tr w:rsidR="00682269" w:rsidRPr="00DE4E4F" w14:paraId="3E0E2DF7"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17FB11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93</w:t>
            </w:r>
          </w:p>
        </w:tc>
        <w:tc>
          <w:tcPr>
            <w:tcW w:w="4838" w:type="dxa"/>
            <w:tcBorders>
              <w:top w:val="nil"/>
              <w:left w:val="nil"/>
              <w:bottom w:val="single" w:sz="4" w:space="0" w:color="auto"/>
              <w:right w:val="single" w:sz="4" w:space="0" w:color="auto"/>
            </w:tcBorders>
            <w:shd w:val="clear" w:color="auto" w:fill="C6EFCE"/>
            <w:noWrap/>
            <w:vAlign w:val="center"/>
          </w:tcPr>
          <w:p w14:paraId="6AB9832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- 16778_Digitisation of archives and related services</w:t>
            </w:r>
          </w:p>
        </w:tc>
        <w:tc>
          <w:tcPr>
            <w:tcW w:w="1134" w:type="dxa"/>
            <w:tcBorders>
              <w:top w:val="nil"/>
              <w:left w:val="nil"/>
              <w:bottom w:val="single" w:sz="4" w:space="0" w:color="auto"/>
              <w:right w:val="single" w:sz="4" w:space="0" w:color="auto"/>
            </w:tcBorders>
            <w:shd w:val="clear" w:color="auto" w:fill="C6EFCE"/>
            <w:noWrap/>
            <w:vAlign w:val="center"/>
          </w:tcPr>
          <w:p w14:paraId="69E9CAD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4918234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Contract(s) award for digitisation of archives</w:t>
            </w:r>
          </w:p>
        </w:tc>
      </w:tr>
      <w:tr w:rsidR="00682269" w:rsidRPr="00DE4E4F" w14:paraId="7BB8647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106280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100</w:t>
            </w:r>
          </w:p>
        </w:tc>
        <w:tc>
          <w:tcPr>
            <w:tcW w:w="4838" w:type="dxa"/>
            <w:tcBorders>
              <w:top w:val="nil"/>
              <w:left w:val="nil"/>
              <w:bottom w:val="single" w:sz="4" w:space="0" w:color="auto"/>
              <w:right w:val="single" w:sz="4" w:space="0" w:color="auto"/>
            </w:tcBorders>
            <w:shd w:val="clear" w:color="auto" w:fill="C6EFCE"/>
            <w:noWrap/>
            <w:vAlign w:val="center"/>
          </w:tcPr>
          <w:p w14:paraId="243AA9CD" w14:textId="77777777" w:rsidR="001B186F" w:rsidRPr="00DE4E4F" w:rsidRDefault="0074517F" w:rsidP="007E1411">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6 - 2.2. Modernise - 16779_</w:t>
            </w:r>
            <w:r w:rsidRPr="00DE4E4F">
              <w:rPr>
                <w:rFonts w:ascii="Times New Roman" w:hAnsi="Times New Roman" w:cs="Times New Roman"/>
                <w:noProof/>
                <w:sz w:val="18"/>
                <w:szCs w:val="18"/>
              </w:rPr>
              <w:t>_Interoperability and web services development</w:t>
            </w:r>
          </w:p>
        </w:tc>
        <w:tc>
          <w:tcPr>
            <w:tcW w:w="1134" w:type="dxa"/>
            <w:tcBorders>
              <w:top w:val="nil"/>
              <w:left w:val="nil"/>
              <w:bottom w:val="single" w:sz="4" w:space="0" w:color="auto"/>
              <w:right w:val="single" w:sz="4" w:space="0" w:color="auto"/>
            </w:tcBorders>
            <w:shd w:val="clear" w:color="auto" w:fill="C6EFCE"/>
            <w:noWrap/>
            <w:vAlign w:val="center"/>
          </w:tcPr>
          <w:p w14:paraId="7990F0B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486F951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interoperability and web services development project</w:t>
            </w:r>
          </w:p>
        </w:tc>
      </w:tr>
      <w:tr w:rsidR="00682269" w:rsidRPr="00DE4E4F" w14:paraId="3F6E45D8"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BF2BE0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101</w:t>
            </w:r>
          </w:p>
        </w:tc>
        <w:tc>
          <w:tcPr>
            <w:tcW w:w="4838" w:type="dxa"/>
            <w:tcBorders>
              <w:top w:val="nil"/>
              <w:left w:val="nil"/>
              <w:bottom w:val="single" w:sz="4" w:space="0" w:color="auto"/>
              <w:right w:val="single" w:sz="4" w:space="0" w:color="auto"/>
            </w:tcBorders>
            <w:shd w:val="clear" w:color="auto" w:fill="C6EFCE"/>
            <w:noWrap/>
            <w:vAlign w:val="center"/>
          </w:tcPr>
          <w:p w14:paraId="5A72327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- 16810_CRM for the General Government</w:t>
            </w:r>
          </w:p>
        </w:tc>
        <w:tc>
          <w:tcPr>
            <w:tcW w:w="1134" w:type="dxa"/>
            <w:tcBorders>
              <w:top w:val="nil"/>
              <w:left w:val="nil"/>
              <w:bottom w:val="single" w:sz="4" w:space="0" w:color="auto"/>
              <w:right w:val="single" w:sz="4" w:space="0" w:color="auto"/>
            </w:tcBorders>
            <w:shd w:val="clear" w:color="auto" w:fill="C6EFCE"/>
            <w:noWrap/>
            <w:vAlign w:val="center"/>
          </w:tcPr>
          <w:p w14:paraId="6A070A8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2B2B83D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Contract award for CRM for the General Government </w:t>
            </w:r>
          </w:p>
        </w:tc>
      </w:tr>
      <w:tr w:rsidR="00682269" w:rsidRPr="00DE4E4F" w14:paraId="18E65B22"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47A4EC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102</w:t>
            </w:r>
          </w:p>
        </w:tc>
        <w:tc>
          <w:tcPr>
            <w:tcW w:w="4838" w:type="dxa"/>
            <w:tcBorders>
              <w:top w:val="nil"/>
              <w:left w:val="nil"/>
              <w:bottom w:val="single" w:sz="4" w:space="0" w:color="auto"/>
              <w:right w:val="single" w:sz="4" w:space="0" w:color="auto"/>
            </w:tcBorders>
            <w:shd w:val="clear" w:color="auto" w:fill="C6EFCE"/>
            <w:noWrap/>
            <w:vAlign w:val="center"/>
          </w:tcPr>
          <w:p w14:paraId="632D03E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6 - 2.2. Modernise - 16780_ Modernisation of Public Administration’s One-Stop Shops</w:t>
            </w:r>
          </w:p>
        </w:tc>
        <w:tc>
          <w:tcPr>
            <w:tcW w:w="1134" w:type="dxa"/>
            <w:tcBorders>
              <w:top w:val="nil"/>
              <w:left w:val="nil"/>
              <w:bottom w:val="single" w:sz="4" w:space="0" w:color="auto"/>
              <w:right w:val="single" w:sz="4" w:space="0" w:color="auto"/>
            </w:tcBorders>
            <w:shd w:val="clear" w:color="auto" w:fill="C6EFCE"/>
            <w:noWrap/>
            <w:vAlign w:val="center"/>
          </w:tcPr>
          <w:p w14:paraId="50FCA0E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06B640F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Further Modernisation of Public Administration’s One-Stop Shops</w:t>
            </w:r>
          </w:p>
        </w:tc>
      </w:tr>
      <w:tr w:rsidR="00682269" w:rsidRPr="00DE4E4F" w14:paraId="6BAD56F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842EB4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103</w:t>
            </w:r>
          </w:p>
        </w:tc>
        <w:tc>
          <w:tcPr>
            <w:tcW w:w="4838" w:type="dxa"/>
            <w:tcBorders>
              <w:top w:val="nil"/>
              <w:left w:val="nil"/>
              <w:bottom w:val="single" w:sz="4" w:space="0" w:color="auto"/>
              <w:right w:val="single" w:sz="4" w:space="0" w:color="auto"/>
            </w:tcBorders>
            <w:shd w:val="clear" w:color="auto" w:fill="C6EFCE"/>
            <w:noWrap/>
            <w:vAlign w:val="center"/>
          </w:tcPr>
          <w:p w14:paraId="1A4A2C3D"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- 16736_New system for Public Procurements</w:t>
            </w:r>
          </w:p>
        </w:tc>
        <w:tc>
          <w:tcPr>
            <w:tcW w:w="1134" w:type="dxa"/>
            <w:tcBorders>
              <w:top w:val="nil"/>
              <w:left w:val="nil"/>
              <w:bottom w:val="single" w:sz="4" w:space="0" w:color="auto"/>
              <w:right w:val="single" w:sz="4" w:space="0" w:color="auto"/>
            </w:tcBorders>
            <w:shd w:val="clear" w:color="auto" w:fill="C6EFCE"/>
            <w:noWrap/>
            <w:vAlign w:val="center"/>
          </w:tcPr>
          <w:p w14:paraId="2A8FE14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CC20E5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New system for Public Procurements</w:t>
            </w:r>
          </w:p>
        </w:tc>
      </w:tr>
      <w:tr w:rsidR="00682269" w:rsidRPr="00DE4E4F" w14:paraId="7BE46F3C"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3EDBAC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104</w:t>
            </w:r>
          </w:p>
        </w:tc>
        <w:tc>
          <w:tcPr>
            <w:tcW w:w="4838" w:type="dxa"/>
            <w:tcBorders>
              <w:top w:val="nil"/>
              <w:left w:val="nil"/>
              <w:bottom w:val="single" w:sz="4" w:space="0" w:color="auto"/>
              <w:right w:val="single" w:sz="4" w:space="0" w:color="auto"/>
            </w:tcBorders>
            <w:shd w:val="clear" w:color="auto" w:fill="C6EFCE"/>
            <w:noWrap/>
            <w:vAlign w:val="center"/>
          </w:tcPr>
          <w:p w14:paraId="0222A8E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6 - 2.2. Modernise - 16823_</w:t>
            </w:r>
            <w:r w:rsidRPr="00DE4E4F">
              <w:rPr>
                <w:rFonts w:ascii="Times New Roman" w:hAnsi="Times New Roman" w:cs="Times New Roman"/>
                <w:noProof/>
                <w:sz w:val="18"/>
                <w:szCs w:val="18"/>
              </w:rPr>
              <w:t xml:space="preserve"> Cybersecurity strategy and policies for the Public Sector &amp; advanced security services for national critical infrastructures</w:t>
            </w:r>
          </w:p>
        </w:tc>
        <w:tc>
          <w:tcPr>
            <w:tcW w:w="1134" w:type="dxa"/>
            <w:tcBorders>
              <w:top w:val="nil"/>
              <w:left w:val="nil"/>
              <w:bottom w:val="single" w:sz="4" w:space="0" w:color="auto"/>
              <w:right w:val="single" w:sz="4" w:space="0" w:color="auto"/>
            </w:tcBorders>
            <w:shd w:val="clear" w:color="auto" w:fill="C6EFCE"/>
            <w:noWrap/>
            <w:vAlign w:val="center"/>
          </w:tcPr>
          <w:p w14:paraId="06B571B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79D8593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Cybersecurity strategy</w:t>
            </w:r>
          </w:p>
        </w:tc>
      </w:tr>
      <w:tr w:rsidR="00682269" w:rsidRPr="00DE4E4F" w14:paraId="0A4E398D"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58C4C0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105</w:t>
            </w:r>
          </w:p>
        </w:tc>
        <w:tc>
          <w:tcPr>
            <w:tcW w:w="4838" w:type="dxa"/>
            <w:tcBorders>
              <w:top w:val="nil"/>
              <w:left w:val="nil"/>
              <w:bottom w:val="single" w:sz="4" w:space="0" w:color="auto"/>
              <w:right w:val="single" w:sz="4" w:space="0" w:color="auto"/>
            </w:tcBorders>
            <w:shd w:val="clear" w:color="auto" w:fill="C6EFCE"/>
            <w:noWrap/>
            <w:vAlign w:val="center"/>
          </w:tcPr>
          <w:p w14:paraId="724E874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- 16826_Digital skills upgrade programs for conscripts</w:t>
            </w:r>
          </w:p>
        </w:tc>
        <w:tc>
          <w:tcPr>
            <w:tcW w:w="1134" w:type="dxa"/>
            <w:tcBorders>
              <w:top w:val="nil"/>
              <w:left w:val="nil"/>
              <w:bottom w:val="single" w:sz="4" w:space="0" w:color="auto"/>
              <w:right w:val="single" w:sz="4" w:space="0" w:color="auto"/>
            </w:tcBorders>
            <w:shd w:val="clear" w:color="auto" w:fill="C6EFCE"/>
            <w:noWrap/>
            <w:vAlign w:val="center"/>
          </w:tcPr>
          <w:p w14:paraId="49A8B8F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8CC8D1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Digital skills upgrade programs for conscripts</w:t>
            </w:r>
          </w:p>
        </w:tc>
      </w:tr>
      <w:tr w:rsidR="00682269" w:rsidRPr="00DE4E4F" w14:paraId="486C1019"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602898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106</w:t>
            </w:r>
          </w:p>
        </w:tc>
        <w:tc>
          <w:tcPr>
            <w:tcW w:w="4838" w:type="dxa"/>
            <w:tcBorders>
              <w:top w:val="nil"/>
              <w:left w:val="nil"/>
              <w:bottom w:val="single" w:sz="4" w:space="0" w:color="auto"/>
              <w:right w:val="single" w:sz="4" w:space="0" w:color="auto"/>
            </w:tcBorders>
            <w:shd w:val="clear" w:color="auto" w:fill="C6EFCE"/>
            <w:noWrap/>
            <w:vAlign w:val="center"/>
          </w:tcPr>
          <w:p w14:paraId="5A63A9F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- 16742_Digital transformation of the Ministry of Foreign Affairs</w:t>
            </w:r>
          </w:p>
        </w:tc>
        <w:tc>
          <w:tcPr>
            <w:tcW w:w="1134" w:type="dxa"/>
            <w:tcBorders>
              <w:top w:val="nil"/>
              <w:left w:val="nil"/>
              <w:bottom w:val="single" w:sz="4" w:space="0" w:color="auto"/>
              <w:right w:val="single" w:sz="4" w:space="0" w:color="auto"/>
            </w:tcBorders>
            <w:shd w:val="clear" w:color="auto" w:fill="C6EFCE"/>
            <w:noWrap/>
            <w:vAlign w:val="center"/>
          </w:tcPr>
          <w:p w14:paraId="3C7BFDA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7BBE23B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Digital transformation of the Ministry of Foreign Affairs</w:t>
            </w:r>
          </w:p>
        </w:tc>
      </w:tr>
      <w:tr w:rsidR="00682269" w:rsidRPr="00DE4E4F" w14:paraId="19FAF75F"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4B25DF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107</w:t>
            </w:r>
          </w:p>
        </w:tc>
        <w:tc>
          <w:tcPr>
            <w:tcW w:w="4838" w:type="dxa"/>
            <w:tcBorders>
              <w:top w:val="nil"/>
              <w:left w:val="nil"/>
              <w:bottom w:val="single" w:sz="4" w:space="0" w:color="auto"/>
              <w:right w:val="single" w:sz="4" w:space="0" w:color="auto"/>
            </w:tcBorders>
            <w:shd w:val="clear" w:color="auto" w:fill="C6EFCE"/>
            <w:noWrap/>
            <w:vAlign w:val="center"/>
          </w:tcPr>
          <w:p w14:paraId="79CC4A49" w14:textId="0DC5FD3A"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- 16824_E</w:t>
            </w:r>
            <w:r w:rsidR="000F4ECD">
              <w:rPr>
                <w:rFonts w:ascii="Times New Roman" w:hAnsi="Times New Roman"/>
                <w:noProof/>
                <w:sz w:val="18"/>
              </w:rPr>
              <w:t>-</w:t>
            </w:r>
            <w:r w:rsidRPr="00DE4E4F">
              <w:rPr>
                <w:rFonts w:ascii="Times New Roman" w:hAnsi="Times New Roman"/>
                <w:noProof/>
                <w:sz w:val="18"/>
              </w:rPr>
              <w:t>Registries</w:t>
            </w:r>
          </w:p>
        </w:tc>
        <w:tc>
          <w:tcPr>
            <w:tcW w:w="1134" w:type="dxa"/>
            <w:tcBorders>
              <w:top w:val="nil"/>
              <w:left w:val="nil"/>
              <w:bottom w:val="single" w:sz="4" w:space="0" w:color="auto"/>
              <w:right w:val="single" w:sz="4" w:space="0" w:color="auto"/>
            </w:tcBorders>
            <w:shd w:val="clear" w:color="auto" w:fill="C6EFCE"/>
            <w:noWrap/>
            <w:vAlign w:val="center"/>
          </w:tcPr>
          <w:p w14:paraId="2D4AC62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289FEAAF"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E-Registries</w:t>
            </w:r>
          </w:p>
        </w:tc>
      </w:tr>
      <w:tr w:rsidR="00682269" w:rsidRPr="00DE4E4F" w14:paraId="5E65D2C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4BF0A90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121</w:t>
            </w:r>
          </w:p>
        </w:tc>
        <w:tc>
          <w:tcPr>
            <w:tcW w:w="4838" w:type="dxa"/>
            <w:tcBorders>
              <w:top w:val="nil"/>
              <w:left w:val="nil"/>
              <w:bottom w:val="single" w:sz="4" w:space="0" w:color="auto"/>
              <w:right w:val="single" w:sz="4" w:space="0" w:color="auto"/>
            </w:tcBorders>
            <w:shd w:val="clear" w:color="auto" w:fill="C6EFCE"/>
            <w:noWrap/>
            <w:vAlign w:val="center"/>
          </w:tcPr>
          <w:p w14:paraId="6A91C0F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- 16842_Central BI - Data Analytics</w:t>
            </w:r>
          </w:p>
        </w:tc>
        <w:tc>
          <w:tcPr>
            <w:tcW w:w="1134" w:type="dxa"/>
            <w:tcBorders>
              <w:top w:val="nil"/>
              <w:left w:val="nil"/>
              <w:bottom w:val="single" w:sz="4" w:space="0" w:color="auto"/>
              <w:right w:val="single" w:sz="4" w:space="0" w:color="auto"/>
            </w:tcBorders>
            <w:shd w:val="clear" w:color="auto" w:fill="C6EFCE"/>
            <w:noWrap/>
            <w:vAlign w:val="center"/>
          </w:tcPr>
          <w:p w14:paraId="74A3D55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4C3D154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Contract award Central Business Intelligence (BI) </w:t>
            </w:r>
          </w:p>
        </w:tc>
      </w:tr>
      <w:tr w:rsidR="00682269" w:rsidRPr="00DE4E4F" w14:paraId="03B623D6"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55016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134</w:t>
            </w:r>
          </w:p>
        </w:tc>
        <w:tc>
          <w:tcPr>
            <w:tcW w:w="4838" w:type="dxa"/>
            <w:tcBorders>
              <w:top w:val="nil"/>
              <w:left w:val="nil"/>
              <w:bottom w:val="single" w:sz="4" w:space="0" w:color="auto"/>
              <w:right w:val="single" w:sz="4" w:space="0" w:color="auto"/>
            </w:tcBorders>
            <w:shd w:val="clear" w:color="auto" w:fill="C6EFCE"/>
            <w:noWrap/>
            <w:vAlign w:val="center"/>
          </w:tcPr>
          <w:p w14:paraId="6F239AB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8 - 3.1. Promote job creation and participation in the labour market - 16750_Digital Transformation of Labour Systems</w:t>
            </w:r>
          </w:p>
        </w:tc>
        <w:tc>
          <w:tcPr>
            <w:tcW w:w="1134" w:type="dxa"/>
            <w:tcBorders>
              <w:top w:val="nil"/>
              <w:left w:val="nil"/>
              <w:bottom w:val="single" w:sz="4" w:space="0" w:color="auto"/>
              <w:right w:val="single" w:sz="4" w:space="0" w:color="auto"/>
            </w:tcBorders>
            <w:shd w:val="clear" w:color="auto" w:fill="C6EFCE"/>
            <w:noWrap/>
            <w:vAlign w:val="center"/>
          </w:tcPr>
          <w:p w14:paraId="43F3579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973349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Labour IT systems contract award</w:t>
            </w:r>
          </w:p>
        </w:tc>
      </w:tr>
      <w:tr w:rsidR="00682269" w:rsidRPr="00DE4E4F" w14:paraId="1FC4F6A4"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7D89701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139</w:t>
            </w:r>
          </w:p>
        </w:tc>
        <w:tc>
          <w:tcPr>
            <w:tcW w:w="4838" w:type="dxa"/>
            <w:tcBorders>
              <w:top w:val="nil"/>
              <w:left w:val="nil"/>
              <w:bottom w:val="single" w:sz="4" w:space="0" w:color="auto"/>
              <w:right w:val="single" w:sz="4" w:space="0" w:color="auto"/>
            </w:tcBorders>
            <w:shd w:val="clear" w:color="auto" w:fill="C6EFCE"/>
            <w:noWrap/>
            <w:vAlign w:val="center"/>
          </w:tcPr>
          <w:p w14:paraId="1C9D96F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- 16913_A New Strategy for Lifelong Skilling: Modernising and Upgrading Greece’s Upskilling and Reskilling System</w:t>
            </w:r>
          </w:p>
        </w:tc>
        <w:tc>
          <w:tcPr>
            <w:tcW w:w="1134" w:type="dxa"/>
            <w:tcBorders>
              <w:top w:val="nil"/>
              <w:left w:val="nil"/>
              <w:bottom w:val="single" w:sz="4" w:space="0" w:color="auto"/>
              <w:right w:val="single" w:sz="4" w:space="0" w:color="auto"/>
            </w:tcBorders>
            <w:shd w:val="clear" w:color="auto" w:fill="C6EFCE"/>
            <w:noWrap/>
            <w:vAlign w:val="center"/>
          </w:tcPr>
          <w:p w14:paraId="64B56A8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110" w:type="dxa"/>
            <w:tcBorders>
              <w:top w:val="nil"/>
              <w:left w:val="nil"/>
              <w:bottom w:val="single" w:sz="4" w:space="0" w:color="auto"/>
              <w:right w:val="single" w:sz="4" w:space="0" w:color="auto"/>
            </w:tcBorders>
            <w:shd w:val="clear" w:color="auto" w:fill="C6EFCE"/>
            <w:noWrap/>
            <w:vAlign w:val="center"/>
          </w:tcPr>
          <w:p w14:paraId="1EC5A7D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Training programmes lifelong learning strategy completion validation</w:t>
            </w:r>
          </w:p>
        </w:tc>
      </w:tr>
      <w:tr w:rsidR="00682269" w:rsidRPr="00DE4E4F" w14:paraId="6351D700"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6236BE0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159</w:t>
            </w:r>
          </w:p>
        </w:tc>
        <w:tc>
          <w:tcPr>
            <w:tcW w:w="4838" w:type="dxa"/>
            <w:tcBorders>
              <w:top w:val="nil"/>
              <w:left w:val="nil"/>
              <w:bottom w:val="single" w:sz="4" w:space="0" w:color="auto"/>
              <w:right w:val="single" w:sz="4" w:space="0" w:color="auto"/>
            </w:tcBorders>
            <w:shd w:val="clear" w:color="auto" w:fill="C6EFCE"/>
            <w:noWrap/>
            <w:vAlign w:val="center"/>
          </w:tcPr>
          <w:p w14:paraId="692410B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- 16755_Reform of the Primary Health Care System</w:t>
            </w:r>
          </w:p>
        </w:tc>
        <w:tc>
          <w:tcPr>
            <w:tcW w:w="1134" w:type="dxa"/>
            <w:tcBorders>
              <w:top w:val="nil"/>
              <w:left w:val="nil"/>
              <w:bottom w:val="single" w:sz="4" w:space="0" w:color="auto"/>
              <w:right w:val="single" w:sz="4" w:space="0" w:color="auto"/>
            </w:tcBorders>
            <w:shd w:val="clear" w:color="auto" w:fill="C6EFCE"/>
            <w:noWrap/>
            <w:vAlign w:val="center"/>
          </w:tcPr>
          <w:p w14:paraId="27A1387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EFFB86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Primary Health Care family medicine curricula activation </w:t>
            </w:r>
          </w:p>
        </w:tc>
      </w:tr>
      <w:tr w:rsidR="00682269" w:rsidRPr="00DE4E4F" w14:paraId="39D036D3"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55B212C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160</w:t>
            </w:r>
          </w:p>
        </w:tc>
        <w:tc>
          <w:tcPr>
            <w:tcW w:w="4838" w:type="dxa"/>
            <w:tcBorders>
              <w:top w:val="nil"/>
              <w:left w:val="nil"/>
              <w:bottom w:val="single" w:sz="4" w:space="0" w:color="auto"/>
              <w:right w:val="single" w:sz="4" w:space="0" w:color="auto"/>
            </w:tcBorders>
            <w:shd w:val="clear" w:color="auto" w:fill="C6EFCE"/>
            <w:noWrap/>
            <w:vAlign w:val="center"/>
          </w:tcPr>
          <w:p w14:paraId="2B887A0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- 16820_Reform in the fields of mental health and addictions</w:t>
            </w:r>
          </w:p>
        </w:tc>
        <w:tc>
          <w:tcPr>
            <w:tcW w:w="1134" w:type="dxa"/>
            <w:tcBorders>
              <w:top w:val="nil"/>
              <w:left w:val="nil"/>
              <w:bottom w:val="single" w:sz="4" w:space="0" w:color="auto"/>
              <w:right w:val="single" w:sz="4" w:space="0" w:color="auto"/>
            </w:tcBorders>
            <w:shd w:val="clear" w:color="auto" w:fill="C6EFCE"/>
            <w:noWrap/>
            <w:vAlign w:val="center"/>
          </w:tcPr>
          <w:p w14:paraId="2DBEF8F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110" w:type="dxa"/>
            <w:tcBorders>
              <w:top w:val="nil"/>
              <w:left w:val="nil"/>
              <w:bottom w:val="single" w:sz="4" w:space="0" w:color="auto"/>
              <w:right w:val="single" w:sz="4" w:space="0" w:color="auto"/>
            </w:tcBorders>
            <w:shd w:val="clear" w:color="auto" w:fill="C6EFCE"/>
            <w:noWrap/>
            <w:vAlign w:val="center"/>
          </w:tcPr>
          <w:p w14:paraId="12614CE9"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Mental health – 50 units open – step 1 of 2</w:t>
            </w:r>
          </w:p>
        </w:tc>
      </w:tr>
      <w:tr w:rsidR="00682269" w:rsidRPr="00DE4E4F" w14:paraId="3C4F07E5"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3D40EA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211</w:t>
            </w:r>
          </w:p>
        </w:tc>
        <w:tc>
          <w:tcPr>
            <w:tcW w:w="4838" w:type="dxa"/>
            <w:tcBorders>
              <w:top w:val="nil"/>
              <w:left w:val="nil"/>
              <w:bottom w:val="single" w:sz="4" w:space="0" w:color="auto"/>
              <w:right w:val="single" w:sz="4" w:space="0" w:color="auto"/>
            </w:tcBorders>
            <w:shd w:val="clear" w:color="auto" w:fill="C6EFCE"/>
            <w:noWrap/>
            <w:vAlign w:val="center"/>
          </w:tcPr>
          <w:p w14:paraId="7941DF0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134" w:type="dxa"/>
            <w:tcBorders>
              <w:top w:val="nil"/>
              <w:left w:val="nil"/>
              <w:bottom w:val="single" w:sz="4" w:space="0" w:color="auto"/>
              <w:right w:val="single" w:sz="4" w:space="0" w:color="auto"/>
            </w:tcBorders>
            <w:shd w:val="clear" w:color="auto" w:fill="C6EFCE"/>
            <w:noWrap/>
            <w:vAlign w:val="center"/>
          </w:tcPr>
          <w:p w14:paraId="6F15CD4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327136C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Internal Controls law implementation</w:t>
            </w:r>
          </w:p>
        </w:tc>
      </w:tr>
      <w:tr w:rsidR="00682269" w:rsidRPr="00DE4E4F" w14:paraId="7131852F"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3EEEBE5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214</w:t>
            </w:r>
          </w:p>
        </w:tc>
        <w:tc>
          <w:tcPr>
            <w:tcW w:w="4838" w:type="dxa"/>
            <w:tcBorders>
              <w:top w:val="nil"/>
              <w:left w:val="nil"/>
              <w:bottom w:val="single" w:sz="4" w:space="0" w:color="auto"/>
              <w:right w:val="single" w:sz="4" w:space="0" w:color="auto"/>
            </w:tcBorders>
            <w:shd w:val="clear" w:color="auto" w:fill="C6EFCE"/>
            <w:noWrap/>
            <w:vAlign w:val="center"/>
          </w:tcPr>
          <w:p w14:paraId="6809343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- 16701_Enhance State-aid network</w:t>
            </w:r>
          </w:p>
        </w:tc>
        <w:tc>
          <w:tcPr>
            <w:tcW w:w="1134" w:type="dxa"/>
            <w:tcBorders>
              <w:top w:val="nil"/>
              <w:left w:val="nil"/>
              <w:bottom w:val="single" w:sz="4" w:space="0" w:color="auto"/>
              <w:right w:val="single" w:sz="4" w:space="0" w:color="auto"/>
            </w:tcBorders>
            <w:shd w:val="clear" w:color="auto" w:fill="C6EFCE"/>
            <w:noWrap/>
            <w:vAlign w:val="center"/>
          </w:tcPr>
          <w:p w14:paraId="44254B0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5BBD04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Enhanced State-aid network</w:t>
            </w:r>
          </w:p>
        </w:tc>
      </w:tr>
      <w:tr w:rsidR="00682269" w:rsidRPr="00DE4E4F" w14:paraId="54B3EF8E"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3CF5D0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215</w:t>
            </w:r>
          </w:p>
        </w:tc>
        <w:tc>
          <w:tcPr>
            <w:tcW w:w="4838" w:type="dxa"/>
            <w:tcBorders>
              <w:top w:val="nil"/>
              <w:left w:val="nil"/>
              <w:bottom w:val="single" w:sz="4" w:space="0" w:color="auto"/>
              <w:right w:val="single" w:sz="4" w:space="0" w:color="auto"/>
            </w:tcBorders>
            <w:shd w:val="clear" w:color="auto" w:fill="C6EFCE"/>
            <w:noWrap/>
            <w:vAlign w:val="center"/>
          </w:tcPr>
          <w:p w14:paraId="1530A04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- 16981_Enhancement of policy planning and coordination</w:t>
            </w:r>
          </w:p>
        </w:tc>
        <w:tc>
          <w:tcPr>
            <w:tcW w:w="1134" w:type="dxa"/>
            <w:tcBorders>
              <w:top w:val="nil"/>
              <w:left w:val="nil"/>
              <w:bottom w:val="single" w:sz="4" w:space="0" w:color="auto"/>
              <w:right w:val="single" w:sz="4" w:space="0" w:color="auto"/>
            </w:tcBorders>
            <w:shd w:val="clear" w:color="auto" w:fill="C6EFCE"/>
            <w:noWrap/>
            <w:vAlign w:val="center"/>
          </w:tcPr>
          <w:p w14:paraId="05806E6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2B180CE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Policy planning and coordination – impact assessment</w:t>
            </w:r>
          </w:p>
        </w:tc>
      </w:tr>
      <w:tr w:rsidR="00682269" w:rsidRPr="00DE4E4F" w14:paraId="73686DE5"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15F9FB2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226</w:t>
            </w:r>
          </w:p>
        </w:tc>
        <w:tc>
          <w:tcPr>
            <w:tcW w:w="4838" w:type="dxa"/>
            <w:tcBorders>
              <w:top w:val="nil"/>
              <w:left w:val="nil"/>
              <w:bottom w:val="single" w:sz="4" w:space="0" w:color="auto"/>
              <w:right w:val="single" w:sz="4" w:space="0" w:color="auto"/>
            </w:tcBorders>
            <w:shd w:val="clear" w:color="auto" w:fill="C6EFCE"/>
            <w:noWrap/>
            <w:vAlign w:val="center"/>
          </w:tcPr>
          <w:p w14:paraId="32257FA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16575 Accelerating the administration of justice</w:t>
            </w:r>
          </w:p>
        </w:tc>
        <w:tc>
          <w:tcPr>
            <w:tcW w:w="1134" w:type="dxa"/>
            <w:tcBorders>
              <w:top w:val="nil"/>
              <w:left w:val="nil"/>
              <w:bottom w:val="single" w:sz="4" w:space="0" w:color="auto"/>
              <w:right w:val="single" w:sz="4" w:space="0" w:color="auto"/>
            </w:tcBorders>
            <w:shd w:val="clear" w:color="auto" w:fill="C6EFCE"/>
            <w:noWrap/>
            <w:vAlign w:val="center"/>
          </w:tcPr>
          <w:p w14:paraId="639E299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45AF5BF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Judicial map - primary legislation - administrative</w:t>
            </w:r>
          </w:p>
        </w:tc>
      </w:tr>
      <w:tr w:rsidR="00682269" w:rsidRPr="00DE4E4F" w14:paraId="050048B0" w14:textId="77777777" w:rsidTr="004E489F">
        <w:trPr>
          <w:trHeight w:val="302"/>
          <w:jc w:val="center"/>
        </w:trPr>
        <w:tc>
          <w:tcPr>
            <w:tcW w:w="542" w:type="dxa"/>
            <w:tcBorders>
              <w:top w:val="nil"/>
              <w:left w:val="single" w:sz="4" w:space="0" w:color="auto"/>
              <w:bottom w:val="single" w:sz="4" w:space="0" w:color="auto"/>
              <w:right w:val="single" w:sz="4" w:space="0" w:color="auto"/>
            </w:tcBorders>
            <w:shd w:val="clear" w:color="auto" w:fill="C6EFCE"/>
            <w:noWrap/>
            <w:vAlign w:val="center"/>
          </w:tcPr>
          <w:p w14:paraId="084CCF8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227</w:t>
            </w:r>
          </w:p>
        </w:tc>
        <w:tc>
          <w:tcPr>
            <w:tcW w:w="4838" w:type="dxa"/>
            <w:tcBorders>
              <w:top w:val="nil"/>
              <w:left w:val="nil"/>
              <w:bottom w:val="single" w:sz="4" w:space="0" w:color="auto"/>
              <w:right w:val="single" w:sz="4" w:space="0" w:color="auto"/>
            </w:tcBorders>
            <w:shd w:val="clear" w:color="auto" w:fill="C6EFCE"/>
            <w:noWrap/>
            <w:vAlign w:val="center"/>
          </w:tcPr>
          <w:p w14:paraId="05C104C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- 16292_New Judicial Buildings</w:t>
            </w:r>
          </w:p>
        </w:tc>
        <w:tc>
          <w:tcPr>
            <w:tcW w:w="1134" w:type="dxa"/>
            <w:tcBorders>
              <w:top w:val="nil"/>
              <w:left w:val="nil"/>
              <w:bottom w:val="single" w:sz="4" w:space="0" w:color="auto"/>
              <w:right w:val="single" w:sz="4" w:space="0" w:color="auto"/>
            </w:tcBorders>
            <w:shd w:val="clear" w:color="auto" w:fill="C6EFCE"/>
            <w:noWrap/>
            <w:vAlign w:val="center"/>
          </w:tcPr>
          <w:p w14:paraId="58E1A86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110" w:type="dxa"/>
            <w:tcBorders>
              <w:top w:val="nil"/>
              <w:left w:val="nil"/>
              <w:bottom w:val="single" w:sz="4" w:space="0" w:color="auto"/>
              <w:right w:val="single" w:sz="4" w:space="0" w:color="auto"/>
            </w:tcBorders>
            <w:shd w:val="clear" w:color="auto" w:fill="C6EFCE"/>
            <w:noWrap/>
            <w:vAlign w:val="center"/>
          </w:tcPr>
          <w:p w14:paraId="64073EC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Judicial Buildings Construction and Renovation - List Adjustment – Launch of tenders</w:t>
            </w:r>
          </w:p>
        </w:tc>
      </w:tr>
      <w:tr w:rsidR="00682269" w:rsidRPr="00DE4E4F" w14:paraId="5540D51A" w14:textId="77777777" w:rsidTr="004E489F">
        <w:trPr>
          <w:trHeight w:val="302"/>
          <w:jc w:val="center"/>
        </w:trPr>
        <w:tc>
          <w:tcPr>
            <w:tcW w:w="542"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F14D18" w14:textId="77777777" w:rsidR="001B186F" w:rsidRPr="00DE4E4F" w:rsidRDefault="001B186F" w:rsidP="007E1411">
            <w:pPr>
              <w:keepNext/>
              <w:spacing w:before="40" w:after="0" w:line="240" w:lineRule="auto"/>
              <w:jc w:val="both"/>
              <w:rPr>
                <w:rFonts w:ascii="Times New Roman" w:eastAsia="Times New Roman" w:hAnsi="Times New Roman" w:cs="Times New Roman"/>
                <w:bCs/>
                <w:noProof/>
                <w:sz w:val="18"/>
                <w:szCs w:val="18"/>
                <w:lang w:eastAsia="en-GB"/>
              </w:rPr>
            </w:pPr>
          </w:p>
        </w:tc>
        <w:tc>
          <w:tcPr>
            <w:tcW w:w="4838" w:type="dxa"/>
            <w:tcBorders>
              <w:top w:val="single" w:sz="4" w:space="0" w:color="auto"/>
              <w:left w:val="nil"/>
              <w:bottom w:val="single" w:sz="4" w:space="0" w:color="auto"/>
              <w:right w:val="single" w:sz="4" w:space="0" w:color="auto"/>
            </w:tcBorders>
            <w:shd w:val="clear" w:color="auto" w:fill="C6EFCE"/>
            <w:noWrap/>
            <w:vAlign w:val="bottom"/>
          </w:tcPr>
          <w:p w14:paraId="222784A9" w14:textId="77777777" w:rsidR="001B186F" w:rsidRPr="00DE4E4F" w:rsidRDefault="001B186F" w:rsidP="007E1411">
            <w:pPr>
              <w:keepNext/>
              <w:spacing w:before="40" w:after="0" w:line="240" w:lineRule="auto"/>
              <w:jc w:val="both"/>
              <w:rPr>
                <w:rFonts w:ascii="Times New Roman" w:eastAsia="Times New Roman" w:hAnsi="Times New Roman" w:cs="Times New Roman"/>
                <w:bCs/>
                <w:noProof/>
                <w:sz w:val="18"/>
                <w:szCs w:val="18"/>
                <w:lang w:eastAsia="en-GB"/>
              </w:rPr>
            </w:pPr>
          </w:p>
        </w:tc>
        <w:tc>
          <w:tcPr>
            <w:tcW w:w="1134" w:type="dxa"/>
            <w:tcBorders>
              <w:top w:val="single" w:sz="4" w:space="0" w:color="auto"/>
              <w:left w:val="nil"/>
              <w:bottom w:val="single" w:sz="4" w:space="0" w:color="auto"/>
              <w:right w:val="single" w:sz="4" w:space="0" w:color="auto"/>
            </w:tcBorders>
            <w:shd w:val="clear" w:color="auto" w:fill="C6EFCE"/>
            <w:noWrap/>
            <w:vAlign w:val="bottom"/>
          </w:tcPr>
          <w:p w14:paraId="6119137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3110" w:type="dxa"/>
            <w:tcBorders>
              <w:top w:val="single" w:sz="4" w:space="0" w:color="auto"/>
              <w:left w:val="nil"/>
              <w:bottom w:val="single" w:sz="4" w:space="0" w:color="auto"/>
              <w:right w:val="single" w:sz="4" w:space="0" w:color="auto"/>
            </w:tcBorders>
            <w:shd w:val="clear" w:color="auto" w:fill="C6EFCE"/>
            <w:noWrap/>
            <w:vAlign w:val="bottom"/>
          </w:tcPr>
          <w:p w14:paraId="1A0BE44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1 974 438 067</w:t>
            </w:r>
          </w:p>
        </w:tc>
      </w:tr>
    </w:tbl>
    <w:p w14:paraId="333C1C77"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rPr>
      </w:pPr>
    </w:p>
    <w:p w14:paraId="241CC8CA" w14:textId="77777777" w:rsidR="001B186F" w:rsidRPr="00DE4E4F" w:rsidRDefault="001B186F">
      <w:pPr>
        <w:keepNext/>
        <w:numPr>
          <w:ilvl w:val="1"/>
          <w:numId w:val="93"/>
        </w:numPr>
        <w:spacing w:before="40" w:after="0" w:line="259" w:lineRule="auto"/>
        <w:ind w:left="0"/>
        <w:contextualSpacing/>
        <w:jc w:val="both"/>
        <w:rPr>
          <w:rFonts w:ascii="Times New Roman" w:hAnsi="Times New Roman"/>
          <w:noProof/>
          <w:sz w:val="24"/>
        </w:rPr>
        <w:sectPr w:rsidR="001B186F" w:rsidRPr="00DE4E4F">
          <w:headerReference w:type="even" r:id="rId438"/>
          <w:headerReference w:type="default" r:id="rId439"/>
          <w:footerReference w:type="even" r:id="rId440"/>
          <w:footerReference w:type="default" r:id="rId441"/>
          <w:headerReference w:type="first" r:id="rId442"/>
          <w:footerReference w:type="first" r:id="rId443"/>
          <w:pgSz w:w="11906" w:h="16838"/>
          <w:pgMar w:top="1134" w:right="1134" w:bottom="1134" w:left="1134" w:header="567" w:footer="567" w:gutter="0"/>
          <w:cols w:space="708"/>
          <w:docGrid w:linePitch="360"/>
        </w:sectPr>
      </w:pPr>
    </w:p>
    <w:p w14:paraId="7F4FB2C3" w14:textId="77777777" w:rsidR="001B186F" w:rsidRPr="00DE4E4F" w:rsidRDefault="0074517F">
      <w:pPr>
        <w:keepNext/>
        <w:numPr>
          <w:ilvl w:val="1"/>
          <w:numId w:val="93"/>
        </w:numPr>
        <w:spacing w:before="40" w:after="0" w:line="259" w:lineRule="auto"/>
        <w:ind w:left="0"/>
        <w:contextualSpacing/>
        <w:jc w:val="both"/>
        <w:rPr>
          <w:rFonts w:ascii="Times New Roman" w:eastAsia="Times New Roman" w:hAnsi="Times New Roman" w:cs="Times New Roman"/>
          <w:i/>
          <w:noProof/>
          <w:color w:val="4F81BD"/>
          <w:sz w:val="24"/>
        </w:rPr>
      </w:pPr>
      <w:r w:rsidRPr="00DE4E4F">
        <w:rPr>
          <w:rFonts w:ascii="Times New Roman" w:hAnsi="Times New Roman"/>
          <w:noProof/>
          <w:sz w:val="24"/>
        </w:rPr>
        <w:t xml:space="preserve"> Fourth Payment Request (non-repayable support): </w:t>
      </w:r>
    </w:p>
    <w:p w14:paraId="2F89EAB0" w14:textId="77777777" w:rsidR="001B186F" w:rsidRPr="00DE4E4F" w:rsidRDefault="001B186F">
      <w:pPr>
        <w:keepNext/>
        <w:spacing w:before="40" w:after="0" w:line="259" w:lineRule="auto"/>
        <w:contextualSpacing/>
        <w:jc w:val="both"/>
        <w:rPr>
          <w:rFonts w:ascii="Times New Roman" w:eastAsia="Times New Roman" w:hAnsi="Times New Roman" w:cs="Times New Roman"/>
          <w:i/>
          <w:noProof/>
          <w:color w:val="4F81BD"/>
          <w:sz w:val="24"/>
        </w:rPr>
      </w:pPr>
    </w:p>
    <w:tbl>
      <w:tblPr>
        <w:tblW w:w="9595" w:type="dxa"/>
        <w:jc w:val="center"/>
        <w:tblLayout w:type="fixed"/>
        <w:tblLook w:val="04A0" w:firstRow="1" w:lastRow="0" w:firstColumn="1" w:lastColumn="0" w:noHBand="0" w:noVBand="1"/>
      </w:tblPr>
      <w:tblGrid>
        <w:gridCol w:w="675"/>
        <w:gridCol w:w="4962"/>
        <w:gridCol w:w="992"/>
        <w:gridCol w:w="2966"/>
      </w:tblGrid>
      <w:tr w:rsidR="00682269" w:rsidRPr="00DE4E4F" w14:paraId="1E98D105" w14:textId="77777777" w:rsidTr="004E489F">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D218D"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003C"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FEA163"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9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23786"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024F3CE9" w14:textId="77777777" w:rsidTr="004E489F">
        <w:trPr>
          <w:trHeight w:val="269"/>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67976F47"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4962" w:type="dxa"/>
            <w:vMerge/>
            <w:tcBorders>
              <w:left w:val="single" w:sz="4" w:space="0" w:color="auto"/>
              <w:right w:val="single" w:sz="4" w:space="0" w:color="auto"/>
            </w:tcBorders>
            <w:vAlign w:val="center"/>
            <w:hideMark/>
          </w:tcPr>
          <w:p w14:paraId="3794E08E"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5777D01"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2966" w:type="dxa"/>
            <w:vMerge/>
            <w:tcBorders>
              <w:top w:val="single" w:sz="4" w:space="0" w:color="auto"/>
              <w:left w:val="single" w:sz="4" w:space="0" w:color="auto"/>
              <w:bottom w:val="single" w:sz="4" w:space="0" w:color="auto"/>
              <w:right w:val="single" w:sz="4" w:space="0" w:color="auto"/>
            </w:tcBorders>
            <w:vAlign w:val="center"/>
            <w:hideMark/>
          </w:tcPr>
          <w:p w14:paraId="34036BE7"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2B029052"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6EC4"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210630EB"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1 - 1.1. Power up - 16865_Restructuring and enhancement of the RES CHP Account revenues</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058F7E71"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6CF26B12"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RES account — capacity increase target 2</w:t>
            </w:r>
          </w:p>
        </w:tc>
      </w:tr>
      <w:tr w:rsidR="00682269" w:rsidRPr="00DE4E4F" w14:paraId="7F5172AD"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75A2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43FA652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- 16932_Olympic Athletic Center of Athens</w:t>
            </w:r>
          </w:p>
        </w:tc>
        <w:tc>
          <w:tcPr>
            <w:tcW w:w="992" w:type="dxa"/>
            <w:tcBorders>
              <w:top w:val="single" w:sz="4" w:space="0" w:color="auto"/>
              <w:left w:val="nil"/>
              <w:bottom w:val="single" w:sz="4" w:space="0" w:color="auto"/>
              <w:right w:val="single" w:sz="4" w:space="0" w:color="auto"/>
            </w:tcBorders>
            <w:shd w:val="clear" w:color="auto" w:fill="C6EFCE"/>
            <w:noWrap/>
            <w:vAlign w:val="center"/>
          </w:tcPr>
          <w:p w14:paraId="7806907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966" w:type="dxa"/>
            <w:tcBorders>
              <w:top w:val="single" w:sz="4" w:space="0" w:color="auto"/>
              <w:left w:val="nil"/>
              <w:bottom w:val="single" w:sz="4" w:space="0" w:color="auto"/>
              <w:right w:val="single" w:sz="4" w:space="0" w:color="auto"/>
            </w:tcBorders>
            <w:shd w:val="clear" w:color="auto" w:fill="C6EFCE"/>
            <w:noWrap/>
            <w:vAlign w:val="center"/>
          </w:tcPr>
          <w:p w14:paraId="2EE0C0C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OAKA – Contract award</w:t>
            </w:r>
          </w:p>
        </w:tc>
      </w:tr>
      <w:tr w:rsidR="00682269" w:rsidRPr="00DE4E4F" w14:paraId="57E7DAF2"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2A960D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228</w:t>
            </w:r>
          </w:p>
        </w:tc>
        <w:tc>
          <w:tcPr>
            <w:tcW w:w="4962" w:type="dxa"/>
            <w:tcBorders>
              <w:top w:val="nil"/>
              <w:left w:val="nil"/>
              <w:bottom w:val="single" w:sz="4" w:space="0" w:color="auto"/>
              <w:right w:val="single" w:sz="4" w:space="0" w:color="auto"/>
            </w:tcBorders>
            <w:shd w:val="clear" w:color="auto" w:fill="C6EFCE"/>
            <w:noWrap/>
            <w:vAlign w:val="center"/>
          </w:tcPr>
          <w:p w14:paraId="66F5EE9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- 16733_Skills and digital skills for judges and judicial employees (judicial staff)</w:t>
            </w:r>
          </w:p>
        </w:tc>
        <w:tc>
          <w:tcPr>
            <w:tcW w:w="992" w:type="dxa"/>
            <w:tcBorders>
              <w:top w:val="nil"/>
              <w:left w:val="nil"/>
              <w:bottom w:val="single" w:sz="4" w:space="0" w:color="auto"/>
              <w:right w:val="single" w:sz="4" w:space="0" w:color="auto"/>
            </w:tcBorders>
            <w:shd w:val="clear" w:color="auto" w:fill="C6EFCE"/>
            <w:noWrap/>
            <w:vAlign w:val="center"/>
          </w:tcPr>
          <w:p w14:paraId="03CF6E9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2966" w:type="dxa"/>
            <w:tcBorders>
              <w:top w:val="nil"/>
              <w:left w:val="nil"/>
              <w:bottom w:val="single" w:sz="4" w:space="0" w:color="auto"/>
              <w:right w:val="single" w:sz="4" w:space="0" w:color="auto"/>
            </w:tcBorders>
            <w:shd w:val="clear" w:color="auto" w:fill="C6EFCE"/>
            <w:noWrap/>
            <w:vAlign w:val="center"/>
          </w:tcPr>
          <w:p w14:paraId="47D1D51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Training – Judges and Clerks</w:t>
            </w:r>
          </w:p>
        </w:tc>
      </w:tr>
      <w:tr w:rsidR="00682269" w:rsidRPr="00DE4E4F" w14:paraId="665612B6"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4C753B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w:t>
            </w:r>
          </w:p>
        </w:tc>
        <w:tc>
          <w:tcPr>
            <w:tcW w:w="4962" w:type="dxa"/>
            <w:tcBorders>
              <w:top w:val="nil"/>
              <w:left w:val="nil"/>
              <w:bottom w:val="single" w:sz="4" w:space="0" w:color="auto"/>
              <w:right w:val="single" w:sz="4" w:space="0" w:color="auto"/>
            </w:tcBorders>
            <w:shd w:val="clear" w:color="auto" w:fill="C6EFCE"/>
            <w:noWrap/>
            <w:vAlign w:val="center"/>
          </w:tcPr>
          <w:p w14:paraId="1DE3C9E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- 16870_Interventions for the electricity interconnection of islands and the upgrading of the electricity network</w:t>
            </w:r>
          </w:p>
        </w:tc>
        <w:tc>
          <w:tcPr>
            <w:tcW w:w="992" w:type="dxa"/>
            <w:tcBorders>
              <w:top w:val="nil"/>
              <w:left w:val="nil"/>
              <w:bottom w:val="single" w:sz="4" w:space="0" w:color="auto"/>
              <w:right w:val="single" w:sz="4" w:space="0" w:color="auto"/>
            </w:tcBorders>
            <w:shd w:val="clear" w:color="auto" w:fill="C6EFCE"/>
            <w:noWrap/>
            <w:vAlign w:val="center"/>
          </w:tcPr>
          <w:p w14:paraId="46C694B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B430CF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Interconnection of islands — contract awards</w:t>
            </w:r>
          </w:p>
        </w:tc>
      </w:tr>
      <w:tr w:rsidR="00682269" w:rsidRPr="00DE4E4F" w14:paraId="7966E008"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18B0E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w:t>
            </w:r>
          </w:p>
        </w:tc>
        <w:tc>
          <w:tcPr>
            <w:tcW w:w="4962" w:type="dxa"/>
            <w:tcBorders>
              <w:top w:val="nil"/>
              <w:left w:val="nil"/>
              <w:bottom w:val="single" w:sz="4" w:space="0" w:color="auto"/>
              <w:right w:val="single" w:sz="4" w:space="0" w:color="auto"/>
            </w:tcBorders>
            <w:shd w:val="clear" w:color="auto" w:fill="C6EFCE"/>
            <w:noWrap/>
            <w:vAlign w:val="center"/>
          </w:tcPr>
          <w:p w14:paraId="414841A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- 16865_Restructuring and enhancement of the RES CHP Account revenues</w:t>
            </w:r>
          </w:p>
        </w:tc>
        <w:tc>
          <w:tcPr>
            <w:tcW w:w="992" w:type="dxa"/>
            <w:tcBorders>
              <w:top w:val="nil"/>
              <w:left w:val="nil"/>
              <w:bottom w:val="single" w:sz="4" w:space="0" w:color="auto"/>
              <w:right w:val="single" w:sz="4" w:space="0" w:color="auto"/>
            </w:tcBorders>
            <w:shd w:val="clear" w:color="auto" w:fill="C6EFCE"/>
            <w:noWrap/>
            <w:vAlign w:val="center"/>
          </w:tcPr>
          <w:p w14:paraId="0C0B571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966" w:type="dxa"/>
            <w:tcBorders>
              <w:top w:val="nil"/>
              <w:left w:val="nil"/>
              <w:bottom w:val="single" w:sz="4" w:space="0" w:color="auto"/>
              <w:right w:val="single" w:sz="4" w:space="0" w:color="auto"/>
            </w:tcBorders>
            <w:shd w:val="clear" w:color="auto" w:fill="C6EFCE"/>
            <w:noWrap/>
            <w:vAlign w:val="center"/>
          </w:tcPr>
          <w:p w14:paraId="2A18183F"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RES account — capacity increase target 1</w:t>
            </w:r>
          </w:p>
        </w:tc>
      </w:tr>
      <w:tr w:rsidR="00682269" w:rsidRPr="00DE4E4F" w14:paraId="7CC8AB7B"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AD871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w:t>
            </w:r>
          </w:p>
        </w:tc>
        <w:tc>
          <w:tcPr>
            <w:tcW w:w="4962" w:type="dxa"/>
            <w:tcBorders>
              <w:top w:val="nil"/>
              <w:left w:val="nil"/>
              <w:bottom w:val="single" w:sz="4" w:space="0" w:color="auto"/>
              <w:right w:val="single" w:sz="4" w:space="0" w:color="auto"/>
            </w:tcBorders>
            <w:shd w:val="clear" w:color="auto" w:fill="C6EFCE"/>
            <w:noWrap/>
            <w:vAlign w:val="center"/>
          </w:tcPr>
          <w:p w14:paraId="6E257F9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- 16926_Support of the installation of storage systems to enhance RES penetration</w:t>
            </w:r>
          </w:p>
        </w:tc>
        <w:tc>
          <w:tcPr>
            <w:tcW w:w="992" w:type="dxa"/>
            <w:tcBorders>
              <w:top w:val="nil"/>
              <w:left w:val="nil"/>
              <w:bottom w:val="single" w:sz="4" w:space="0" w:color="auto"/>
              <w:right w:val="single" w:sz="4" w:space="0" w:color="auto"/>
            </w:tcBorders>
            <w:shd w:val="clear" w:color="auto" w:fill="C6EFCE"/>
            <w:noWrap/>
            <w:vAlign w:val="center"/>
          </w:tcPr>
          <w:p w14:paraId="2F9D6B4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52A248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Storage — contracts</w:t>
            </w:r>
          </w:p>
        </w:tc>
      </w:tr>
      <w:tr w:rsidR="00682269" w:rsidRPr="00DE4E4F" w14:paraId="7FD9A05B"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67765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34</w:t>
            </w:r>
          </w:p>
        </w:tc>
        <w:tc>
          <w:tcPr>
            <w:tcW w:w="4962" w:type="dxa"/>
            <w:tcBorders>
              <w:top w:val="nil"/>
              <w:left w:val="nil"/>
              <w:bottom w:val="single" w:sz="4" w:space="0" w:color="auto"/>
              <w:right w:val="single" w:sz="4" w:space="0" w:color="auto"/>
            </w:tcBorders>
            <w:shd w:val="clear" w:color="auto" w:fill="C6EFCE"/>
            <w:noWrap/>
            <w:vAlign w:val="center"/>
          </w:tcPr>
          <w:p w14:paraId="513477D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2 - 1.2. Renovate - 16876_Energy upgrade of public sector buildings </w:t>
            </w:r>
          </w:p>
        </w:tc>
        <w:tc>
          <w:tcPr>
            <w:tcW w:w="992" w:type="dxa"/>
            <w:tcBorders>
              <w:top w:val="nil"/>
              <w:left w:val="nil"/>
              <w:bottom w:val="single" w:sz="4" w:space="0" w:color="auto"/>
              <w:right w:val="single" w:sz="4" w:space="0" w:color="auto"/>
            </w:tcBorders>
            <w:shd w:val="clear" w:color="auto" w:fill="C6EFCE"/>
            <w:noWrap/>
            <w:vAlign w:val="center"/>
          </w:tcPr>
          <w:p w14:paraId="64E5894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54D1634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Energy efficiency public buildings – applications approved</w:t>
            </w:r>
          </w:p>
        </w:tc>
      </w:tr>
      <w:tr w:rsidR="00682269" w:rsidRPr="00DE4E4F" w14:paraId="5FFECD3C"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AE9CAE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61</w:t>
            </w:r>
          </w:p>
        </w:tc>
        <w:tc>
          <w:tcPr>
            <w:tcW w:w="4962" w:type="dxa"/>
            <w:tcBorders>
              <w:top w:val="nil"/>
              <w:left w:val="nil"/>
              <w:bottom w:val="single" w:sz="4" w:space="0" w:color="auto"/>
              <w:right w:val="single" w:sz="4" w:space="0" w:color="auto"/>
            </w:tcBorders>
            <w:shd w:val="clear" w:color="auto" w:fill="C6EFCE"/>
            <w:noWrap/>
            <w:vAlign w:val="center"/>
          </w:tcPr>
          <w:p w14:paraId="5619E5E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- 16849_National Reforestation Plan,</w:t>
            </w:r>
            <w:r w:rsidRPr="00DE4E4F">
              <w:rPr>
                <w:noProof/>
              </w:rPr>
              <w:t xml:space="preserve"> </w:t>
            </w:r>
            <w:r w:rsidRPr="00DE4E4F">
              <w:rPr>
                <w:rFonts w:ascii="Times New Roman" w:hAnsi="Times New Roman"/>
                <w:noProof/>
                <w:sz w:val="18"/>
              </w:rPr>
              <w:t>restoration and prevention (“antiNERO”), anti-erosion and flood protection measures</w:t>
            </w:r>
          </w:p>
        </w:tc>
        <w:tc>
          <w:tcPr>
            <w:tcW w:w="992" w:type="dxa"/>
            <w:tcBorders>
              <w:top w:val="nil"/>
              <w:left w:val="nil"/>
              <w:bottom w:val="single" w:sz="4" w:space="0" w:color="auto"/>
              <w:right w:val="single" w:sz="4" w:space="0" w:color="auto"/>
            </w:tcBorders>
            <w:shd w:val="clear" w:color="auto" w:fill="C6EFCE"/>
            <w:noWrap/>
            <w:vAlign w:val="center"/>
          </w:tcPr>
          <w:p w14:paraId="3A95643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1031C27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Reforestation, restoration and prevention - contracts 1</w:t>
            </w:r>
          </w:p>
        </w:tc>
      </w:tr>
      <w:tr w:rsidR="00682269" w:rsidRPr="00DE4E4F" w14:paraId="0143D2AF"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D146DD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66</w:t>
            </w:r>
          </w:p>
        </w:tc>
        <w:tc>
          <w:tcPr>
            <w:tcW w:w="4962" w:type="dxa"/>
            <w:tcBorders>
              <w:top w:val="nil"/>
              <w:left w:val="nil"/>
              <w:bottom w:val="single" w:sz="4" w:space="0" w:color="auto"/>
              <w:right w:val="single" w:sz="4" w:space="0" w:color="auto"/>
            </w:tcBorders>
            <w:shd w:val="clear" w:color="auto" w:fill="C6EFCE"/>
            <w:noWrap/>
            <w:vAlign w:val="center"/>
          </w:tcPr>
          <w:p w14:paraId="23C75C7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- 16850_Drinking Water Supply and Saving Infrastructures</w:t>
            </w:r>
          </w:p>
        </w:tc>
        <w:tc>
          <w:tcPr>
            <w:tcW w:w="992" w:type="dxa"/>
            <w:tcBorders>
              <w:top w:val="nil"/>
              <w:left w:val="nil"/>
              <w:bottom w:val="single" w:sz="4" w:space="0" w:color="auto"/>
              <w:right w:val="single" w:sz="4" w:space="0" w:color="auto"/>
            </w:tcBorders>
            <w:shd w:val="clear" w:color="auto" w:fill="C6EFCE"/>
            <w:noWrap/>
            <w:vAlign w:val="center"/>
          </w:tcPr>
          <w:p w14:paraId="32328537"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572D55D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Approval of applications for water infrastructures</w:t>
            </w:r>
          </w:p>
        </w:tc>
      </w:tr>
      <w:tr w:rsidR="00682269" w:rsidRPr="00DE4E4F" w14:paraId="5D3EEBD4"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21F63D6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87</w:t>
            </w:r>
          </w:p>
        </w:tc>
        <w:tc>
          <w:tcPr>
            <w:tcW w:w="4962" w:type="dxa"/>
            <w:tcBorders>
              <w:top w:val="nil"/>
              <w:left w:val="nil"/>
              <w:bottom w:val="single" w:sz="4" w:space="0" w:color="auto"/>
              <w:right w:val="single" w:sz="4" w:space="0" w:color="auto"/>
            </w:tcBorders>
            <w:shd w:val="clear" w:color="auto" w:fill="C6EFCE"/>
            <w:noWrap/>
            <w:vAlign w:val="center"/>
          </w:tcPr>
          <w:p w14:paraId="7E9F146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5 - 2.1. Connect - 16855_Small-satellites</w:t>
            </w:r>
          </w:p>
        </w:tc>
        <w:tc>
          <w:tcPr>
            <w:tcW w:w="992" w:type="dxa"/>
            <w:tcBorders>
              <w:top w:val="nil"/>
              <w:left w:val="nil"/>
              <w:bottom w:val="single" w:sz="4" w:space="0" w:color="auto"/>
              <w:right w:val="single" w:sz="4" w:space="0" w:color="auto"/>
            </w:tcBorders>
            <w:shd w:val="clear" w:color="auto" w:fill="C6EFCE"/>
            <w:noWrap/>
            <w:vAlign w:val="center"/>
          </w:tcPr>
          <w:p w14:paraId="37DE934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70C5544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Award of contract(s) for the ‘Small Satellites’ project</w:t>
            </w:r>
          </w:p>
        </w:tc>
      </w:tr>
      <w:tr w:rsidR="00682269" w:rsidRPr="00DE4E4F" w14:paraId="67C16234"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1E9FB28"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135</w:t>
            </w:r>
          </w:p>
        </w:tc>
        <w:tc>
          <w:tcPr>
            <w:tcW w:w="4962" w:type="dxa"/>
            <w:tcBorders>
              <w:top w:val="nil"/>
              <w:left w:val="nil"/>
              <w:bottom w:val="single" w:sz="4" w:space="0" w:color="auto"/>
              <w:right w:val="single" w:sz="4" w:space="0" w:color="auto"/>
            </w:tcBorders>
            <w:shd w:val="clear" w:color="auto" w:fill="C6EFCE"/>
            <w:noWrap/>
            <w:vAlign w:val="center"/>
          </w:tcPr>
          <w:p w14:paraId="185510E4"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8 - 3.1. Promote job creation and participation in the labour market - 16942_Digital Transformation of the Public Employment Service (DYPA)</w:t>
            </w:r>
          </w:p>
        </w:tc>
        <w:tc>
          <w:tcPr>
            <w:tcW w:w="992" w:type="dxa"/>
            <w:tcBorders>
              <w:top w:val="nil"/>
              <w:left w:val="nil"/>
              <w:bottom w:val="single" w:sz="4" w:space="0" w:color="auto"/>
              <w:right w:val="single" w:sz="4" w:space="0" w:color="auto"/>
            </w:tcBorders>
            <w:shd w:val="clear" w:color="auto" w:fill="C6EFCE"/>
            <w:noWrap/>
            <w:vAlign w:val="center"/>
          </w:tcPr>
          <w:p w14:paraId="1275A8C3" w14:textId="77777777" w:rsidR="001B186F" w:rsidRPr="00DE4E4F" w:rsidRDefault="0074517F" w:rsidP="007E1411">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6D80194"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 xml:space="preserve">DYPA </w:t>
            </w:r>
            <w:r w:rsidRPr="00DE4E4F">
              <w:rPr>
                <w:rFonts w:ascii="Times New Roman" w:eastAsiaTheme="minorEastAsia" w:hAnsi="Times New Roman" w:cs="Times New Roman"/>
                <w:noProof/>
                <w:sz w:val="18"/>
                <w:szCs w:val="18"/>
              </w:rPr>
              <w:t>Digitisation, storage and filing of archives</w:t>
            </w:r>
          </w:p>
        </w:tc>
      </w:tr>
      <w:tr w:rsidR="00682269" w:rsidRPr="00DE4E4F" w14:paraId="22915BB6"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0E1641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143</w:t>
            </w:r>
          </w:p>
        </w:tc>
        <w:tc>
          <w:tcPr>
            <w:tcW w:w="4962" w:type="dxa"/>
            <w:tcBorders>
              <w:top w:val="nil"/>
              <w:left w:val="nil"/>
              <w:bottom w:val="single" w:sz="4" w:space="0" w:color="auto"/>
              <w:right w:val="single" w:sz="4" w:space="0" w:color="auto"/>
            </w:tcBorders>
            <w:shd w:val="clear" w:color="auto" w:fill="C6EFCE"/>
            <w:noWrap/>
            <w:vAlign w:val="center"/>
          </w:tcPr>
          <w:p w14:paraId="61CABD1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- 16792_Labor force skilling, reskilling and upskilling through a reformed training model (Vocational Education &amp; Training Reform)</w:t>
            </w:r>
          </w:p>
        </w:tc>
        <w:tc>
          <w:tcPr>
            <w:tcW w:w="992" w:type="dxa"/>
            <w:tcBorders>
              <w:top w:val="nil"/>
              <w:left w:val="nil"/>
              <w:bottom w:val="single" w:sz="4" w:space="0" w:color="auto"/>
              <w:right w:val="single" w:sz="4" w:space="0" w:color="auto"/>
            </w:tcBorders>
            <w:shd w:val="clear" w:color="auto" w:fill="C6EFCE"/>
            <w:noWrap/>
            <w:vAlign w:val="center"/>
          </w:tcPr>
          <w:p w14:paraId="39C4442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3976EDE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VET quality control system contract award</w:t>
            </w:r>
          </w:p>
        </w:tc>
      </w:tr>
      <w:tr w:rsidR="00682269" w:rsidRPr="00DE4E4F" w14:paraId="2F7866D9"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780FB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154</w:t>
            </w:r>
          </w:p>
        </w:tc>
        <w:tc>
          <w:tcPr>
            <w:tcW w:w="4962" w:type="dxa"/>
            <w:tcBorders>
              <w:top w:val="nil"/>
              <w:left w:val="nil"/>
              <w:bottom w:val="single" w:sz="4" w:space="0" w:color="auto"/>
              <w:right w:val="single" w:sz="4" w:space="0" w:color="auto"/>
            </w:tcBorders>
            <w:shd w:val="clear" w:color="auto" w:fill="C6EFCE"/>
            <w:noWrap/>
            <w:vAlign w:val="center"/>
          </w:tcPr>
          <w:p w14:paraId="41FF949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992" w:type="dxa"/>
            <w:tcBorders>
              <w:top w:val="nil"/>
              <w:left w:val="nil"/>
              <w:bottom w:val="single" w:sz="4" w:space="0" w:color="auto"/>
              <w:right w:val="single" w:sz="4" w:space="0" w:color="auto"/>
            </w:tcBorders>
            <w:shd w:val="clear" w:color="auto" w:fill="C6EFCE"/>
            <w:noWrap/>
            <w:vAlign w:val="center"/>
          </w:tcPr>
          <w:p w14:paraId="04F4CFD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966" w:type="dxa"/>
            <w:tcBorders>
              <w:top w:val="nil"/>
              <w:left w:val="nil"/>
              <w:bottom w:val="single" w:sz="4" w:space="0" w:color="auto"/>
              <w:right w:val="single" w:sz="4" w:space="0" w:color="auto"/>
            </w:tcBorders>
            <w:shd w:val="clear" w:color="auto" w:fill="C6EFCE"/>
            <w:noWrap/>
            <w:vAlign w:val="center"/>
          </w:tcPr>
          <w:p w14:paraId="3ED5E9D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Clawback decrease 50 000 000 - step 1</w:t>
            </w:r>
          </w:p>
        </w:tc>
      </w:tr>
      <w:tr w:rsidR="00682269" w:rsidRPr="00DE4E4F" w14:paraId="6DF08800"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0E5DD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203</w:t>
            </w:r>
          </w:p>
        </w:tc>
        <w:tc>
          <w:tcPr>
            <w:tcW w:w="4962" w:type="dxa"/>
            <w:tcBorders>
              <w:top w:val="nil"/>
              <w:left w:val="nil"/>
              <w:bottom w:val="single" w:sz="4" w:space="0" w:color="auto"/>
              <w:right w:val="single" w:sz="4" w:space="0" w:color="auto"/>
            </w:tcBorders>
            <w:shd w:val="clear" w:color="auto" w:fill="C6EFCE"/>
            <w:noWrap/>
            <w:vAlign w:val="center"/>
          </w:tcPr>
          <w:p w14:paraId="7732ADC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- 16643_Codification and simplification of tax legislation</w:t>
            </w:r>
          </w:p>
        </w:tc>
        <w:tc>
          <w:tcPr>
            <w:tcW w:w="992" w:type="dxa"/>
            <w:tcBorders>
              <w:top w:val="nil"/>
              <w:left w:val="nil"/>
              <w:bottom w:val="single" w:sz="4" w:space="0" w:color="auto"/>
              <w:right w:val="single" w:sz="4" w:space="0" w:color="auto"/>
            </w:tcBorders>
            <w:shd w:val="clear" w:color="auto" w:fill="C6EFCE"/>
            <w:noWrap/>
            <w:vAlign w:val="center"/>
          </w:tcPr>
          <w:p w14:paraId="6E40F59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D19B2E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Recodifying income tax and tax procedure codes</w:t>
            </w:r>
          </w:p>
        </w:tc>
      </w:tr>
      <w:tr w:rsidR="00682269" w:rsidRPr="00DE4E4F" w14:paraId="212701FF"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F9E6A8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229</w:t>
            </w:r>
          </w:p>
        </w:tc>
        <w:tc>
          <w:tcPr>
            <w:tcW w:w="4962" w:type="dxa"/>
            <w:tcBorders>
              <w:top w:val="nil"/>
              <w:left w:val="nil"/>
              <w:bottom w:val="single" w:sz="4" w:space="0" w:color="auto"/>
              <w:right w:val="single" w:sz="4" w:space="0" w:color="auto"/>
            </w:tcBorders>
            <w:shd w:val="clear" w:color="auto" w:fill="C6EFCE"/>
            <w:noWrap/>
            <w:vAlign w:val="center"/>
          </w:tcPr>
          <w:p w14:paraId="3B6980B4" w14:textId="4004472F"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16727 Digital Transformation of Justice (E-Justice)</w:t>
            </w:r>
          </w:p>
        </w:tc>
        <w:tc>
          <w:tcPr>
            <w:tcW w:w="992" w:type="dxa"/>
            <w:tcBorders>
              <w:top w:val="nil"/>
              <w:left w:val="nil"/>
              <w:bottom w:val="single" w:sz="4" w:space="0" w:color="auto"/>
              <w:right w:val="single" w:sz="4" w:space="0" w:color="auto"/>
            </w:tcBorders>
            <w:shd w:val="clear" w:color="auto" w:fill="C6EFCE"/>
            <w:noWrap/>
            <w:vAlign w:val="center"/>
          </w:tcPr>
          <w:p w14:paraId="597B540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6B546EA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Upgrade Record Systems &amp; IT Justice Systems</w:t>
            </w:r>
          </w:p>
        </w:tc>
      </w:tr>
      <w:tr w:rsidR="00682269" w:rsidRPr="00DE4E4F" w14:paraId="66767854"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8465F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230</w:t>
            </w:r>
          </w:p>
        </w:tc>
        <w:tc>
          <w:tcPr>
            <w:tcW w:w="4962" w:type="dxa"/>
            <w:tcBorders>
              <w:top w:val="nil"/>
              <w:left w:val="nil"/>
              <w:bottom w:val="single" w:sz="4" w:space="0" w:color="auto"/>
              <w:right w:val="single" w:sz="4" w:space="0" w:color="auto"/>
            </w:tcBorders>
            <w:shd w:val="clear" w:color="auto" w:fill="C6EFCE"/>
            <w:noWrap/>
            <w:vAlign w:val="center"/>
          </w:tcPr>
          <w:p w14:paraId="22493FED" w14:textId="7F2BAAE4"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- 16575 Accelerating the administration of justice</w:t>
            </w:r>
          </w:p>
        </w:tc>
        <w:tc>
          <w:tcPr>
            <w:tcW w:w="992" w:type="dxa"/>
            <w:tcBorders>
              <w:top w:val="nil"/>
              <w:left w:val="nil"/>
              <w:bottom w:val="single" w:sz="4" w:space="0" w:color="auto"/>
              <w:right w:val="single" w:sz="4" w:space="0" w:color="auto"/>
            </w:tcBorders>
            <w:shd w:val="clear" w:color="auto" w:fill="C6EFCE"/>
            <w:noWrap/>
            <w:vAlign w:val="center"/>
          </w:tcPr>
          <w:p w14:paraId="6F2636B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280F1A7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Entry into force – Judicial Clerks Performance Tool</w:t>
            </w:r>
          </w:p>
        </w:tc>
      </w:tr>
      <w:tr w:rsidR="00682269" w:rsidRPr="00DE4E4F" w14:paraId="5E963970"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9F3247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231</w:t>
            </w:r>
          </w:p>
        </w:tc>
        <w:tc>
          <w:tcPr>
            <w:tcW w:w="4962" w:type="dxa"/>
            <w:tcBorders>
              <w:top w:val="nil"/>
              <w:left w:val="nil"/>
              <w:bottom w:val="single" w:sz="4" w:space="0" w:color="auto"/>
              <w:right w:val="single" w:sz="4" w:space="0" w:color="auto"/>
            </w:tcBorders>
            <w:shd w:val="clear" w:color="auto" w:fill="C6EFCE"/>
            <w:noWrap/>
            <w:vAlign w:val="center"/>
          </w:tcPr>
          <w:p w14:paraId="2FCA4C3C" w14:textId="4947DE58"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- 16292_New Judicial Buildings</w:t>
            </w:r>
          </w:p>
        </w:tc>
        <w:tc>
          <w:tcPr>
            <w:tcW w:w="992" w:type="dxa"/>
            <w:tcBorders>
              <w:top w:val="nil"/>
              <w:left w:val="nil"/>
              <w:bottom w:val="single" w:sz="4" w:space="0" w:color="auto"/>
              <w:right w:val="single" w:sz="4" w:space="0" w:color="auto"/>
            </w:tcBorders>
            <w:shd w:val="clear" w:color="auto" w:fill="C6EFCE"/>
            <w:noWrap/>
            <w:vAlign w:val="center"/>
          </w:tcPr>
          <w:p w14:paraId="7EDB685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23DF96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Contracts </w:t>
            </w:r>
          </w:p>
        </w:tc>
      </w:tr>
      <w:tr w:rsidR="00682269" w:rsidRPr="00DE4E4F" w14:paraId="69473A4B"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26670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257</w:t>
            </w:r>
          </w:p>
        </w:tc>
        <w:tc>
          <w:tcPr>
            <w:tcW w:w="4962" w:type="dxa"/>
            <w:tcBorders>
              <w:top w:val="single" w:sz="4" w:space="0" w:color="auto"/>
              <w:left w:val="nil"/>
              <w:bottom w:val="single" w:sz="4" w:space="0" w:color="auto"/>
              <w:right w:val="single" w:sz="4" w:space="0" w:color="auto"/>
            </w:tcBorders>
            <w:shd w:val="clear" w:color="auto" w:fill="C6EFCE"/>
            <w:noWrap/>
            <w:vAlign w:val="center"/>
          </w:tcPr>
          <w:p w14:paraId="104BACF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- 16631_Road Safety Upgrade</w:t>
            </w:r>
          </w:p>
        </w:tc>
        <w:tc>
          <w:tcPr>
            <w:tcW w:w="992" w:type="dxa"/>
            <w:tcBorders>
              <w:top w:val="nil"/>
              <w:left w:val="nil"/>
              <w:bottom w:val="single" w:sz="4" w:space="0" w:color="auto"/>
              <w:right w:val="single" w:sz="4" w:space="0" w:color="auto"/>
            </w:tcBorders>
            <w:shd w:val="clear" w:color="auto" w:fill="C6EFCE"/>
            <w:noWrap/>
            <w:vAlign w:val="center"/>
          </w:tcPr>
          <w:p w14:paraId="4236903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4248433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road safety – first batch of contracts</w:t>
            </w:r>
          </w:p>
        </w:tc>
      </w:tr>
      <w:tr w:rsidR="00682269" w:rsidRPr="00DE4E4F" w14:paraId="2E969001"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C943A9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260</w:t>
            </w:r>
          </w:p>
        </w:tc>
        <w:tc>
          <w:tcPr>
            <w:tcW w:w="4962" w:type="dxa"/>
            <w:tcBorders>
              <w:top w:val="nil"/>
              <w:left w:val="nil"/>
              <w:bottom w:val="single" w:sz="4" w:space="0" w:color="auto"/>
              <w:right w:val="single" w:sz="4" w:space="0" w:color="auto"/>
            </w:tcBorders>
            <w:shd w:val="clear" w:color="auto" w:fill="C6EFCE"/>
            <w:noWrap/>
            <w:vAlign w:val="center"/>
          </w:tcPr>
          <w:p w14:paraId="0D99A46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- 16630_Cretan Northern Highway (Β.Ο.Α.Κ.)</w:t>
            </w:r>
          </w:p>
        </w:tc>
        <w:tc>
          <w:tcPr>
            <w:tcW w:w="992" w:type="dxa"/>
            <w:tcBorders>
              <w:top w:val="nil"/>
              <w:left w:val="nil"/>
              <w:bottom w:val="single" w:sz="4" w:space="0" w:color="auto"/>
              <w:right w:val="single" w:sz="4" w:space="0" w:color="auto"/>
            </w:tcBorders>
            <w:shd w:val="clear" w:color="auto" w:fill="C6EFCE"/>
            <w:noWrap/>
            <w:vAlign w:val="center"/>
          </w:tcPr>
          <w:p w14:paraId="5A44D79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1E0E887B"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Notification of award of contracts for three sub-projects of BOAK</w:t>
            </w:r>
          </w:p>
        </w:tc>
      </w:tr>
      <w:tr w:rsidR="00682269" w:rsidRPr="00DE4E4F" w14:paraId="6C365BA9" w14:textId="77777777" w:rsidTr="004E489F">
        <w:trPr>
          <w:trHeight w:val="302"/>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11F4E7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267</w:t>
            </w:r>
          </w:p>
        </w:tc>
        <w:tc>
          <w:tcPr>
            <w:tcW w:w="4962" w:type="dxa"/>
            <w:tcBorders>
              <w:top w:val="nil"/>
              <w:left w:val="nil"/>
              <w:bottom w:val="single" w:sz="4" w:space="0" w:color="auto"/>
              <w:right w:val="single" w:sz="4" w:space="0" w:color="auto"/>
            </w:tcBorders>
            <w:shd w:val="clear" w:color="auto" w:fill="C6EFCE"/>
            <w:noWrap/>
            <w:vAlign w:val="center"/>
          </w:tcPr>
          <w:p w14:paraId="09128F8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- 16833_Implementation of EASA compliance rectification works</w:t>
            </w:r>
          </w:p>
        </w:tc>
        <w:tc>
          <w:tcPr>
            <w:tcW w:w="992" w:type="dxa"/>
            <w:tcBorders>
              <w:top w:val="nil"/>
              <w:left w:val="nil"/>
              <w:bottom w:val="single" w:sz="4" w:space="0" w:color="auto"/>
              <w:right w:val="single" w:sz="4" w:space="0" w:color="auto"/>
            </w:tcBorders>
            <w:shd w:val="clear" w:color="auto" w:fill="C6EFCE"/>
            <w:noWrap/>
            <w:vAlign w:val="center"/>
          </w:tcPr>
          <w:p w14:paraId="2819663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966" w:type="dxa"/>
            <w:tcBorders>
              <w:top w:val="nil"/>
              <w:left w:val="nil"/>
              <w:bottom w:val="single" w:sz="4" w:space="0" w:color="auto"/>
              <w:right w:val="single" w:sz="4" w:space="0" w:color="auto"/>
            </w:tcBorders>
            <w:shd w:val="clear" w:color="auto" w:fill="C6EFCE"/>
            <w:noWrap/>
            <w:vAlign w:val="center"/>
          </w:tcPr>
          <w:p w14:paraId="717337F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Notification of award for European Union Aviation Safety Agency (EASA) works in regional airports</w:t>
            </w:r>
          </w:p>
        </w:tc>
      </w:tr>
      <w:tr w:rsidR="00682269" w:rsidRPr="00DE4E4F" w14:paraId="1816B93A" w14:textId="77777777" w:rsidTr="004E489F">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C67624B"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4962" w:type="dxa"/>
            <w:tcBorders>
              <w:top w:val="single" w:sz="4" w:space="0" w:color="auto"/>
              <w:left w:val="nil"/>
              <w:bottom w:val="single" w:sz="4" w:space="0" w:color="auto"/>
              <w:right w:val="single" w:sz="4" w:space="0" w:color="auto"/>
            </w:tcBorders>
            <w:shd w:val="clear" w:color="auto" w:fill="C6EFCE"/>
            <w:noWrap/>
            <w:vAlign w:val="bottom"/>
          </w:tcPr>
          <w:p w14:paraId="2532D9D9"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vAlign w:val="bottom"/>
          </w:tcPr>
          <w:p w14:paraId="2ADC2463"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966" w:type="dxa"/>
            <w:tcBorders>
              <w:top w:val="single" w:sz="4" w:space="0" w:color="auto"/>
              <w:left w:val="nil"/>
              <w:bottom w:val="single" w:sz="4" w:space="0" w:color="auto"/>
              <w:right w:val="single" w:sz="4" w:space="0" w:color="auto"/>
            </w:tcBorders>
            <w:shd w:val="clear" w:color="auto" w:fill="C6EFCE"/>
            <w:noWrap/>
            <w:vAlign w:val="bottom"/>
          </w:tcPr>
          <w:p w14:paraId="5A6CB98A" w14:textId="7613DF6E"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EUR</w:t>
            </w:r>
            <w:r w:rsidR="00DA7920" w:rsidRPr="00DE4E4F">
              <w:rPr>
                <w:rFonts w:ascii="Times New Roman" w:hAnsi="Times New Roman"/>
                <w:noProof/>
                <w:sz w:val="18"/>
              </w:rPr>
              <w:t> </w:t>
            </w:r>
            <w:r w:rsidRPr="00DE4E4F">
              <w:rPr>
                <w:rFonts w:ascii="Times New Roman" w:hAnsi="Times New Roman"/>
                <w:noProof/>
                <w:sz w:val="18"/>
              </w:rPr>
              <w:t>1</w:t>
            </w:r>
            <w:r w:rsidRPr="00DE4E4F">
              <w:rPr>
                <w:rFonts w:ascii="Times New Roman" w:hAnsi="Times New Roman" w:cs="Times New Roman"/>
                <w:noProof/>
                <w:sz w:val="18"/>
              </w:rPr>
              <w:t> </w:t>
            </w:r>
            <w:r w:rsidRPr="00DE4E4F">
              <w:rPr>
                <w:rFonts w:ascii="Times New Roman" w:hAnsi="Times New Roman"/>
                <w:noProof/>
                <w:sz w:val="18"/>
              </w:rPr>
              <w:t>155</w:t>
            </w:r>
            <w:r w:rsidRPr="00DE4E4F">
              <w:rPr>
                <w:rFonts w:ascii="Times New Roman" w:hAnsi="Times New Roman" w:cs="Times New Roman"/>
                <w:noProof/>
                <w:sz w:val="18"/>
              </w:rPr>
              <w:t> </w:t>
            </w:r>
            <w:r w:rsidRPr="00DE4E4F">
              <w:rPr>
                <w:rFonts w:ascii="Times New Roman" w:hAnsi="Times New Roman"/>
                <w:noProof/>
                <w:sz w:val="18"/>
              </w:rPr>
              <w:t>362</w:t>
            </w:r>
            <w:r w:rsidRPr="00DE4E4F">
              <w:rPr>
                <w:rFonts w:ascii="Times New Roman" w:hAnsi="Times New Roman" w:cs="Times New Roman"/>
                <w:noProof/>
                <w:sz w:val="18"/>
              </w:rPr>
              <w:t> </w:t>
            </w:r>
            <w:r w:rsidRPr="00DE4E4F">
              <w:rPr>
                <w:rFonts w:ascii="Times New Roman" w:hAnsi="Times New Roman"/>
                <w:noProof/>
                <w:sz w:val="18"/>
              </w:rPr>
              <w:t>463</w:t>
            </w:r>
          </w:p>
        </w:tc>
      </w:tr>
    </w:tbl>
    <w:p w14:paraId="3ACCB499"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rPr>
      </w:pPr>
    </w:p>
    <w:p w14:paraId="5A3912D8" w14:textId="77777777" w:rsidR="001B186F" w:rsidRPr="00DE4E4F" w:rsidRDefault="0074517F">
      <w:pPr>
        <w:keepNext/>
        <w:numPr>
          <w:ilvl w:val="1"/>
          <w:numId w:val="93"/>
        </w:numPr>
        <w:spacing w:before="40" w:after="160" w:line="259" w:lineRule="auto"/>
        <w:ind w:left="0"/>
        <w:contextualSpacing/>
        <w:jc w:val="both"/>
        <w:rPr>
          <w:rFonts w:ascii="Times New Roman" w:eastAsia="Times New Roman" w:hAnsi="Times New Roman" w:cs="Times New Roman"/>
          <w:noProof/>
          <w:sz w:val="24"/>
        </w:rPr>
      </w:pPr>
      <w:bookmarkStart w:id="8" w:name="_Hlk234259007"/>
      <w:r w:rsidRPr="00DE4E4F">
        <w:rPr>
          <w:rFonts w:ascii="Times New Roman" w:hAnsi="Times New Roman"/>
          <w:noProof/>
          <w:sz w:val="24"/>
        </w:rPr>
        <w:t xml:space="preserve">Fifth Payment Request </w:t>
      </w:r>
      <w:bookmarkEnd w:id="8"/>
      <w:r w:rsidRPr="00DE4E4F">
        <w:rPr>
          <w:rFonts w:ascii="Times New Roman" w:hAnsi="Times New Roman"/>
          <w:noProof/>
          <w:sz w:val="24"/>
        </w:rPr>
        <w:t>(non-repayable support):</w:t>
      </w:r>
    </w:p>
    <w:p w14:paraId="5A94CA53"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ayout w:type="fixed"/>
        <w:tblLook w:val="04A0" w:firstRow="1" w:lastRow="0" w:firstColumn="1" w:lastColumn="0" w:noHBand="0" w:noVBand="1"/>
      </w:tblPr>
      <w:tblGrid>
        <w:gridCol w:w="675"/>
        <w:gridCol w:w="5440"/>
        <w:gridCol w:w="1680"/>
        <w:gridCol w:w="1800"/>
      </w:tblGrid>
      <w:tr w:rsidR="00682269" w:rsidRPr="00DE4E4F" w14:paraId="5B35D321" w14:textId="77777777" w:rsidTr="004E489F">
        <w:trPr>
          <w:trHeight w:val="990"/>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922B489" w14:textId="77777777" w:rsidR="001B186F" w:rsidRPr="00DE4E4F" w:rsidRDefault="0074517F" w:rsidP="007E1411">
            <w:pPr>
              <w:keepNext/>
              <w:spacing w:before="40" w:after="0" w:line="259" w:lineRule="auto"/>
              <w:jc w:val="center"/>
              <w:rPr>
                <w:rFonts w:ascii="Times New Roman" w:eastAsia="Times New Roman" w:hAnsi="Times New Roman" w:cs="Times New Roman"/>
                <w:bCs/>
                <w:noProof/>
                <w:sz w:val="18"/>
                <w:szCs w:val="18"/>
                <w:lang w:eastAsia="en-GB"/>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44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374B233" w14:textId="77777777" w:rsidR="001B186F" w:rsidRPr="00DE4E4F" w:rsidRDefault="0074517F" w:rsidP="007E1411">
            <w:pPr>
              <w:keepNext/>
              <w:spacing w:before="40" w:after="0" w:line="259" w:lineRule="auto"/>
              <w:jc w:val="center"/>
              <w:rPr>
                <w:rFonts w:ascii="Times New Roman" w:eastAsia="Times New Roman" w:hAnsi="Times New Roman" w:cs="Times New Roman"/>
                <w:bCs/>
                <w:noProof/>
                <w:sz w:val="18"/>
                <w:szCs w:val="18"/>
                <w:lang w:eastAsia="en-GB"/>
              </w:rPr>
            </w:pPr>
            <w:r w:rsidRPr="00DE4E4F">
              <w:rPr>
                <w:rFonts w:ascii="Times New Roman" w:hAnsi="Times New Roman"/>
                <w:b/>
                <w:bCs/>
                <w:noProof/>
                <w:sz w:val="18"/>
              </w:rPr>
              <w:t>Related Measure (Reform or Investment)</w:t>
            </w:r>
          </w:p>
        </w:tc>
        <w:tc>
          <w:tcPr>
            <w:tcW w:w="168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EE544D8" w14:textId="77777777" w:rsidR="001B186F" w:rsidRPr="00DE4E4F" w:rsidRDefault="0074517F" w:rsidP="007E1411">
            <w:pPr>
              <w:keepNext/>
              <w:spacing w:before="40" w:after="0" w:line="259" w:lineRule="auto"/>
              <w:jc w:val="center"/>
              <w:rPr>
                <w:rFonts w:ascii="Times New Roman" w:eastAsia="Times New Roman" w:hAnsi="Times New Roman" w:cs="Times New Roman"/>
                <w:bCs/>
                <w:noProof/>
                <w:sz w:val="18"/>
                <w:szCs w:val="18"/>
                <w:lang w:eastAsia="en-GB"/>
              </w:rPr>
            </w:pPr>
            <w:r w:rsidRPr="00DE4E4F">
              <w:rPr>
                <w:rFonts w:ascii="Times New Roman" w:hAnsi="Times New Roman"/>
                <w:b/>
                <w:bCs/>
                <w:noProof/>
                <w:sz w:val="18"/>
              </w:rPr>
              <w:t>Milestone / Target</w:t>
            </w:r>
          </w:p>
        </w:tc>
        <w:tc>
          <w:tcPr>
            <w:tcW w:w="180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8EBEAE" w14:textId="77777777" w:rsidR="001B186F" w:rsidRPr="00DE4E4F" w:rsidRDefault="0074517F" w:rsidP="007E1411">
            <w:pPr>
              <w:keepNext/>
              <w:spacing w:before="40" w:after="0" w:line="259" w:lineRule="auto"/>
              <w:jc w:val="center"/>
              <w:rPr>
                <w:rFonts w:ascii="Times New Roman" w:eastAsia="Times New Roman" w:hAnsi="Times New Roman" w:cs="Times New Roman"/>
                <w:bCs/>
                <w:noProof/>
                <w:sz w:val="18"/>
                <w:szCs w:val="18"/>
                <w:lang w:eastAsia="en-GB"/>
              </w:rPr>
            </w:pPr>
            <w:r w:rsidRPr="00DE4E4F">
              <w:rPr>
                <w:rFonts w:ascii="Times New Roman" w:hAnsi="Times New Roman"/>
                <w:b/>
                <w:bCs/>
                <w:noProof/>
                <w:sz w:val="18"/>
              </w:rPr>
              <w:t>Name</w:t>
            </w:r>
          </w:p>
        </w:tc>
      </w:tr>
      <w:tr w:rsidR="00682269" w:rsidRPr="00DE4E4F" w14:paraId="72762DE5"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F1827D"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E27C5A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- 16901_HEDNO network upgrades aiming at enhancing resilience and protecting the environment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36D6AC7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4A3941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HEDNO — contracts 1</w:t>
            </w:r>
          </w:p>
        </w:tc>
      </w:tr>
      <w:tr w:rsidR="00682269" w:rsidRPr="00DE4E4F" w14:paraId="5E0B85C1"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CB92B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13</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2EC85F4E" w14:textId="7E3563E6"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- 16900_</w:t>
            </w:r>
            <w:r w:rsidR="00EF2065" w:rsidRPr="00DE4E4F">
              <w:rPr>
                <w:noProof/>
              </w:rPr>
              <w:t xml:space="preserve"> </w:t>
            </w:r>
            <w:r w:rsidR="00EF2065" w:rsidRPr="00DE4E4F">
              <w:rPr>
                <w:rFonts w:ascii="Times New Roman" w:hAnsi="Times New Roman"/>
                <w:noProof/>
                <w:sz w:val="18"/>
              </w:rPr>
              <w:t>HEDNO network upgrades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7FD119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2298E16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HEDNO — contracts 2</w:t>
            </w:r>
          </w:p>
        </w:tc>
      </w:tr>
      <w:tr w:rsidR="00682269" w:rsidRPr="00DE4E4F" w14:paraId="1D6CD358"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hideMark/>
          </w:tcPr>
          <w:p w14:paraId="7B17217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14</w:t>
            </w:r>
          </w:p>
        </w:tc>
        <w:tc>
          <w:tcPr>
            <w:tcW w:w="5440" w:type="dxa"/>
            <w:tcBorders>
              <w:top w:val="nil"/>
              <w:left w:val="nil"/>
              <w:bottom w:val="single" w:sz="4" w:space="0" w:color="auto"/>
              <w:right w:val="single" w:sz="4" w:space="0" w:color="auto"/>
            </w:tcBorders>
            <w:shd w:val="clear" w:color="auto" w:fill="C6EFCE"/>
            <w:noWrap/>
            <w:vAlign w:val="center"/>
          </w:tcPr>
          <w:p w14:paraId="416ACE3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- 16899_Installed capacity increase in Hellenic Electricity Distribution Network Operator (HEDNO) HV/MV substations for new RES connection</w:t>
            </w:r>
          </w:p>
        </w:tc>
        <w:tc>
          <w:tcPr>
            <w:tcW w:w="1680" w:type="dxa"/>
            <w:tcBorders>
              <w:top w:val="nil"/>
              <w:left w:val="nil"/>
              <w:bottom w:val="single" w:sz="4" w:space="0" w:color="auto"/>
              <w:right w:val="single" w:sz="4" w:space="0" w:color="auto"/>
            </w:tcBorders>
            <w:shd w:val="clear" w:color="auto" w:fill="C6EFCE"/>
            <w:noWrap/>
            <w:vAlign w:val="center"/>
          </w:tcPr>
          <w:p w14:paraId="39759F4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706CEA7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HEDNO — contracts 3</w:t>
            </w:r>
          </w:p>
        </w:tc>
      </w:tr>
      <w:tr w:rsidR="00682269" w:rsidRPr="00DE4E4F" w14:paraId="3E756D97"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2F49C46"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w:t>
            </w:r>
          </w:p>
        </w:tc>
        <w:tc>
          <w:tcPr>
            <w:tcW w:w="5440" w:type="dxa"/>
            <w:tcBorders>
              <w:top w:val="nil"/>
              <w:left w:val="nil"/>
              <w:bottom w:val="single" w:sz="4" w:space="0" w:color="auto"/>
              <w:right w:val="single" w:sz="4" w:space="0" w:color="auto"/>
            </w:tcBorders>
            <w:shd w:val="clear" w:color="auto" w:fill="C6EFCE"/>
            <w:noWrap/>
            <w:vAlign w:val="center"/>
          </w:tcPr>
          <w:p w14:paraId="2D1C2A4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- 16872_Energy renovation on residential buildings</w:t>
            </w:r>
          </w:p>
        </w:tc>
        <w:tc>
          <w:tcPr>
            <w:tcW w:w="1680" w:type="dxa"/>
            <w:tcBorders>
              <w:top w:val="nil"/>
              <w:left w:val="nil"/>
              <w:bottom w:val="single" w:sz="4" w:space="0" w:color="auto"/>
              <w:right w:val="single" w:sz="4" w:space="0" w:color="auto"/>
            </w:tcBorders>
            <w:shd w:val="clear" w:color="auto" w:fill="C6EFCE"/>
            <w:noWrap/>
            <w:vAlign w:val="center"/>
          </w:tcPr>
          <w:p w14:paraId="2C8FDC5C"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1800" w:type="dxa"/>
            <w:tcBorders>
              <w:top w:val="nil"/>
              <w:left w:val="nil"/>
              <w:bottom w:val="single" w:sz="4" w:space="0" w:color="auto"/>
              <w:right w:val="single" w:sz="4" w:space="0" w:color="auto"/>
            </w:tcBorders>
            <w:shd w:val="clear" w:color="auto" w:fill="C6EFCE"/>
            <w:noWrap/>
            <w:vAlign w:val="center"/>
          </w:tcPr>
          <w:p w14:paraId="2605901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Residential renovation – renovation of residences #1</w:t>
            </w:r>
          </w:p>
        </w:tc>
      </w:tr>
      <w:tr w:rsidR="00682269" w:rsidRPr="00DE4E4F" w14:paraId="0277B77E"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9FA0C4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w:t>
            </w:r>
          </w:p>
        </w:tc>
        <w:tc>
          <w:tcPr>
            <w:tcW w:w="5440" w:type="dxa"/>
            <w:tcBorders>
              <w:top w:val="nil"/>
              <w:left w:val="nil"/>
              <w:bottom w:val="single" w:sz="4" w:space="0" w:color="auto"/>
              <w:right w:val="single" w:sz="4" w:space="0" w:color="auto"/>
            </w:tcBorders>
            <w:shd w:val="clear" w:color="auto" w:fill="C6EFCE"/>
            <w:noWrap/>
            <w:vAlign w:val="center"/>
          </w:tcPr>
          <w:p w14:paraId="48B5D224"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- 16879_Preparation of Urban Plans in implementation of the urban policy reform</w:t>
            </w:r>
          </w:p>
        </w:tc>
        <w:tc>
          <w:tcPr>
            <w:tcW w:w="1680" w:type="dxa"/>
            <w:tcBorders>
              <w:top w:val="nil"/>
              <w:left w:val="nil"/>
              <w:bottom w:val="single" w:sz="4" w:space="0" w:color="auto"/>
              <w:right w:val="single" w:sz="4" w:space="0" w:color="auto"/>
            </w:tcBorders>
            <w:shd w:val="clear" w:color="auto" w:fill="C6EFCE"/>
            <w:noWrap/>
            <w:vAlign w:val="center"/>
          </w:tcPr>
          <w:p w14:paraId="024B7A7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24A5AA0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Urban Plans award</w:t>
            </w:r>
          </w:p>
        </w:tc>
      </w:tr>
      <w:tr w:rsidR="00682269" w:rsidRPr="00DE4E4F" w14:paraId="0C64E93F"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5C7200F"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33</w:t>
            </w:r>
          </w:p>
        </w:tc>
        <w:tc>
          <w:tcPr>
            <w:tcW w:w="5440" w:type="dxa"/>
            <w:tcBorders>
              <w:top w:val="nil"/>
              <w:left w:val="nil"/>
              <w:bottom w:val="single" w:sz="4" w:space="0" w:color="auto"/>
              <w:right w:val="single" w:sz="4" w:space="0" w:color="auto"/>
            </w:tcBorders>
            <w:shd w:val="clear" w:color="auto" w:fill="C6EFCE"/>
            <w:noWrap/>
            <w:vAlign w:val="center"/>
          </w:tcPr>
          <w:p w14:paraId="0325BDA4"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2 - 1.2. Renovate - 16874_Energy and entrepreneurship</w:t>
            </w:r>
          </w:p>
        </w:tc>
        <w:tc>
          <w:tcPr>
            <w:tcW w:w="1680" w:type="dxa"/>
            <w:tcBorders>
              <w:top w:val="nil"/>
              <w:left w:val="nil"/>
              <w:bottom w:val="single" w:sz="4" w:space="0" w:color="auto"/>
              <w:right w:val="single" w:sz="4" w:space="0" w:color="auto"/>
            </w:tcBorders>
            <w:shd w:val="clear" w:color="auto" w:fill="C6EFCE"/>
            <w:noWrap/>
            <w:vAlign w:val="center"/>
          </w:tcPr>
          <w:p w14:paraId="59E8ED0E"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57DB1FEF"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Energy efficiency private sector – applications approved</w:t>
            </w:r>
          </w:p>
        </w:tc>
      </w:tr>
      <w:tr w:rsidR="00682269" w:rsidRPr="00DE4E4F" w14:paraId="794F67E7"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654CC10"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38</w:t>
            </w:r>
          </w:p>
        </w:tc>
        <w:tc>
          <w:tcPr>
            <w:tcW w:w="5440" w:type="dxa"/>
            <w:tcBorders>
              <w:top w:val="nil"/>
              <w:left w:val="nil"/>
              <w:bottom w:val="single" w:sz="4" w:space="0" w:color="auto"/>
              <w:right w:val="single" w:sz="4" w:space="0" w:color="auto"/>
            </w:tcBorders>
            <w:shd w:val="clear" w:color="auto" w:fill="C6EFCE"/>
            <w:noWrap/>
            <w:vAlign w:val="center"/>
          </w:tcPr>
          <w:p w14:paraId="4E2541CD"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2 - 1.2. Renovate - 16873_ Interventions in residential areas and in the building stock</w:t>
            </w:r>
          </w:p>
        </w:tc>
        <w:tc>
          <w:tcPr>
            <w:tcW w:w="1680" w:type="dxa"/>
            <w:tcBorders>
              <w:top w:val="nil"/>
              <w:left w:val="nil"/>
              <w:bottom w:val="single" w:sz="4" w:space="0" w:color="auto"/>
              <w:right w:val="single" w:sz="4" w:space="0" w:color="auto"/>
            </w:tcBorders>
            <w:shd w:val="clear" w:color="auto" w:fill="C6EFCE"/>
            <w:noWrap/>
            <w:vAlign w:val="center"/>
          </w:tcPr>
          <w:p w14:paraId="065A33F6"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4D8819B7"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Urban interventions - contract awards</w:t>
            </w:r>
          </w:p>
        </w:tc>
      </w:tr>
      <w:tr w:rsidR="00682269" w:rsidRPr="00DE4E4F" w14:paraId="4E9AAAA5"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5214B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50</w:t>
            </w:r>
          </w:p>
        </w:tc>
        <w:tc>
          <w:tcPr>
            <w:tcW w:w="5440" w:type="dxa"/>
            <w:tcBorders>
              <w:top w:val="nil"/>
              <w:left w:val="nil"/>
              <w:bottom w:val="single" w:sz="4" w:space="0" w:color="auto"/>
              <w:right w:val="single" w:sz="4" w:space="0" w:color="auto"/>
            </w:tcBorders>
            <w:shd w:val="clear" w:color="auto" w:fill="C6EFCE"/>
            <w:noWrap/>
            <w:vAlign w:val="center"/>
          </w:tcPr>
          <w:p w14:paraId="45F2480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- 16831_Produc- E Green</w:t>
            </w:r>
          </w:p>
        </w:tc>
        <w:tc>
          <w:tcPr>
            <w:tcW w:w="1680" w:type="dxa"/>
            <w:tcBorders>
              <w:top w:val="nil"/>
              <w:left w:val="nil"/>
              <w:bottom w:val="single" w:sz="4" w:space="0" w:color="auto"/>
              <w:right w:val="single" w:sz="4" w:space="0" w:color="auto"/>
            </w:tcBorders>
            <w:shd w:val="clear" w:color="auto" w:fill="C6EFCE"/>
            <w:noWrap/>
            <w:vAlign w:val="center"/>
          </w:tcPr>
          <w:p w14:paraId="7AC2761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1138E44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Industrial Units– companies selected</w:t>
            </w:r>
          </w:p>
        </w:tc>
      </w:tr>
      <w:tr w:rsidR="00682269" w:rsidRPr="00DE4E4F" w14:paraId="0ED6FCD6"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E916BE3"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59</w:t>
            </w:r>
          </w:p>
        </w:tc>
        <w:tc>
          <w:tcPr>
            <w:tcW w:w="5440" w:type="dxa"/>
            <w:tcBorders>
              <w:top w:val="nil"/>
              <w:left w:val="nil"/>
              <w:bottom w:val="single" w:sz="4" w:space="0" w:color="auto"/>
              <w:right w:val="single" w:sz="4" w:space="0" w:color="auto"/>
            </w:tcBorders>
            <w:shd w:val="clear" w:color="auto" w:fill="C6EFCE"/>
            <w:noWrap/>
            <w:vAlign w:val="center"/>
          </w:tcPr>
          <w:p w14:paraId="4BE4A52D"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4 - 1.4. Sustainable use of resources, climate resilience and environmental protection - 16772_Waste management law for the implementation of sustainable landfilling and recycling</w:t>
            </w:r>
          </w:p>
        </w:tc>
        <w:tc>
          <w:tcPr>
            <w:tcW w:w="1680" w:type="dxa"/>
            <w:tcBorders>
              <w:top w:val="nil"/>
              <w:left w:val="nil"/>
              <w:bottom w:val="single" w:sz="4" w:space="0" w:color="auto"/>
              <w:right w:val="single" w:sz="4" w:space="0" w:color="auto"/>
            </w:tcBorders>
            <w:shd w:val="clear" w:color="auto" w:fill="C6EFCE"/>
            <w:noWrap/>
            <w:vAlign w:val="center"/>
          </w:tcPr>
          <w:p w14:paraId="1DA194A7"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5AD09452"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Set-up and functioning of the waste management regulator</w:t>
            </w:r>
          </w:p>
        </w:tc>
      </w:tr>
      <w:tr w:rsidR="00682269" w:rsidRPr="00DE4E4F" w14:paraId="45E49794"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8AE588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60</w:t>
            </w:r>
          </w:p>
        </w:tc>
        <w:tc>
          <w:tcPr>
            <w:tcW w:w="5440" w:type="dxa"/>
            <w:tcBorders>
              <w:top w:val="nil"/>
              <w:left w:val="nil"/>
              <w:bottom w:val="single" w:sz="4" w:space="0" w:color="auto"/>
              <w:right w:val="single" w:sz="4" w:space="0" w:color="auto"/>
            </w:tcBorders>
            <w:shd w:val="clear" w:color="auto" w:fill="C6EFCE"/>
            <w:noWrap/>
            <w:vAlign w:val="center"/>
          </w:tcPr>
          <w:p w14:paraId="0388565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- 16979_Establishment of new water and wastewater regulatory authority</w:t>
            </w:r>
          </w:p>
        </w:tc>
        <w:tc>
          <w:tcPr>
            <w:tcW w:w="1680" w:type="dxa"/>
            <w:tcBorders>
              <w:top w:val="nil"/>
              <w:left w:val="nil"/>
              <w:bottom w:val="single" w:sz="4" w:space="0" w:color="auto"/>
              <w:right w:val="single" w:sz="4" w:space="0" w:color="auto"/>
            </w:tcBorders>
            <w:shd w:val="clear" w:color="auto" w:fill="C6EFCE"/>
            <w:noWrap/>
            <w:vAlign w:val="center"/>
          </w:tcPr>
          <w:p w14:paraId="2065332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65674590"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Set-up and functioning of the water management regulator</w:t>
            </w:r>
          </w:p>
        </w:tc>
      </w:tr>
      <w:tr w:rsidR="00682269" w:rsidRPr="00DE4E4F" w14:paraId="534ACD5F"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D97E2AD"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62</w:t>
            </w:r>
          </w:p>
        </w:tc>
        <w:tc>
          <w:tcPr>
            <w:tcW w:w="5440" w:type="dxa"/>
            <w:tcBorders>
              <w:top w:val="nil"/>
              <w:left w:val="nil"/>
              <w:bottom w:val="single" w:sz="4" w:space="0" w:color="auto"/>
              <w:right w:val="single" w:sz="4" w:space="0" w:color="auto"/>
            </w:tcBorders>
            <w:shd w:val="clear" w:color="auto" w:fill="C6EFCE"/>
            <w:noWrap/>
            <w:vAlign w:val="center"/>
          </w:tcPr>
          <w:p w14:paraId="76E005D9"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4 - 1.4. Sustainable use of resources, climate resilience and environmental protection - 16849_National Reforestation Plan, restoration and prevention (“antiNERO”), anti-erosion and flood protection measures</w:t>
            </w:r>
          </w:p>
        </w:tc>
        <w:tc>
          <w:tcPr>
            <w:tcW w:w="1680" w:type="dxa"/>
            <w:tcBorders>
              <w:top w:val="nil"/>
              <w:left w:val="nil"/>
              <w:bottom w:val="single" w:sz="4" w:space="0" w:color="auto"/>
              <w:right w:val="single" w:sz="4" w:space="0" w:color="auto"/>
            </w:tcBorders>
            <w:shd w:val="clear" w:color="auto" w:fill="C6EFCE"/>
            <w:noWrap/>
            <w:vAlign w:val="center"/>
          </w:tcPr>
          <w:p w14:paraId="0B4D518B"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303DF0C7"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Reforestation, restoration and prevention – contracts 2</w:t>
            </w:r>
          </w:p>
        </w:tc>
      </w:tr>
      <w:tr w:rsidR="00682269" w:rsidRPr="00DE4E4F" w14:paraId="045D82CB"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608E1"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F7C46" w14:textId="27EE16CF" w:rsidR="001B186F" w:rsidRPr="00DE4E4F" w:rsidRDefault="0074517F" w:rsidP="007E1411">
            <w:pPr>
              <w:keepNext/>
              <w:spacing w:before="40" w:after="0" w:line="240" w:lineRule="auto"/>
              <w:jc w:val="both"/>
              <w:rPr>
                <w:rFonts w:ascii="Times New Roman" w:hAnsi="Times New Roman"/>
                <w:noProof/>
                <w:sz w:val="18"/>
                <w:szCs w:val="18"/>
                <w:highlight w:val="yellow"/>
              </w:rPr>
            </w:pPr>
            <w:r w:rsidRPr="00DE4E4F">
              <w:rPr>
                <w:rFonts w:ascii="Times New Roman" w:hAnsi="Times New Roman"/>
                <w:noProof/>
                <w:sz w:val="18"/>
                <w:szCs w:val="18"/>
              </w:rPr>
              <w:t xml:space="preserve">4 - 1.4. Sustainable use of resources, climate resilience and environmental protection - 16846_ </w:t>
            </w:r>
            <w:r w:rsidR="00F243A7" w:rsidRPr="00DE4E4F">
              <w:rPr>
                <w:rFonts w:ascii="Times New Roman" w:hAnsi="Times New Roman"/>
                <w:noProof/>
                <w:sz w:val="18"/>
                <w:szCs w:val="18"/>
              </w:rPr>
              <w:t>Urban Wastewater and Sludge Management Infrastructures and Purchase of Municipal Waste Management Equipment</w:t>
            </w:r>
          </w:p>
        </w:tc>
        <w:tc>
          <w:tcPr>
            <w:tcW w:w="16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F6FC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02A2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Notification of award of contract for wastewater projects</w:t>
            </w:r>
          </w:p>
        </w:tc>
      </w:tr>
      <w:tr w:rsidR="00682269" w:rsidRPr="00DE4E4F" w14:paraId="6F4F6B39"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F65D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79</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56A19BA7"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- 16911_Aerial means for crisis management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10DD2D4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101E23C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Purchase of two medium – size firefighting helicopters</w:t>
            </w:r>
          </w:p>
        </w:tc>
      </w:tr>
      <w:tr w:rsidR="00682269" w:rsidRPr="00DE4E4F" w14:paraId="4B864D86"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54D1530E"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334</w:t>
            </w:r>
          </w:p>
        </w:tc>
        <w:tc>
          <w:tcPr>
            <w:tcW w:w="5440" w:type="dxa"/>
            <w:tcBorders>
              <w:top w:val="nil"/>
              <w:left w:val="nil"/>
              <w:bottom w:val="single" w:sz="4" w:space="0" w:color="auto"/>
              <w:right w:val="single" w:sz="4" w:space="0" w:color="auto"/>
            </w:tcBorders>
            <w:shd w:val="clear" w:color="auto" w:fill="C6EFCE"/>
            <w:noWrap/>
          </w:tcPr>
          <w:p w14:paraId="7D6C28E8" w14:textId="47BE478D" w:rsidR="001B186F" w:rsidRPr="00DE4E4F" w:rsidRDefault="00EC6BB8"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5 – 21. Connect - </w:t>
            </w:r>
            <w:r w:rsidR="0074517F" w:rsidRPr="00DE4E4F">
              <w:rPr>
                <w:rFonts w:ascii="Times New Roman" w:hAnsi="Times New Roman"/>
                <w:noProof/>
                <w:sz w:val="18"/>
              </w:rPr>
              <w:t>16857_Switch to Gigabit broadband connections – Transition to Gigabit broadband connections and strengthening of Gigabit broadband demand</w:t>
            </w:r>
          </w:p>
        </w:tc>
        <w:tc>
          <w:tcPr>
            <w:tcW w:w="1680" w:type="dxa"/>
            <w:tcBorders>
              <w:top w:val="nil"/>
              <w:left w:val="nil"/>
              <w:bottom w:val="single" w:sz="4" w:space="0" w:color="auto"/>
              <w:right w:val="single" w:sz="4" w:space="0" w:color="auto"/>
            </w:tcBorders>
            <w:shd w:val="clear" w:color="auto" w:fill="C6EFCE"/>
            <w:noWrap/>
          </w:tcPr>
          <w:p w14:paraId="396A50E8"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tcPr>
          <w:p w14:paraId="3EAE9B3D"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Entry into force of the Switch to Gigabit broadband connections reform</w:t>
            </w:r>
          </w:p>
        </w:tc>
      </w:tr>
      <w:tr w:rsidR="00682269" w:rsidRPr="00DE4E4F" w14:paraId="3A09125A"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A58E9C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97</w:t>
            </w:r>
          </w:p>
        </w:tc>
        <w:tc>
          <w:tcPr>
            <w:tcW w:w="5440" w:type="dxa"/>
            <w:tcBorders>
              <w:top w:val="nil"/>
              <w:left w:val="nil"/>
              <w:bottom w:val="single" w:sz="4" w:space="0" w:color="auto"/>
              <w:right w:val="single" w:sz="4" w:space="0" w:color="auto"/>
            </w:tcBorders>
            <w:shd w:val="clear" w:color="auto" w:fill="C6EFCE"/>
            <w:noWrap/>
            <w:vAlign w:val="center"/>
          </w:tcPr>
          <w:p w14:paraId="400CE71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- 16929_Towards Public Administration’s “customer”-oriented services through simplification and improvement of processes, systems enhancements and compliance with European strategies and policies</w:t>
            </w:r>
          </w:p>
        </w:tc>
        <w:tc>
          <w:tcPr>
            <w:tcW w:w="1680" w:type="dxa"/>
            <w:tcBorders>
              <w:top w:val="nil"/>
              <w:left w:val="nil"/>
              <w:bottom w:val="single" w:sz="4" w:space="0" w:color="auto"/>
              <w:right w:val="single" w:sz="4" w:space="0" w:color="auto"/>
            </w:tcBorders>
            <w:shd w:val="clear" w:color="auto" w:fill="C6EFCE"/>
            <w:noWrap/>
            <w:vAlign w:val="center"/>
          </w:tcPr>
          <w:p w14:paraId="4A0AEE0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205A0F4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Implementation of national plan for process simplification (second phase)</w:t>
            </w:r>
          </w:p>
        </w:tc>
      </w:tr>
      <w:tr w:rsidR="00682269" w:rsidRPr="00DE4E4F" w14:paraId="1C374EE2"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911CE5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147</w:t>
            </w:r>
          </w:p>
        </w:tc>
        <w:tc>
          <w:tcPr>
            <w:tcW w:w="5440" w:type="dxa"/>
            <w:tcBorders>
              <w:top w:val="nil"/>
              <w:left w:val="nil"/>
              <w:bottom w:val="single" w:sz="4" w:space="0" w:color="auto"/>
              <w:right w:val="single" w:sz="4" w:space="0" w:color="auto"/>
            </w:tcBorders>
            <w:shd w:val="clear" w:color="auto" w:fill="C6EFCE"/>
            <w:noWrap/>
            <w:vAlign w:val="center"/>
          </w:tcPr>
          <w:p w14:paraId="0B2538DF"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- 16289_Strategy for Excellence in Universities &amp; Innovation</w:t>
            </w:r>
          </w:p>
        </w:tc>
        <w:tc>
          <w:tcPr>
            <w:tcW w:w="1680" w:type="dxa"/>
            <w:tcBorders>
              <w:top w:val="nil"/>
              <w:left w:val="nil"/>
              <w:bottom w:val="single" w:sz="4" w:space="0" w:color="auto"/>
              <w:right w:val="single" w:sz="4" w:space="0" w:color="auto"/>
            </w:tcBorders>
            <w:shd w:val="clear" w:color="auto" w:fill="C6EFCE"/>
            <w:noWrap/>
            <w:vAlign w:val="center"/>
          </w:tcPr>
          <w:p w14:paraId="2E037A0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nil"/>
              <w:left w:val="nil"/>
              <w:bottom w:val="single" w:sz="4" w:space="0" w:color="auto"/>
              <w:right w:val="single" w:sz="4" w:space="0" w:color="auto"/>
            </w:tcBorders>
            <w:shd w:val="clear" w:color="auto" w:fill="C6EFCE"/>
            <w:noWrap/>
            <w:vAlign w:val="center"/>
          </w:tcPr>
          <w:p w14:paraId="566C850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Universities of Excellence and Clusters of Research Excellence Approval decisions</w:t>
            </w:r>
          </w:p>
        </w:tc>
      </w:tr>
      <w:tr w:rsidR="00682269" w:rsidRPr="00DE4E4F" w14:paraId="3D2A380C"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0D9ED9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162</w:t>
            </w:r>
          </w:p>
        </w:tc>
        <w:tc>
          <w:tcPr>
            <w:tcW w:w="5440" w:type="dxa"/>
            <w:tcBorders>
              <w:top w:val="nil"/>
              <w:left w:val="nil"/>
              <w:bottom w:val="single" w:sz="4" w:space="0" w:color="auto"/>
              <w:right w:val="single" w:sz="4" w:space="0" w:color="auto"/>
            </w:tcBorders>
            <w:shd w:val="clear" w:color="auto" w:fill="C6EFCE"/>
            <w:noWrap/>
            <w:vAlign w:val="center"/>
          </w:tcPr>
          <w:p w14:paraId="137BE018"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- 16820_Reform in the fields of mental health and addictions</w:t>
            </w:r>
          </w:p>
        </w:tc>
        <w:tc>
          <w:tcPr>
            <w:tcW w:w="1680" w:type="dxa"/>
            <w:tcBorders>
              <w:top w:val="nil"/>
              <w:left w:val="nil"/>
              <w:bottom w:val="single" w:sz="4" w:space="0" w:color="auto"/>
              <w:right w:val="single" w:sz="4" w:space="0" w:color="auto"/>
            </w:tcBorders>
            <w:shd w:val="clear" w:color="auto" w:fill="C6EFCE"/>
            <w:noWrap/>
            <w:vAlign w:val="center"/>
          </w:tcPr>
          <w:p w14:paraId="1250BB55"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1800" w:type="dxa"/>
            <w:tcBorders>
              <w:top w:val="nil"/>
              <w:left w:val="nil"/>
              <w:bottom w:val="single" w:sz="4" w:space="0" w:color="auto"/>
              <w:right w:val="single" w:sz="4" w:space="0" w:color="auto"/>
            </w:tcBorders>
            <w:shd w:val="clear" w:color="auto" w:fill="C6EFCE"/>
            <w:noWrap/>
            <w:vAlign w:val="center"/>
          </w:tcPr>
          <w:p w14:paraId="3E2F71B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Mental health – 106 units open – step 2 of 2</w:t>
            </w:r>
          </w:p>
        </w:tc>
      </w:tr>
      <w:tr w:rsidR="00682269" w:rsidRPr="00DE4E4F" w14:paraId="15102E0D"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4F18A"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192</w:t>
            </w:r>
          </w:p>
        </w:tc>
        <w:tc>
          <w:tcPr>
            <w:tcW w:w="5440" w:type="dxa"/>
            <w:tcBorders>
              <w:top w:val="single" w:sz="4" w:space="0" w:color="auto"/>
              <w:left w:val="nil"/>
              <w:bottom w:val="single" w:sz="4" w:space="0" w:color="auto"/>
              <w:right w:val="single" w:sz="4" w:space="0" w:color="auto"/>
            </w:tcBorders>
            <w:shd w:val="clear" w:color="auto" w:fill="C6EFCE"/>
            <w:noWrap/>
            <w:vAlign w:val="center"/>
          </w:tcPr>
          <w:p w14:paraId="13A2F20F"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12 - 4.1. Making taxes more growth friendly and improving tax administration and tax collection - 16611_Digital transformation of tax audits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D2CE264"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6DF61854"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Tax audits – Mydata and bank information</w:t>
            </w:r>
          </w:p>
        </w:tc>
      </w:tr>
      <w:tr w:rsidR="00682269" w:rsidRPr="00DE4E4F" w14:paraId="48CDB961"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372FA"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193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1EBAE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- 16610_Promoting the acceleration of VAT refunds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EF456AE"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EAE1E5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Fully automated VAT refunds – launch of IT system</w:t>
            </w:r>
          </w:p>
        </w:tc>
      </w:tr>
      <w:tr w:rsidR="00682269" w:rsidRPr="00DE4E4F" w14:paraId="1BC93243"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74DA1AC"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207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FF863"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928AA94"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5824EDF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Public administration – new rewarding system</w:t>
            </w:r>
          </w:p>
        </w:tc>
      </w:tr>
      <w:tr w:rsidR="00682269" w:rsidRPr="00DE4E4F" w14:paraId="1B0FB35F"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099E38C"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216a</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ABB35F7" w14:textId="2E17CAAA"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r w:rsidR="00DE4C0C" w:rsidRPr="00DE4E4F">
              <w:rPr>
                <w:rFonts w:ascii="Times New Roman" w:hAnsi="Times New Roman"/>
                <w:noProof/>
                <w:sz w:val="18"/>
                <w:szCs w:val="18"/>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7B124933"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tcPr>
          <w:p w14:paraId="078F2F21"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Amendment of the National Strategy on Public Procurement 2021-2025</w:t>
            </w:r>
          </w:p>
        </w:tc>
      </w:tr>
      <w:tr w:rsidR="00682269" w:rsidRPr="00DE4E4F" w14:paraId="53195989"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46107B2"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232</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1CB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14 - 4.3. Improve the efficiency of the justice system – 16575 Accelerating the administration of justice</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6368802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3B0893C2"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Judicial Map revision – primary legislation - Civil and Penal</w:t>
            </w:r>
          </w:p>
        </w:tc>
      </w:tr>
      <w:tr w:rsidR="00682269" w:rsidRPr="00DE4E4F" w14:paraId="1033443B"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E8CB15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7D1965"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14 - 4.3. Improve the efficiency of the justice system - 16292_New Judicial Buildings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4844250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794CBE73"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Judicial Buildings Construction and Renovation – Launch of tenders</w:t>
            </w:r>
          </w:p>
        </w:tc>
      </w:tr>
      <w:tr w:rsidR="00682269" w:rsidRPr="00DE4E4F" w14:paraId="177DECD0"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CD480E"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279</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51F289"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17 - 4.6. Modernise and improve resilience of key economic sectors - 16486_Museum of underwater antiquities</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29D26D7A"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08BEB6F8"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Contract award for Museum of underwater antiquities</w:t>
            </w:r>
          </w:p>
        </w:tc>
      </w:tr>
      <w:tr w:rsidR="00682269" w:rsidRPr="00DE4E4F" w14:paraId="7A4A7678"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4F29B30"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303</w:t>
            </w: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38600B" w14:textId="77777777" w:rsidR="001B186F" w:rsidRPr="00DE4E4F" w:rsidRDefault="0074517F" w:rsidP="007E1411">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- 16593_Amendment of the legal framework for the attraction of strategic investment</w:t>
            </w:r>
          </w:p>
        </w:tc>
        <w:tc>
          <w:tcPr>
            <w:tcW w:w="1680" w:type="dxa"/>
            <w:tcBorders>
              <w:top w:val="single" w:sz="4" w:space="0" w:color="auto"/>
              <w:left w:val="nil"/>
              <w:bottom w:val="single" w:sz="4" w:space="0" w:color="auto"/>
              <w:right w:val="single" w:sz="4" w:space="0" w:color="auto"/>
            </w:tcBorders>
            <w:shd w:val="clear" w:color="auto" w:fill="C6EFCE"/>
            <w:noWrap/>
            <w:vAlign w:val="center"/>
          </w:tcPr>
          <w:p w14:paraId="5FC97D81"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vAlign w:val="center"/>
          </w:tcPr>
          <w:p w14:paraId="4FE0B346" w14:textId="77777777" w:rsidR="001B186F" w:rsidRPr="00DE4E4F" w:rsidRDefault="0074517F" w:rsidP="007E1411">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Strategic investments -selection of eligible projects</w:t>
            </w:r>
          </w:p>
        </w:tc>
      </w:tr>
      <w:tr w:rsidR="00682269" w:rsidRPr="00DE4E4F" w14:paraId="25A8A1F2" w14:textId="77777777" w:rsidTr="004E489F">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tcPr>
          <w:p w14:paraId="15AFC4F8"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337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13241CD0"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12 - 4.1. Making taxes more growth friendly and improving tax administration and tax collection – 16985_Modifications to Greece’s tax policy framework</w:t>
            </w:r>
          </w:p>
        </w:tc>
        <w:tc>
          <w:tcPr>
            <w:tcW w:w="1680" w:type="dxa"/>
            <w:tcBorders>
              <w:top w:val="single" w:sz="4" w:space="0" w:color="auto"/>
              <w:left w:val="nil"/>
              <w:bottom w:val="single" w:sz="4" w:space="0" w:color="auto"/>
              <w:right w:val="single" w:sz="4" w:space="0" w:color="auto"/>
            </w:tcBorders>
            <w:shd w:val="clear" w:color="auto" w:fill="C6EFCE"/>
            <w:noWrap/>
          </w:tcPr>
          <w:p w14:paraId="6B720C4F"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1800" w:type="dxa"/>
            <w:tcBorders>
              <w:top w:val="single" w:sz="4" w:space="0" w:color="auto"/>
              <w:left w:val="nil"/>
              <w:bottom w:val="single" w:sz="4" w:space="0" w:color="auto"/>
              <w:right w:val="single" w:sz="4" w:space="0" w:color="auto"/>
            </w:tcBorders>
            <w:shd w:val="clear" w:color="auto" w:fill="C6EFCE"/>
            <w:noWrap/>
          </w:tcPr>
          <w:p w14:paraId="114F2E1C" w14:textId="77777777" w:rsidR="001B186F" w:rsidRPr="00DE4E4F" w:rsidRDefault="0074517F" w:rsidP="007E1411">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Combat tax evasion and promote electronic payments</w:t>
            </w:r>
          </w:p>
        </w:tc>
      </w:tr>
      <w:tr w:rsidR="00682269" w:rsidRPr="00DE4E4F" w14:paraId="3F23E9E7"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159761D"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338</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0150F06"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12 - 4.1. Making taxes more growth friendly and improving tax administration and tax collection – 16985_Modifications to Greece’s tax policy framework</w:t>
            </w:r>
          </w:p>
        </w:tc>
        <w:tc>
          <w:tcPr>
            <w:tcW w:w="1680" w:type="dxa"/>
            <w:tcBorders>
              <w:top w:val="single" w:sz="4" w:space="0" w:color="auto"/>
              <w:left w:val="single" w:sz="4" w:space="0" w:color="auto"/>
              <w:bottom w:val="single" w:sz="4" w:space="0" w:color="auto"/>
              <w:right w:val="single" w:sz="4" w:space="0" w:color="auto"/>
            </w:tcBorders>
            <w:shd w:val="clear" w:color="auto" w:fill="C6EFCE"/>
            <w:noWrap/>
          </w:tcPr>
          <w:p w14:paraId="72EE46DF"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1800" w:type="dxa"/>
            <w:tcBorders>
              <w:top w:val="single" w:sz="4" w:space="0" w:color="auto"/>
              <w:left w:val="single" w:sz="4" w:space="0" w:color="auto"/>
              <w:bottom w:val="single" w:sz="4" w:space="0" w:color="auto"/>
              <w:right w:val="single" w:sz="4" w:space="0" w:color="auto"/>
            </w:tcBorders>
            <w:shd w:val="clear" w:color="auto" w:fill="C6EFCE"/>
            <w:noWrap/>
          </w:tcPr>
          <w:p w14:paraId="3A21D638" w14:textId="77777777" w:rsidR="001B186F" w:rsidRPr="00DE4E4F" w:rsidRDefault="0074517F" w:rsidP="007E1411">
            <w:pPr>
              <w:keepNext/>
              <w:spacing w:before="40" w:after="0" w:line="240" w:lineRule="auto"/>
              <w:jc w:val="both"/>
              <w:rPr>
                <w:rFonts w:ascii="Times New Roman" w:hAnsi="Times New Roman"/>
                <w:noProof/>
                <w:sz w:val="18"/>
              </w:rPr>
            </w:pPr>
            <w:r w:rsidRPr="00DE4E4F">
              <w:rPr>
                <w:rFonts w:ascii="Times New Roman" w:hAnsi="Times New Roman"/>
                <w:noProof/>
                <w:sz w:val="18"/>
              </w:rPr>
              <w:t>Reform the taxation of the self-employed and stamp duty</w:t>
            </w:r>
          </w:p>
        </w:tc>
      </w:tr>
      <w:tr w:rsidR="00682269" w:rsidRPr="00DE4E4F" w14:paraId="14592B59"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5FD1084D" w14:textId="77777777" w:rsidR="001B186F" w:rsidRPr="00DE4E4F" w:rsidRDefault="0074517F" w:rsidP="007E1411">
            <w:pPr>
              <w:keepNext/>
              <w:spacing w:before="40" w:after="0" w:line="259"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341</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71385374" w14:textId="77777777" w:rsidR="001B186F" w:rsidRPr="00DE4E4F" w:rsidRDefault="0074517F" w:rsidP="007E1411">
            <w:pPr>
              <w:keepNext/>
              <w:spacing w:before="40" w:after="0" w:line="259" w:lineRule="auto"/>
              <w:jc w:val="both"/>
              <w:rPr>
                <w:rFonts w:ascii="Times New Roman" w:eastAsia="Times New Roman" w:hAnsi="Times New Roman" w:cs="Times New Roman"/>
                <w:bCs/>
                <w:noProof/>
                <w:sz w:val="18"/>
                <w:szCs w:val="18"/>
              </w:rPr>
            </w:pPr>
            <w:r w:rsidRPr="00DE4E4F">
              <w:rPr>
                <w:rFonts w:ascii="Times New Roman" w:hAnsi="Times New Roman" w:cs="Times New Roman"/>
                <w:noProof/>
                <w:sz w:val="18"/>
                <w:szCs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680" w:type="dxa"/>
            <w:tcBorders>
              <w:top w:val="single" w:sz="4" w:space="0" w:color="auto"/>
              <w:left w:val="nil"/>
              <w:bottom w:val="single" w:sz="4" w:space="0" w:color="auto"/>
              <w:right w:val="single" w:sz="4" w:space="0" w:color="auto"/>
            </w:tcBorders>
            <w:shd w:val="clear" w:color="auto" w:fill="C6EFCE"/>
            <w:noWrap/>
          </w:tcPr>
          <w:p w14:paraId="18E66F0C"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Target</w:t>
            </w:r>
          </w:p>
        </w:tc>
        <w:tc>
          <w:tcPr>
            <w:tcW w:w="1800" w:type="dxa"/>
            <w:tcBorders>
              <w:top w:val="single" w:sz="4" w:space="0" w:color="auto"/>
              <w:left w:val="nil"/>
              <w:bottom w:val="single" w:sz="4" w:space="0" w:color="auto"/>
              <w:right w:val="single" w:sz="4" w:space="0" w:color="auto"/>
            </w:tcBorders>
            <w:shd w:val="clear" w:color="auto" w:fill="C6EFCE"/>
            <w:noWrap/>
          </w:tcPr>
          <w:p w14:paraId="5B3ED408"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Cadastral mapping – 85% completion</w:t>
            </w:r>
          </w:p>
        </w:tc>
      </w:tr>
      <w:tr w:rsidR="00682269" w:rsidRPr="00DE4E4F" w14:paraId="62BD819D"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tcPr>
          <w:p w14:paraId="3BE0B326" w14:textId="77777777" w:rsidR="001B186F" w:rsidRPr="00DE4E4F" w:rsidRDefault="0074517F" w:rsidP="007E1411">
            <w:pPr>
              <w:keepNext/>
              <w:spacing w:before="40" w:after="0" w:line="259" w:lineRule="auto"/>
              <w:jc w:val="both"/>
              <w:rPr>
                <w:rFonts w:ascii="Times New Roman" w:eastAsia="Times New Roman" w:hAnsi="Times New Roman" w:cs="Times New Roman"/>
                <w:bCs/>
                <w:noProof/>
                <w:sz w:val="20"/>
                <w:szCs w:val="18"/>
              </w:rPr>
            </w:pPr>
            <w:r w:rsidRPr="00DE4E4F">
              <w:rPr>
                <w:rFonts w:ascii="Times New Roman" w:hAnsi="Times New Roman"/>
                <w:noProof/>
                <w:sz w:val="20"/>
              </w:rPr>
              <w:t>367</w:t>
            </w:r>
          </w:p>
        </w:tc>
        <w:tc>
          <w:tcPr>
            <w:tcW w:w="5440" w:type="dxa"/>
            <w:tcBorders>
              <w:top w:val="single" w:sz="4" w:space="0" w:color="auto"/>
              <w:left w:val="single" w:sz="4" w:space="0" w:color="auto"/>
              <w:bottom w:val="single" w:sz="4" w:space="0" w:color="auto"/>
              <w:right w:val="single" w:sz="4" w:space="0" w:color="auto"/>
            </w:tcBorders>
            <w:shd w:val="clear" w:color="auto" w:fill="C6EFCE"/>
            <w:noWrap/>
          </w:tcPr>
          <w:p w14:paraId="36458D06" w14:textId="77777777" w:rsidR="001B186F" w:rsidRPr="00DE4E4F" w:rsidRDefault="0074517F" w:rsidP="007E1411">
            <w:pPr>
              <w:keepNext/>
              <w:spacing w:before="40" w:after="0" w:line="259" w:lineRule="auto"/>
              <w:jc w:val="both"/>
              <w:rPr>
                <w:rFonts w:ascii="Times New Roman" w:eastAsia="Times New Roman" w:hAnsi="Times New Roman" w:cs="Times New Roman"/>
                <w:bCs/>
                <w:noProof/>
                <w:sz w:val="18"/>
                <w:szCs w:val="18"/>
              </w:rPr>
            </w:pPr>
            <w:r w:rsidRPr="00DE4E4F">
              <w:rPr>
                <w:rFonts w:ascii="Times New Roman" w:hAnsi="Times New Roman" w:cs="Times New Roman"/>
                <w:noProof/>
                <w:sz w:val="18"/>
                <w:szCs w:val="18"/>
              </w:rPr>
              <w:t xml:space="preserve">21 - 5.2 REPowerEU investments - 16994_Energy Efficiency and promotion of RES for auto-consumption </w:t>
            </w:r>
          </w:p>
        </w:tc>
        <w:tc>
          <w:tcPr>
            <w:tcW w:w="1680" w:type="dxa"/>
            <w:tcBorders>
              <w:top w:val="single" w:sz="4" w:space="0" w:color="auto"/>
              <w:left w:val="nil"/>
              <w:bottom w:val="single" w:sz="4" w:space="0" w:color="auto"/>
              <w:right w:val="single" w:sz="4" w:space="0" w:color="auto"/>
            </w:tcBorders>
            <w:shd w:val="clear" w:color="auto" w:fill="C6EFCE"/>
            <w:noWrap/>
          </w:tcPr>
          <w:p w14:paraId="253FFF51"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Milestone</w:t>
            </w:r>
          </w:p>
        </w:tc>
        <w:tc>
          <w:tcPr>
            <w:tcW w:w="1800" w:type="dxa"/>
            <w:tcBorders>
              <w:top w:val="single" w:sz="4" w:space="0" w:color="auto"/>
              <w:left w:val="nil"/>
              <w:bottom w:val="single" w:sz="4" w:space="0" w:color="auto"/>
              <w:right w:val="single" w:sz="4" w:space="0" w:color="auto"/>
            </w:tcBorders>
            <w:shd w:val="clear" w:color="auto" w:fill="C6EFCE"/>
            <w:noWrap/>
          </w:tcPr>
          <w:p w14:paraId="23327BA1"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Launch of support programmes</w:t>
            </w:r>
          </w:p>
        </w:tc>
      </w:tr>
      <w:tr w:rsidR="00682269" w:rsidRPr="00DE4E4F" w14:paraId="16ACE35C" w14:textId="77777777" w:rsidTr="004E489F">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B2251BC"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544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EA649C7" w14:textId="77777777" w:rsidR="001B186F" w:rsidRPr="00DE4E4F" w:rsidRDefault="001B186F" w:rsidP="007E1411">
            <w:pPr>
              <w:keepNext/>
              <w:spacing w:before="40" w:after="0" w:line="259" w:lineRule="auto"/>
              <w:jc w:val="both"/>
              <w:rPr>
                <w:rFonts w:ascii="Times New Roman" w:eastAsia="Times New Roman" w:hAnsi="Times New Roman" w:cs="Times New Roman"/>
                <w:bCs/>
                <w:noProof/>
                <w:sz w:val="18"/>
                <w:szCs w:val="18"/>
                <w:lang w:eastAsia="en-GB"/>
              </w:rPr>
            </w:pPr>
          </w:p>
        </w:tc>
        <w:tc>
          <w:tcPr>
            <w:tcW w:w="1680" w:type="dxa"/>
            <w:tcBorders>
              <w:top w:val="single" w:sz="4" w:space="0" w:color="auto"/>
              <w:left w:val="nil"/>
              <w:bottom w:val="single" w:sz="4" w:space="0" w:color="auto"/>
              <w:right w:val="single" w:sz="4" w:space="0" w:color="auto"/>
            </w:tcBorders>
            <w:shd w:val="clear" w:color="auto" w:fill="C6EFCE"/>
            <w:noWrap/>
            <w:vAlign w:val="bottom"/>
          </w:tcPr>
          <w:p w14:paraId="1C691EC7"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Instalment Amount</w:t>
            </w:r>
          </w:p>
        </w:tc>
        <w:tc>
          <w:tcPr>
            <w:tcW w:w="1800" w:type="dxa"/>
            <w:tcBorders>
              <w:top w:val="single" w:sz="4" w:space="0" w:color="auto"/>
              <w:left w:val="nil"/>
              <w:bottom w:val="single" w:sz="4" w:space="0" w:color="auto"/>
              <w:right w:val="single" w:sz="4" w:space="0" w:color="auto"/>
            </w:tcBorders>
            <w:shd w:val="clear" w:color="auto" w:fill="C6EFCE"/>
            <w:noWrap/>
            <w:vAlign w:val="bottom"/>
          </w:tcPr>
          <w:p w14:paraId="07CE76B6" w14:textId="77777777" w:rsidR="001B186F" w:rsidRPr="00DE4E4F" w:rsidRDefault="0074517F" w:rsidP="007E1411">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EUR 1 557 198 947</w:t>
            </w:r>
          </w:p>
        </w:tc>
      </w:tr>
    </w:tbl>
    <w:p w14:paraId="019AFF97" w14:textId="196264BD" w:rsidR="007607D9" w:rsidRPr="00DE4E4F" w:rsidRDefault="007607D9">
      <w:pPr>
        <w:keepNext/>
        <w:spacing w:before="40" w:line="259" w:lineRule="auto"/>
        <w:jc w:val="both"/>
        <w:rPr>
          <w:rFonts w:eastAsia="Times New Roman"/>
          <w:i/>
          <w:noProof/>
          <w:color w:val="4F81BD"/>
        </w:rPr>
      </w:pPr>
    </w:p>
    <w:p w14:paraId="2D9DCA30" w14:textId="38366E9D" w:rsidR="001B186F" w:rsidRPr="00DE4E4F" w:rsidRDefault="001B186F" w:rsidP="007607D9">
      <w:pPr>
        <w:rPr>
          <w:noProof/>
        </w:rPr>
      </w:pPr>
    </w:p>
    <w:p w14:paraId="324BFC0E" w14:textId="77777777" w:rsidR="001B186F" w:rsidRPr="00DE4E4F" w:rsidRDefault="0074517F">
      <w:pPr>
        <w:keepNext/>
        <w:numPr>
          <w:ilvl w:val="1"/>
          <w:numId w:val="93"/>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Sixth Payment Request (non-repayable support): </w:t>
      </w:r>
    </w:p>
    <w:p w14:paraId="28116168"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Look w:val="04A0" w:firstRow="1" w:lastRow="0" w:firstColumn="1" w:lastColumn="0" w:noHBand="0" w:noVBand="1"/>
      </w:tblPr>
      <w:tblGrid>
        <w:gridCol w:w="675"/>
        <w:gridCol w:w="5171"/>
        <w:gridCol w:w="22"/>
        <w:gridCol w:w="1658"/>
        <w:gridCol w:w="22"/>
        <w:gridCol w:w="2047"/>
      </w:tblGrid>
      <w:tr w:rsidR="00682269" w:rsidRPr="00DE4E4F" w14:paraId="040BE15E" w14:textId="77777777" w:rsidTr="003A263B">
        <w:trPr>
          <w:trHeight w:val="906"/>
          <w:tblHeader/>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D29A3A" w14:textId="77777777" w:rsidR="001B186F" w:rsidRPr="00DE4E4F" w:rsidRDefault="0074517F" w:rsidP="003A263B">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17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73712F" w14:textId="77777777" w:rsidR="001B186F" w:rsidRPr="00DE4E4F" w:rsidRDefault="0074517F" w:rsidP="003A263B">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80"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9EC99" w14:textId="77777777" w:rsidR="001B186F" w:rsidRPr="00DE4E4F" w:rsidRDefault="0074517F" w:rsidP="003A263B">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069"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8658DC" w14:textId="77777777" w:rsidR="001B186F" w:rsidRPr="00DE4E4F" w:rsidRDefault="0074517F" w:rsidP="003A263B">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0D10F4CD" w14:textId="77777777" w:rsidTr="003A263B">
        <w:trPr>
          <w:trHeight w:val="269"/>
          <w:tblHeader/>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56D186EC"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c>
          <w:tcPr>
            <w:tcW w:w="5171" w:type="dxa"/>
            <w:vMerge/>
            <w:tcBorders>
              <w:top w:val="single" w:sz="4" w:space="0" w:color="auto"/>
              <w:left w:val="single" w:sz="4" w:space="0" w:color="auto"/>
              <w:bottom w:val="single" w:sz="4" w:space="0" w:color="auto"/>
              <w:right w:val="single" w:sz="4" w:space="0" w:color="auto"/>
            </w:tcBorders>
            <w:vAlign w:val="center"/>
            <w:hideMark/>
          </w:tcPr>
          <w:p w14:paraId="3F31F948"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c>
          <w:tcPr>
            <w:tcW w:w="1680" w:type="dxa"/>
            <w:gridSpan w:val="2"/>
            <w:vMerge/>
            <w:tcBorders>
              <w:top w:val="single" w:sz="4" w:space="0" w:color="auto"/>
              <w:left w:val="single" w:sz="4" w:space="0" w:color="auto"/>
              <w:bottom w:val="single" w:sz="4" w:space="0" w:color="auto"/>
              <w:right w:val="single" w:sz="4" w:space="0" w:color="auto"/>
            </w:tcBorders>
            <w:vAlign w:val="center"/>
            <w:hideMark/>
          </w:tcPr>
          <w:p w14:paraId="7B35080F"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c>
          <w:tcPr>
            <w:tcW w:w="2069" w:type="dxa"/>
            <w:gridSpan w:val="2"/>
            <w:vMerge/>
            <w:tcBorders>
              <w:top w:val="single" w:sz="4" w:space="0" w:color="auto"/>
              <w:left w:val="single" w:sz="4" w:space="0" w:color="auto"/>
              <w:bottom w:val="single" w:sz="4" w:space="0" w:color="auto"/>
              <w:right w:val="single" w:sz="4" w:space="0" w:color="auto"/>
            </w:tcBorders>
            <w:vAlign w:val="center"/>
            <w:hideMark/>
          </w:tcPr>
          <w:p w14:paraId="3C831D89"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r>
      <w:tr w:rsidR="00682269" w:rsidRPr="00DE4E4F" w14:paraId="6AAB42B3"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C22C1"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11E2E7D"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1 - 1.1. Power up - 16865_Restructuring and enhancement of the RES CHP Account revenues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3DEA4C39"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Target</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07B063D"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RES account — capacity increase target 3 </w:t>
            </w:r>
          </w:p>
        </w:tc>
      </w:tr>
      <w:tr w:rsidR="00682269" w:rsidRPr="00DE4E4F" w14:paraId="6B2CE1A7"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2AC67C"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F0D6DBF"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1 - 1.1. Power up - 16871_Revitalization actions of the most affected territories (Just transition territories)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138050A"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D262380"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Land rehabilitation — urban plans</w:t>
            </w:r>
          </w:p>
        </w:tc>
      </w:tr>
      <w:tr w:rsidR="00682269" w:rsidRPr="00DE4E4F" w14:paraId="274FD746"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3D9C31F" w14:textId="77777777" w:rsidR="001B186F" w:rsidRPr="00DE4E4F" w:rsidRDefault="0074517F" w:rsidP="003A263B">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31</w:t>
            </w:r>
          </w:p>
        </w:tc>
        <w:tc>
          <w:tcPr>
            <w:tcW w:w="5193" w:type="dxa"/>
            <w:gridSpan w:val="2"/>
            <w:tcBorders>
              <w:top w:val="nil"/>
              <w:left w:val="nil"/>
              <w:bottom w:val="single" w:sz="4" w:space="0" w:color="auto"/>
              <w:right w:val="single" w:sz="4" w:space="0" w:color="auto"/>
            </w:tcBorders>
            <w:shd w:val="clear" w:color="auto" w:fill="C6EFCE"/>
            <w:noWrap/>
            <w:vAlign w:val="center"/>
          </w:tcPr>
          <w:p w14:paraId="441F550D"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2 - 1.2. Renovate - 16891_Establishment of new maritime spatial planning</w:t>
            </w:r>
          </w:p>
        </w:tc>
        <w:tc>
          <w:tcPr>
            <w:tcW w:w="1680" w:type="dxa"/>
            <w:gridSpan w:val="2"/>
            <w:tcBorders>
              <w:top w:val="nil"/>
              <w:left w:val="nil"/>
              <w:bottom w:val="single" w:sz="4" w:space="0" w:color="auto"/>
              <w:right w:val="single" w:sz="4" w:space="0" w:color="auto"/>
            </w:tcBorders>
            <w:shd w:val="clear" w:color="auto" w:fill="C6EFCE"/>
            <w:noWrap/>
            <w:vAlign w:val="center"/>
          </w:tcPr>
          <w:p w14:paraId="010EB6EF"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C8C8ED2" w14:textId="77777777" w:rsidR="001B186F" w:rsidRPr="00DE4E4F" w:rsidRDefault="0074517F" w:rsidP="003A263B">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Adoption of maritime strategy</w:t>
            </w:r>
          </w:p>
        </w:tc>
      </w:tr>
      <w:tr w:rsidR="00682269" w:rsidRPr="00DE4E4F" w14:paraId="38A937CD"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D025443"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113</w:t>
            </w:r>
          </w:p>
        </w:tc>
        <w:tc>
          <w:tcPr>
            <w:tcW w:w="5193" w:type="dxa"/>
            <w:gridSpan w:val="2"/>
            <w:tcBorders>
              <w:top w:val="nil"/>
              <w:left w:val="nil"/>
              <w:bottom w:val="single" w:sz="4" w:space="0" w:color="auto"/>
              <w:right w:val="single" w:sz="4" w:space="0" w:color="auto"/>
            </w:tcBorders>
            <w:shd w:val="clear" w:color="auto" w:fill="C6EFCE"/>
            <w:noWrap/>
            <w:vAlign w:val="center"/>
          </w:tcPr>
          <w:p w14:paraId="1D675689"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6 - 2.2. Modernise - 16738_Central Document Management System</w:t>
            </w:r>
          </w:p>
        </w:tc>
        <w:tc>
          <w:tcPr>
            <w:tcW w:w="1680" w:type="dxa"/>
            <w:gridSpan w:val="2"/>
            <w:tcBorders>
              <w:top w:val="nil"/>
              <w:left w:val="nil"/>
              <w:bottom w:val="single" w:sz="4" w:space="0" w:color="auto"/>
              <w:right w:val="single" w:sz="4" w:space="0" w:color="auto"/>
            </w:tcBorders>
            <w:shd w:val="clear" w:color="auto" w:fill="C6EFCE"/>
            <w:noWrap/>
            <w:vAlign w:val="center"/>
          </w:tcPr>
          <w:p w14:paraId="206F8CCE"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727975CD"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 xml:space="preserve">Completion of Central Document Management System Project </w:t>
            </w:r>
          </w:p>
        </w:tc>
      </w:tr>
      <w:tr w:rsidR="00682269" w:rsidRPr="00DE4E4F" w14:paraId="343C8C3E"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ECE96E7"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122</w:t>
            </w:r>
          </w:p>
        </w:tc>
        <w:tc>
          <w:tcPr>
            <w:tcW w:w="5193" w:type="dxa"/>
            <w:gridSpan w:val="2"/>
            <w:tcBorders>
              <w:top w:val="nil"/>
              <w:left w:val="nil"/>
              <w:bottom w:val="single" w:sz="4" w:space="0" w:color="auto"/>
              <w:right w:val="single" w:sz="4" w:space="0" w:color="auto"/>
            </w:tcBorders>
            <w:shd w:val="clear" w:color="auto" w:fill="C6EFCE"/>
            <w:noWrap/>
            <w:vAlign w:val="center"/>
          </w:tcPr>
          <w:p w14:paraId="667FF72E"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6 - 2.2. Modernise – 16853 Supply of Central Cloud Computing Infrastructure and Service</w:t>
            </w:r>
          </w:p>
        </w:tc>
        <w:tc>
          <w:tcPr>
            <w:tcW w:w="1680" w:type="dxa"/>
            <w:gridSpan w:val="2"/>
            <w:tcBorders>
              <w:top w:val="nil"/>
              <w:left w:val="nil"/>
              <w:bottom w:val="single" w:sz="4" w:space="0" w:color="auto"/>
              <w:right w:val="single" w:sz="4" w:space="0" w:color="auto"/>
            </w:tcBorders>
            <w:shd w:val="clear" w:color="auto" w:fill="C6EFCE"/>
            <w:noWrap/>
            <w:vAlign w:val="center"/>
          </w:tcPr>
          <w:p w14:paraId="563A82B1"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1DB4981F"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Completion of Central Cloud computing infrastructure and service</w:t>
            </w:r>
          </w:p>
        </w:tc>
      </w:tr>
      <w:tr w:rsidR="00682269" w:rsidRPr="00DE4E4F" w14:paraId="19371198"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1DCFC18"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155</w:t>
            </w:r>
          </w:p>
        </w:tc>
        <w:tc>
          <w:tcPr>
            <w:tcW w:w="5193" w:type="dxa"/>
            <w:gridSpan w:val="2"/>
            <w:tcBorders>
              <w:top w:val="nil"/>
              <w:left w:val="nil"/>
              <w:bottom w:val="single" w:sz="4" w:space="0" w:color="auto"/>
              <w:right w:val="single" w:sz="4" w:space="0" w:color="auto"/>
            </w:tcBorders>
            <w:shd w:val="clear" w:color="auto" w:fill="C6EFCE"/>
            <w:noWrap/>
            <w:vAlign w:val="center"/>
          </w:tcPr>
          <w:p w14:paraId="65BFE8D4"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1680" w:type="dxa"/>
            <w:gridSpan w:val="2"/>
            <w:tcBorders>
              <w:top w:val="nil"/>
              <w:left w:val="nil"/>
              <w:bottom w:val="single" w:sz="4" w:space="0" w:color="auto"/>
              <w:right w:val="single" w:sz="4" w:space="0" w:color="auto"/>
            </w:tcBorders>
            <w:shd w:val="clear" w:color="auto" w:fill="C6EFCE"/>
            <w:noWrap/>
            <w:vAlign w:val="center"/>
          </w:tcPr>
          <w:p w14:paraId="0E53EB21"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047" w:type="dxa"/>
            <w:tcBorders>
              <w:top w:val="nil"/>
              <w:left w:val="nil"/>
              <w:bottom w:val="single" w:sz="4" w:space="0" w:color="auto"/>
              <w:right w:val="single" w:sz="4" w:space="0" w:color="auto"/>
            </w:tcBorders>
            <w:shd w:val="clear" w:color="auto" w:fill="C6EFCE"/>
            <w:noWrap/>
            <w:vAlign w:val="center"/>
          </w:tcPr>
          <w:p w14:paraId="447009DC"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Clawback decrease 150 000 000 - step 2</w:t>
            </w:r>
          </w:p>
        </w:tc>
      </w:tr>
      <w:tr w:rsidR="00682269" w:rsidRPr="00DE4E4F" w14:paraId="220D32FD"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0AAB16F"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148</w:t>
            </w:r>
          </w:p>
        </w:tc>
        <w:tc>
          <w:tcPr>
            <w:tcW w:w="5193" w:type="dxa"/>
            <w:gridSpan w:val="2"/>
            <w:tcBorders>
              <w:top w:val="nil"/>
              <w:left w:val="nil"/>
              <w:bottom w:val="single" w:sz="4" w:space="0" w:color="auto"/>
              <w:right w:val="single" w:sz="4" w:space="0" w:color="auto"/>
            </w:tcBorders>
            <w:shd w:val="clear" w:color="auto" w:fill="C6EFCE"/>
            <w:noWrap/>
            <w:vAlign w:val="center"/>
          </w:tcPr>
          <w:p w14:paraId="5F65D886"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9 - 3.2. Education, vocational education and training, and skills - 16676_Digital transformation of Education</w:t>
            </w:r>
          </w:p>
        </w:tc>
        <w:tc>
          <w:tcPr>
            <w:tcW w:w="1680" w:type="dxa"/>
            <w:gridSpan w:val="2"/>
            <w:tcBorders>
              <w:top w:val="nil"/>
              <w:left w:val="nil"/>
              <w:bottom w:val="single" w:sz="4" w:space="0" w:color="auto"/>
              <w:right w:val="single" w:sz="4" w:space="0" w:color="auto"/>
            </w:tcBorders>
            <w:shd w:val="clear" w:color="auto" w:fill="C6EFCE"/>
            <w:noWrap/>
            <w:vAlign w:val="center"/>
          </w:tcPr>
          <w:p w14:paraId="6130676B"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Target</w:t>
            </w:r>
          </w:p>
        </w:tc>
        <w:tc>
          <w:tcPr>
            <w:tcW w:w="2047" w:type="dxa"/>
            <w:tcBorders>
              <w:top w:val="nil"/>
              <w:left w:val="nil"/>
              <w:bottom w:val="single" w:sz="4" w:space="0" w:color="auto"/>
              <w:right w:val="single" w:sz="4" w:space="0" w:color="auto"/>
            </w:tcBorders>
            <w:shd w:val="clear" w:color="auto" w:fill="C6EFCE"/>
            <w:noWrap/>
            <w:vAlign w:val="center"/>
          </w:tcPr>
          <w:p w14:paraId="18FC4C70"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Interactive systems installation completion</w:t>
            </w:r>
          </w:p>
        </w:tc>
      </w:tr>
      <w:tr w:rsidR="00682269" w:rsidRPr="00DE4E4F" w14:paraId="450E2649"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F69E6A1"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156</w:t>
            </w:r>
          </w:p>
        </w:tc>
        <w:tc>
          <w:tcPr>
            <w:tcW w:w="5193" w:type="dxa"/>
            <w:gridSpan w:val="2"/>
            <w:tcBorders>
              <w:top w:val="nil"/>
              <w:left w:val="nil"/>
              <w:bottom w:val="single" w:sz="4" w:space="0" w:color="auto"/>
              <w:right w:val="single" w:sz="4" w:space="0" w:color="auto"/>
            </w:tcBorders>
            <w:shd w:val="clear" w:color="auto" w:fill="C6EFCE"/>
            <w:noWrap/>
            <w:vAlign w:val="center"/>
          </w:tcPr>
          <w:p w14:paraId="4CC19CB5"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1680" w:type="dxa"/>
            <w:gridSpan w:val="2"/>
            <w:tcBorders>
              <w:top w:val="nil"/>
              <w:left w:val="nil"/>
              <w:bottom w:val="single" w:sz="4" w:space="0" w:color="auto"/>
              <w:right w:val="single" w:sz="4" w:space="0" w:color="auto"/>
            </w:tcBorders>
            <w:shd w:val="clear" w:color="auto" w:fill="C6EFCE"/>
            <w:noWrap/>
            <w:vAlign w:val="center"/>
          </w:tcPr>
          <w:p w14:paraId="3AA5AD16"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047" w:type="dxa"/>
            <w:tcBorders>
              <w:top w:val="nil"/>
              <w:left w:val="nil"/>
              <w:bottom w:val="single" w:sz="4" w:space="0" w:color="auto"/>
              <w:right w:val="single" w:sz="4" w:space="0" w:color="auto"/>
            </w:tcBorders>
            <w:shd w:val="clear" w:color="auto" w:fill="C6EFCE"/>
            <w:noWrap/>
            <w:vAlign w:val="center"/>
          </w:tcPr>
          <w:p w14:paraId="00EDFCF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R&amp;D pharmaceutical </w:t>
            </w:r>
            <w:r w:rsidRPr="00DE4E4F">
              <w:rPr>
                <w:rFonts w:ascii="Times New Roman" w:hAnsi="Times New Roman"/>
                <w:noProof/>
                <w:sz w:val="18"/>
                <w:szCs w:val="18"/>
              </w:rPr>
              <w:t>investment proof - step 1</w:t>
            </w:r>
          </w:p>
        </w:tc>
      </w:tr>
      <w:tr w:rsidR="00682269" w:rsidRPr="00DE4E4F" w14:paraId="365F0614"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ADF8BD9"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167</w:t>
            </w:r>
          </w:p>
        </w:tc>
        <w:tc>
          <w:tcPr>
            <w:tcW w:w="5193" w:type="dxa"/>
            <w:gridSpan w:val="2"/>
            <w:tcBorders>
              <w:top w:val="nil"/>
              <w:left w:val="nil"/>
              <w:bottom w:val="single" w:sz="4" w:space="0" w:color="auto"/>
              <w:right w:val="single" w:sz="4" w:space="0" w:color="auto"/>
            </w:tcBorders>
            <w:shd w:val="clear" w:color="auto" w:fill="C6EFCE"/>
            <w:noWrap/>
            <w:vAlign w:val="center"/>
          </w:tcPr>
          <w:p w14:paraId="7D04D427"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10 - 3.3. Improve resilience, accessibility and sustainability of healthcare - 16752_Digital Transformation of Health (DigHealth)</w:t>
            </w:r>
          </w:p>
        </w:tc>
        <w:tc>
          <w:tcPr>
            <w:tcW w:w="1680" w:type="dxa"/>
            <w:gridSpan w:val="2"/>
            <w:tcBorders>
              <w:top w:val="nil"/>
              <w:left w:val="nil"/>
              <w:bottom w:val="single" w:sz="4" w:space="0" w:color="auto"/>
              <w:right w:val="single" w:sz="4" w:space="0" w:color="auto"/>
            </w:tcBorders>
            <w:shd w:val="clear" w:color="auto" w:fill="C6EFCE"/>
            <w:noWrap/>
            <w:vAlign w:val="center"/>
          </w:tcPr>
          <w:p w14:paraId="3D4BD195"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0B40CE2"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Health Care digital transformation - National Digital Health Record (subproject 1)</w:t>
            </w:r>
          </w:p>
        </w:tc>
      </w:tr>
      <w:tr w:rsidR="00682269" w:rsidRPr="00DE4E4F" w14:paraId="72EE0D6C"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76790E25"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175a</w:t>
            </w:r>
          </w:p>
        </w:tc>
        <w:tc>
          <w:tcPr>
            <w:tcW w:w="5193" w:type="dxa"/>
            <w:gridSpan w:val="2"/>
            <w:tcBorders>
              <w:top w:val="nil"/>
              <w:left w:val="nil"/>
              <w:bottom w:val="single" w:sz="4" w:space="0" w:color="auto"/>
              <w:right w:val="single" w:sz="4" w:space="0" w:color="auto"/>
            </w:tcBorders>
            <w:shd w:val="clear" w:color="auto" w:fill="C6EFCE"/>
            <w:noWrap/>
            <w:vAlign w:val="center"/>
          </w:tcPr>
          <w:p w14:paraId="1D209C54"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16726 Social Benefits Optimisation</w:t>
            </w:r>
          </w:p>
        </w:tc>
        <w:tc>
          <w:tcPr>
            <w:tcW w:w="1680" w:type="dxa"/>
            <w:gridSpan w:val="2"/>
            <w:tcBorders>
              <w:top w:val="nil"/>
              <w:left w:val="nil"/>
              <w:bottom w:val="single" w:sz="4" w:space="0" w:color="auto"/>
              <w:right w:val="single" w:sz="4" w:space="0" w:color="auto"/>
            </w:tcBorders>
            <w:shd w:val="clear" w:color="auto" w:fill="C6EFCE"/>
            <w:noWrap/>
            <w:vAlign w:val="center"/>
          </w:tcPr>
          <w:p w14:paraId="0719F1C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095DEA31"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Social Benefits Optimisation prepaid cards</w:t>
            </w:r>
          </w:p>
        </w:tc>
      </w:tr>
      <w:tr w:rsidR="00682269" w:rsidRPr="00DE4E4F" w14:paraId="3392A94A"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185EE35"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189</w:t>
            </w:r>
          </w:p>
        </w:tc>
        <w:tc>
          <w:tcPr>
            <w:tcW w:w="5193" w:type="dxa"/>
            <w:gridSpan w:val="2"/>
            <w:tcBorders>
              <w:top w:val="nil"/>
              <w:left w:val="nil"/>
              <w:bottom w:val="single" w:sz="4" w:space="0" w:color="auto"/>
              <w:right w:val="single" w:sz="4" w:space="0" w:color="auto"/>
            </w:tcBorders>
            <w:shd w:val="clear" w:color="auto" w:fill="C6EFCE"/>
            <w:noWrap/>
            <w:vAlign w:val="center"/>
          </w:tcPr>
          <w:p w14:paraId="7A103866"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- 16614_Online cash registers &amp; POS (reform)</w:t>
            </w:r>
          </w:p>
        </w:tc>
        <w:tc>
          <w:tcPr>
            <w:tcW w:w="1680" w:type="dxa"/>
            <w:gridSpan w:val="2"/>
            <w:tcBorders>
              <w:top w:val="nil"/>
              <w:left w:val="nil"/>
              <w:bottom w:val="single" w:sz="4" w:space="0" w:color="auto"/>
              <w:right w:val="single" w:sz="4" w:space="0" w:color="auto"/>
            </w:tcBorders>
            <w:shd w:val="clear" w:color="auto" w:fill="C6EFCE"/>
            <w:noWrap/>
            <w:vAlign w:val="center"/>
          </w:tcPr>
          <w:p w14:paraId="5B509664"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047" w:type="dxa"/>
            <w:tcBorders>
              <w:top w:val="nil"/>
              <w:left w:val="nil"/>
              <w:bottom w:val="single" w:sz="4" w:space="0" w:color="auto"/>
              <w:right w:val="single" w:sz="4" w:space="0" w:color="auto"/>
            </w:tcBorders>
            <w:shd w:val="clear" w:color="auto" w:fill="C6EFCE"/>
            <w:noWrap/>
            <w:vAlign w:val="center"/>
          </w:tcPr>
          <w:p w14:paraId="3DA6658D"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 xml:space="preserve">Independent Authority for Public Revenue: Online cash registers &amp; Point-of-Sale (POS) – </w:t>
            </w:r>
            <w:r w:rsidRPr="00DE4E4F">
              <w:rPr>
                <w:rFonts w:ascii="Times New Roman" w:hAnsi="Times New Roman"/>
                <w:noProof/>
                <w:sz w:val="18"/>
                <w:szCs w:val="18"/>
              </w:rPr>
              <w:t xml:space="preserve">integration </w:t>
            </w:r>
            <w:r w:rsidRPr="00DE4E4F">
              <w:rPr>
                <w:rFonts w:ascii="Times New Roman" w:hAnsi="Times New Roman"/>
                <w:noProof/>
                <w:sz w:val="18"/>
              </w:rPr>
              <w:t xml:space="preserve">and interconnection </w:t>
            </w:r>
          </w:p>
        </w:tc>
      </w:tr>
      <w:tr w:rsidR="00682269" w:rsidRPr="00DE4E4F" w14:paraId="5E995447"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C755846"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204</w:t>
            </w:r>
          </w:p>
        </w:tc>
        <w:tc>
          <w:tcPr>
            <w:tcW w:w="5193" w:type="dxa"/>
            <w:gridSpan w:val="2"/>
            <w:tcBorders>
              <w:top w:val="nil"/>
              <w:left w:val="nil"/>
              <w:bottom w:val="single" w:sz="4" w:space="0" w:color="auto"/>
              <w:right w:val="single" w:sz="4" w:space="0" w:color="auto"/>
            </w:tcBorders>
            <w:shd w:val="clear" w:color="auto" w:fill="C6EFCE"/>
            <w:noWrap/>
            <w:vAlign w:val="center"/>
          </w:tcPr>
          <w:p w14:paraId="5CC8277B"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- 16643_Codification and simplification of tax legislation</w:t>
            </w:r>
          </w:p>
        </w:tc>
        <w:tc>
          <w:tcPr>
            <w:tcW w:w="1680" w:type="dxa"/>
            <w:gridSpan w:val="2"/>
            <w:tcBorders>
              <w:top w:val="nil"/>
              <w:left w:val="nil"/>
              <w:bottom w:val="single" w:sz="4" w:space="0" w:color="auto"/>
              <w:right w:val="single" w:sz="4" w:space="0" w:color="auto"/>
            </w:tcBorders>
            <w:shd w:val="clear" w:color="auto" w:fill="C6EFCE"/>
            <w:noWrap/>
            <w:vAlign w:val="center"/>
          </w:tcPr>
          <w:p w14:paraId="059F806A"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530E171B"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Completion of initial tax codification and taxpayer information system</w:t>
            </w:r>
          </w:p>
        </w:tc>
      </w:tr>
      <w:tr w:rsidR="00682269" w:rsidRPr="00DE4E4F" w14:paraId="2C33302C"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3B431018"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340</w:t>
            </w:r>
          </w:p>
        </w:tc>
        <w:tc>
          <w:tcPr>
            <w:tcW w:w="5193" w:type="dxa"/>
            <w:gridSpan w:val="2"/>
            <w:tcBorders>
              <w:top w:val="nil"/>
              <w:left w:val="nil"/>
              <w:bottom w:val="single" w:sz="4" w:space="0" w:color="auto"/>
              <w:right w:val="single" w:sz="4" w:space="0" w:color="auto"/>
            </w:tcBorders>
            <w:shd w:val="clear" w:color="auto" w:fill="C6EFCE"/>
            <w:noWrap/>
            <w:vAlign w:val="center"/>
          </w:tcPr>
          <w:p w14:paraId="16CD3C91"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12 - 4.1. Making taxes more growth friendly and improving tax administration and tax collection – 16985_Modifications to Greece’s tax policy framework</w:t>
            </w:r>
          </w:p>
        </w:tc>
        <w:tc>
          <w:tcPr>
            <w:tcW w:w="1680" w:type="dxa"/>
            <w:gridSpan w:val="2"/>
            <w:tcBorders>
              <w:top w:val="nil"/>
              <w:left w:val="nil"/>
              <w:bottom w:val="single" w:sz="4" w:space="0" w:color="auto"/>
              <w:right w:val="single" w:sz="4" w:space="0" w:color="auto"/>
            </w:tcBorders>
            <w:shd w:val="clear" w:color="auto" w:fill="C6EFCE"/>
            <w:noWrap/>
            <w:vAlign w:val="center"/>
          </w:tcPr>
          <w:p w14:paraId="5A9943F7"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44D14AE6"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Combat tax evasion through using myDATA for income tax purposes</w:t>
            </w:r>
          </w:p>
        </w:tc>
      </w:tr>
      <w:tr w:rsidR="00682269" w:rsidRPr="00DE4E4F" w14:paraId="4CF97888"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2CBE0E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212</w:t>
            </w:r>
          </w:p>
        </w:tc>
        <w:tc>
          <w:tcPr>
            <w:tcW w:w="5193" w:type="dxa"/>
            <w:gridSpan w:val="2"/>
            <w:tcBorders>
              <w:top w:val="nil"/>
              <w:left w:val="nil"/>
              <w:bottom w:val="single" w:sz="4" w:space="0" w:color="auto"/>
              <w:right w:val="single" w:sz="4" w:space="0" w:color="auto"/>
            </w:tcBorders>
            <w:shd w:val="clear" w:color="auto" w:fill="C6EFCE"/>
            <w:noWrap/>
            <w:vAlign w:val="center"/>
          </w:tcPr>
          <w:p w14:paraId="2280AEE1"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- 16702_Enhancing the AML/CFT Framework</w:t>
            </w:r>
          </w:p>
        </w:tc>
        <w:tc>
          <w:tcPr>
            <w:tcW w:w="1680" w:type="dxa"/>
            <w:gridSpan w:val="2"/>
            <w:tcBorders>
              <w:top w:val="nil"/>
              <w:left w:val="nil"/>
              <w:bottom w:val="single" w:sz="4" w:space="0" w:color="auto"/>
              <w:right w:val="single" w:sz="4" w:space="0" w:color="auto"/>
            </w:tcBorders>
            <w:shd w:val="clear" w:color="auto" w:fill="C6EFCE"/>
            <w:noWrap/>
            <w:vAlign w:val="center"/>
          </w:tcPr>
          <w:p w14:paraId="3DC1ABDB"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49EABA4A"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Enhanced Anti-Money Laundering (AML) and Combating the Financing of Terrorism (CFT) Framework</w:t>
            </w:r>
          </w:p>
        </w:tc>
      </w:tr>
      <w:tr w:rsidR="00682269" w:rsidRPr="00DE4E4F" w14:paraId="38C44B13"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1991D678"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216</w:t>
            </w:r>
          </w:p>
        </w:tc>
        <w:tc>
          <w:tcPr>
            <w:tcW w:w="5193" w:type="dxa"/>
            <w:gridSpan w:val="2"/>
            <w:tcBorders>
              <w:top w:val="nil"/>
              <w:left w:val="nil"/>
              <w:bottom w:val="single" w:sz="4" w:space="0" w:color="auto"/>
              <w:right w:val="single" w:sz="4" w:space="0" w:color="auto"/>
            </w:tcBorders>
            <w:shd w:val="clear" w:color="auto" w:fill="C6EFCE"/>
            <w:noWrap/>
            <w:vAlign w:val="center"/>
          </w:tcPr>
          <w:p w14:paraId="0ADD8400"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p>
        </w:tc>
        <w:tc>
          <w:tcPr>
            <w:tcW w:w="1680" w:type="dxa"/>
            <w:gridSpan w:val="2"/>
            <w:tcBorders>
              <w:top w:val="nil"/>
              <w:left w:val="nil"/>
              <w:bottom w:val="single" w:sz="4" w:space="0" w:color="auto"/>
              <w:right w:val="single" w:sz="4" w:space="0" w:color="auto"/>
            </w:tcBorders>
            <w:shd w:val="clear" w:color="auto" w:fill="C6EFCE"/>
            <w:noWrap/>
            <w:vAlign w:val="center"/>
          </w:tcPr>
          <w:p w14:paraId="6F1DB5A2"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61CE0C8C"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Professionalisation of Public Procurement domain - new legislation</w:t>
            </w:r>
          </w:p>
        </w:tc>
      </w:tr>
      <w:tr w:rsidR="00682269" w:rsidRPr="00DE4E4F" w14:paraId="18067DCA"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D80E72D"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234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3189EE"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14 - 4.3. Improve the efficiency of the justice system – 16575 Accelerating the administration of justice</w:t>
            </w:r>
          </w:p>
        </w:tc>
        <w:tc>
          <w:tcPr>
            <w:tcW w:w="1680" w:type="dxa"/>
            <w:gridSpan w:val="2"/>
            <w:tcBorders>
              <w:top w:val="nil"/>
              <w:left w:val="nil"/>
              <w:bottom w:val="single" w:sz="4" w:space="0" w:color="auto"/>
              <w:right w:val="single" w:sz="4" w:space="0" w:color="auto"/>
            </w:tcBorders>
            <w:shd w:val="clear" w:color="auto" w:fill="C6EFCE"/>
            <w:noWrap/>
            <w:vAlign w:val="center"/>
          </w:tcPr>
          <w:p w14:paraId="48854E78"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3D2037B9"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Justice Police Operational</w:t>
            </w:r>
          </w:p>
        </w:tc>
      </w:tr>
      <w:tr w:rsidR="00682269" w:rsidRPr="00DE4E4F" w14:paraId="25378F6B"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C147018"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244a</w:t>
            </w:r>
          </w:p>
        </w:tc>
        <w:tc>
          <w:tcPr>
            <w:tcW w:w="5193" w:type="dxa"/>
            <w:gridSpan w:val="2"/>
            <w:tcBorders>
              <w:top w:val="nil"/>
              <w:left w:val="nil"/>
              <w:bottom w:val="single" w:sz="4" w:space="0" w:color="auto"/>
              <w:right w:val="single" w:sz="4" w:space="0" w:color="auto"/>
            </w:tcBorders>
            <w:shd w:val="clear" w:color="auto" w:fill="C6EFCE"/>
            <w:noWrap/>
            <w:vAlign w:val="center"/>
          </w:tcPr>
          <w:p w14:paraId="471D2E0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15 - 4.4. Strengthen the financial sector and capital markets - 16957_Strengthening the capacity of the financial system to overcome legacy challenges and finance the real economy</w:t>
            </w:r>
          </w:p>
        </w:tc>
        <w:tc>
          <w:tcPr>
            <w:tcW w:w="1680" w:type="dxa"/>
            <w:gridSpan w:val="2"/>
            <w:tcBorders>
              <w:top w:val="nil"/>
              <w:left w:val="nil"/>
              <w:bottom w:val="single" w:sz="4" w:space="0" w:color="auto"/>
              <w:right w:val="single" w:sz="4" w:space="0" w:color="auto"/>
            </w:tcBorders>
            <w:shd w:val="clear" w:color="auto" w:fill="C6EFCE"/>
            <w:noWrap/>
            <w:vAlign w:val="center"/>
          </w:tcPr>
          <w:p w14:paraId="457B65D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9FE8B6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E-auctions for debt enforcement</w:t>
            </w:r>
          </w:p>
        </w:tc>
      </w:tr>
      <w:tr w:rsidR="00682269" w:rsidRPr="00DE4E4F" w14:paraId="20C27F6E"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5F85C5E6"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235</w:t>
            </w:r>
          </w:p>
        </w:tc>
        <w:tc>
          <w:tcPr>
            <w:tcW w:w="5193" w:type="dxa"/>
            <w:gridSpan w:val="2"/>
            <w:tcBorders>
              <w:top w:val="nil"/>
              <w:left w:val="nil"/>
              <w:bottom w:val="single" w:sz="4" w:space="0" w:color="auto"/>
              <w:right w:val="single" w:sz="4" w:space="0" w:color="auto"/>
            </w:tcBorders>
            <w:shd w:val="clear" w:color="auto" w:fill="C6EFCE"/>
            <w:noWrap/>
            <w:vAlign w:val="center"/>
          </w:tcPr>
          <w:p w14:paraId="2A05F414"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14 - 4.3. Improve the efficiency of the justice system - 16733_Skills and digital skills for judges and judicial employees (judicial staff)</w:t>
            </w:r>
          </w:p>
        </w:tc>
        <w:tc>
          <w:tcPr>
            <w:tcW w:w="1680" w:type="dxa"/>
            <w:gridSpan w:val="2"/>
            <w:tcBorders>
              <w:top w:val="nil"/>
              <w:left w:val="nil"/>
              <w:bottom w:val="single" w:sz="4" w:space="0" w:color="auto"/>
              <w:right w:val="single" w:sz="4" w:space="0" w:color="auto"/>
            </w:tcBorders>
            <w:shd w:val="clear" w:color="auto" w:fill="C6EFCE"/>
            <w:noWrap/>
            <w:vAlign w:val="center"/>
          </w:tcPr>
          <w:p w14:paraId="41716FD8"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37DC7D5F" w14:textId="77777777" w:rsidR="001B186F" w:rsidRPr="00DE4E4F" w:rsidRDefault="0074517F" w:rsidP="003A263B">
            <w:pPr>
              <w:keepNext/>
              <w:spacing w:before="40" w:after="0" w:line="240" w:lineRule="auto"/>
              <w:rPr>
                <w:rFonts w:ascii="Times New Roman" w:hAnsi="Times New Roman"/>
                <w:noProof/>
                <w:sz w:val="18"/>
              </w:rPr>
            </w:pPr>
            <w:r w:rsidRPr="00DE4E4F">
              <w:rPr>
                <w:rFonts w:ascii="Times New Roman" w:hAnsi="Times New Roman"/>
                <w:noProof/>
                <w:sz w:val="18"/>
              </w:rPr>
              <w:t>Training – Judges and Clerks</w:t>
            </w:r>
          </w:p>
        </w:tc>
      </w:tr>
      <w:tr w:rsidR="00682269" w:rsidRPr="00DE4E4F" w14:paraId="3884363B"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609F513C"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244b</w:t>
            </w:r>
          </w:p>
        </w:tc>
        <w:tc>
          <w:tcPr>
            <w:tcW w:w="5193" w:type="dxa"/>
            <w:gridSpan w:val="2"/>
            <w:tcBorders>
              <w:top w:val="nil"/>
              <w:left w:val="nil"/>
              <w:bottom w:val="single" w:sz="4" w:space="0" w:color="auto"/>
              <w:right w:val="single" w:sz="4" w:space="0" w:color="auto"/>
            </w:tcBorders>
            <w:shd w:val="clear" w:color="auto" w:fill="C6EFCE"/>
            <w:noWrap/>
            <w:vAlign w:val="center"/>
          </w:tcPr>
          <w:p w14:paraId="5AFC666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15 - 4.4. Strengthen the financial sector and capital markets - 16957_Strengthening the capacity of the financial system to overcome legacy challenges and finance the real economy</w:t>
            </w:r>
          </w:p>
        </w:tc>
        <w:tc>
          <w:tcPr>
            <w:tcW w:w="1680" w:type="dxa"/>
            <w:gridSpan w:val="2"/>
            <w:tcBorders>
              <w:top w:val="nil"/>
              <w:left w:val="nil"/>
              <w:bottom w:val="single" w:sz="4" w:space="0" w:color="auto"/>
              <w:right w:val="single" w:sz="4" w:space="0" w:color="auto"/>
            </w:tcBorders>
            <w:shd w:val="clear" w:color="auto" w:fill="C6EFCE"/>
            <w:noWrap/>
            <w:vAlign w:val="center"/>
          </w:tcPr>
          <w:p w14:paraId="1FF25890"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F3C548B"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Contract award for financial sector measures </w:t>
            </w:r>
          </w:p>
        </w:tc>
      </w:tr>
      <w:tr w:rsidR="00682269" w:rsidRPr="00DE4E4F" w14:paraId="05EF4DC3"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215830"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247</w:t>
            </w:r>
          </w:p>
        </w:tc>
        <w:tc>
          <w:tcPr>
            <w:tcW w:w="5193" w:type="dxa"/>
            <w:gridSpan w:val="2"/>
            <w:tcBorders>
              <w:top w:val="nil"/>
              <w:left w:val="nil"/>
              <w:bottom w:val="single" w:sz="4" w:space="0" w:color="auto"/>
              <w:right w:val="single" w:sz="4" w:space="0" w:color="auto"/>
            </w:tcBorders>
            <w:shd w:val="clear" w:color="auto" w:fill="C6EFCE"/>
            <w:noWrap/>
            <w:vAlign w:val="center"/>
          </w:tcPr>
          <w:p w14:paraId="714112B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16 - 4.5. Promote research and innovation - 16624_Creation - Expansion – Upgrade of Infrastructures of Research Centers supervised by the General Secretariat for Research and Innovation (GSRI)</w:t>
            </w:r>
          </w:p>
        </w:tc>
        <w:tc>
          <w:tcPr>
            <w:tcW w:w="1680" w:type="dxa"/>
            <w:gridSpan w:val="2"/>
            <w:tcBorders>
              <w:top w:val="nil"/>
              <w:left w:val="nil"/>
              <w:bottom w:val="single" w:sz="4" w:space="0" w:color="auto"/>
              <w:right w:val="single" w:sz="4" w:space="0" w:color="auto"/>
            </w:tcBorders>
            <w:shd w:val="clear" w:color="auto" w:fill="C6EFCE"/>
            <w:noWrap/>
            <w:vAlign w:val="center"/>
          </w:tcPr>
          <w:p w14:paraId="6877B1D2"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52EDC018"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Contracts award for Research Centres - construction works</w:t>
            </w:r>
          </w:p>
        </w:tc>
      </w:tr>
      <w:tr w:rsidR="00682269" w:rsidRPr="00DE4E4F" w14:paraId="5A24864C"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886DAA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248</w:t>
            </w:r>
          </w:p>
        </w:tc>
        <w:tc>
          <w:tcPr>
            <w:tcW w:w="5193" w:type="dxa"/>
            <w:gridSpan w:val="2"/>
            <w:tcBorders>
              <w:top w:val="nil"/>
              <w:left w:val="nil"/>
              <w:bottom w:val="single" w:sz="4" w:space="0" w:color="auto"/>
              <w:right w:val="single" w:sz="4" w:space="0" w:color="auto"/>
            </w:tcBorders>
            <w:shd w:val="clear" w:color="auto" w:fill="C6EFCE"/>
            <w:noWrap/>
            <w:vAlign w:val="center"/>
          </w:tcPr>
          <w:p w14:paraId="787FF875"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16 - 4.5. Promote research and innovation - 16654_TH 2 ORAX: Trellis Holistic &amp; Hybrid Operational Ruggedized Autonomous eXemplary system</w:t>
            </w:r>
          </w:p>
        </w:tc>
        <w:tc>
          <w:tcPr>
            <w:tcW w:w="1680" w:type="dxa"/>
            <w:gridSpan w:val="2"/>
            <w:tcBorders>
              <w:top w:val="nil"/>
              <w:left w:val="nil"/>
              <w:bottom w:val="single" w:sz="4" w:space="0" w:color="auto"/>
              <w:right w:val="single" w:sz="4" w:space="0" w:color="auto"/>
            </w:tcBorders>
            <w:shd w:val="clear" w:color="auto" w:fill="C6EFCE"/>
            <w:noWrap/>
            <w:vAlign w:val="center"/>
          </w:tcPr>
          <w:p w14:paraId="606BA9FF"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1D658177"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Contracts award for TH²ORAX</w:t>
            </w:r>
          </w:p>
        </w:tc>
      </w:tr>
      <w:tr w:rsidR="00682269" w:rsidRPr="00DE4E4F" w14:paraId="2788BA06"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6410A2B"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258</w:t>
            </w:r>
          </w:p>
        </w:tc>
        <w:tc>
          <w:tcPr>
            <w:tcW w:w="5193" w:type="dxa"/>
            <w:gridSpan w:val="2"/>
            <w:tcBorders>
              <w:top w:val="nil"/>
              <w:left w:val="nil"/>
              <w:bottom w:val="single" w:sz="4" w:space="0" w:color="auto"/>
              <w:right w:val="single" w:sz="4" w:space="0" w:color="auto"/>
            </w:tcBorders>
            <w:shd w:val="clear" w:color="auto" w:fill="C6EFCE"/>
            <w:noWrap/>
            <w:vAlign w:val="center"/>
          </w:tcPr>
          <w:p w14:paraId="482FF76D"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- 16631_Road Safety Upgrade</w:t>
            </w:r>
          </w:p>
        </w:tc>
        <w:tc>
          <w:tcPr>
            <w:tcW w:w="1680" w:type="dxa"/>
            <w:gridSpan w:val="2"/>
            <w:tcBorders>
              <w:top w:val="nil"/>
              <w:left w:val="nil"/>
              <w:bottom w:val="single" w:sz="4" w:space="0" w:color="auto"/>
              <w:right w:val="single" w:sz="4" w:space="0" w:color="auto"/>
            </w:tcBorders>
            <w:shd w:val="clear" w:color="auto" w:fill="C6EFCE"/>
            <w:noWrap/>
            <w:vAlign w:val="center"/>
          </w:tcPr>
          <w:p w14:paraId="7333E856"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9651FFB"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Contract award for road safety – all contracts</w:t>
            </w:r>
          </w:p>
        </w:tc>
      </w:tr>
      <w:tr w:rsidR="00682269" w:rsidRPr="00DE4E4F" w14:paraId="55A0948F"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435549DA"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268</w:t>
            </w:r>
          </w:p>
        </w:tc>
        <w:tc>
          <w:tcPr>
            <w:tcW w:w="5193" w:type="dxa"/>
            <w:gridSpan w:val="2"/>
            <w:tcBorders>
              <w:top w:val="nil"/>
              <w:left w:val="nil"/>
              <w:bottom w:val="single" w:sz="4" w:space="0" w:color="auto"/>
              <w:right w:val="single" w:sz="4" w:space="0" w:color="auto"/>
            </w:tcBorders>
            <w:shd w:val="clear" w:color="auto" w:fill="C6EFCE"/>
            <w:noWrap/>
            <w:vAlign w:val="center"/>
          </w:tcPr>
          <w:p w14:paraId="39FF099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1680" w:type="dxa"/>
            <w:gridSpan w:val="2"/>
            <w:tcBorders>
              <w:top w:val="nil"/>
              <w:left w:val="nil"/>
              <w:bottom w:val="single" w:sz="4" w:space="0" w:color="auto"/>
              <w:right w:val="single" w:sz="4" w:space="0" w:color="auto"/>
            </w:tcBorders>
            <w:shd w:val="clear" w:color="auto" w:fill="C6EFCE"/>
            <w:noWrap/>
            <w:vAlign w:val="center"/>
          </w:tcPr>
          <w:p w14:paraId="081F8DB9"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3D8C9799"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szCs w:val="18"/>
              </w:rPr>
              <w:t xml:space="preserve">Hellenic Railways implementation plan </w:t>
            </w:r>
          </w:p>
        </w:tc>
      </w:tr>
      <w:tr w:rsidR="00682269" w:rsidRPr="00DE4E4F" w14:paraId="19DB494D"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7012D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295</w:t>
            </w:r>
          </w:p>
        </w:tc>
        <w:tc>
          <w:tcPr>
            <w:tcW w:w="5193" w:type="dxa"/>
            <w:gridSpan w:val="2"/>
            <w:tcBorders>
              <w:top w:val="nil"/>
              <w:left w:val="nil"/>
              <w:bottom w:val="single" w:sz="4" w:space="0" w:color="auto"/>
              <w:right w:val="single" w:sz="4" w:space="0" w:color="auto"/>
            </w:tcBorders>
            <w:shd w:val="clear" w:color="auto" w:fill="C6EFCE"/>
            <w:noWrap/>
            <w:vAlign w:val="center"/>
          </w:tcPr>
          <w:p w14:paraId="428F49E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17 - 4.6. Modernise and improve resilience of key economic sectors - 16931_Tourism Development</w:t>
            </w:r>
          </w:p>
        </w:tc>
        <w:tc>
          <w:tcPr>
            <w:tcW w:w="1680" w:type="dxa"/>
            <w:gridSpan w:val="2"/>
            <w:tcBorders>
              <w:top w:val="nil"/>
              <w:left w:val="nil"/>
              <w:bottom w:val="single" w:sz="4" w:space="0" w:color="auto"/>
              <w:right w:val="single" w:sz="4" w:space="0" w:color="auto"/>
            </w:tcBorders>
            <w:shd w:val="clear" w:color="auto" w:fill="C6EFCE"/>
            <w:noWrap/>
            <w:vAlign w:val="center"/>
          </w:tcPr>
          <w:p w14:paraId="0E12D233"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0316B99C"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Tourism development: </w:t>
            </w:r>
            <w:r w:rsidRPr="00DE4E4F">
              <w:rPr>
                <w:rFonts w:ascii="Times New Roman" w:hAnsi="Times New Roman" w:cs="Times New Roman"/>
                <w:noProof/>
                <w:sz w:val="18"/>
                <w:szCs w:val="18"/>
              </w:rPr>
              <w:t>Publication of approval decisions</w:t>
            </w:r>
            <w:r w:rsidRPr="00DE4E4F">
              <w:rPr>
                <w:rFonts w:ascii="Times New Roman" w:hAnsi="Times New Roman" w:cs="Times New Roman"/>
                <w:noProof/>
                <w:color w:val="006100"/>
                <w:sz w:val="18"/>
                <w:szCs w:val="18"/>
              </w:rPr>
              <w:t xml:space="preserve"> </w:t>
            </w:r>
            <w:r w:rsidRPr="00DE4E4F">
              <w:rPr>
                <w:rFonts w:ascii="Times New Roman" w:hAnsi="Times New Roman"/>
                <w:noProof/>
                <w:sz w:val="18"/>
              </w:rPr>
              <w:t>for tourist ports</w:t>
            </w:r>
          </w:p>
        </w:tc>
      </w:tr>
      <w:tr w:rsidR="00682269" w:rsidRPr="00DE4E4F" w14:paraId="3A3B493F"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C97C839" w14:textId="77777777" w:rsidR="001B186F" w:rsidRPr="00DE4E4F" w:rsidDel="00A924BB"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304</w:t>
            </w:r>
          </w:p>
        </w:tc>
        <w:tc>
          <w:tcPr>
            <w:tcW w:w="5193" w:type="dxa"/>
            <w:gridSpan w:val="2"/>
            <w:tcBorders>
              <w:top w:val="nil"/>
              <w:left w:val="nil"/>
              <w:bottom w:val="single" w:sz="4" w:space="0" w:color="auto"/>
              <w:right w:val="single" w:sz="4" w:space="0" w:color="auto"/>
            </w:tcBorders>
            <w:shd w:val="clear" w:color="auto" w:fill="C6EFCE"/>
            <w:noWrap/>
            <w:vAlign w:val="center"/>
          </w:tcPr>
          <w:p w14:paraId="35E8F47F" w14:textId="77777777" w:rsidR="001B186F" w:rsidRPr="00DE4E4F" w:rsidDel="00A924BB"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17 - 4.6. Modernise and improve resilience of key economic sectors - 16634_New Industrial Parks</w:t>
            </w:r>
          </w:p>
        </w:tc>
        <w:tc>
          <w:tcPr>
            <w:tcW w:w="1680" w:type="dxa"/>
            <w:gridSpan w:val="2"/>
            <w:tcBorders>
              <w:top w:val="nil"/>
              <w:left w:val="nil"/>
              <w:bottom w:val="single" w:sz="4" w:space="0" w:color="auto"/>
              <w:right w:val="single" w:sz="4" w:space="0" w:color="auto"/>
            </w:tcBorders>
            <w:shd w:val="clear" w:color="auto" w:fill="C6EFCE"/>
            <w:noWrap/>
            <w:vAlign w:val="center"/>
          </w:tcPr>
          <w:p w14:paraId="44F8720B" w14:textId="77777777" w:rsidR="001B186F" w:rsidRPr="00DE4E4F" w:rsidDel="00A924BB"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0A3BFBE5" w14:textId="77777777" w:rsidR="001B186F" w:rsidRPr="00DE4E4F" w:rsidDel="00A924BB"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Industrial Parks – legislative reform (secondary legislation)</w:t>
            </w:r>
          </w:p>
        </w:tc>
      </w:tr>
      <w:tr w:rsidR="00682269" w:rsidRPr="00DE4E4F" w14:paraId="3C61A35E"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F75D38D"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317</w:t>
            </w:r>
          </w:p>
        </w:tc>
        <w:tc>
          <w:tcPr>
            <w:tcW w:w="5193" w:type="dxa"/>
            <w:gridSpan w:val="2"/>
            <w:tcBorders>
              <w:top w:val="nil"/>
              <w:left w:val="nil"/>
              <w:bottom w:val="single" w:sz="4" w:space="0" w:color="auto"/>
              <w:right w:val="single" w:sz="4" w:space="0" w:color="auto"/>
            </w:tcBorders>
            <w:shd w:val="clear" w:color="auto" w:fill="C6EFCE"/>
            <w:noWrap/>
            <w:vAlign w:val="center"/>
          </w:tcPr>
          <w:p w14:paraId="36417DA6"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18 - 4.7. Improve competitiveness and promote private investments and exports - 16543_Actions for the simplification of the business environment and its upgrading in quality and safety</w:t>
            </w:r>
          </w:p>
        </w:tc>
        <w:tc>
          <w:tcPr>
            <w:tcW w:w="1680" w:type="dxa"/>
            <w:gridSpan w:val="2"/>
            <w:tcBorders>
              <w:top w:val="nil"/>
              <w:left w:val="nil"/>
              <w:bottom w:val="single" w:sz="4" w:space="0" w:color="auto"/>
              <w:right w:val="single" w:sz="4" w:space="0" w:color="auto"/>
            </w:tcBorders>
            <w:shd w:val="clear" w:color="auto" w:fill="C6EFCE"/>
            <w:noWrap/>
            <w:vAlign w:val="center"/>
          </w:tcPr>
          <w:p w14:paraId="097E1057"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44459493" w14:textId="77777777" w:rsidR="001B186F" w:rsidRPr="00DE4E4F" w:rsidRDefault="0074517F" w:rsidP="003A263B">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Establishment of the quality policy and new regulatory framework for Quality infrastructure </w:t>
            </w:r>
          </w:p>
        </w:tc>
      </w:tr>
      <w:tr w:rsidR="00682269" w:rsidRPr="00DE4E4F" w14:paraId="7542EEBD" w14:textId="77777777" w:rsidTr="003A263B">
        <w:trPr>
          <w:trHeight w:val="302"/>
          <w:tblHeader/>
          <w:jc w:val="center"/>
        </w:trPr>
        <w:tc>
          <w:tcPr>
            <w:tcW w:w="675" w:type="dxa"/>
            <w:tcBorders>
              <w:top w:val="nil"/>
              <w:left w:val="single" w:sz="4" w:space="0" w:color="auto"/>
              <w:bottom w:val="single" w:sz="4" w:space="0" w:color="auto"/>
              <w:right w:val="single" w:sz="4" w:space="0" w:color="auto"/>
            </w:tcBorders>
            <w:shd w:val="clear" w:color="auto" w:fill="C6EFCE"/>
            <w:noWrap/>
            <w:vAlign w:val="center"/>
          </w:tcPr>
          <w:p w14:paraId="08C5306F"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318</w:t>
            </w:r>
          </w:p>
        </w:tc>
        <w:tc>
          <w:tcPr>
            <w:tcW w:w="5193" w:type="dxa"/>
            <w:gridSpan w:val="2"/>
            <w:tcBorders>
              <w:top w:val="nil"/>
              <w:left w:val="nil"/>
              <w:bottom w:val="single" w:sz="4" w:space="0" w:color="auto"/>
              <w:right w:val="single" w:sz="4" w:space="0" w:color="auto"/>
            </w:tcBorders>
            <w:shd w:val="clear" w:color="auto" w:fill="C6EFCE"/>
            <w:noWrap/>
            <w:vAlign w:val="center"/>
          </w:tcPr>
          <w:p w14:paraId="0FDFB94A" w14:textId="77777777" w:rsidR="001B186F" w:rsidRPr="00DE4E4F" w:rsidRDefault="0074517F" w:rsidP="003A263B">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18 - 4.7. Improve competitiveness and promote private investments and exports - 16591_Ease of doing business</w:t>
            </w:r>
          </w:p>
        </w:tc>
        <w:tc>
          <w:tcPr>
            <w:tcW w:w="1680" w:type="dxa"/>
            <w:gridSpan w:val="2"/>
            <w:tcBorders>
              <w:top w:val="nil"/>
              <w:left w:val="nil"/>
              <w:bottom w:val="single" w:sz="4" w:space="0" w:color="auto"/>
              <w:right w:val="single" w:sz="4" w:space="0" w:color="auto"/>
            </w:tcBorders>
            <w:shd w:val="clear" w:color="auto" w:fill="C6EFCE"/>
            <w:noWrap/>
            <w:vAlign w:val="center"/>
          </w:tcPr>
          <w:p w14:paraId="14D410BF"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nil"/>
              <w:left w:val="nil"/>
              <w:bottom w:val="single" w:sz="4" w:space="0" w:color="auto"/>
              <w:right w:val="single" w:sz="4" w:space="0" w:color="auto"/>
            </w:tcBorders>
            <w:shd w:val="clear" w:color="auto" w:fill="C6EFCE"/>
            <w:noWrap/>
            <w:vAlign w:val="center"/>
          </w:tcPr>
          <w:p w14:paraId="26932018" w14:textId="77777777" w:rsidR="001B186F" w:rsidRPr="00DE4E4F" w:rsidRDefault="0074517F" w:rsidP="003A263B">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Improvement of business environment – ease doing business</w:t>
            </w:r>
          </w:p>
        </w:tc>
      </w:tr>
      <w:tr w:rsidR="00682269" w:rsidRPr="00DE4E4F" w14:paraId="6B563A1C"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DC771"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335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868FA6A"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- 16984_Personal Doctor reform</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E5B8F78"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99BDC10"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Personal doctor reform – entry into force of legislation</w:t>
            </w:r>
          </w:p>
        </w:tc>
      </w:tr>
      <w:tr w:rsidR="00682269" w:rsidRPr="00DE4E4F" w14:paraId="2F17C3C2"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03E61"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339</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265F2F8"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16985_Modifications to Greece’s tax policy framework</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C26E4DF"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B26EB25"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Strengthen the operational autonomy of the Independent Authority for Public Revenue (IAPR)</w:t>
            </w:r>
          </w:p>
        </w:tc>
      </w:tr>
      <w:tr w:rsidR="00682269" w:rsidRPr="00DE4E4F" w14:paraId="20A5B751"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BDB0BC"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342</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131EC2C"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33E1F96"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14EA1E5"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Cadastral mapping – 95% completion</w:t>
            </w:r>
          </w:p>
        </w:tc>
      </w:tr>
      <w:tr w:rsidR="00682269" w:rsidRPr="00DE4E4F" w14:paraId="2D0BB554"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67233"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343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2B07C4DA"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417AD1E"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B595480"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Transition to the new organisational structure of the Hellenic Cadastre – Full completion</w:t>
            </w:r>
          </w:p>
        </w:tc>
      </w:tr>
      <w:tr w:rsidR="00682269" w:rsidRPr="00DE4E4F" w14:paraId="46016A1C"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810B0"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351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42E4FA1E"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20 - 5.1. REPowerEU reforms - 16987_Licensing framework for renewable hydrogen and sustainable biomethane</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655C23FE"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DDB1F9"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Legislative framework for renewable hydrogen and sustainable biomethane</w:t>
            </w:r>
          </w:p>
        </w:tc>
      </w:tr>
      <w:tr w:rsidR="00682269" w:rsidRPr="00DE4E4F" w14:paraId="5BAD36E7"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0870B" w14:textId="77777777" w:rsidR="001B186F" w:rsidRPr="00DE4E4F" w:rsidRDefault="0074517F" w:rsidP="003A263B">
            <w:pPr>
              <w:keepNext/>
              <w:spacing w:before="40" w:after="0" w:line="259" w:lineRule="auto"/>
              <w:rPr>
                <w:rFonts w:ascii="Times New Roman" w:hAnsi="Times New Roman" w:cs="Times New Roman"/>
                <w:noProof/>
                <w:sz w:val="18"/>
              </w:rPr>
            </w:pPr>
            <w:r w:rsidRPr="00DE4E4F">
              <w:rPr>
                <w:rFonts w:ascii="Times New Roman" w:hAnsi="Times New Roman"/>
                <w:noProof/>
                <w:sz w:val="18"/>
              </w:rPr>
              <w:t>356</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F5986CB" w14:textId="77777777" w:rsidR="001B186F" w:rsidRPr="00DE4E4F" w:rsidRDefault="0074517F" w:rsidP="003A263B">
            <w:pPr>
              <w:keepNext/>
              <w:spacing w:before="40" w:after="0" w:line="259" w:lineRule="auto"/>
              <w:rPr>
                <w:rFonts w:ascii="Times New Roman" w:hAnsi="Times New Roman" w:cs="Times New Roman"/>
                <w:noProof/>
                <w:sz w:val="18"/>
              </w:rPr>
            </w:pPr>
            <w:r w:rsidRPr="00DE4E4F">
              <w:rPr>
                <w:rFonts w:ascii="Times New Roman" w:hAnsi="Times New Roman"/>
                <w:noProof/>
                <w:sz w:val="18"/>
              </w:rPr>
              <w:t xml:space="preserve">20 - 5.1. REPowerEU reforms – 16990_Increase of grid and storage capacity – fostering of storage investments </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7894CC65" w14:textId="77777777" w:rsidR="001B186F" w:rsidRPr="00DE4E4F" w:rsidRDefault="0074517F" w:rsidP="003A263B">
            <w:pPr>
              <w:keepNext/>
              <w:spacing w:before="40" w:after="0" w:line="259" w:lineRule="auto"/>
              <w:rPr>
                <w:rFonts w:ascii="Times New Roman" w:hAnsi="Times New Roman" w:cs="Times New Roman"/>
                <w:noProof/>
                <w:sz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7F7236CC" w14:textId="77777777" w:rsidR="001B186F" w:rsidRPr="00DE4E4F" w:rsidRDefault="0074517F" w:rsidP="003A263B">
            <w:pPr>
              <w:keepNext/>
              <w:spacing w:before="40" w:after="0" w:line="259" w:lineRule="auto"/>
              <w:rPr>
                <w:rFonts w:ascii="Times New Roman" w:hAnsi="Times New Roman" w:cs="Times New Roman"/>
                <w:noProof/>
                <w:sz w:val="18"/>
              </w:rPr>
            </w:pPr>
            <w:r w:rsidRPr="00DE4E4F">
              <w:rPr>
                <w:rFonts w:ascii="Times New Roman" w:hAnsi="Times New Roman"/>
                <w:noProof/>
                <w:sz w:val="18"/>
              </w:rPr>
              <w:t>Entry into force of legislative framework</w:t>
            </w:r>
          </w:p>
        </w:tc>
      </w:tr>
      <w:tr w:rsidR="007E7264" w:rsidRPr="00DE4E4F" w14:paraId="27269C11"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F3C1B" w14:textId="088E84A7" w:rsidR="007E7264" w:rsidRPr="00DE4E4F" w:rsidRDefault="007E7264" w:rsidP="003A263B">
            <w:pPr>
              <w:keepNext/>
              <w:spacing w:before="40" w:after="0" w:line="259" w:lineRule="auto"/>
              <w:rPr>
                <w:rFonts w:ascii="Times New Roman" w:hAnsi="Times New Roman"/>
                <w:noProof/>
                <w:sz w:val="18"/>
              </w:rPr>
            </w:pPr>
            <w:r w:rsidRPr="00DE4E4F">
              <w:rPr>
                <w:rFonts w:ascii="Times New Roman" w:hAnsi="Times New Roman"/>
                <w:noProof/>
                <w:sz w:val="18"/>
              </w:rPr>
              <w:t>358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201C08E" w14:textId="54584AB9" w:rsidR="007E7264" w:rsidRPr="00DE4E4F" w:rsidRDefault="007E7264" w:rsidP="003A263B">
            <w:pPr>
              <w:keepNext/>
              <w:spacing w:before="40" w:after="0" w:line="259" w:lineRule="auto"/>
              <w:rPr>
                <w:rFonts w:ascii="Times New Roman" w:hAnsi="Times New Roman"/>
                <w:noProof/>
                <w:sz w:val="18"/>
              </w:rPr>
            </w:pPr>
            <w:r w:rsidRPr="00DE4E4F">
              <w:rPr>
                <w:rFonts w:ascii="Times New Roman" w:hAnsi="Times New Roman"/>
                <w:noProof/>
                <w:sz w:val="18"/>
              </w:rPr>
              <w:t>20 - 5.1. REPowerEU reforms – 16991_Regulatory framework towards a smart grid</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845053E" w14:textId="13896B19" w:rsidR="007E7264" w:rsidRPr="00DE4E4F" w:rsidRDefault="007E7264" w:rsidP="003A263B">
            <w:pPr>
              <w:keepNext/>
              <w:spacing w:before="40" w:after="0" w:line="259" w:lineRule="auto"/>
              <w:rPr>
                <w:rFonts w:ascii="Times New Roman" w:hAnsi="Times New Roman"/>
                <w:noProof/>
                <w:sz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1AE6E687" w14:textId="088D1F6A" w:rsidR="007E7264" w:rsidRPr="00DE4E4F" w:rsidRDefault="007E7264" w:rsidP="003A263B">
            <w:pPr>
              <w:keepNext/>
              <w:spacing w:before="40" w:after="0" w:line="259" w:lineRule="auto"/>
              <w:rPr>
                <w:rFonts w:ascii="Times New Roman" w:hAnsi="Times New Roman"/>
                <w:noProof/>
                <w:sz w:val="18"/>
                <w:highlight w:val="yellow"/>
              </w:rPr>
            </w:pPr>
            <w:r w:rsidRPr="00DE4E4F">
              <w:rPr>
                <w:rFonts w:ascii="Times New Roman" w:hAnsi="Times New Roman"/>
                <w:noProof/>
                <w:sz w:val="18"/>
              </w:rPr>
              <w:t>Development of an incentives-based system for the Distribution System Operator and consumers to increase deployment and utilization of smart meters.</w:t>
            </w:r>
          </w:p>
        </w:tc>
      </w:tr>
      <w:tr w:rsidR="00682269" w:rsidRPr="00DE4E4F" w14:paraId="5F231112"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16108E"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361</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1860582"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20 - 5. REPowerEU reforms - 16992_Toolset to promote energy sharing, self-consumption and renewable Energy Communities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D8E119C"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E466F28"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Entry into force of primary and secondary legislation on self-consumption and Facilitation of permitting processes for the installation of RES stations in apartment buildings</w:t>
            </w:r>
          </w:p>
        </w:tc>
      </w:tr>
      <w:tr w:rsidR="00682269" w:rsidRPr="00DE4E4F" w14:paraId="1A2123CC"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2BA93"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363</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03CC8DD8"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20 - 5. REPowerEU reforms - 16993_Roadmap for innovative energy efficiency interventions and identification of new financial instruments</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596A5549"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5F56A5BD"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Roadmap for innovative energy efficiency interventions and legal framework established</w:t>
            </w:r>
          </w:p>
        </w:tc>
      </w:tr>
      <w:tr w:rsidR="00682269" w:rsidRPr="00DE4E4F" w14:paraId="2E3C38A6"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6FE50"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365</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7E36F530" w14:textId="77777777" w:rsidR="001B186F" w:rsidRPr="00DE4E4F" w:rsidRDefault="0074517F" w:rsidP="003A263B">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21 - 5.2 REPowerEU investments – 16996_Installation of energy storage for additional RES penetration</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1D692023"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5028F31"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Approved energy storage projects</w:t>
            </w:r>
          </w:p>
        </w:tc>
      </w:tr>
      <w:tr w:rsidR="00682269" w:rsidRPr="00DE4E4F" w14:paraId="641218DA"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5F6B8"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370</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7E6D673"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21 - 5.2 REPowerEU investments - 16995_Renewable Hydrogen production project</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0DBDB8F2"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Milestone</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426CD41C" w14:textId="77777777" w:rsidR="001B186F" w:rsidRPr="00DE4E4F" w:rsidDel="00C23C9D"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Issuance of Joint Ministerial Decision for the provision of the grant to the beneficiary</w:t>
            </w:r>
          </w:p>
        </w:tc>
      </w:tr>
      <w:tr w:rsidR="00682269" w:rsidRPr="00DE4E4F" w14:paraId="4A03D2BE"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504581"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368</w:t>
            </w: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13872555"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21 - 5.2 REPowerEU investments - 16994_Energy Efficiency and promotion of RES for auto-consumption</w:t>
            </w: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2AFDB96" w14:textId="77777777" w:rsidR="001B186F" w:rsidRPr="00DE4E4F"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Target</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6F87DBB0" w14:textId="77777777" w:rsidR="001B186F" w:rsidRPr="00DE4E4F" w:rsidDel="00C23C9D" w:rsidRDefault="0074517F" w:rsidP="003A263B">
            <w:pPr>
              <w:keepNext/>
              <w:spacing w:before="40" w:after="0" w:line="259" w:lineRule="auto"/>
              <w:rPr>
                <w:rFonts w:ascii="Times New Roman" w:hAnsi="Times New Roman"/>
                <w:noProof/>
                <w:sz w:val="18"/>
              </w:rPr>
            </w:pPr>
            <w:r w:rsidRPr="00DE4E4F">
              <w:rPr>
                <w:rFonts w:ascii="Times New Roman" w:hAnsi="Times New Roman"/>
                <w:noProof/>
                <w:sz w:val="18"/>
              </w:rPr>
              <w:t>Installation of photovoltaic systems for auto-consumption</w:t>
            </w:r>
          </w:p>
        </w:tc>
      </w:tr>
      <w:tr w:rsidR="00682269" w:rsidRPr="00DE4E4F" w14:paraId="45B1BBCB" w14:textId="77777777" w:rsidTr="003A263B">
        <w:trPr>
          <w:trHeight w:val="302"/>
          <w:tblHeader/>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9AC5"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c>
          <w:tcPr>
            <w:tcW w:w="5193" w:type="dxa"/>
            <w:gridSpan w:val="2"/>
            <w:tcBorders>
              <w:top w:val="single" w:sz="4" w:space="0" w:color="auto"/>
              <w:left w:val="nil"/>
              <w:bottom w:val="single" w:sz="4" w:space="0" w:color="auto"/>
              <w:right w:val="single" w:sz="4" w:space="0" w:color="auto"/>
            </w:tcBorders>
            <w:shd w:val="clear" w:color="auto" w:fill="C6EFCE"/>
            <w:noWrap/>
            <w:vAlign w:val="center"/>
          </w:tcPr>
          <w:p w14:paraId="38161F94" w14:textId="77777777" w:rsidR="001B186F" w:rsidRPr="00DE4E4F" w:rsidRDefault="001B186F" w:rsidP="003A263B">
            <w:pPr>
              <w:keepNext/>
              <w:spacing w:before="40" w:after="0" w:line="259" w:lineRule="auto"/>
              <w:rPr>
                <w:rFonts w:ascii="Times New Roman" w:eastAsia="Times New Roman" w:hAnsi="Times New Roman" w:cs="Times New Roman"/>
                <w:bCs/>
                <w:noProof/>
                <w:sz w:val="18"/>
                <w:szCs w:val="18"/>
                <w:lang w:eastAsia="en-GB"/>
              </w:rPr>
            </w:pPr>
          </w:p>
        </w:tc>
        <w:tc>
          <w:tcPr>
            <w:tcW w:w="1680" w:type="dxa"/>
            <w:gridSpan w:val="2"/>
            <w:tcBorders>
              <w:top w:val="single" w:sz="4" w:space="0" w:color="auto"/>
              <w:left w:val="nil"/>
              <w:bottom w:val="single" w:sz="4" w:space="0" w:color="auto"/>
              <w:right w:val="single" w:sz="4" w:space="0" w:color="auto"/>
            </w:tcBorders>
            <w:shd w:val="clear" w:color="auto" w:fill="C6EFCE"/>
            <w:noWrap/>
            <w:vAlign w:val="center"/>
          </w:tcPr>
          <w:p w14:paraId="43C64A74"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047" w:type="dxa"/>
            <w:tcBorders>
              <w:top w:val="single" w:sz="4" w:space="0" w:color="auto"/>
              <w:left w:val="nil"/>
              <w:bottom w:val="single" w:sz="4" w:space="0" w:color="auto"/>
              <w:right w:val="single" w:sz="4" w:space="0" w:color="auto"/>
            </w:tcBorders>
            <w:shd w:val="clear" w:color="auto" w:fill="C6EFCE"/>
            <w:noWrap/>
            <w:vAlign w:val="center"/>
          </w:tcPr>
          <w:p w14:paraId="29232E3E" w14:textId="77777777" w:rsidR="001B186F" w:rsidRPr="00DE4E4F" w:rsidRDefault="0074517F" w:rsidP="003A263B">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EUR 2 439 692 495</w:t>
            </w:r>
          </w:p>
        </w:tc>
      </w:tr>
    </w:tbl>
    <w:p w14:paraId="4E7E2839" w14:textId="220C62CF" w:rsidR="001B186F" w:rsidRPr="00DE4E4F" w:rsidRDefault="003A263B">
      <w:pPr>
        <w:keepNext/>
        <w:spacing w:before="40" w:line="259" w:lineRule="auto"/>
        <w:jc w:val="both"/>
        <w:rPr>
          <w:rFonts w:eastAsia="Times New Roman"/>
          <w:i/>
          <w:noProof/>
          <w:color w:val="4F81BD"/>
        </w:rPr>
        <w:sectPr w:rsidR="001B186F" w:rsidRPr="00DE4E4F">
          <w:headerReference w:type="even" r:id="rId444"/>
          <w:headerReference w:type="default" r:id="rId445"/>
          <w:footerReference w:type="even" r:id="rId446"/>
          <w:footerReference w:type="default" r:id="rId447"/>
          <w:headerReference w:type="first" r:id="rId448"/>
          <w:footerReference w:type="first" r:id="rId449"/>
          <w:pgSz w:w="11906" w:h="16838"/>
          <w:pgMar w:top="1134" w:right="1134" w:bottom="1134" w:left="1134" w:header="567" w:footer="567" w:gutter="0"/>
          <w:cols w:space="708"/>
          <w:docGrid w:linePitch="360"/>
        </w:sectPr>
      </w:pPr>
      <w:r w:rsidRPr="00DE4E4F">
        <w:rPr>
          <w:rFonts w:eastAsia="Times New Roman"/>
          <w:i/>
          <w:noProof/>
          <w:color w:val="4F81BD"/>
        </w:rPr>
        <w:br w:type="textWrapping" w:clear="all"/>
      </w:r>
      <w:r w:rsidR="001619A9" w:rsidRPr="00DE4E4F">
        <w:rPr>
          <w:rFonts w:eastAsia="Times New Roman"/>
          <w:i/>
          <w:noProof/>
          <w:color w:val="4F81BD"/>
        </w:rPr>
        <w:br w:type="textWrapping" w:clear="all"/>
      </w:r>
    </w:p>
    <w:p w14:paraId="58D9E580" w14:textId="77777777" w:rsidR="001B186F" w:rsidRPr="00DE4E4F" w:rsidRDefault="0074517F">
      <w:pPr>
        <w:keepNext/>
        <w:numPr>
          <w:ilvl w:val="1"/>
          <w:numId w:val="93"/>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Seventh Payment Request (non-repayable support): </w:t>
      </w:r>
    </w:p>
    <w:p w14:paraId="3A4654B0"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tbl>
      <w:tblPr>
        <w:tblW w:w="959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59"/>
        <w:gridCol w:w="4407"/>
        <w:gridCol w:w="1417"/>
        <w:gridCol w:w="2812"/>
      </w:tblGrid>
      <w:tr w:rsidR="00682269" w:rsidRPr="00DE4E4F" w14:paraId="2C6A5366" w14:textId="77777777" w:rsidTr="00BE2B84">
        <w:trPr>
          <w:trHeight w:val="906"/>
          <w:tblHeader/>
          <w:jc w:val="center"/>
        </w:trPr>
        <w:tc>
          <w:tcPr>
            <w:tcW w:w="959" w:type="dxa"/>
            <w:vMerge w:val="restart"/>
            <w:shd w:val="clear" w:color="auto" w:fill="BDD7EE"/>
            <w:vAlign w:val="center"/>
            <w:hideMark/>
          </w:tcPr>
          <w:p w14:paraId="372BC113"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4407" w:type="dxa"/>
            <w:vMerge w:val="restart"/>
            <w:shd w:val="clear" w:color="auto" w:fill="BDD7EE"/>
            <w:vAlign w:val="center"/>
            <w:hideMark/>
          </w:tcPr>
          <w:p w14:paraId="249AC747"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417" w:type="dxa"/>
            <w:vMerge w:val="restart"/>
            <w:shd w:val="clear" w:color="auto" w:fill="BDD7EE"/>
            <w:vAlign w:val="center"/>
            <w:hideMark/>
          </w:tcPr>
          <w:p w14:paraId="60DBAC4F"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812" w:type="dxa"/>
            <w:vMerge w:val="restart"/>
            <w:shd w:val="clear" w:color="auto" w:fill="BDD7EE"/>
            <w:vAlign w:val="center"/>
            <w:hideMark/>
          </w:tcPr>
          <w:p w14:paraId="666E3168" w14:textId="77777777" w:rsidR="001B186F" w:rsidRPr="00DE4E4F" w:rsidRDefault="0074517F" w:rsidP="007E1411">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0CBC4BC4" w14:textId="77777777" w:rsidTr="00BE2B84">
        <w:trPr>
          <w:trHeight w:val="349"/>
          <w:jc w:val="center"/>
        </w:trPr>
        <w:tc>
          <w:tcPr>
            <w:tcW w:w="959" w:type="dxa"/>
            <w:vMerge/>
            <w:vAlign w:val="center"/>
            <w:hideMark/>
          </w:tcPr>
          <w:p w14:paraId="060E4A1F"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4407" w:type="dxa"/>
            <w:vMerge/>
            <w:vAlign w:val="center"/>
            <w:hideMark/>
          </w:tcPr>
          <w:p w14:paraId="6D3E4779"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1417" w:type="dxa"/>
            <w:vMerge/>
            <w:vAlign w:val="center"/>
            <w:hideMark/>
          </w:tcPr>
          <w:p w14:paraId="0948E05A"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2812" w:type="dxa"/>
            <w:vMerge/>
            <w:vAlign w:val="center"/>
            <w:hideMark/>
          </w:tcPr>
          <w:p w14:paraId="4BD385AE"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r>
      <w:tr w:rsidR="00682269" w:rsidRPr="00DE4E4F" w14:paraId="2022C6EC" w14:textId="77777777" w:rsidTr="00BE2B84">
        <w:trPr>
          <w:trHeight w:val="302"/>
          <w:jc w:val="center"/>
        </w:trPr>
        <w:tc>
          <w:tcPr>
            <w:tcW w:w="959" w:type="dxa"/>
            <w:shd w:val="clear" w:color="auto" w:fill="C6EFCE"/>
            <w:noWrap/>
            <w:vAlign w:val="center"/>
          </w:tcPr>
          <w:p w14:paraId="2EB352BB"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51</w:t>
            </w:r>
          </w:p>
        </w:tc>
        <w:tc>
          <w:tcPr>
            <w:tcW w:w="4407" w:type="dxa"/>
            <w:shd w:val="clear" w:color="auto" w:fill="C6EFCE"/>
            <w:noWrap/>
            <w:vAlign w:val="center"/>
          </w:tcPr>
          <w:p w14:paraId="30799013" w14:textId="77777777" w:rsidR="001B186F" w:rsidRPr="00DE4E4F" w:rsidRDefault="0074517F" w:rsidP="007E1411">
            <w:pPr>
              <w:spacing w:after="0" w:line="240" w:lineRule="auto"/>
              <w:rPr>
                <w:rFonts w:ascii="Times New Roman" w:hAnsi="Times New Roman"/>
                <w:noProof/>
                <w:sz w:val="18"/>
              </w:rPr>
            </w:pPr>
            <w:r w:rsidRPr="00DE4E4F">
              <w:rPr>
                <w:rFonts w:ascii="Times New Roman" w:hAnsi="Times New Roman"/>
                <w:noProof/>
                <w:sz w:val="18"/>
              </w:rPr>
              <w:t>3 - 1.3. Recharge and refuel - 16831_Produc- E Green</w:t>
            </w:r>
          </w:p>
        </w:tc>
        <w:tc>
          <w:tcPr>
            <w:tcW w:w="1417" w:type="dxa"/>
            <w:shd w:val="clear" w:color="auto" w:fill="C6EFCE"/>
            <w:noWrap/>
            <w:vAlign w:val="center"/>
          </w:tcPr>
          <w:p w14:paraId="4298EEF6"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812" w:type="dxa"/>
            <w:shd w:val="clear" w:color="auto" w:fill="C6EFCE"/>
            <w:noWrap/>
            <w:vAlign w:val="center"/>
          </w:tcPr>
          <w:p w14:paraId="001426D7"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Carbon Capture and Storage (CCS) – storage permission</w:t>
            </w:r>
          </w:p>
        </w:tc>
      </w:tr>
      <w:tr w:rsidR="00682269" w:rsidRPr="00DE4E4F" w14:paraId="33B32416" w14:textId="77777777" w:rsidTr="00BE2B84">
        <w:trPr>
          <w:trHeight w:val="302"/>
          <w:jc w:val="center"/>
        </w:trPr>
        <w:tc>
          <w:tcPr>
            <w:tcW w:w="959" w:type="dxa"/>
            <w:shd w:val="clear" w:color="auto" w:fill="C6EFCE"/>
            <w:noWrap/>
            <w:vAlign w:val="center"/>
          </w:tcPr>
          <w:p w14:paraId="713603C8"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98</w:t>
            </w:r>
          </w:p>
        </w:tc>
        <w:tc>
          <w:tcPr>
            <w:tcW w:w="4407" w:type="dxa"/>
            <w:shd w:val="clear" w:color="auto" w:fill="C6EFCE"/>
            <w:noWrap/>
            <w:vAlign w:val="center"/>
          </w:tcPr>
          <w:p w14:paraId="403BF20A"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6 - 2.2. Modernise - 16782_Interconnection and interoperability of registries, systems and services for data exchange between national public organisations</w:t>
            </w:r>
          </w:p>
        </w:tc>
        <w:tc>
          <w:tcPr>
            <w:tcW w:w="1417" w:type="dxa"/>
            <w:shd w:val="clear" w:color="auto" w:fill="C6EFCE"/>
            <w:noWrap/>
            <w:vAlign w:val="center"/>
          </w:tcPr>
          <w:p w14:paraId="56C13024"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4C60ABFF"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Regulatory basis for interconnection and interoperability of registries</w:t>
            </w:r>
          </w:p>
        </w:tc>
      </w:tr>
      <w:tr w:rsidR="00682269" w:rsidRPr="00DE4E4F" w14:paraId="01973111" w14:textId="77777777" w:rsidTr="00BE2B84">
        <w:trPr>
          <w:trHeight w:val="302"/>
          <w:jc w:val="center"/>
        </w:trPr>
        <w:tc>
          <w:tcPr>
            <w:tcW w:w="959" w:type="dxa"/>
            <w:shd w:val="clear" w:color="auto" w:fill="C6EFCE"/>
            <w:noWrap/>
            <w:vAlign w:val="center"/>
          </w:tcPr>
          <w:p w14:paraId="7A7C40A5"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110a</w:t>
            </w:r>
          </w:p>
        </w:tc>
        <w:tc>
          <w:tcPr>
            <w:tcW w:w="4407" w:type="dxa"/>
            <w:shd w:val="clear" w:color="auto" w:fill="C6EFCE"/>
            <w:noWrap/>
            <w:vAlign w:val="center"/>
          </w:tcPr>
          <w:p w14:paraId="0BC90649"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szCs w:val="18"/>
              </w:rPr>
              <w:t>6 - 2.2. Modernise - 16780_Modernisation of Public Administration’s One-Stop Shops</w:t>
            </w:r>
          </w:p>
        </w:tc>
        <w:tc>
          <w:tcPr>
            <w:tcW w:w="1417" w:type="dxa"/>
            <w:shd w:val="clear" w:color="auto" w:fill="C6EFCE"/>
            <w:noWrap/>
            <w:vAlign w:val="center"/>
          </w:tcPr>
          <w:p w14:paraId="3A02DA3D"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1A7B2716"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Delivery of the project modernisation of One-Stop Shops</w:t>
            </w:r>
          </w:p>
        </w:tc>
      </w:tr>
      <w:tr w:rsidR="00682269" w:rsidRPr="00DE4E4F" w14:paraId="316DE41F" w14:textId="77777777" w:rsidTr="00BE2B84">
        <w:trPr>
          <w:trHeight w:val="302"/>
          <w:jc w:val="center"/>
        </w:trPr>
        <w:tc>
          <w:tcPr>
            <w:tcW w:w="959" w:type="dxa"/>
            <w:shd w:val="clear" w:color="auto" w:fill="C6EFCE"/>
            <w:noWrap/>
            <w:vAlign w:val="center"/>
          </w:tcPr>
          <w:p w14:paraId="204203E3"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112</w:t>
            </w:r>
          </w:p>
        </w:tc>
        <w:tc>
          <w:tcPr>
            <w:tcW w:w="4407" w:type="dxa"/>
            <w:shd w:val="clear" w:color="auto" w:fill="C6EFCE"/>
            <w:noWrap/>
            <w:vAlign w:val="center"/>
          </w:tcPr>
          <w:p w14:paraId="1F9BE379"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szCs w:val="18"/>
              </w:rPr>
              <w:t>6 - 2.2. Modernise - 16823_Cybersecurity strategy and National Security Operations Centre</w:t>
            </w:r>
          </w:p>
        </w:tc>
        <w:tc>
          <w:tcPr>
            <w:tcW w:w="1417" w:type="dxa"/>
            <w:shd w:val="clear" w:color="auto" w:fill="C6EFCE"/>
            <w:noWrap/>
            <w:vAlign w:val="center"/>
          </w:tcPr>
          <w:p w14:paraId="3A726D4A"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52D78749" w14:textId="1D151892"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Delivery of</w:t>
            </w:r>
            <w:r w:rsidR="00DE4C0C" w:rsidRPr="00DE4E4F">
              <w:rPr>
                <w:rFonts w:ascii="Times New Roman" w:hAnsi="Times New Roman"/>
                <w:noProof/>
                <w:sz w:val="18"/>
                <w:szCs w:val="18"/>
              </w:rPr>
              <w:t xml:space="preserve"> </w:t>
            </w:r>
            <w:r w:rsidRPr="00DE4E4F">
              <w:rPr>
                <w:rFonts w:ascii="Times New Roman" w:hAnsi="Times New Roman"/>
                <w:noProof/>
                <w:sz w:val="18"/>
                <w:szCs w:val="18"/>
              </w:rPr>
              <w:t>Cybersecurity strategy and National Security Operations Centre</w:t>
            </w:r>
          </w:p>
        </w:tc>
      </w:tr>
      <w:tr w:rsidR="00682269" w:rsidRPr="00DE4E4F" w14:paraId="5FF387BE" w14:textId="77777777" w:rsidTr="00BE2B84">
        <w:trPr>
          <w:trHeight w:val="302"/>
          <w:jc w:val="center"/>
        </w:trPr>
        <w:tc>
          <w:tcPr>
            <w:tcW w:w="959" w:type="dxa"/>
            <w:shd w:val="clear" w:color="auto" w:fill="C6EFCE"/>
            <w:noWrap/>
            <w:vAlign w:val="center"/>
          </w:tcPr>
          <w:p w14:paraId="5FD5429D"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142a</w:t>
            </w:r>
          </w:p>
        </w:tc>
        <w:tc>
          <w:tcPr>
            <w:tcW w:w="4407" w:type="dxa"/>
            <w:shd w:val="clear" w:color="auto" w:fill="C6EFCE"/>
            <w:noWrap/>
            <w:vAlign w:val="center"/>
          </w:tcPr>
          <w:p w14:paraId="13697A92" w14:textId="4C24EC78"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 xml:space="preserve">8 - 3.1. Promote job creation and participation in the labour market - </w:t>
            </w:r>
            <w:r w:rsidR="00C201D6" w:rsidRPr="00DE4E4F">
              <w:rPr>
                <w:rFonts w:ascii="Times New Roman" w:hAnsi="Times New Roman"/>
                <w:noProof/>
                <w:sz w:val="18"/>
                <w:szCs w:val="18"/>
              </w:rPr>
              <w:t>16746</w:t>
            </w:r>
            <w:r w:rsidRPr="00DE4E4F">
              <w:rPr>
                <w:rFonts w:ascii="Times New Roman" w:hAnsi="Times New Roman"/>
                <w:noProof/>
                <w:sz w:val="18"/>
                <w:szCs w:val="18"/>
              </w:rPr>
              <w:t>_Reform of Passive Labour Market Policies to Support Transitions to Employment</w:t>
            </w:r>
          </w:p>
        </w:tc>
        <w:tc>
          <w:tcPr>
            <w:tcW w:w="1417" w:type="dxa"/>
            <w:shd w:val="clear" w:color="auto" w:fill="C6EFCE"/>
            <w:noWrap/>
            <w:vAlign w:val="center"/>
          </w:tcPr>
          <w:p w14:paraId="508FFE57"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3F1D3E80"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cs="Times New Roman"/>
                <w:noProof/>
                <w:sz w:val="18"/>
                <w:szCs w:val="18"/>
              </w:rPr>
              <w:t>Legislation on unemployment benefits and allowances</w:t>
            </w:r>
          </w:p>
        </w:tc>
      </w:tr>
      <w:tr w:rsidR="00682269" w:rsidRPr="00DE4E4F" w14:paraId="01599FC9" w14:textId="77777777" w:rsidTr="00BE2B84">
        <w:trPr>
          <w:trHeight w:val="302"/>
          <w:jc w:val="center"/>
        </w:trPr>
        <w:tc>
          <w:tcPr>
            <w:tcW w:w="959" w:type="dxa"/>
            <w:shd w:val="clear" w:color="auto" w:fill="C6EFCE"/>
            <w:noWrap/>
            <w:vAlign w:val="center"/>
          </w:tcPr>
          <w:p w14:paraId="1CAB7CA9"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144</w:t>
            </w:r>
          </w:p>
        </w:tc>
        <w:tc>
          <w:tcPr>
            <w:tcW w:w="4407" w:type="dxa"/>
            <w:shd w:val="clear" w:color="auto" w:fill="C6EFCE"/>
            <w:noWrap/>
            <w:vAlign w:val="center"/>
          </w:tcPr>
          <w:p w14:paraId="79DA23CD"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8 - 3.1. Promote job creation and participation in the labour market - 16747_Active Labour Market Policies Reform</w:t>
            </w:r>
          </w:p>
        </w:tc>
        <w:tc>
          <w:tcPr>
            <w:tcW w:w="1417" w:type="dxa"/>
            <w:shd w:val="clear" w:color="auto" w:fill="C6EFCE"/>
            <w:noWrap/>
            <w:vAlign w:val="center"/>
          </w:tcPr>
          <w:p w14:paraId="409C6975"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4B867C41"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ALMP training employment programme delivery </w:t>
            </w:r>
          </w:p>
        </w:tc>
      </w:tr>
      <w:tr w:rsidR="00682269" w:rsidRPr="00DE4E4F" w14:paraId="0ABBF254" w14:textId="77777777" w:rsidTr="00BE2B84">
        <w:trPr>
          <w:trHeight w:val="302"/>
          <w:jc w:val="center"/>
        </w:trPr>
        <w:tc>
          <w:tcPr>
            <w:tcW w:w="959" w:type="dxa"/>
            <w:shd w:val="clear" w:color="auto" w:fill="C6EFCE"/>
            <w:noWrap/>
            <w:vAlign w:val="center"/>
          </w:tcPr>
          <w:p w14:paraId="66539126"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145a</w:t>
            </w:r>
          </w:p>
        </w:tc>
        <w:tc>
          <w:tcPr>
            <w:tcW w:w="4407" w:type="dxa"/>
            <w:shd w:val="clear" w:color="auto" w:fill="C6EFCE"/>
            <w:noWrap/>
            <w:vAlign w:val="center"/>
          </w:tcPr>
          <w:p w14:paraId="2EF44250"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 xml:space="preserve">9 - 3.2. Education, vocational education and training, and skills - 16794_Strengthening the Apprenticeship System </w:t>
            </w:r>
          </w:p>
        </w:tc>
        <w:tc>
          <w:tcPr>
            <w:tcW w:w="1417" w:type="dxa"/>
            <w:shd w:val="clear" w:color="auto" w:fill="C6EFCE"/>
            <w:noWrap/>
            <w:vAlign w:val="center"/>
          </w:tcPr>
          <w:p w14:paraId="6BA0BE64"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10B4FF89"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Legal framework VET national system</w:t>
            </w:r>
          </w:p>
        </w:tc>
      </w:tr>
      <w:tr w:rsidR="00682269" w:rsidRPr="00DE4E4F" w14:paraId="1D5F0442" w14:textId="77777777" w:rsidTr="00BE2B84">
        <w:trPr>
          <w:trHeight w:val="302"/>
          <w:jc w:val="center"/>
        </w:trPr>
        <w:tc>
          <w:tcPr>
            <w:tcW w:w="959" w:type="dxa"/>
            <w:shd w:val="clear" w:color="auto" w:fill="C6EFCE"/>
            <w:noWrap/>
            <w:vAlign w:val="center"/>
          </w:tcPr>
          <w:p w14:paraId="674C45E6"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166</w:t>
            </w:r>
          </w:p>
        </w:tc>
        <w:tc>
          <w:tcPr>
            <w:tcW w:w="4407" w:type="dxa"/>
            <w:shd w:val="clear" w:color="auto" w:fill="C6EFCE"/>
            <w:noWrap/>
            <w:vAlign w:val="center"/>
          </w:tcPr>
          <w:p w14:paraId="74226A09"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szCs w:val="18"/>
              </w:rPr>
              <w:t xml:space="preserve">10 - 3.3. Improve resilience, accessibility and sustainability of healthcare - </w:t>
            </w:r>
            <w:r w:rsidRPr="00DE4E4F">
              <w:rPr>
                <w:rFonts w:ascii="Times New Roman" w:hAnsi="Times New Roman"/>
                <w:noProof/>
                <w:sz w:val="18"/>
              </w:rPr>
              <w:t>16755_Green investments - Reform of the Primary Health Care System</w:t>
            </w:r>
          </w:p>
        </w:tc>
        <w:tc>
          <w:tcPr>
            <w:tcW w:w="1417" w:type="dxa"/>
            <w:shd w:val="clear" w:color="auto" w:fill="C6EFCE"/>
            <w:noWrap/>
            <w:vAlign w:val="center"/>
          </w:tcPr>
          <w:p w14:paraId="674AC12C"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Target</w:t>
            </w:r>
          </w:p>
        </w:tc>
        <w:tc>
          <w:tcPr>
            <w:tcW w:w="2812" w:type="dxa"/>
            <w:shd w:val="clear" w:color="auto" w:fill="C6EFCE"/>
            <w:noWrap/>
            <w:vAlign w:val="center"/>
          </w:tcPr>
          <w:p w14:paraId="39E19006"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PHC – primary healthcare units with renovated infrastructure - step 1</w:t>
            </w:r>
          </w:p>
        </w:tc>
      </w:tr>
      <w:tr w:rsidR="00682269" w:rsidRPr="00DE4E4F" w14:paraId="1FD34D32" w14:textId="77777777" w:rsidTr="00BE2B84">
        <w:trPr>
          <w:trHeight w:val="302"/>
          <w:jc w:val="center"/>
        </w:trPr>
        <w:tc>
          <w:tcPr>
            <w:tcW w:w="959" w:type="dxa"/>
            <w:shd w:val="clear" w:color="auto" w:fill="C6EFCE"/>
            <w:noWrap/>
            <w:vAlign w:val="center"/>
          </w:tcPr>
          <w:p w14:paraId="613315CA"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szCs w:val="18"/>
              </w:rPr>
              <w:t>168</w:t>
            </w:r>
          </w:p>
        </w:tc>
        <w:tc>
          <w:tcPr>
            <w:tcW w:w="4407" w:type="dxa"/>
            <w:shd w:val="clear" w:color="auto" w:fill="C6EFCE"/>
            <w:noWrap/>
            <w:vAlign w:val="center"/>
          </w:tcPr>
          <w:p w14:paraId="7FD7E0F6"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szCs w:val="18"/>
              </w:rPr>
              <w:t>10 - 3.3. Improve resilience, accessibility and sustainability of healthcare - 16752_Digital Transformation of Health (DigHealth)</w:t>
            </w:r>
          </w:p>
        </w:tc>
        <w:tc>
          <w:tcPr>
            <w:tcW w:w="1417" w:type="dxa"/>
            <w:shd w:val="clear" w:color="auto" w:fill="C6EFCE"/>
            <w:noWrap/>
            <w:vAlign w:val="center"/>
          </w:tcPr>
          <w:p w14:paraId="17DE43DE"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szCs w:val="18"/>
              </w:rPr>
              <w:t>Milestone</w:t>
            </w:r>
          </w:p>
        </w:tc>
        <w:tc>
          <w:tcPr>
            <w:tcW w:w="2812" w:type="dxa"/>
            <w:shd w:val="clear" w:color="auto" w:fill="C6EFCE"/>
            <w:noWrap/>
            <w:vAlign w:val="center"/>
          </w:tcPr>
          <w:p w14:paraId="44DE50EC" w14:textId="4DD2A8A2"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Digital transformation –</w:t>
            </w:r>
            <w:r w:rsidR="00DE4C0C" w:rsidRPr="00DE4E4F">
              <w:rPr>
                <w:rFonts w:ascii="Times New Roman" w:hAnsi="Times New Roman"/>
                <w:noProof/>
                <w:sz w:val="18"/>
                <w:szCs w:val="18"/>
              </w:rPr>
              <w:t xml:space="preserve"> </w:t>
            </w:r>
            <w:r w:rsidRPr="00DE4E4F">
              <w:rPr>
                <w:rFonts w:ascii="Times New Roman" w:hAnsi="Times New Roman"/>
                <w:noProof/>
                <w:sz w:val="18"/>
                <w:szCs w:val="18"/>
              </w:rPr>
              <w:t>Expansion of the appointment creation and management system within the framework of the National Vaccination Program against COVID-19, infrastructure upgrade of the Electronic Prescription System</w:t>
            </w:r>
          </w:p>
        </w:tc>
      </w:tr>
      <w:tr w:rsidR="00682269" w:rsidRPr="00DE4E4F" w14:paraId="2B64C614" w14:textId="77777777" w:rsidTr="00BE2B84">
        <w:trPr>
          <w:trHeight w:val="302"/>
          <w:jc w:val="center"/>
        </w:trPr>
        <w:tc>
          <w:tcPr>
            <w:tcW w:w="959" w:type="dxa"/>
            <w:shd w:val="clear" w:color="auto" w:fill="C6EFCE"/>
            <w:noWrap/>
            <w:vAlign w:val="center"/>
          </w:tcPr>
          <w:p w14:paraId="08453A61"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170</w:t>
            </w:r>
          </w:p>
        </w:tc>
        <w:tc>
          <w:tcPr>
            <w:tcW w:w="4407" w:type="dxa"/>
            <w:shd w:val="clear" w:color="auto" w:fill="C6EFCE"/>
            <w:noWrap/>
            <w:vAlign w:val="center"/>
          </w:tcPr>
          <w:p w14:paraId="62DD4C17"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10 - 3.3. Improve resilience, accessibility and sustainability of healthcare - 16795_Health infrastructure</w:t>
            </w:r>
          </w:p>
        </w:tc>
        <w:tc>
          <w:tcPr>
            <w:tcW w:w="1417" w:type="dxa"/>
            <w:shd w:val="clear" w:color="auto" w:fill="C6EFCE"/>
            <w:noWrap/>
            <w:vAlign w:val="center"/>
          </w:tcPr>
          <w:p w14:paraId="5EBCF8AD"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812" w:type="dxa"/>
            <w:shd w:val="clear" w:color="auto" w:fill="C6EFCE"/>
            <w:noWrap/>
            <w:vAlign w:val="center"/>
          </w:tcPr>
          <w:p w14:paraId="129CFB63"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NHS Infrastructure upgrade – step 1</w:t>
            </w:r>
          </w:p>
        </w:tc>
      </w:tr>
      <w:tr w:rsidR="00682269" w:rsidRPr="00DE4E4F" w14:paraId="07950256" w14:textId="77777777" w:rsidTr="00BE2B84">
        <w:trPr>
          <w:trHeight w:val="302"/>
          <w:jc w:val="center"/>
        </w:trPr>
        <w:tc>
          <w:tcPr>
            <w:tcW w:w="959" w:type="dxa"/>
            <w:shd w:val="clear" w:color="auto" w:fill="C6EFCE"/>
            <w:noWrap/>
            <w:vAlign w:val="center"/>
          </w:tcPr>
          <w:p w14:paraId="540FC12F"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175</w:t>
            </w:r>
          </w:p>
        </w:tc>
        <w:tc>
          <w:tcPr>
            <w:tcW w:w="4407" w:type="dxa"/>
            <w:shd w:val="clear" w:color="auto" w:fill="C6EFCE"/>
            <w:noWrap/>
            <w:vAlign w:val="center"/>
          </w:tcPr>
          <w:p w14:paraId="7B7312B2"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11 - 3.4. Increase access to effective and inclusive social policies – 16726 Social Benefits Optimisation</w:t>
            </w:r>
          </w:p>
        </w:tc>
        <w:tc>
          <w:tcPr>
            <w:tcW w:w="1417" w:type="dxa"/>
            <w:shd w:val="clear" w:color="auto" w:fill="C6EFCE"/>
            <w:noWrap/>
            <w:vAlign w:val="center"/>
          </w:tcPr>
          <w:p w14:paraId="08A122B7"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812" w:type="dxa"/>
            <w:shd w:val="clear" w:color="auto" w:fill="C6EFCE"/>
            <w:noWrap/>
            <w:vAlign w:val="center"/>
          </w:tcPr>
          <w:p w14:paraId="28BD7743"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cs="Times New Roman"/>
                <w:noProof/>
                <w:sz w:val="18"/>
                <w:szCs w:val="18"/>
              </w:rPr>
              <w:t>Social Benefits Optimisation pre-paid cards</w:t>
            </w:r>
          </w:p>
        </w:tc>
      </w:tr>
      <w:tr w:rsidR="00682269" w:rsidRPr="00DE4E4F" w14:paraId="62C8FB9C" w14:textId="77777777" w:rsidTr="00BE2B84">
        <w:trPr>
          <w:trHeight w:val="302"/>
          <w:jc w:val="center"/>
        </w:trPr>
        <w:tc>
          <w:tcPr>
            <w:tcW w:w="959" w:type="dxa"/>
            <w:shd w:val="clear" w:color="auto" w:fill="C6EFCE"/>
            <w:noWrap/>
            <w:vAlign w:val="center"/>
          </w:tcPr>
          <w:p w14:paraId="7A874B2C"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176</w:t>
            </w:r>
          </w:p>
        </w:tc>
        <w:tc>
          <w:tcPr>
            <w:tcW w:w="4407" w:type="dxa"/>
            <w:shd w:val="clear" w:color="auto" w:fill="C6EFCE"/>
            <w:noWrap/>
            <w:vAlign w:val="center"/>
          </w:tcPr>
          <w:p w14:paraId="335BBE16"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- 16904_Disability</w:t>
            </w:r>
          </w:p>
        </w:tc>
        <w:tc>
          <w:tcPr>
            <w:tcW w:w="1417" w:type="dxa"/>
            <w:shd w:val="clear" w:color="auto" w:fill="C6EFCE"/>
            <w:noWrap/>
            <w:vAlign w:val="center"/>
          </w:tcPr>
          <w:p w14:paraId="6198296F"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257A6031"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Personal assistance disability assessment</w:t>
            </w:r>
          </w:p>
        </w:tc>
      </w:tr>
      <w:tr w:rsidR="00682269" w:rsidRPr="00DE4E4F" w14:paraId="767CE356" w14:textId="77777777" w:rsidTr="00BE2B84">
        <w:trPr>
          <w:trHeight w:val="302"/>
          <w:jc w:val="center"/>
        </w:trPr>
        <w:tc>
          <w:tcPr>
            <w:tcW w:w="959" w:type="dxa"/>
            <w:shd w:val="clear" w:color="auto" w:fill="C6EFCE"/>
            <w:noWrap/>
            <w:vAlign w:val="center"/>
          </w:tcPr>
          <w:p w14:paraId="53697845"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184</w:t>
            </w:r>
          </w:p>
        </w:tc>
        <w:tc>
          <w:tcPr>
            <w:tcW w:w="4407" w:type="dxa"/>
            <w:shd w:val="clear" w:color="auto" w:fill="C6EFCE"/>
            <w:noWrap/>
            <w:vAlign w:val="center"/>
          </w:tcPr>
          <w:p w14:paraId="1037DECA"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- 16685_Diversity Awareness</w:t>
            </w:r>
          </w:p>
        </w:tc>
        <w:tc>
          <w:tcPr>
            <w:tcW w:w="1417" w:type="dxa"/>
            <w:shd w:val="clear" w:color="auto" w:fill="C6EFCE"/>
            <w:noWrap/>
            <w:vAlign w:val="center"/>
          </w:tcPr>
          <w:p w14:paraId="4A6A9831"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765D5B1A"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Training certificates issued for employees in private sector businesses</w:t>
            </w:r>
          </w:p>
        </w:tc>
      </w:tr>
      <w:tr w:rsidR="00682269" w:rsidRPr="00DE4E4F" w14:paraId="708E4B7F" w14:textId="77777777" w:rsidTr="00BE2B84">
        <w:trPr>
          <w:trHeight w:val="302"/>
          <w:jc w:val="center"/>
        </w:trPr>
        <w:tc>
          <w:tcPr>
            <w:tcW w:w="959" w:type="dxa"/>
            <w:shd w:val="clear" w:color="auto" w:fill="C6EFCE"/>
            <w:noWrap/>
            <w:vAlign w:val="center"/>
          </w:tcPr>
          <w:p w14:paraId="302A53DA"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195a</w:t>
            </w:r>
          </w:p>
        </w:tc>
        <w:tc>
          <w:tcPr>
            <w:tcW w:w="4407" w:type="dxa"/>
            <w:shd w:val="clear" w:color="auto" w:fill="C6EFCE"/>
            <w:noWrap/>
            <w:vAlign w:val="center"/>
          </w:tcPr>
          <w:p w14:paraId="62DFA48A"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12 - 4.1. Making taxes more growth friendly and improving tax administration and tax collection - 16291_Digital Transformation of the Tax and Customs Administration</w:t>
            </w:r>
          </w:p>
        </w:tc>
        <w:tc>
          <w:tcPr>
            <w:tcW w:w="1417" w:type="dxa"/>
            <w:shd w:val="clear" w:color="auto" w:fill="C6EFCE"/>
            <w:noWrap/>
            <w:vAlign w:val="center"/>
          </w:tcPr>
          <w:p w14:paraId="38B833E0"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tcPr>
          <w:p w14:paraId="0DAAE7E1"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Delivery of i) an integrated information system for IAPR’s General Directorate for Financial Services and ii) office hardware and portable IT equipment for IAPR</w:t>
            </w:r>
          </w:p>
        </w:tc>
      </w:tr>
      <w:tr w:rsidR="00682269" w:rsidRPr="00DE4E4F" w14:paraId="3B011A81" w14:textId="77777777" w:rsidTr="00BE2B84">
        <w:trPr>
          <w:trHeight w:val="302"/>
          <w:jc w:val="center"/>
        </w:trPr>
        <w:tc>
          <w:tcPr>
            <w:tcW w:w="959" w:type="dxa"/>
            <w:shd w:val="clear" w:color="auto" w:fill="C6EFCE"/>
            <w:noWrap/>
            <w:vAlign w:val="center"/>
          </w:tcPr>
          <w:p w14:paraId="1DF34026"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236</w:t>
            </w:r>
          </w:p>
        </w:tc>
        <w:tc>
          <w:tcPr>
            <w:tcW w:w="4407" w:type="dxa"/>
            <w:shd w:val="clear" w:color="auto" w:fill="C6EFCE"/>
            <w:noWrap/>
            <w:vAlign w:val="center"/>
          </w:tcPr>
          <w:p w14:paraId="17F0B2C5" w14:textId="77777777" w:rsidR="001B186F" w:rsidRPr="00DE4E4F" w:rsidRDefault="0074517F" w:rsidP="007E1411">
            <w:pPr>
              <w:keepNext/>
              <w:spacing w:before="40" w:after="0" w:line="240" w:lineRule="auto"/>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16575 Accelerating the administration of justice</w:t>
            </w:r>
          </w:p>
        </w:tc>
        <w:tc>
          <w:tcPr>
            <w:tcW w:w="1417" w:type="dxa"/>
            <w:shd w:val="clear" w:color="auto" w:fill="C6EFCE"/>
            <w:noWrap/>
            <w:vAlign w:val="center"/>
          </w:tcPr>
          <w:p w14:paraId="0806F58E"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0E06EEBA" w14:textId="77777777" w:rsidR="001B186F" w:rsidRPr="00DE4E4F" w:rsidRDefault="0074517F" w:rsidP="007E1411">
            <w:pPr>
              <w:keepNext/>
              <w:spacing w:before="40" w:after="0" w:line="240" w:lineRule="auto"/>
              <w:rPr>
                <w:rFonts w:ascii="Times New Roman" w:eastAsia="Times New Roman" w:hAnsi="Times New Roman" w:cs="Times New Roman"/>
                <w:noProof/>
                <w:sz w:val="18"/>
                <w:szCs w:val="18"/>
              </w:rPr>
            </w:pPr>
            <w:r w:rsidRPr="00DE4E4F">
              <w:rPr>
                <w:rFonts w:ascii="Times New Roman" w:hAnsi="Times New Roman"/>
                <w:noProof/>
                <w:sz w:val="18"/>
              </w:rPr>
              <w:t xml:space="preserve">Judicial Map revision </w:t>
            </w:r>
          </w:p>
        </w:tc>
      </w:tr>
      <w:tr w:rsidR="00682269" w:rsidRPr="00DE4E4F" w14:paraId="57310A50" w14:textId="77777777" w:rsidTr="00BE2B84">
        <w:trPr>
          <w:trHeight w:val="302"/>
          <w:jc w:val="center"/>
        </w:trPr>
        <w:tc>
          <w:tcPr>
            <w:tcW w:w="959" w:type="dxa"/>
            <w:shd w:val="clear" w:color="auto" w:fill="C6EFCE"/>
            <w:noWrap/>
            <w:vAlign w:val="center"/>
          </w:tcPr>
          <w:p w14:paraId="3462A4E6"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277</w:t>
            </w:r>
          </w:p>
        </w:tc>
        <w:tc>
          <w:tcPr>
            <w:tcW w:w="4407" w:type="dxa"/>
            <w:shd w:val="clear" w:color="auto" w:fill="C6EFCE"/>
            <w:noWrap/>
            <w:vAlign w:val="center"/>
          </w:tcPr>
          <w:p w14:paraId="475CE3D2"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17 - 4.6. Modernise and improve resilience of key economic sectors - 16786_Simplification of the Procedures of the Ministry of Infrastructure &amp; Transport</w:t>
            </w:r>
          </w:p>
        </w:tc>
        <w:tc>
          <w:tcPr>
            <w:tcW w:w="1417" w:type="dxa"/>
            <w:shd w:val="clear" w:color="auto" w:fill="C6EFCE"/>
            <w:noWrap/>
            <w:vAlign w:val="center"/>
          </w:tcPr>
          <w:p w14:paraId="519CC814"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noProof/>
                <w:sz w:val="18"/>
              </w:rPr>
              <w:t>Milestone</w:t>
            </w:r>
          </w:p>
        </w:tc>
        <w:tc>
          <w:tcPr>
            <w:tcW w:w="2812" w:type="dxa"/>
            <w:shd w:val="clear" w:color="auto" w:fill="C6EFCE"/>
            <w:noWrap/>
            <w:vAlign w:val="center"/>
          </w:tcPr>
          <w:p w14:paraId="06B48A79" w14:textId="77777777" w:rsidR="001B186F" w:rsidRPr="00DE4E4F" w:rsidRDefault="0074517F" w:rsidP="007E1411">
            <w:pPr>
              <w:keepNext/>
              <w:spacing w:before="40" w:after="0" w:line="240" w:lineRule="auto"/>
              <w:rPr>
                <w:rFonts w:ascii="Times New Roman" w:hAnsi="Times New Roman"/>
                <w:noProof/>
                <w:sz w:val="18"/>
              </w:rPr>
            </w:pPr>
            <w:r w:rsidRPr="00DE4E4F">
              <w:rPr>
                <w:rFonts w:ascii="Times New Roman" w:hAnsi="Times New Roman" w:cs="Times New Roman"/>
                <w:noProof/>
                <w:sz w:val="18"/>
                <w:szCs w:val="18"/>
              </w:rPr>
              <w:t>Simplification of procedures for Ministry of Transport</w:t>
            </w:r>
          </w:p>
        </w:tc>
      </w:tr>
      <w:tr w:rsidR="00682269" w:rsidRPr="00DE4E4F" w14:paraId="2C826731" w14:textId="77777777" w:rsidTr="00BE2B84">
        <w:trPr>
          <w:trHeight w:val="302"/>
          <w:jc w:val="center"/>
        </w:trPr>
        <w:tc>
          <w:tcPr>
            <w:tcW w:w="959" w:type="dxa"/>
            <w:shd w:val="clear" w:color="auto" w:fill="C6EFCE"/>
            <w:noWrap/>
            <w:vAlign w:val="center"/>
          </w:tcPr>
          <w:p w14:paraId="0F658E69"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333</w:t>
            </w:r>
          </w:p>
        </w:tc>
        <w:tc>
          <w:tcPr>
            <w:tcW w:w="4407" w:type="dxa"/>
            <w:shd w:val="clear" w:color="auto" w:fill="C6EFCE"/>
            <w:noWrap/>
            <w:vAlign w:val="center"/>
          </w:tcPr>
          <w:p w14:paraId="46150279"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5 - 2.1. Connect - 16844_ Transition to 5G technology, facilitating the development of innovative remote services</w:t>
            </w:r>
          </w:p>
        </w:tc>
        <w:tc>
          <w:tcPr>
            <w:tcW w:w="1417" w:type="dxa"/>
            <w:shd w:val="clear" w:color="auto" w:fill="C6EFCE"/>
            <w:noWrap/>
            <w:vAlign w:val="center"/>
          </w:tcPr>
          <w:p w14:paraId="2F0CBBDE"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168FFA4F" w14:textId="77777777" w:rsidR="001B186F" w:rsidRPr="00DE4E4F" w:rsidRDefault="0074517F" w:rsidP="007E1411">
            <w:pPr>
              <w:keepNext/>
              <w:spacing w:before="40" w:after="0" w:line="240" w:lineRule="auto"/>
              <w:rPr>
                <w:rFonts w:ascii="Times New Roman" w:hAnsi="Times New Roman" w:cs="Times New Roman"/>
                <w:noProof/>
                <w:sz w:val="18"/>
                <w:szCs w:val="18"/>
              </w:rPr>
            </w:pPr>
            <w:r w:rsidRPr="00DE4E4F">
              <w:rPr>
                <w:rFonts w:ascii="Times New Roman" w:hAnsi="Times New Roman"/>
                <w:noProof/>
                <w:sz w:val="18"/>
              </w:rPr>
              <w:t>Entry into force of the Transition to 5G technology reform</w:t>
            </w:r>
          </w:p>
        </w:tc>
      </w:tr>
      <w:tr w:rsidR="00682269" w:rsidRPr="00DE4E4F" w14:paraId="740DA1C8" w14:textId="77777777" w:rsidTr="00BE2B84">
        <w:trPr>
          <w:trHeight w:val="302"/>
          <w:jc w:val="center"/>
        </w:trPr>
        <w:tc>
          <w:tcPr>
            <w:tcW w:w="959" w:type="dxa"/>
            <w:shd w:val="clear" w:color="auto" w:fill="C6EFCE"/>
            <w:noWrap/>
            <w:vAlign w:val="center"/>
          </w:tcPr>
          <w:p w14:paraId="21BD8903"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268a</w:t>
            </w:r>
          </w:p>
        </w:tc>
        <w:tc>
          <w:tcPr>
            <w:tcW w:w="4407" w:type="dxa"/>
            <w:shd w:val="clear" w:color="auto" w:fill="C6EFCE"/>
            <w:noWrap/>
            <w:vAlign w:val="center"/>
          </w:tcPr>
          <w:p w14:paraId="7F3DF321"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1417" w:type="dxa"/>
            <w:shd w:val="clear" w:color="auto" w:fill="C6EFCE"/>
            <w:noWrap/>
            <w:vAlign w:val="center"/>
          </w:tcPr>
          <w:p w14:paraId="06A53E4A" w14:textId="77777777" w:rsidR="001B186F" w:rsidRPr="00DE4E4F" w:rsidRDefault="0074517F" w:rsidP="007E1411">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0C5355C2" w14:textId="77777777" w:rsidR="001B186F" w:rsidRPr="00DE4E4F" w:rsidRDefault="0074517F" w:rsidP="007E1411">
            <w:pPr>
              <w:keepNext/>
              <w:spacing w:before="40" w:after="0" w:line="259" w:lineRule="auto"/>
              <w:rPr>
                <w:rFonts w:eastAsia="Times New Roman" w:cs="Calibri"/>
                <w:noProof/>
                <w:color w:val="006100"/>
                <w:sz w:val="18"/>
                <w:szCs w:val="18"/>
              </w:rPr>
            </w:pPr>
            <w:r w:rsidRPr="00DE4E4F">
              <w:rPr>
                <w:rFonts w:ascii="Times New Roman" w:hAnsi="Times New Roman"/>
                <w:noProof/>
                <w:sz w:val="18"/>
                <w:szCs w:val="18"/>
              </w:rPr>
              <w:t>Legal acts for Hellenic Railways</w:t>
            </w:r>
          </w:p>
        </w:tc>
      </w:tr>
      <w:tr w:rsidR="00682269" w:rsidRPr="00DE4E4F" w14:paraId="422EFCA1" w14:textId="77777777" w:rsidTr="00BE2B84">
        <w:trPr>
          <w:trHeight w:val="302"/>
          <w:jc w:val="center"/>
        </w:trPr>
        <w:tc>
          <w:tcPr>
            <w:tcW w:w="959" w:type="dxa"/>
            <w:shd w:val="clear" w:color="auto" w:fill="C6EFCE"/>
            <w:noWrap/>
            <w:vAlign w:val="center"/>
          </w:tcPr>
          <w:p w14:paraId="4A04593C" w14:textId="77777777"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313</w:t>
            </w:r>
          </w:p>
        </w:tc>
        <w:tc>
          <w:tcPr>
            <w:tcW w:w="4407" w:type="dxa"/>
            <w:shd w:val="clear" w:color="auto" w:fill="C6EFCE"/>
            <w:noWrap/>
            <w:vAlign w:val="center"/>
          </w:tcPr>
          <w:p w14:paraId="23E03C13" w14:textId="77777777"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 17 - 4.6. Modernise and improve resilience of key economic sectors - 16653_Digital Transformation of the Agri-Food Sector</w:t>
            </w:r>
          </w:p>
        </w:tc>
        <w:tc>
          <w:tcPr>
            <w:tcW w:w="1417" w:type="dxa"/>
            <w:shd w:val="clear" w:color="auto" w:fill="C6EFCE"/>
            <w:noWrap/>
            <w:vAlign w:val="center"/>
          </w:tcPr>
          <w:p w14:paraId="6C6D603E" w14:textId="77777777"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noProof/>
                <w:sz w:val="18"/>
                <w:szCs w:val="18"/>
              </w:rPr>
              <w:t>Milestone</w:t>
            </w:r>
          </w:p>
        </w:tc>
        <w:tc>
          <w:tcPr>
            <w:tcW w:w="2812" w:type="dxa"/>
            <w:shd w:val="clear" w:color="auto" w:fill="C6EFCE"/>
            <w:noWrap/>
            <w:vAlign w:val="center"/>
          </w:tcPr>
          <w:p w14:paraId="3B122555" w14:textId="77777777" w:rsidR="001B186F" w:rsidRPr="00DE4E4F" w:rsidRDefault="0074517F" w:rsidP="007E1411">
            <w:pPr>
              <w:keepNext/>
              <w:spacing w:before="40" w:after="0" w:line="240" w:lineRule="auto"/>
              <w:rPr>
                <w:rFonts w:ascii="Times New Roman" w:hAnsi="Times New Roman"/>
                <w:noProof/>
                <w:sz w:val="18"/>
                <w:szCs w:val="18"/>
              </w:rPr>
            </w:pPr>
            <w:r w:rsidRPr="00DE4E4F">
              <w:rPr>
                <w:rFonts w:ascii="Times New Roman" w:hAnsi="Times New Roman" w:cs="Times New Roman"/>
                <w:noProof/>
                <w:sz w:val="18"/>
                <w:szCs w:val="18"/>
              </w:rPr>
              <w:t>Delivery of Digital transformation of Agri-Food Sector projects</w:t>
            </w:r>
          </w:p>
        </w:tc>
      </w:tr>
      <w:tr w:rsidR="00682269" w:rsidRPr="00DE4E4F" w14:paraId="48828C45" w14:textId="77777777" w:rsidTr="00BE2B84">
        <w:trPr>
          <w:trHeight w:val="302"/>
          <w:jc w:val="center"/>
        </w:trPr>
        <w:tc>
          <w:tcPr>
            <w:tcW w:w="959" w:type="dxa"/>
            <w:shd w:val="clear" w:color="auto" w:fill="C6EFCE"/>
            <w:noWrap/>
            <w:vAlign w:val="center"/>
          </w:tcPr>
          <w:p w14:paraId="1F9E82A8"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353</w:t>
            </w:r>
          </w:p>
        </w:tc>
        <w:tc>
          <w:tcPr>
            <w:tcW w:w="4407" w:type="dxa"/>
            <w:shd w:val="clear" w:color="auto" w:fill="C6EFCE"/>
            <w:noWrap/>
            <w:vAlign w:val="center"/>
          </w:tcPr>
          <w:p w14:paraId="1F073C87" w14:textId="77777777" w:rsidR="001B186F" w:rsidRPr="00DE4E4F" w:rsidRDefault="0074517F" w:rsidP="007E1411">
            <w:pPr>
              <w:keepNext/>
              <w:spacing w:before="40" w:after="0" w:line="259" w:lineRule="auto"/>
              <w:rPr>
                <w:rFonts w:ascii="Times New Roman" w:eastAsia="Times New Roman" w:hAnsi="Times New Roman" w:cs="Times New Roman"/>
                <w:bCs/>
                <w:noProof/>
                <w:sz w:val="18"/>
                <w:szCs w:val="18"/>
              </w:rPr>
            </w:pPr>
            <w:r w:rsidRPr="00DE4E4F">
              <w:rPr>
                <w:rFonts w:ascii="Times New Roman" w:hAnsi="Times New Roman"/>
                <w:noProof/>
                <w:sz w:val="18"/>
              </w:rPr>
              <w:t>20 - 5.1. REPowerEU reforms - 16989_Optimisation of land and sea space usage for the development of RES and offshore wind energy development</w:t>
            </w:r>
          </w:p>
        </w:tc>
        <w:tc>
          <w:tcPr>
            <w:tcW w:w="1417" w:type="dxa"/>
            <w:shd w:val="clear" w:color="auto" w:fill="C6EFCE"/>
            <w:noWrap/>
            <w:vAlign w:val="center"/>
          </w:tcPr>
          <w:p w14:paraId="73A9C42E" w14:textId="77777777" w:rsidR="001B186F" w:rsidRPr="00DE4E4F" w:rsidRDefault="0074517F" w:rsidP="007E1411">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812" w:type="dxa"/>
            <w:shd w:val="clear" w:color="auto" w:fill="C6EFCE"/>
            <w:noWrap/>
            <w:vAlign w:val="center"/>
          </w:tcPr>
          <w:p w14:paraId="52D8214E" w14:textId="77777777" w:rsidR="001B186F" w:rsidRPr="00DE4E4F" w:rsidRDefault="0074517F" w:rsidP="007E1411">
            <w:pPr>
              <w:keepNext/>
              <w:spacing w:before="40" w:after="0" w:line="259" w:lineRule="auto"/>
              <w:rPr>
                <w:rFonts w:ascii="Times New Roman" w:hAnsi="Times New Roman"/>
                <w:noProof/>
                <w:sz w:val="18"/>
              </w:rPr>
            </w:pPr>
            <w:r w:rsidRPr="00DE4E4F">
              <w:rPr>
                <w:rFonts w:ascii="Times New Roman" w:hAnsi="Times New Roman"/>
                <w:noProof/>
                <w:sz w:val="18"/>
              </w:rPr>
              <w:t>Identification of areas for Renewable Energy Sources and framework for dual use of land for agriculture and photovoltaics</w:t>
            </w:r>
          </w:p>
        </w:tc>
      </w:tr>
      <w:tr w:rsidR="00682269" w:rsidRPr="00DE4E4F" w14:paraId="6237EB4D" w14:textId="77777777" w:rsidTr="00BE2B84">
        <w:trPr>
          <w:trHeight w:val="302"/>
          <w:jc w:val="center"/>
        </w:trPr>
        <w:tc>
          <w:tcPr>
            <w:tcW w:w="959" w:type="dxa"/>
            <w:shd w:val="clear" w:color="auto" w:fill="C6EFCE"/>
            <w:noWrap/>
            <w:vAlign w:val="center"/>
          </w:tcPr>
          <w:p w14:paraId="534C1239" w14:textId="77777777" w:rsidR="001B186F" w:rsidRPr="00DE4E4F" w:rsidRDefault="0074517F" w:rsidP="007E1411">
            <w:pPr>
              <w:keepNext/>
              <w:spacing w:before="40" w:after="0" w:line="259" w:lineRule="auto"/>
              <w:rPr>
                <w:rFonts w:ascii="Times New Roman" w:hAnsi="Times New Roman"/>
                <w:noProof/>
                <w:sz w:val="18"/>
              </w:rPr>
            </w:pPr>
            <w:r w:rsidRPr="00DE4E4F">
              <w:rPr>
                <w:rFonts w:ascii="Times New Roman" w:hAnsi="Times New Roman"/>
                <w:noProof/>
                <w:sz w:val="18"/>
              </w:rPr>
              <w:t>355</w:t>
            </w:r>
          </w:p>
        </w:tc>
        <w:tc>
          <w:tcPr>
            <w:tcW w:w="4407" w:type="dxa"/>
            <w:shd w:val="clear" w:color="auto" w:fill="C6EFCE"/>
            <w:noWrap/>
            <w:vAlign w:val="center"/>
          </w:tcPr>
          <w:p w14:paraId="286408C6" w14:textId="77777777" w:rsidR="001B186F" w:rsidRPr="00DE4E4F" w:rsidRDefault="0074517F" w:rsidP="007E1411">
            <w:pPr>
              <w:keepNext/>
              <w:spacing w:before="40" w:after="0" w:line="259" w:lineRule="auto"/>
              <w:rPr>
                <w:rFonts w:ascii="Times New Roman" w:hAnsi="Times New Roman"/>
                <w:noProof/>
                <w:sz w:val="18"/>
              </w:rPr>
            </w:pPr>
            <w:r w:rsidRPr="00DE4E4F">
              <w:rPr>
                <w:rFonts w:ascii="Times New Roman" w:hAnsi="Times New Roman"/>
                <w:noProof/>
                <w:sz w:val="18"/>
              </w:rPr>
              <w:t xml:space="preserve">20 - 5.1. REPowerEU reforms - 16988_Regulatory and market operation framework for carbon capture, usage, and storage technologies to foster industry decarbonisation </w:t>
            </w:r>
          </w:p>
        </w:tc>
        <w:tc>
          <w:tcPr>
            <w:tcW w:w="1417" w:type="dxa"/>
            <w:shd w:val="clear" w:color="auto" w:fill="C6EFCE"/>
            <w:noWrap/>
            <w:vAlign w:val="center"/>
          </w:tcPr>
          <w:p w14:paraId="20B15545" w14:textId="77777777" w:rsidR="001B186F" w:rsidRPr="00DE4E4F" w:rsidRDefault="0074517F" w:rsidP="007E1411">
            <w:pPr>
              <w:keepNext/>
              <w:spacing w:before="40" w:after="0" w:line="259" w:lineRule="auto"/>
              <w:rPr>
                <w:rFonts w:ascii="Times New Roman" w:hAnsi="Times New Roman"/>
                <w:noProof/>
                <w:sz w:val="18"/>
              </w:rPr>
            </w:pPr>
            <w:r w:rsidRPr="00DE4E4F">
              <w:rPr>
                <w:rFonts w:ascii="Times New Roman" w:hAnsi="Times New Roman"/>
                <w:noProof/>
                <w:sz w:val="18"/>
              </w:rPr>
              <w:t>Milestone</w:t>
            </w:r>
          </w:p>
        </w:tc>
        <w:tc>
          <w:tcPr>
            <w:tcW w:w="2812" w:type="dxa"/>
            <w:shd w:val="clear" w:color="auto" w:fill="C6EFCE"/>
            <w:noWrap/>
            <w:vAlign w:val="center"/>
          </w:tcPr>
          <w:p w14:paraId="4E20FA87" w14:textId="77777777" w:rsidR="001B186F" w:rsidRPr="00DE4E4F" w:rsidRDefault="0074517F" w:rsidP="007E1411">
            <w:pPr>
              <w:keepNext/>
              <w:spacing w:before="40" w:after="0" w:line="259" w:lineRule="auto"/>
              <w:rPr>
                <w:rFonts w:ascii="Times New Roman" w:hAnsi="Times New Roman"/>
                <w:noProof/>
                <w:sz w:val="18"/>
              </w:rPr>
            </w:pPr>
            <w:r w:rsidRPr="00DE4E4F">
              <w:rPr>
                <w:rFonts w:ascii="Times New Roman" w:hAnsi="Times New Roman"/>
                <w:noProof/>
                <w:sz w:val="18"/>
              </w:rPr>
              <w:t>Establishment of the legal framework for carbon capture, usage, and storage.</w:t>
            </w:r>
          </w:p>
        </w:tc>
      </w:tr>
      <w:tr w:rsidR="00682269" w:rsidRPr="00DE4E4F" w14:paraId="57D817B6" w14:textId="77777777" w:rsidTr="00BE2B84">
        <w:trPr>
          <w:trHeight w:val="302"/>
          <w:jc w:val="center"/>
        </w:trPr>
        <w:tc>
          <w:tcPr>
            <w:tcW w:w="959" w:type="dxa"/>
            <w:shd w:val="clear" w:color="auto" w:fill="C6EFCE"/>
            <w:noWrap/>
            <w:vAlign w:val="center"/>
          </w:tcPr>
          <w:p w14:paraId="164AD625" w14:textId="77777777" w:rsidR="001B186F" w:rsidRPr="00DE4E4F" w:rsidRDefault="0074517F" w:rsidP="007E1411">
            <w:pPr>
              <w:keepNext/>
              <w:spacing w:before="40" w:after="0" w:line="259" w:lineRule="auto"/>
              <w:rPr>
                <w:rFonts w:ascii="Times New Roman" w:hAnsi="Times New Roman" w:cs="Times New Roman"/>
                <w:noProof/>
                <w:sz w:val="18"/>
              </w:rPr>
            </w:pPr>
            <w:r w:rsidRPr="00DE4E4F">
              <w:rPr>
                <w:rFonts w:ascii="Times New Roman" w:hAnsi="Times New Roman"/>
                <w:noProof/>
                <w:sz w:val="18"/>
              </w:rPr>
              <w:t>359</w:t>
            </w:r>
          </w:p>
        </w:tc>
        <w:tc>
          <w:tcPr>
            <w:tcW w:w="4407" w:type="dxa"/>
            <w:shd w:val="clear" w:color="auto" w:fill="C6EFCE"/>
            <w:noWrap/>
            <w:vAlign w:val="center"/>
          </w:tcPr>
          <w:p w14:paraId="500615DE" w14:textId="77777777" w:rsidR="001B186F" w:rsidRPr="00DE4E4F" w:rsidRDefault="0074517F" w:rsidP="007E1411">
            <w:pPr>
              <w:keepNext/>
              <w:spacing w:before="40" w:after="0" w:line="259" w:lineRule="auto"/>
              <w:rPr>
                <w:rFonts w:ascii="Times New Roman" w:hAnsi="Times New Roman" w:cs="Times New Roman"/>
                <w:noProof/>
                <w:sz w:val="18"/>
              </w:rPr>
            </w:pPr>
            <w:r w:rsidRPr="00DE4E4F">
              <w:rPr>
                <w:rFonts w:ascii="Times New Roman" w:hAnsi="Times New Roman"/>
                <w:noProof/>
                <w:sz w:val="18"/>
              </w:rPr>
              <w:t>20 - 5.1. REPowerEU reforms – 16991_Regulatory framework towards a smart grid</w:t>
            </w:r>
          </w:p>
        </w:tc>
        <w:tc>
          <w:tcPr>
            <w:tcW w:w="1417" w:type="dxa"/>
            <w:shd w:val="clear" w:color="auto" w:fill="C6EFCE"/>
            <w:noWrap/>
            <w:vAlign w:val="center"/>
          </w:tcPr>
          <w:p w14:paraId="1481C9FB" w14:textId="77777777" w:rsidR="001B186F" w:rsidRPr="00DE4E4F" w:rsidRDefault="0074517F" w:rsidP="007E1411">
            <w:pPr>
              <w:keepNext/>
              <w:spacing w:before="40" w:after="0" w:line="259" w:lineRule="auto"/>
              <w:rPr>
                <w:rFonts w:ascii="Times New Roman" w:hAnsi="Times New Roman" w:cs="Times New Roman"/>
                <w:noProof/>
                <w:sz w:val="18"/>
              </w:rPr>
            </w:pPr>
            <w:r w:rsidRPr="00DE4E4F">
              <w:rPr>
                <w:rFonts w:ascii="Times New Roman" w:hAnsi="Times New Roman"/>
                <w:noProof/>
                <w:sz w:val="18"/>
              </w:rPr>
              <w:t xml:space="preserve">Milestone </w:t>
            </w:r>
          </w:p>
        </w:tc>
        <w:tc>
          <w:tcPr>
            <w:tcW w:w="2812" w:type="dxa"/>
            <w:shd w:val="clear" w:color="auto" w:fill="C6EFCE"/>
            <w:noWrap/>
            <w:vAlign w:val="center"/>
          </w:tcPr>
          <w:p w14:paraId="522E5DFA" w14:textId="77777777" w:rsidR="001B186F" w:rsidRPr="00DE4E4F" w:rsidRDefault="0074517F" w:rsidP="007E1411">
            <w:pPr>
              <w:keepNext/>
              <w:spacing w:before="40" w:after="0" w:line="259" w:lineRule="auto"/>
              <w:rPr>
                <w:rFonts w:ascii="Times New Roman" w:hAnsi="Times New Roman" w:cs="Times New Roman"/>
                <w:noProof/>
                <w:sz w:val="18"/>
              </w:rPr>
            </w:pPr>
            <w:r w:rsidRPr="00DE4E4F">
              <w:rPr>
                <w:rFonts w:ascii="Times New Roman" w:hAnsi="Times New Roman"/>
                <w:noProof/>
                <w:sz w:val="18"/>
              </w:rPr>
              <w:t xml:space="preserve">Framework for dynamic pricing contracts </w:t>
            </w:r>
          </w:p>
        </w:tc>
      </w:tr>
      <w:tr w:rsidR="00682269" w:rsidRPr="00DE4E4F" w14:paraId="62BF06E4" w14:textId="77777777" w:rsidTr="00BE2B84">
        <w:trPr>
          <w:trHeight w:val="302"/>
          <w:jc w:val="center"/>
        </w:trPr>
        <w:tc>
          <w:tcPr>
            <w:tcW w:w="959" w:type="dxa"/>
            <w:shd w:val="clear" w:color="auto" w:fill="C6EFCE"/>
            <w:noWrap/>
            <w:vAlign w:val="center"/>
          </w:tcPr>
          <w:p w14:paraId="18127D6E"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4407" w:type="dxa"/>
            <w:shd w:val="clear" w:color="auto" w:fill="C6EFCE"/>
            <w:noWrap/>
            <w:vAlign w:val="center"/>
          </w:tcPr>
          <w:p w14:paraId="1862B669" w14:textId="77777777" w:rsidR="001B186F" w:rsidRPr="00DE4E4F" w:rsidRDefault="001B186F" w:rsidP="007E1411">
            <w:pPr>
              <w:keepNext/>
              <w:spacing w:before="40" w:after="0" w:line="259" w:lineRule="auto"/>
              <w:rPr>
                <w:rFonts w:ascii="Times New Roman" w:eastAsia="Times New Roman" w:hAnsi="Times New Roman" w:cs="Times New Roman"/>
                <w:bCs/>
                <w:noProof/>
                <w:sz w:val="18"/>
                <w:szCs w:val="18"/>
                <w:lang w:eastAsia="en-GB"/>
              </w:rPr>
            </w:pPr>
          </w:p>
        </w:tc>
        <w:tc>
          <w:tcPr>
            <w:tcW w:w="1417" w:type="dxa"/>
            <w:shd w:val="clear" w:color="auto" w:fill="C6EFCE"/>
            <w:noWrap/>
            <w:vAlign w:val="center"/>
          </w:tcPr>
          <w:p w14:paraId="1DFC9EA2" w14:textId="77777777" w:rsidR="001B186F" w:rsidRPr="00DE4E4F" w:rsidRDefault="0074517F" w:rsidP="007E1411">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812" w:type="dxa"/>
            <w:shd w:val="clear" w:color="auto" w:fill="C6EFCE"/>
            <w:noWrap/>
            <w:vAlign w:val="center"/>
          </w:tcPr>
          <w:p w14:paraId="7F5E6113" w14:textId="77777777" w:rsidR="001B186F" w:rsidRPr="00DE4E4F" w:rsidRDefault="0074517F" w:rsidP="007E1411">
            <w:pPr>
              <w:keepNext/>
              <w:spacing w:before="40" w:after="0" w:line="259" w:lineRule="auto"/>
              <w:rPr>
                <w:rFonts w:ascii="Times New Roman" w:eastAsia="Times New Roman" w:hAnsi="Times New Roman" w:cs="Times New Roman"/>
                <w:noProof/>
                <w:sz w:val="18"/>
                <w:szCs w:val="18"/>
              </w:rPr>
            </w:pPr>
            <w:r w:rsidRPr="00DE4E4F">
              <w:rPr>
                <w:rFonts w:ascii="Times New Roman" w:hAnsi="Times New Roman"/>
                <w:noProof/>
                <w:sz w:val="18"/>
              </w:rPr>
              <w:t>EUR 1</w:t>
            </w:r>
            <w:r w:rsidRPr="00DE4E4F">
              <w:rPr>
                <w:rFonts w:ascii="Times New Roman" w:hAnsi="Times New Roman" w:cs="Times New Roman"/>
                <w:noProof/>
                <w:sz w:val="18"/>
              </w:rPr>
              <w:t> </w:t>
            </w:r>
            <w:r w:rsidRPr="00DE4E4F">
              <w:rPr>
                <w:rFonts w:ascii="Times New Roman" w:hAnsi="Times New Roman"/>
                <w:noProof/>
                <w:sz w:val="18"/>
              </w:rPr>
              <w:t>022 674</w:t>
            </w:r>
            <w:r w:rsidRPr="00DE4E4F">
              <w:rPr>
                <w:rFonts w:ascii="Times New Roman" w:hAnsi="Times New Roman" w:cs="Times New Roman"/>
                <w:noProof/>
                <w:sz w:val="18"/>
              </w:rPr>
              <w:t> </w:t>
            </w:r>
            <w:r w:rsidRPr="00DE4E4F">
              <w:rPr>
                <w:rFonts w:ascii="Times New Roman" w:hAnsi="Times New Roman"/>
                <w:noProof/>
                <w:sz w:val="18"/>
              </w:rPr>
              <w:t>930</w:t>
            </w:r>
          </w:p>
        </w:tc>
      </w:tr>
    </w:tbl>
    <w:p w14:paraId="557855BC" w14:textId="4DD49265" w:rsidR="007607D9" w:rsidRPr="00DE4E4F" w:rsidRDefault="007607D9">
      <w:pPr>
        <w:keepNext/>
        <w:spacing w:before="40" w:after="160" w:line="259" w:lineRule="auto"/>
        <w:contextualSpacing/>
        <w:jc w:val="both"/>
        <w:rPr>
          <w:rFonts w:ascii="Times New Roman" w:eastAsia="Times New Roman" w:hAnsi="Times New Roman" w:cs="Times New Roman"/>
          <w:noProof/>
          <w:sz w:val="24"/>
        </w:rPr>
      </w:pPr>
    </w:p>
    <w:p w14:paraId="047DDF46" w14:textId="29052E00" w:rsidR="001B186F" w:rsidRPr="00DE4E4F" w:rsidRDefault="0074517F" w:rsidP="00EE226B">
      <w:pPr>
        <w:pStyle w:val="ListParagraph"/>
        <w:numPr>
          <w:ilvl w:val="1"/>
          <w:numId w:val="93"/>
        </w:numPr>
        <w:rPr>
          <w:rFonts w:ascii="Times New Roman" w:eastAsia="Times New Roman" w:hAnsi="Times New Roman" w:cs="Times New Roman"/>
          <w:noProof/>
          <w:sz w:val="24"/>
        </w:rPr>
      </w:pPr>
      <w:r w:rsidRPr="00DE4E4F">
        <w:rPr>
          <w:rFonts w:ascii="Times New Roman" w:hAnsi="Times New Roman"/>
          <w:noProof/>
          <w:sz w:val="24"/>
        </w:rPr>
        <w:t xml:space="preserve">Eighth Payment Request (non-repayable support): </w:t>
      </w:r>
    </w:p>
    <w:tbl>
      <w:tblPr>
        <w:tblW w:w="9588" w:type="dxa"/>
        <w:jc w:val="center"/>
        <w:tblLayout w:type="fixed"/>
        <w:tblLook w:val="04A0" w:firstRow="1" w:lastRow="0" w:firstColumn="1" w:lastColumn="0" w:noHBand="0" w:noVBand="1"/>
      </w:tblPr>
      <w:tblGrid>
        <w:gridCol w:w="1101"/>
        <w:gridCol w:w="4677"/>
        <w:gridCol w:w="1380"/>
        <w:gridCol w:w="2430"/>
      </w:tblGrid>
      <w:tr w:rsidR="00682269" w:rsidRPr="00DE4E4F" w14:paraId="65973A85" w14:textId="77777777" w:rsidTr="00DA7920">
        <w:trPr>
          <w:trHeight w:val="1266"/>
          <w:tblHeader/>
          <w:jc w:val="center"/>
        </w:trPr>
        <w:tc>
          <w:tcPr>
            <w:tcW w:w="110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8F6FD6" w14:textId="77777777" w:rsidR="001B186F" w:rsidRPr="00DE4E4F" w:rsidRDefault="0074517F" w:rsidP="00DA792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467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C231FF" w14:textId="77777777" w:rsidR="001B186F" w:rsidRPr="00DE4E4F" w:rsidRDefault="0074517F" w:rsidP="00DA792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3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04C186" w14:textId="77777777" w:rsidR="001B186F" w:rsidRPr="00DE4E4F" w:rsidRDefault="0074517F" w:rsidP="00DA792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43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81333B" w14:textId="77777777" w:rsidR="001B186F" w:rsidRPr="00DE4E4F" w:rsidRDefault="0074517F" w:rsidP="00DA792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6784B6E5" w14:textId="77777777" w:rsidTr="00DA7920">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CE338"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385</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495D28F"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1.4. Sustainable use of resources, climate resilience and environmental protection – 16404_Development Program for Local Government “Antonis Tritsis”</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02BB6B21"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Milestone</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6B0986C9"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Development Program for Local Government “Antonis Tritsis”</w:t>
            </w:r>
          </w:p>
        </w:tc>
      </w:tr>
      <w:tr w:rsidR="00682269" w:rsidRPr="00DE4E4F" w14:paraId="5B9A32EF"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696952EB"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45a</w:t>
            </w:r>
          </w:p>
        </w:tc>
        <w:tc>
          <w:tcPr>
            <w:tcW w:w="4677" w:type="dxa"/>
            <w:tcBorders>
              <w:top w:val="single" w:sz="4" w:space="0" w:color="auto"/>
              <w:left w:val="nil"/>
              <w:bottom w:val="single" w:sz="4" w:space="0" w:color="auto"/>
              <w:right w:val="single" w:sz="4" w:space="0" w:color="auto"/>
            </w:tcBorders>
            <w:shd w:val="clear" w:color="auto" w:fill="C6EFCE"/>
            <w:noWrap/>
          </w:tcPr>
          <w:p w14:paraId="089EF883"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3 - 1.3. Recharge and refuel –16924_ Electromobility</w:t>
            </w:r>
          </w:p>
        </w:tc>
        <w:tc>
          <w:tcPr>
            <w:tcW w:w="1380" w:type="dxa"/>
            <w:tcBorders>
              <w:top w:val="single" w:sz="4" w:space="0" w:color="auto"/>
              <w:left w:val="nil"/>
              <w:bottom w:val="single" w:sz="4" w:space="0" w:color="auto"/>
              <w:right w:val="single" w:sz="4" w:space="0" w:color="auto"/>
            </w:tcBorders>
            <w:shd w:val="clear" w:color="auto" w:fill="C6EFCE"/>
            <w:noWrap/>
          </w:tcPr>
          <w:p w14:paraId="55B065B9"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Milestone</w:t>
            </w:r>
          </w:p>
        </w:tc>
        <w:tc>
          <w:tcPr>
            <w:tcW w:w="2430" w:type="dxa"/>
            <w:tcBorders>
              <w:top w:val="single" w:sz="4" w:space="0" w:color="auto"/>
              <w:left w:val="nil"/>
              <w:bottom w:val="single" w:sz="4" w:space="0" w:color="auto"/>
              <w:right w:val="single" w:sz="4" w:space="0" w:color="auto"/>
            </w:tcBorders>
            <w:shd w:val="clear" w:color="auto" w:fill="C6EFCE"/>
            <w:noWrap/>
          </w:tcPr>
          <w:p w14:paraId="6B3B4385" w14:textId="77777777" w:rsidR="001B186F" w:rsidRPr="00DE4E4F" w:rsidRDefault="0074517F"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Public transport bus - publication of tender calls</w:t>
            </w:r>
            <w:r w:rsidRPr="00DE4E4F" w:rsidDel="00FD1158">
              <w:rPr>
                <w:rFonts w:ascii="Times New Roman" w:hAnsi="Times New Roman" w:cs="Times New Roman"/>
                <w:noProof/>
                <w:sz w:val="18"/>
                <w:szCs w:val="18"/>
              </w:rPr>
              <w:t xml:space="preserve"> for </w:t>
            </w:r>
            <w:r w:rsidRPr="00DE4E4F">
              <w:rPr>
                <w:rFonts w:ascii="Times New Roman" w:hAnsi="Times New Roman" w:cs="Times New Roman"/>
                <w:noProof/>
                <w:sz w:val="18"/>
                <w:szCs w:val="18"/>
              </w:rPr>
              <w:t xml:space="preserve">the </w:t>
            </w:r>
            <w:r w:rsidRPr="00DE4E4F" w:rsidDel="00FD1158">
              <w:rPr>
                <w:rFonts w:ascii="Times New Roman" w:hAnsi="Times New Roman" w:cs="Times New Roman"/>
                <w:noProof/>
                <w:sz w:val="18"/>
                <w:szCs w:val="18"/>
              </w:rPr>
              <w:t>regions</w:t>
            </w:r>
          </w:p>
        </w:tc>
      </w:tr>
      <w:tr w:rsidR="00F324E0" w:rsidRPr="00DE4E4F" w14:paraId="791E4879"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F3AE01" w14:textId="6647C70D" w:rsidR="00F324E0" w:rsidRPr="00DE4E4F" w:rsidRDefault="00F324E0" w:rsidP="00DA7920">
            <w:pPr>
              <w:spacing w:line="240" w:lineRule="auto"/>
              <w:jc w:val="both"/>
              <w:rPr>
                <w:rFonts w:ascii="Times New Roman" w:hAnsi="Times New Roman" w:cs="Times New Roman"/>
                <w:noProof/>
                <w:sz w:val="18"/>
                <w:szCs w:val="18"/>
              </w:rPr>
            </w:pPr>
            <w:r w:rsidRPr="00DE4E4F">
              <w:rPr>
                <w:rFonts w:ascii="Times New Roman" w:hAnsi="Times New Roman"/>
                <w:noProof/>
                <w:sz w:val="18"/>
              </w:rPr>
              <w:t>241</w:t>
            </w:r>
          </w:p>
        </w:tc>
        <w:tc>
          <w:tcPr>
            <w:tcW w:w="4677" w:type="dxa"/>
            <w:tcBorders>
              <w:top w:val="single" w:sz="4" w:space="0" w:color="auto"/>
              <w:left w:val="nil"/>
              <w:bottom w:val="single" w:sz="4" w:space="0" w:color="auto"/>
              <w:right w:val="single" w:sz="4" w:space="0" w:color="auto"/>
            </w:tcBorders>
            <w:shd w:val="clear" w:color="auto" w:fill="C6EFCE"/>
            <w:noWrap/>
            <w:vAlign w:val="center"/>
          </w:tcPr>
          <w:p w14:paraId="066711F1" w14:textId="28AB6AE0" w:rsidR="00F324E0" w:rsidRPr="00DE4E4F" w:rsidRDefault="00F324E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15 - 4.4. Strengthen the financial sector and capital markets - 16580_Delivery of the new unified insolvency framework for the restructuring of debt and 2nd chance</w:t>
            </w:r>
          </w:p>
        </w:tc>
        <w:tc>
          <w:tcPr>
            <w:tcW w:w="1380" w:type="dxa"/>
            <w:tcBorders>
              <w:top w:val="single" w:sz="4" w:space="0" w:color="auto"/>
              <w:left w:val="nil"/>
              <w:bottom w:val="single" w:sz="4" w:space="0" w:color="auto"/>
              <w:right w:val="single" w:sz="4" w:space="0" w:color="auto"/>
            </w:tcBorders>
            <w:shd w:val="clear" w:color="auto" w:fill="C6EFCE"/>
            <w:noWrap/>
            <w:vAlign w:val="center"/>
          </w:tcPr>
          <w:p w14:paraId="3B27F928" w14:textId="532FD1B7" w:rsidR="00F324E0" w:rsidRPr="00DE4E4F" w:rsidRDefault="00F324E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2430" w:type="dxa"/>
            <w:tcBorders>
              <w:top w:val="single" w:sz="4" w:space="0" w:color="auto"/>
              <w:left w:val="nil"/>
              <w:bottom w:val="single" w:sz="4" w:space="0" w:color="auto"/>
              <w:right w:val="single" w:sz="4" w:space="0" w:color="auto"/>
            </w:tcBorders>
            <w:shd w:val="clear" w:color="auto" w:fill="C6EFCE"/>
            <w:noWrap/>
            <w:vAlign w:val="center"/>
          </w:tcPr>
          <w:p w14:paraId="078E4CA0" w14:textId="6C8D381D" w:rsidR="00F324E0" w:rsidRPr="00DE4E4F" w:rsidRDefault="00F324E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Upgrade of the early warning and debt restructuring IT systems</w:t>
            </w:r>
          </w:p>
        </w:tc>
      </w:tr>
      <w:tr w:rsidR="70C39B43" w:rsidRPr="00DE4E4F" w14:paraId="6EB5F1DF"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3142CA1A" w14:textId="3E9BA592" w:rsidR="7035FC70" w:rsidRPr="00DE4E4F" w:rsidRDefault="7035FC70" w:rsidP="00DA7920">
            <w:pPr>
              <w:spacing w:line="240" w:lineRule="auto"/>
              <w:jc w:val="both"/>
              <w:rPr>
                <w:noProof/>
              </w:rPr>
            </w:pPr>
            <w:r w:rsidRPr="00DE4E4F">
              <w:rPr>
                <w:rFonts w:ascii="Times New Roman" w:hAnsi="Times New Roman" w:cs="Times New Roman"/>
                <w:noProof/>
                <w:sz w:val="18"/>
                <w:szCs w:val="18"/>
              </w:rPr>
              <w:t>109</w:t>
            </w:r>
          </w:p>
        </w:tc>
        <w:tc>
          <w:tcPr>
            <w:tcW w:w="4677" w:type="dxa"/>
            <w:tcBorders>
              <w:top w:val="single" w:sz="4" w:space="0" w:color="auto"/>
              <w:left w:val="nil"/>
              <w:bottom w:val="single" w:sz="4" w:space="0" w:color="auto"/>
              <w:right w:val="single" w:sz="4" w:space="0" w:color="auto"/>
            </w:tcBorders>
            <w:shd w:val="clear" w:color="auto" w:fill="C6EFCE"/>
            <w:noWrap/>
          </w:tcPr>
          <w:p w14:paraId="59B58171" w14:textId="0D81291D" w:rsidR="7035FC70" w:rsidRPr="00DE4E4F" w:rsidRDefault="7035FC7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6 - 2.2. Modernise - 16810_CRM for the General Government</w:t>
            </w:r>
          </w:p>
        </w:tc>
        <w:tc>
          <w:tcPr>
            <w:tcW w:w="1380" w:type="dxa"/>
            <w:tcBorders>
              <w:top w:val="single" w:sz="4" w:space="0" w:color="auto"/>
              <w:left w:val="nil"/>
              <w:bottom w:val="single" w:sz="4" w:space="0" w:color="auto"/>
              <w:right w:val="single" w:sz="4" w:space="0" w:color="auto"/>
            </w:tcBorders>
            <w:shd w:val="clear" w:color="auto" w:fill="C6EFCE"/>
            <w:noWrap/>
          </w:tcPr>
          <w:p w14:paraId="10953912" w14:textId="745FDC83" w:rsidR="70C39B43" w:rsidRPr="00DE4E4F" w:rsidRDefault="7035FC7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Milestone</w:t>
            </w:r>
          </w:p>
        </w:tc>
        <w:tc>
          <w:tcPr>
            <w:tcW w:w="2430" w:type="dxa"/>
            <w:tcBorders>
              <w:top w:val="single" w:sz="4" w:space="0" w:color="auto"/>
              <w:left w:val="nil"/>
              <w:bottom w:val="single" w:sz="4" w:space="0" w:color="auto"/>
              <w:right w:val="single" w:sz="4" w:space="0" w:color="auto"/>
            </w:tcBorders>
            <w:shd w:val="clear" w:color="auto" w:fill="C6EFCE"/>
            <w:noWrap/>
          </w:tcPr>
          <w:p w14:paraId="5390B808" w14:textId="194906E0" w:rsidR="70C39B43" w:rsidRPr="00DE4E4F" w:rsidRDefault="7035FC70" w:rsidP="00DA7920">
            <w:pPr>
              <w:keepNext/>
              <w:spacing w:before="40" w:after="0" w:line="240" w:lineRule="auto"/>
              <w:jc w:val="both"/>
              <w:rPr>
                <w:rFonts w:ascii="Times New Roman" w:hAnsi="Times New Roman" w:cs="Times New Roman"/>
                <w:noProof/>
                <w:sz w:val="18"/>
                <w:szCs w:val="18"/>
              </w:rPr>
            </w:pPr>
            <w:r w:rsidRPr="00DE4E4F">
              <w:rPr>
                <w:rFonts w:ascii="Times New Roman" w:hAnsi="Times New Roman" w:cs="Times New Roman"/>
                <w:noProof/>
                <w:sz w:val="18"/>
                <w:szCs w:val="18"/>
              </w:rPr>
              <w:t>Customer Relationship Management system for the General Government and Gov.gr – messenger</w:t>
            </w:r>
          </w:p>
        </w:tc>
      </w:tr>
      <w:tr w:rsidR="005A49FA" w:rsidRPr="00DE4E4F" w14:paraId="76CB1367"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4763EE" w14:textId="6A470C42"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92</w:t>
            </w:r>
          </w:p>
        </w:tc>
        <w:tc>
          <w:tcPr>
            <w:tcW w:w="4677" w:type="dxa"/>
            <w:tcBorders>
              <w:top w:val="nil"/>
              <w:left w:val="nil"/>
              <w:bottom w:val="single" w:sz="4" w:space="0" w:color="auto"/>
              <w:right w:val="single" w:sz="4" w:space="0" w:color="auto"/>
            </w:tcBorders>
            <w:shd w:val="clear" w:color="auto" w:fill="C6EFCE"/>
            <w:noWrap/>
            <w:vAlign w:val="center"/>
          </w:tcPr>
          <w:p w14:paraId="0DD17E00" w14:textId="42AE2042"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5 - 2.1. Connect - 16855_Small-satellites</w:t>
            </w:r>
          </w:p>
        </w:tc>
        <w:tc>
          <w:tcPr>
            <w:tcW w:w="1380" w:type="dxa"/>
            <w:tcBorders>
              <w:top w:val="nil"/>
              <w:left w:val="nil"/>
              <w:bottom w:val="single" w:sz="4" w:space="0" w:color="auto"/>
              <w:right w:val="single" w:sz="4" w:space="0" w:color="auto"/>
            </w:tcBorders>
            <w:shd w:val="clear" w:color="auto" w:fill="C6EFCE"/>
            <w:noWrap/>
            <w:vAlign w:val="center"/>
          </w:tcPr>
          <w:p w14:paraId="38DB85FD" w14:textId="2D186D7A"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58B01965" w14:textId="1D2CB192"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rPr>
              <w:t xml:space="preserve">Execution of the ‘Small satellites’ project </w:t>
            </w:r>
          </w:p>
        </w:tc>
      </w:tr>
      <w:tr w:rsidR="005A49FA" w:rsidRPr="00DE4E4F" w14:paraId="699D77B5"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CC4FEEA"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114</w:t>
            </w:r>
          </w:p>
        </w:tc>
        <w:tc>
          <w:tcPr>
            <w:tcW w:w="4677" w:type="dxa"/>
            <w:tcBorders>
              <w:top w:val="nil"/>
              <w:left w:val="nil"/>
              <w:bottom w:val="single" w:sz="4" w:space="0" w:color="auto"/>
              <w:right w:val="single" w:sz="4" w:space="0" w:color="auto"/>
            </w:tcBorders>
            <w:shd w:val="clear" w:color="auto" w:fill="C6EFCE"/>
            <w:noWrap/>
            <w:vAlign w:val="center"/>
          </w:tcPr>
          <w:p w14:paraId="4C740769"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- 16742_Digital transformation of the Ministry of Foreign Affairs</w:t>
            </w:r>
          </w:p>
        </w:tc>
        <w:tc>
          <w:tcPr>
            <w:tcW w:w="1380" w:type="dxa"/>
            <w:tcBorders>
              <w:top w:val="nil"/>
              <w:left w:val="nil"/>
              <w:bottom w:val="single" w:sz="4" w:space="0" w:color="auto"/>
              <w:right w:val="single" w:sz="4" w:space="0" w:color="auto"/>
            </w:tcBorders>
            <w:shd w:val="clear" w:color="auto" w:fill="C6EFCE"/>
            <w:noWrap/>
            <w:vAlign w:val="center"/>
          </w:tcPr>
          <w:p w14:paraId="1A4D2E06"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1DEB5EB8"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 xml:space="preserve"> Digital transformation of the Ministry of Foreign Affairs</w:t>
            </w:r>
          </w:p>
        </w:tc>
      </w:tr>
      <w:tr w:rsidR="005A49FA" w:rsidRPr="00DE4E4F" w14:paraId="2E192EC6"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90643CD"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115</w:t>
            </w:r>
          </w:p>
        </w:tc>
        <w:tc>
          <w:tcPr>
            <w:tcW w:w="4677" w:type="dxa"/>
            <w:tcBorders>
              <w:top w:val="nil"/>
              <w:left w:val="nil"/>
              <w:bottom w:val="single" w:sz="4" w:space="0" w:color="auto"/>
              <w:right w:val="single" w:sz="4" w:space="0" w:color="auto"/>
            </w:tcBorders>
            <w:shd w:val="clear" w:color="auto" w:fill="C6EFCE"/>
            <w:noWrap/>
            <w:vAlign w:val="center"/>
          </w:tcPr>
          <w:p w14:paraId="606402A3"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- 16791_Digital Transformation of the Greek National Tourism Organisation</w:t>
            </w:r>
          </w:p>
        </w:tc>
        <w:tc>
          <w:tcPr>
            <w:tcW w:w="1380" w:type="dxa"/>
            <w:tcBorders>
              <w:top w:val="nil"/>
              <w:left w:val="nil"/>
              <w:bottom w:val="single" w:sz="4" w:space="0" w:color="auto"/>
              <w:right w:val="single" w:sz="4" w:space="0" w:color="auto"/>
            </w:tcBorders>
            <w:shd w:val="clear" w:color="auto" w:fill="C6EFCE"/>
            <w:noWrap/>
            <w:vAlign w:val="center"/>
          </w:tcPr>
          <w:p w14:paraId="77C60805"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032E9BBC"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Digitalisation of the Greek National Tourism Organisation </w:t>
            </w:r>
          </w:p>
        </w:tc>
      </w:tr>
      <w:tr w:rsidR="005A49FA" w:rsidRPr="00DE4E4F" w14:paraId="0E1DD890"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24339B"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131</w:t>
            </w:r>
          </w:p>
        </w:tc>
        <w:tc>
          <w:tcPr>
            <w:tcW w:w="4677" w:type="dxa"/>
            <w:tcBorders>
              <w:top w:val="nil"/>
              <w:left w:val="nil"/>
              <w:bottom w:val="single" w:sz="4" w:space="0" w:color="auto"/>
              <w:right w:val="single" w:sz="4" w:space="0" w:color="auto"/>
            </w:tcBorders>
            <w:shd w:val="clear" w:color="auto" w:fill="C6EFCE"/>
            <w:noWrap/>
            <w:vAlign w:val="center"/>
          </w:tcPr>
          <w:p w14:paraId="62DC8B56"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7 - 2.3. Digitalisation of businesses - 16706_Digital Transformation of SMEs</w:t>
            </w:r>
          </w:p>
        </w:tc>
        <w:tc>
          <w:tcPr>
            <w:tcW w:w="1380" w:type="dxa"/>
            <w:tcBorders>
              <w:top w:val="nil"/>
              <w:left w:val="nil"/>
              <w:bottom w:val="single" w:sz="4" w:space="0" w:color="auto"/>
              <w:right w:val="single" w:sz="4" w:space="0" w:color="auto"/>
            </w:tcBorders>
            <w:shd w:val="clear" w:color="auto" w:fill="C6EFCE"/>
            <w:noWrap/>
            <w:vAlign w:val="center"/>
          </w:tcPr>
          <w:p w14:paraId="41DA4DC4"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6EE624C7"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Digital transformation of SMEs- Digitalisation support via voucher schemes</w:t>
            </w:r>
          </w:p>
        </w:tc>
      </w:tr>
      <w:tr w:rsidR="005A49FA" w:rsidRPr="00DE4E4F" w14:paraId="39F5D780"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A09BFF1"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181a</w:t>
            </w:r>
          </w:p>
        </w:tc>
        <w:tc>
          <w:tcPr>
            <w:tcW w:w="4677" w:type="dxa"/>
            <w:tcBorders>
              <w:top w:val="nil"/>
              <w:left w:val="nil"/>
              <w:bottom w:val="single" w:sz="4" w:space="0" w:color="auto"/>
              <w:right w:val="single" w:sz="4" w:space="0" w:color="auto"/>
            </w:tcBorders>
            <w:shd w:val="clear" w:color="auto" w:fill="C6EFCE"/>
            <w:noWrap/>
            <w:vAlign w:val="center"/>
          </w:tcPr>
          <w:p w14:paraId="531539CC"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11 – 3.4 Increase access to effective and inclusive social policies – 16402_Social and Affordable Housing</w:t>
            </w:r>
          </w:p>
        </w:tc>
        <w:tc>
          <w:tcPr>
            <w:tcW w:w="1380" w:type="dxa"/>
            <w:tcBorders>
              <w:top w:val="nil"/>
              <w:left w:val="nil"/>
              <w:bottom w:val="single" w:sz="4" w:space="0" w:color="auto"/>
              <w:right w:val="single" w:sz="4" w:space="0" w:color="auto"/>
            </w:tcBorders>
            <w:shd w:val="clear" w:color="auto" w:fill="C6EFCE"/>
            <w:noWrap/>
            <w:vAlign w:val="center"/>
          </w:tcPr>
          <w:p w14:paraId="70571841"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584A6AF3"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Modification of a legal act</w:t>
            </w:r>
            <w:r w:rsidRPr="00DE4E4F" w:rsidDel="0039644B">
              <w:rPr>
                <w:rFonts w:ascii="Times New Roman" w:hAnsi="Times New Roman"/>
                <w:noProof/>
                <w:sz w:val="18"/>
              </w:rPr>
              <w:t xml:space="preserve"> </w:t>
            </w:r>
          </w:p>
        </w:tc>
      </w:tr>
      <w:tr w:rsidR="005A49FA" w:rsidRPr="00DE4E4F" w14:paraId="66730912"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7592092"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132</w:t>
            </w:r>
          </w:p>
        </w:tc>
        <w:tc>
          <w:tcPr>
            <w:tcW w:w="4677" w:type="dxa"/>
            <w:tcBorders>
              <w:top w:val="nil"/>
              <w:left w:val="nil"/>
              <w:bottom w:val="single" w:sz="4" w:space="0" w:color="auto"/>
              <w:right w:val="single" w:sz="4" w:space="0" w:color="auto"/>
            </w:tcBorders>
            <w:shd w:val="clear" w:color="auto" w:fill="C6EFCE"/>
            <w:noWrap/>
            <w:vAlign w:val="center"/>
          </w:tcPr>
          <w:p w14:paraId="21433711"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7 - 2.3. Digitalisation of businesses - 16973_Establishment of a digital business ecosystem for the facilitation of the SMEs digital transformation</w:t>
            </w:r>
          </w:p>
        </w:tc>
        <w:tc>
          <w:tcPr>
            <w:tcW w:w="1380" w:type="dxa"/>
            <w:tcBorders>
              <w:top w:val="nil"/>
              <w:left w:val="nil"/>
              <w:bottom w:val="single" w:sz="4" w:space="0" w:color="auto"/>
              <w:right w:val="single" w:sz="4" w:space="0" w:color="auto"/>
            </w:tcBorders>
            <w:shd w:val="clear" w:color="auto" w:fill="C6EFCE"/>
            <w:noWrap/>
            <w:vAlign w:val="center"/>
          </w:tcPr>
          <w:p w14:paraId="2AA4393B"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79344CCB"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Digital transformation of SMEs - Legislative reform to incentivise uptake of technologies</w:t>
            </w:r>
          </w:p>
        </w:tc>
      </w:tr>
      <w:tr w:rsidR="005A49FA" w:rsidRPr="00DE4E4F" w14:paraId="151A5F4F"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662FE528"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135a</w:t>
            </w:r>
          </w:p>
        </w:tc>
        <w:tc>
          <w:tcPr>
            <w:tcW w:w="4677" w:type="dxa"/>
            <w:tcBorders>
              <w:top w:val="nil"/>
              <w:left w:val="nil"/>
              <w:bottom w:val="single" w:sz="4" w:space="0" w:color="auto"/>
              <w:right w:val="single" w:sz="4" w:space="0" w:color="auto"/>
            </w:tcBorders>
            <w:shd w:val="clear" w:color="auto" w:fill="C6EFCE"/>
            <w:noWrap/>
          </w:tcPr>
          <w:p w14:paraId="567725C4"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8 - 3.1. Promote job creation and participation in the labour market - 16942_Digital Transformation of the Public Employment Service</w:t>
            </w:r>
          </w:p>
        </w:tc>
        <w:tc>
          <w:tcPr>
            <w:tcW w:w="1380" w:type="dxa"/>
            <w:tcBorders>
              <w:top w:val="nil"/>
              <w:left w:val="nil"/>
              <w:bottom w:val="single" w:sz="4" w:space="0" w:color="auto"/>
              <w:right w:val="single" w:sz="4" w:space="0" w:color="auto"/>
            </w:tcBorders>
            <w:shd w:val="clear" w:color="auto" w:fill="C6EFCE"/>
            <w:noWrap/>
          </w:tcPr>
          <w:p w14:paraId="33F0C22C"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3655D007"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Digital transformation of DYPA</w:t>
            </w:r>
          </w:p>
        </w:tc>
      </w:tr>
      <w:tr w:rsidR="005A49FA" w:rsidRPr="00DE4E4F" w14:paraId="7F8FD7C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5EAD655" w14:textId="79A49C02"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142b</w:t>
            </w:r>
          </w:p>
        </w:tc>
        <w:tc>
          <w:tcPr>
            <w:tcW w:w="4677" w:type="dxa"/>
            <w:tcBorders>
              <w:top w:val="nil"/>
              <w:left w:val="nil"/>
              <w:bottom w:val="single" w:sz="4" w:space="0" w:color="auto"/>
              <w:right w:val="single" w:sz="4" w:space="0" w:color="auto"/>
            </w:tcBorders>
            <w:shd w:val="clear" w:color="auto" w:fill="C6EFCE"/>
            <w:noWrap/>
            <w:vAlign w:val="center"/>
          </w:tcPr>
          <w:p w14:paraId="1D2D3EC4" w14:textId="3B01E333"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szCs w:val="18"/>
              </w:rPr>
              <w:t>8 - 3.1. Promote job creation and participation in the labour market - 16746_Reform of Passive Labour Market Policies to Support Transitions to Employment</w:t>
            </w:r>
          </w:p>
        </w:tc>
        <w:tc>
          <w:tcPr>
            <w:tcW w:w="1380" w:type="dxa"/>
            <w:tcBorders>
              <w:top w:val="nil"/>
              <w:left w:val="nil"/>
              <w:bottom w:val="single" w:sz="4" w:space="0" w:color="auto"/>
              <w:right w:val="single" w:sz="4" w:space="0" w:color="auto"/>
            </w:tcBorders>
            <w:shd w:val="clear" w:color="auto" w:fill="C6EFCE"/>
            <w:noWrap/>
            <w:vAlign w:val="center"/>
          </w:tcPr>
          <w:p w14:paraId="6BCDAE68" w14:textId="5275F9B6"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szCs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4CA8B761" w14:textId="1BA3E523"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Pilot project on unemployment benefits</w:t>
            </w:r>
          </w:p>
        </w:tc>
      </w:tr>
      <w:tr w:rsidR="005A49FA" w:rsidRPr="00DE4E4F" w14:paraId="135F120D"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2FC7071B"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144a</w:t>
            </w:r>
          </w:p>
        </w:tc>
        <w:tc>
          <w:tcPr>
            <w:tcW w:w="4677" w:type="dxa"/>
            <w:tcBorders>
              <w:top w:val="nil"/>
              <w:left w:val="nil"/>
              <w:bottom w:val="single" w:sz="4" w:space="0" w:color="auto"/>
              <w:right w:val="single" w:sz="4" w:space="0" w:color="auto"/>
            </w:tcBorders>
            <w:shd w:val="clear" w:color="auto" w:fill="C6EFCE"/>
            <w:noWrap/>
          </w:tcPr>
          <w:p w14:paraId="01687380"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8 - 3.1. Promote job creation and participation in the labour market - 16747_Active Labour Market Policies Reform</w:t>
            </w:r>
          </w:p>
        </w:tc>
        <w:tc>
          <w:tcPr>
            <w:tcW w:w="1380" w:type="dxa"/>
            <w:tcBorders>
              <w:top w:val="nil"/>
              <w:left w:val="nil"/>
              <w:bottom w:val="single" w:sz="4" w:space="0" w:color="auto"/>
              <w:right w:val="single" w:sz="4" w:space="0" w:color="auto"/>
            </w:tcBorders>
            <w:shd w:val="clear" w:color="auto" w:fill="C6EFCE"/>
            <w:noWrap/>
          </w:tcPr>
          <w:p w14:paraId="1F239D11"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344D450F" w14:textId="348BBFA1"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 ALMP employment programmes temporary enhancement of DYPA staff</w:t>
            </w:r>
          </w:p>
        </w:tc>
      </w:tr>
      <w:tr w:rsidR="005A49FA" w:rsidRPr="00DE4E4F" w14:paraId="03797227"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1444464"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148a</w:t>
            </w:r>
          </w:p>
        </w:tc>
        <w:tc>
          <w:tcPr>
            <w:tcW w:w="4677" w:type="dxa"/>
            <w:tcBorders>
              <w:top w:val="nil"/>
              <w:left w:val="nil"/>
              <w:bottom w:val="single" w:sz="4" w:space="0" w:color="auto"/>
              <w:right w:val="single" w:sz="4" w:space="0" w:color="auto"/>
            </w:tcBorders>
            <w:shd w:val="clear" w:color="auto" w:fill="C6EFCE"/>
            <w:noWrap/>
          </w:tcPr>
          <w:p w14:paraId="73009358"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9 - 3.2. Education, vocational education and training, and skills - 16676_Digital transformation of Education</w:t>
            </w:r>
          </w:p>
        </w:tc>
        <w:tc>
          <w:tcPr>
            <w:tcW w:w="1380" w:type="dxa"/>
            <w:tcBorders>
              <w:top w:val="nil"/>
              <w:left w:val="nil"/>
              <w:bottom w:val="single" w:sz="4" w:space="0" w:color="auto"/>
              <w:right w:val="single" w:sz="4" w:space="0" w:color="auto"/>
            </w:tcBorders>
            <w:shd w:val="clear" w:color="auto" w:fill="C6EFCE"/>
            <w:noWrap/>
          </w:tcPr>
          <w:p w14:paraId="78218569"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39080375"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Strategy to update curricula, rationalise services and monitor the outcome of Digital transformation of Education</w:t>
            </w:r>
          </w:p>
        </w:tc>
      </w:tr>
      <w:tr w:rsidR="005A49FA" w:rsidRPr="00DE4E4F" w14:paraId="7564D474"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51D030E"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157</w:t>
            </w:r>
          </w:p>
        </w:tc>
        <w:tc>
          <w:tcPr>
            <w:tcW w:w="4677" w:type="dxa"/>
            <w:tcBorders>
              <w:top w:val="nil"/>
              <w:left w:val="nil"/>
              <w:bottom w:val="single" w:sz="4" w:space="0" w:color="auto"/>
              <w:right w:val="single" w:sz="4" w:space="0" w:color="auto"/>
            </w:tcBorders>
            <w:shd w:val="clear" w:color="auto" w:fill="C6EFCE"/>
            <w:noWrap/>
            <w:vAlign w:val="center"/>
          </w:tcPr>
          <w:p w14:paraId="250B1577"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1380" w:type="dxa"/>
            <w:tcBorders>
              <w:top w:val="nil"/>
              <w:left w:val="nil"/>
              <w:bottom w:val="single" w:sz="4" w:space="0" w:color="auto"/>
              <w:right w:val="single" w:sz="4" w:space="0" w:color="auto"/>
            </w:tcBorders>
            <w:shd w:val="clear" w:color="auto" w:fill="C6EFCE"/>
            <w:noWrap/>
            <w:vAlign w:val="center"/>
          </w:tcPr>
          <w:p w14:paraId="354346DB"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7102041E"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Clawback decrease 300 000 000 - step 3</w:t>
            </w:r>
          </w:p>
        </w:tc>
      </w:tr>
      <w:tr w:rsidR="005A49FA" w:rsidRPr="00DE4E4F" w14:paraId="69313647"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8375329"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163</w:t>
            </w:r>
          </w:p>
        </w:tc>
        <w:tc>
          <w:tcPr>
            <w:tcW w:w="4677" w:type="dxa"/>
            <w:tcBorders>
              <w:top w:val="nil"/>
              <w:left w:val="nil"/>
              <w:bottom w:val="single" w:sz="4" w:space="0" w:color="auto"/>
              <w:right w:val="single" w:sz="4" w:space="0" w:color="auto"/>
            </w:tcBorders>
            <w:shd w:val="clear" w:color="auto" w:fill="C6EFCE"/>
            <w:noWrap/>
            <w:vAlign w:val="center"/>
          </w:tcPr>
          <w:p w14:paraId="3D7E30D3"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10 - 3.3. Improve resilience, accessibility and sustainability of healthcare - 16756_Organizational Reforms in the Health System </w:t>
            </w:r>
          </w:p>
        </w:tc>
        <w:tc>
          <w:tcPr>
            <w:tcW w:w="1380" w:type="dxa"/>
            <w:tcBorders>
              <w:top w:val="nil"/>
              <w:left w:val="nil"/>
              <w:bottom w:val="single" w:sz="4" w:space="0" w:color="auto"/>
              <w:right w:val="single" w:sz="4" w:space="0" w:color="auto"/>
            </w:tcBorders>
            <w:shd w:val="clear" w:color="auto" w:fill="C6EFCE"/>
            <w:noWrap/>
            <w:vAlign w:val="center"/>
          </w:tcPr>
          <w:p w14:paraId="2D23DBD4"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53B5314D"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Greek DRG Institute KETEKNY and the new Agency for Quality Assurance in Healthcare ODIPY </w:t>
            </w:r>
          </w:p>
        </w:tc>
      </w:tr>
      <w:tr w:rsidR="005A49FA" w:rsidRPr="00DE4E4F" w14:paraId="0247F9BE"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FC43CC"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164</w:t>
            </w:r>
          </w:p>
        </w:tc>
        <w:tc>
          <w:tcPr>
            <w:tcW w:w="4677" w:type="dxa"/>
            <w:tcBorders>
              <w:top w:val="nil"/>
              <w:left w:val="nil"/>
              <w:bottom w:val="single" w:sz="4" w:space="0" w:color="auto"/>
              <w:right w:val="single" w:sz="4" w:space="0" w:color="auto"/>
            </w:tcBorders>
            <w:shd w:val="clear" w:color="auto" w:fill="C6EFCE"/>
            <w:noWrap/>
            <w:vAlign w:val="center"/>
          </w:tcPr>
          <w:p w14:paraId="2BC1A235"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10 - 3.3. Improve resilience, accessibility and sustainability of healthcare - 16756_Organizational Reforms in the Health System </w:t>
            </w:r>
          </w:p>
        </w:tc>
        <w:tc>
          <w:tcPr>
            <w:tcW w:w="1380" w:type="dxa"/>
            <w:tcBorders>
              <w:top w:val="nil"/>
              <w:left w:val="nil"/>
              <w:bottom w:val="single" w:sz="4" w:space="0" w:color="auto"/>
              <w:right w:val="single" w:sz="4" w:space="0" w:color="auto"/>
            </w:tcBorders>
            <w:shd w:val="clear" w:color="auto" w:fill="C6EFCE"/>
            <w:noWrap/>
            <w:vAlign w:val="center"/>
          </w:tcPr>
          <w:p w14:paraId="3E788E77"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31FE4273"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Health system –KETEKNY training</w:t>
            </w:r>
          </w:p>
        </w:tc>
      </w:tr>
      <w:tr w:rsidR="005A49FA" w:rsidRPr="00DE4E4F" w14:paraId="4ABB1E0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E4497D6" w14:textId="77777777"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166a</w:t>
            </w:r>
          </w:p>
        </w:tc>
        <w:tc>
          <w:tcPr>
            <w:tcW w:w="4677" w:type="dxa"/>
            <w:tcBorders>
              <w:top w:val="nil"/>
              <w:left w:val="nil"/>
              <w:bottom w:val="single" w:sz="4" w:space="0" w:color="auto"/>
              <w:right w:val="single" w:sz="4" w:space="0" w:color="auto"/>
            </w:tcBorders>
            <w:shd w:val="clear" w:color="auto" w:fill="C6EFCE"/>
            <w:noWrap/>
            <w:vAlign w:val="center"/>
          </w:tcPr>
          <w:p w14:paraId="4881ADDB"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16755_Green investments - Reform of the Primary Health Care System</w:t>
            </w:r>
          </w:p>
        </w:tc>
        <w:tc>
          <w:tcPr>
            <w:tcW w:w="1380" w:type="dxa"/>
            <w:tcBorders>
              <w:top w:val="nil"/>
              <w:left w:val="nil"/>
              <w:bottom w:val="single" w:sz="4" w:space="0" w:color="auto"/>
              <w:right w:val="single" w:sz="4" w:space="0" w:color="auto"/>
            </w:tcBorders>
            <w:shd w:val="clear" w:color="auto" w:fill="C6EFCE"/>
            <w:noWrap/>
            <w:vAlign w:val="center"/>
          </w:tcPr>
          <w:p w14:paraId="31F7957C"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022E713F"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PHC – primary healthcare units with renovated infrastructure - step 2</w:t>
            </w:r>
          </w:p>
        </w:tc>
      </w:tr>
      <w:tr w:rsidR="005A49FA" w:rsidRPr="00DE4E4F" w14:paraId="2C93B47E"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7BEFD4"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169</w:t>
            </w:r>
          </w:p>
        </w:tc>
        <w:tc>
          <w:tcPr>
            <w:tcW w:w="4677" w:type="dxa"/>
            <w:tcBorders>
              <w:top w:val="nil"/>
              <w:left w:val="nil"/>
              <w:bottom w:val="single" w:sz="4" w:space="0" w:color="auto"/>
              <w:right w:val="single" w:sz="4" w:space="0" w:color="auto"/>
            </w:tcBorders>
            <w:shd w:val="clear" w:color="auto" w:fill="C6EFCE"/>
            <w:noWrap/>
            <w:vAlign w:val="center"/>
          </w:tcPr>
          <w:p w14:paraId="38AC571B"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- 16753_Establishment of Home Health Care &amp; Hospital at Home systems</w:t>
            </w:r>
          </w:p>
        </w:tc>
        <w:tc>
          <w:tcPr>
            <w:tcW w:w="1380" w:type="dxa"/>
            <w:tcBorders>
              <w:top w:val="nil"/>
              <w:left w:val="nil"/>
              <w:bottom w:val="single" w:sz="4" w:space="0" w:color="auto"/>
              <w:right w:val="single" w:sz="4" w:space="0" w:color="auto"/>
            </w:tcBorders>
            <w:shd w:val="clear" w:color="auto" w:fill="C6EFCE"/>
            <w:noWrap/>
            <w:vAlign w:val="center"/>
          </w:tcPr>
          <w:p w14:paraId="46967E66"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167BF5DC" w14:textId="3D5C09AB"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Home care reference centres</w:t>
            </w:r>
          </w:p>
        </w:tc>
      </w:tr>
      <w:tr w:rsidR="005A49FA" w:rsidRPr="00DE4E4F" w14:paraId="3325B155"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398008C3"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170a</w:t>
            </w:r>
          </w:p>
        </w:tc>
        <w:tc>
          <w:tcPr>
            <w:tcW w:w="4677" w:type="dxa"/>
            <w:tcBorders>
              <w:top w:val="nil"/>
              <w:left w:val="nil"/>
              <w:bottom w:val="single" w:sz="4" w:space="0" w:color="auto"/>
              <w:right w:val="single" w:sz="4" w:space="0" w:color="auto"/>
            </w:tcBorders>
            <w:shd w:val="clear" w:color="auto" w:fill="C6EFCE"/>
            <w:noWrap/>
            <w:vAlign w:val="center"/>
          </w:tcPr>
          <w:p w14:paraId="7FDCE326"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- 16795_Health infrastructure</w:t>
            </w:r>
          </w:p>
        </w:tc>
        <w:tc>
          <w:tcPr>
            <w:tcW w:w="1380" w:type="dxa"/>
            <w:tcBorders>
              <w:top w:val="nil"/>
              <w:left w:val="nil"/>
              <w:bottom w:val="single" w:sz="4" w:space="0" w:color="auto"/>
              <w:right w:val="single" w:sz="4" w:space="0" w:color="auto"/>
            </w:tcBorders>
            <w:shd w:val="clear" w:color="auto" w:fill="C6EFCE"/>
            <w:noWrap/>
            <w:vAlign w:val="center"/>
          </w:tcPr>
          <w:p w14:paraId="58031F7D"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0ADBF3D4"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NHS Infrastructure upgrade – step 2</w:t>
            </w:r>
          </w:p>
        </w:tc>
      </w:tr>
      <w:tr w:rsidR="005A49FA" w:rsidRPr="00DE4E4F" w14:paraId="22135F57"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810CEE3"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170b</w:t>
            </w:r>
          </w:p>
        </w:tc>
        <w:tc>
          <w:tcPr>
            <w:tcW w:w="4677" w:type="dxa"/>
            <w:tcBorders>
              <w:top w:val="nil"/>
              <w:left w:val="nil"/>
              <w:bottom w:val="single" w:sz="4" w:space="0" w:color="auto"/>
              <w:right w:val="single" w:sz="4" w:space="0" w:color="auto"/>
            </w:tcBorders>
            <w:shd w:val="clear" w:color="auto" w:fill="C6EFCE"/>
            <w:noWrap/>
            <w:vAlign w:val="center"/>
          </w:tcPr>
          <w:p w14:paraId="47DDBF78"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- 16795_Health infrastructure</w:t>
            </w:r>
          </w:p>
        </w:tc>
        <w:tc>
          <w:tcPr>
            <w:tcW w:w="1380" w:type="dxa"/>
            <w:tcBorders>
              <w:top w:val="nil"/>
              <w:left w:val="nil"/>
              <w:bottom w:val="single" w:sz="4" w:space="0" w:color="auto"/>
              <w:right w:val="single" w:sz="4" w:space="0" w:color="auto"/>
            </w:tcBorders>
            <w:shd w:val="clear" w:color="auto" w:fill="C6EFCE"/>
            <w:noWrap/>
            <w:vAlign w:val="center"/>
          </w:tcPr>
          <w:p w14:paraId="210732BE"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2C3255D4"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NHS Infrastructure upgrade – step 3</w:t>
            </w:r>
          </w:p>
        </w:tc>
      </w:tr>
      <w:tr w:rsidR="005A49FA" w:rsidRPr="00DE4E4F" w14:paraId="7FCAB95A"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5C3D3E5B"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184a</w:t>
            </w:r>
          </w:p>
        </w:tc>
        <w:tc>
          <w:tcPr>
            <w:tcW w:w="4677" w:type="dxa"/>
            <w:tcBorders>
              <w:top w:val="nil"/>
              <w:left w:val="nil"/>
              <w:bottom w:val="single" w:sz="4" w:space="0" w:color="auto"/>
              <w:right w:val="single" w:sz="4" w:space="0" w:color="auto"/>
            </w:tcBorders>
            <w:shd w:val="clear" w:color="auto" w:fill="C6EFCE"/>
            <w:noWrap/>
          </w:tcPr>
          <w:p w14:paraId="348E1A47"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- 16685_Diversity Awareness</w:t>
            </w:r>
          </w:p>
        </w:tc>
        <w:tc>
          <w:tcPr>
            <w:tcW w:w="1380" w:type="dxa"/>
            <w:tcBorders>
              <w:top w:val="nil"/>
              <w:left w:val="nil"/>
              <w:bottom w:val="single" w:sz="4" w:space="0" w:color="auto"/>
              <w:right w:val="single" w:sz="4" w:space="0" w:color="auto"/>
            </w:tcBorders>
            <w:shd w:val="clear" w:color="auto" w:fill="C6EFCE"/>
            <w:noWrap/>
          </w:tcPr>
          <w:p w14:paraId="4A92DAE0"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7EE3AF58"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Legal act specifying the role of the Equality Observatory, and legal act providing for the start of a pilot for the evaluation and award system for enterprises/organisations promoting diversity and inclusion</w:t>
            </w:r>
          </w:p>
        </w:tc>
      </w:tr>
      <w:tr w:rsidR="005A49FA" w:rsidRPr="00DE4E4F" w14:paraId="5E470845"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F35B19A"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185</w:t>
            </w:r>
          </w:p>
        </w:tc>
        <w:tc>
          <w:tcPr>
            <w:tcW w:w="4677" w:type="dxa"/>
            <w:tcBorders>
              <w:top w:val="nil"/>
              <w:left w:val="nil"/>
              <w:bottom w:val="single" w:sz="4" w:space="0" w:color="auto"/>
              <w:right w:val="single" w:sz="4" w:space="0" w:color="auto"/>
            </w:tcBorders>
            <w:shd w:val="clear" w:color="auto" w:fill="C6EFCE"/>
            <w:noWrap/>
            <w:vAlign w:val="center"/>
          </w:tcPr>
          <w:p w14:paraId="69EB16D1"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11 - 3.4. Increase access to effective and inclusive social policies - 16763_Digital Transformation of the immigration and asylum system</w:t>
            </w:r>
            <w:r w:rsidRPr="00DE4E4F" w:rsidDel="00DE238F">
              <w:rPr>
                <w:rFonts w:ascii="Times New Roman" w:hAnsi="Times New Roman"/>
                <w:noProof/>
                <w:sz w:val="18"/>
              </w:rPr>
              <w:t xml:space="preserve"> </w:t>
            </w:r>
          </w:p>
        </w:tc>
        <w:tc>
          <w:tcPr>
            <w:tcW w:w="1380" w:type="dxa"/>
            <w:tcBorders>
              <w:top w:val="nil"/>
              <w:left w:val="nil"/>
              <w:bottom w:val="single" w:sz="4" w:space="0" w:color="auto"/>
              <w:right w:val="single" w:sz="4" w:space="0" w:color="auto"/>
            </w:tcBorders>
            <w:shd w:val="clear" w:color="auto" w:fill="C6EFCE"/>
            <w:noWrap/>
            <w:vAlign w:val="center"/>
          </w:tcPr>
          <w:p w14:paraId="7AD740C4"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2EDC8E2C"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Digitalisation of the Migration Asylum System</w:t>
            </w:r>
          </w:p>
        </w:tc>
      </w:tr>
      <w:tr w:rsidR="005A49FA" w:rsidRPr="00DE4E4F" w14:paraId="65ACB8C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66153A8C"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186</w:t>
            </w:r>
          </w:p>
        </w:tc>
        <w:tc>
          <w:tcPr>
            <w:tcW w:w="4677" w:type="dxa"/>
            <w:tcBorders>
              <w:top w:val="nil"/>
              <w:left w:val="nil"/>
              <w:bottom w:val="single" w:sz="4" w:space="0" w:color="auto"/>
              <w:right w:val="single" w:sz="4" w:space="0" w:color="auto"/>
            </w:tcBorders>
            <w:shd w:val="clear" w:color="auto" w:fill="C6EFCE"/>
            <w:noWrap/>
            <w:vAlign w:val="center"/>
          </w:tcPr>
          <w:p w14:paraId="5773F3E2"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- 16922_Social Integration</w:t>
            </w:r>
          </w:p>
        </w:tc>
        <w:tc>
          <w:tcPr>
            <w:tcW w:w="1380" w:type="dxa"/>
            <w:tcBorders>
              <w:top w:val="nil"/>
              <w:left w:val="nil"/>
              <w:bottom w:val="single" w:sz="4" w:space="0" w:color="auto"/>
              <w:right w:val="single" w:sz="4" w:space="0" w:color="auto"/>
            </w:tcBorders>
            <w:shd w:val="clear" w:color="auto" w:fill="C6EFCE"/>
            <w:noWrap/>
            <w:vAlign w:val="center"/>
          </w:tcPr>
          <w:p w14:paraId="16601BF1"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001CA32E"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 xml:space="preserve">Social housing renovation apartment completion </w:t>
            </w:r>
          </w:p>
        </w:tc>
      </w:tr>
      <w:tr w:rsidR="005A49FA" w:rsidRPr="00DE4E4F" w14:paraId="7375BEC2"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E39BCC8"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208</w:t>
            </w:r>
          </w:p>
        </w:tc>
        <w:tc>
          <w:tcPr>
            <w:tcW w:w="4677" w:type="dxa"/>
            <w:tcBorders>
              <w:top w:val="nil"/>
              <w:left w:val="nil"/>
              <w:bottom w:val="single" w:sz="4" w:space="0" w:color="auto"/>
              <w:right w:val="single" w:sz="4" w:space="0" w:color="auto"/>
            </w:tcBorders>
            <w:shd w:val="clear" w:color="auto" w:fill="C6EFCE"/>
            <w:noWrap/>
            <w:vAlign w:val="center"/>
          </w:tcPr>
          <w:p w14:paraId="780C0AA3"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- 16972_Reforming Public Administration</w:t>
            </w:r>
          </w:p>
        </w:tc>
        <w:tc>
          <w:tcPr>
            <w:tcW w:w="1380" w:type="dxa"/>
            <w:tcBorders>
              <w:top w:val="nil"/>
              <w:left w:val="nil"/>
              <w:bottom w:val="single" w:sz="4" w:space="0" w:color="auto"/>
              <w:right w:val="single" w:sz="4" w:space="0" w:color="auto"/>
            </w:tcBorders>
            <w:shd w:val="clear" w:color="auto" w:fill="C6EFCE"/>
            <w:noWrap/>
            <w:vAlign w:val="center"/>
          </w:tcPr>
          <w:p w14:paraId="01010216"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1EB9A4A4" w14:textId="2E76623B"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Trainings for public sector employees,</w:t>
            </w:r>
          </w:p>
          <w:p w14:paraId="52EDE638"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Entry into force of legal acts,</w:t>
            </w:r>
          </w:p>
          <w:p w14:paraId="0BA5D1FE" w14:textId="7777777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Entry into use of information systems </w:t>
            </w:r>
          </w:p>
        </w:tc>
      </w:tr>
      <w:tr w:rsidR="005A49FA" w:rsidRPr="00DE4E4F" w14:paraId="779CC675"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240F3E"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213</w:t>
            </w:r>
          </w:p>
        </w:tc>
        <w:tc>
          <w:tcPr>
            <w:tcW w:w="4677" w:type="dxa"/>
            <w:tcBorders>
              <w:top w:val="nil"/>
              <w:left w:val="nil"/>
              <w:bottom w:val="single" w:sz="4" w:space="0" w:color="auto"/>
              <w:right w:val="single" w:sz="4" w:space="0" w:color="auto"/>
            </w:tcBorders>
            <w:shd w:val="clear" w:color="auto" w:fill="C6EFCE"/>
            <w:noWrap/>
            <w:vAlign w:val="center"/>
          </w:tcPr>
          <w:p w14:paraId="0D696D42"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- 16703_Combating illegal trade and protecting intellectual property</w:t>
            </w:r>
          </w:p>
        </w:tc>
        <w:tc>
          <w:tcPr>
            <w:tcW w:w="1380" w:type="dxa"/>
            <w:tcBorders>
              <w:top w:val="nil"/>
              <w:left w:val="nil"/>
              <w:bottom w:val="single" w:sz="4" w:space="0" w:color="auto"/>
              <w:right w:val="single" w:sz="4" w:space="0" w:color="auto"/>
            </w:tcBorders>
            <w:shd w:val="clear" w:color="auto" w:fill="C6EFCE"/>
            <w:noWrap/>
            <w:vAlign w:val="center"/>
          </w:tcPr>
          <w:p w14:paraId="20912524"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7B4A9756"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Creation of an information system, and delivery of control stations and training for combating illegal trade</w:t>
            </w:r>
          </w:p>
        </w:tc>
      </w:tr>
      <w:tr w:rsidR="005A49FA" w:rsidRPr="00DE4E4F" w14:paraId="6C1BF279"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4767F66"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217</w:t>
            </w:r>
          </w:p>
        </w:tc>
        <w:tc>
          <w:tcPr>
            <w:tcW w:w="4677" w:type="dxa"/>
            <w:tcBorders>
              <w:top w:val="nil"/>
              <w:left w:val="nil"/>
              <w:bottom w:val="single" w:sz="4" w:space="0" w:color="auto"/>
              <w:right w:val="single" w:sz="4" w:space="0" w:color="auto"/>
            </w:tcBorders>
            <w:shd w:val="clear" w:color="auto" w:fill="C6EFCE"/>
            <w:noWrap/>
            <w:vAlign w:val="center"/>
          </w:tcPr>
          <w:p w14:paraId="6102407F"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- 16940_Modernise the Hellenic Consignment Deposit and Loans Fund </w:t>
            </w:r>
          </w:p>
        </w:tc>
        <w:tc>
          <w:tcPr>
            <w:tcW w:w="1380" w:type="dxa"/>
            <w:tcBorders>
              <w:top w:val="nil"/>
              <w:left w:val="nil"/>
              <w:bottom w:val="single" w:sz="4" w:space="0" w:color="auto"/>
              <w:right w:val="single" w:sz="4" w:space="0" w:color="auto"/>
            </w:tcBorders>
            <w:shd w:val="clear" w:color="auto" w:fill="C6EFCE"/>
            <w:noWrap/>
            <w:vAlign w:val="center"/>
          </w:tcPr>
          <w:p w14:paraId="2E713D2D"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4944B68C"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Creation of an archive digitalisation and document management system, and an integrated information system for the Hellenic Consignment Deposit and Loans Fund</w:t>
            </w:r>
          </w:p>
        </w:tc>
      </w:tr>
      <w:tr w:rsidR="005A49FA" w:rsidRPr="00DE4E4F" w14:paraId="29E3B84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21DD82AA" w14:textId="2A4743B6"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219</w:t>
            </w:r>
          </w:p>
        </w:tc>
        <w:tc>
          <w:tcPr>
            <w:tcW w:w="4677" w:type="dxa"/>
            <w:tcBorders>
              <w:top w:val="nil"/>
              <w:left w:val="nil"/>
              <w:bottom w:val="single" w:sz="4" w:space="0" w:color="auto"/>
              <w:right w:val="single" w:sz="4" w:space="0" w:color="auto"/>
            </w:tcBorders>
            <w:shd w:val="clear" w:color="auto" w:fill="C6EFCE"/>
            <w:noWrap/>
            <w:vAlign w:val="center"/>
          </w:tcPr>
          <w:p w14:paraId="49EA7A91" w14:textId="0AFD6979"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- 16974_Accounting Reform</w:t>
            </w:r>
          </w:p>
        </w:tc>
        <w:tc>
          <w:tcPr>
            <w:tcW w:w="1380" w:type="dxa"/>
            <w:tcBorders>
              <w:top w:val="nil"/>
              <w:left w:val="nil"/>
              <w:bottom w:val="single" w:sz="4" w:space="0" w:color="auto"/>
              <w:right w:val="single" w:sz="4" w:space="0" w:color="auto"/>
            </w:tcBorders>
            <w:shd w:val="clear" w:color="auto" w:fill="C6EFCE"/>
            <w:noWrap/>
            <w:vAlign w:val="center"/>
          </w:tcPr>
          <w:p w14:paraId="436CD91A" w14:textId="36C3FDF5"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41D19EC6" w14:textId="17F25FEC"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Accounting Reform: Consolidated financial statements for the General Government </w:t>
            </w:r>
          </w:p>
        </w:tc>
      </w:tr>
      <w:tr w:rsidR="005A49FA" w:rsidRPr="00DE4E4F" w14:paraId="4CF1F331"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7E55086" w14:textId="44B9D4F8"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221</w:t>
            </w:r>
          </w:p>
        </w:tc>
        <w:tc>
          <w:tcPr>
            <w:tcW w:w="4677" w:type="dxa"/>
            <w:tcBorders>
              <w:top w:val="nil"/>
              <w:left w:val="nil"/>
              <w:bottom w:val="single" w:sz="4" w:space="0" w:color="auto"/>
              <w:right w:val="single" w:sz="4" w:space="0" w:color="auto"/>
            </w:tcBorders>
            <w:shd w:val="clear" w:color="auto" w:fill="C6EFCE"/>
            <w:noWrap/>
            <w:vAlign w:val="center"/>
          </w:tcPr>
          <w:p w14:paraId="434EF993" w14:textId="7F93ECA7"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- 16711_Professionalization of Public Procurement domain</w:t>
            </w:r>
          </w:p>
        </w:tc>
        <w:tc>
          <w:tcPr>
            <w:tcW w:w="1380" w:type="dxa"/>
            <w:tcBorders>
              <w:top w:val="nil"/>
              <w:left w:val="nil"/>
              <w:bottom w:val="single" w:sz="4" w:space="0" w:color="auto"/>
              <w:right w:val="single" w:sz="4" w:space="0" w:color="auto"/>
            </w:tcBorders>
            <w:shd w:val="clear" w:color="auto" w:fill="C6EFCE"/>
            <w:noWrap/>
            <w:vAlign w:val="center"/>
          </w:tcPr>
          <w:p w14:paraId="47C94E86" w14:textId="5DB8D22C"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vAlign w:val="center"/>
          </w:tcPr>
          <w:p w14:paraId="10D64785" w14:textId="121ABE09"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Completion of training programme </w:t>
            </w:r>
            <w:r w:rsidRPr="00DE4E4F">
              <w:rPr>
                <w:rFonts w:ascii="Times New Roman" w:hAnsi="Times New Roman" w:cs="Times New Roman"/>
                <w:noProof/>
                <w:sz w:val="18"/>
                <w:szCs w:val="18"/>
              </w:rPr>
              <w:t>entitled: “Certification of public procurement professionals”</w:t>
            </w:r>
          </w:p>
        </w:tc>
      </w:tr>
      <w:tr w:rsidR="005A49FA" w:rsidRPr="00DE4E4F" w14:paraId="70C472D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tbl>
            <w:tblPr>
              <w:tblW w:w="0" w:type="dxa"/>
              <w:tblCellMar>
                <w:left w:w="0" w:type="dxa"/>
                <w:right w:w="0" w:type="dxa"/>
              </w:tblCellMar>
              <w:tblLook w:val="04A0" w:firstRow="1" w:lastRow="0" w:firstColumn="1" w:lastColumn="0" w:noHBand="0" w:noVBand="1"/>
            </w:tblPr>
            <w:tblGrid>
              <w:gridCol w:w="570"/>
              <w:gridCol w:w="5580"/>
              <w:gridCol w:w="1665"/>
              <w:gridCol w:w="2280"/>
            </w:tblGrid>
            <w:tr w:rsidR="005A49FA" w:rsidRPr="00DE4E4F" w14:paraId="141203A0" w14:textId="77777777" w:rsidTr="001E23A0">
              <w:trPr>
                <w:trHeight w:val="300"/>
              </w:trPr>
              <w:tc>
                <w:tcPr>
                  <w:tcW w:w="570" w:type="dxa"/>
                  <w:shd w:val="clear" w:color="auto" w:fill="C6EFCE"/>
                  <w:vAlign w:val="center"/>
                  <w:hideMark/>
                </w:tcPr>
                <w:p w14:paraId="3A71D7A0" w14:textId="77777777"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238 </w:t>
                  </w:r>
                </w:p>
              </w:tc>
              <w:tc>
                <w:tcPr>
                  <w:tcW w:w="5580" w:type="dxa"/>
                  <w:shd w:val="clear" w:color="auto" w:fill="C6EFCE"/>
                  <w:vAlign w:val="center"/>
                  <w:hideMark/>
                </w:tcPr>
                <w:p w14:paraId="3C69D93C" w14:textId="1B352566" w:rsidR="005A49FA" w:rsidRPr="00DE4E4F" w:rsidRDefault="005A49FA" w:rsidP="005A49FA">
                  <w:pPr>
                    <w:keepNext/>
                    <w:spacing w:before="40" w:after="0" w:line="240" w:lineRule="auto"/>
                    <w:jc w:val="both"/>
                    <w:rPr>
                      <w:rFonts w:ascii="Times New Roman" w:hAnsi="Times New Roman"/>
                      <w:noProof/>
                      <w:sz w:val="18"/>
                      <w:szCs w:val="18"/>
                    </w:rPr>
                  </w:pPr>
                </w:p>
              </w:tc>
              <w:tc>
                <w:tcPr>
                  <w:tcW w:w="1665" w:type="dxa"/>
                  <w:shd w:val="clear" w:color="auto" w:fill="C6EFCE"/>
                  <w:vAlign w:val="center"/>
                  <w:hideMark/>
                </w:tcPr>
                <w:p w14:paraId="43BFB0E8" w14:textId="77777777"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 </w:t>
                  </w:r>
                </w:p>
              </w:tc>
              <w:tc>
                <w:tcPr>
                  <w:tcW w:w="2280" w:type="dxa"/>
                  <w:shd w:val="clear" w:color="auto" w:fill="C6EFCE"/>
                  <w:vAlign w:val="center"/>
                  <w:hideMark/>
                </w:tcPr>
                <w:p w14:paraId="2BF29384" w14:textId="77777777"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 Training on mediation and unified digital system for Mediation Centres </w:t>
                  </w:r>
                </w:p>
              </w:tc>
            </w:tr>
          </w:tbl>
          <w:p w14:paraId="0BB9C211" w14:textId="77777777" w:rsidR="005A49FA" w:rsidRPr="00DE4E4F" w:rsidRDefault="005A49FA" w:rsidP="005A49FA">
            <w:pPr>
              <w:keepNext/>
              <w:spacing w:before="40" w:after="0" w:line="240" w:lineRule="auto"/>
              <w:jc w:val="both"/>
              <w:rPr>
                <w:rFonts w:ascii="Times New Roman" w:hAnsi="Times New Roman"/>
                <w:noProof/>
                <w:sz w:val="18"/>
                <w:szCs w:val="18"/>
              </w:rPr>
            </w:pPr>
          </w:p>
        </w:tc>
        <w:tc>
          <w:tcPr>
            <w:tcW w:w="4677" w:type="dxa"/>
            <w:tcBorders>
              <w:top w:val="nil"/>
              <w:left w:val="nil"/>
              <w:bottom w:val="single" w:sz="4" w:space="0" w:color="auto"/>
              <w:right w:val="single" w:sz="4" w:space="0" w:color="auto"/>
            </w:tcBorders>
            <w:shd w:val="clear" w:color="auto" w:fill="C6EFCE"/>
            <w:noWrap/>
            <w:vAlign w:val="center"/>
          </w:tcPr>
          <w:p w14:paraId="7056B1B5" w14:textId="60E877CB"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14 - 4.3. Improve the efficiency of the justice system – 16575 Accelerating the administration of justice </w:t>
            </w:r>
          </w:p>
        </w:tc>
        <w:tc>
          <w:tcPr>
            <w:tcW w:w="1380" w:type="dxa"/>
            <w:tcBorders>
              <w:top w:val="nil"/>
              <w:left w:val="nil"/>
              <w:bottom w:val="single" w:sz="4" w:space="0" w:color="auto"/>
              <w:right w:val="single" w:sz="4" w:space="0" w:color="auto"/>
            </w:tcBorders>
            <w:shd w:val="clear" w:color="auto" w:fill="C6EFCE"/>
            <w:noWrap/>
            <w:vAlign w:val="center"/>
          </w:tcPr>
          <w:p w14:paraId="48EC5B0C" w14:textId="7B3992E9"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2E6DC396" w14:textId="37282AC6"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Training on mediation and unified digital system for Mediation Centres</w:t>
            </w:r>
          </w:p>
        </w:tc>
      </w:tr>
      <w:tr w:rsidR="005A49FA" w:rsidRPr="00DE4E4F" w14:paraId="6B53EAE1"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1A3A713"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252</w:t>
            </w:r>
          </w:p>
        </w:tc>
        <w:tc>
          <w:tcPr>
            <w:tcW w:w="4677" w:type="dxa"/>
            <w:tcBorders>
              <w:top w:val="nil"/>
              <w:left w:val="nil"/>
              <w:bottom w:val="single" w:sz="4" w:space="0" w:color="auto"/>
              <w:right w:val="single" w:sz="4" w:space="0" w:color="auto"/>
            </w:tcBorders>
            <w:shd w:val="clear" w:color="auto" w:fill="C6EFCE"/>
            <w:noWrap/>
            <w:vAlign w:val="center"/>
          </w:tcPr>
          <w:p w14:paraId="622EDC07"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16 - 4.5. Promote research and innovation - 16971_Research - Create - Innovate</w:t>
            </w:r>
          </w:p>
        </w:tc>
        <w:tc>
          <w:tcPr>
            <w:tcW w:w="1380" w:type="dxa"/>
            <w:tcBorders>
              <w:top w:val="nil"/>
              <w:left w:val="nil"/>
              <w:bottom w:val="single" w:sz="4" w:space="0" w:color="auto"/>
              <w:right w:val="single" w:sz="4" w:space="0" w:color="auto"/>
            </w:tcBorders>
            <w:shd w:val="clear" w:color="auto" w:fill="C6EFCE"/>
            <w:noWrap/>
            <w:vAlign w:val="center"/>
          </w:tcPr>
          <w:p w14:paraId="16BE4058"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7EE4651B" w14:textId="23A0EF7E"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Delivery of Research - Create - Innovate projects</w:t>
            </w:r>
          </w:p>
        </w:tc>
      </w:tr>
      <w:tr w:rsidR="005A49FA" w:rsidRPr="00DE4E4F" w14:paraId="27051A4A"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51CE9C75" w14:textId="204798A7"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rPr>
              <w:t>276</w:t>
            </w:r>
          </w:p>
        </w:tc>
        <w:tc>
          <w:tcPr>
            <w:tcW w:w="4677" w:type="dxa"/>
            <w:tcBorders>
              <w:top w:val="nil"/>
              <w:left w:val="nil"/>
              <w:bottom w:val="single" w:sz="4" w:space="0" w:color="auto"/>
              <w:right w:val="single" w:sz="4" w:space="0" w:color="auto"/>
            </w:tcBorders>
            <w:shd w:val="clear" w:color="auto" w:fill="C6EFCE"/>
            <w:noWrap/>
            <w:vAlign w:val="center"/>
          </w:tcPr>
          <w:p w14:paraId="7E5510F6" w14:textId="75B7F9EF"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rPr>
              <w:t>17 - 4.6. Modernise and improve resilience of key economic sectors - 16937_Digital Integrated Program Management System for the Administration of the Technical Works and Structural Assets of the Ministry of Infrastructure and Transport</w:t>
            </w:r>
          </w:p>
        </w:tc>
        <w:tc>
          <w:tcPr>
            <w:tcW w:w="1380" w:type="dxa"/>
            <w:tcBorders>
              <w:top w:val="nil"/>
              <w:left w:val="nil"/>
              <w:bottom w:val="single" w:sz="4" w:space="0" w:color="auto"/>
              <w:right w:val="single" w:sz="4" w:space="0" w:color="auto"/>
            </w:tcBorders>
            <w:shd w:val="clear" w:color="auto" w:fill="C6EFCE"/>
            <w:noWrap/>
            <w:vAlign w:val="center"/>
          </w:tcPr>
          <w:p w14:paraId="2078B31E" w14:textId="2DFC39AA"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517C4237" w14:textId="6DDFD890"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Portfolio Management Information System (PMIS)</w:t>
            </w:r>
          </w:p>
        </w:tc>
      </w:tr>
      <w:tr w:rsidR="005A49FA" w:rsidRPr="00DE4E4F" w14:paraId="0C3AA035"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731EF17"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268b</w:t>
            </w:r>
          </w:p>
        </w:tc>
        <w:tc>
          <w:tcPr>
            <w:tcW w:w="4677" w:type="dxa"/>
            <w:tcBorders>
              <w:top w:val="nil"/>
              <w:left w:val="nil"/>
              <w:bottom w:val="single" w:sz="4" w:space="0" w:color="auto"/>
              <w:right w:val="single" w:sz="4" w:space="0" w:color="auto"/>
            </w:tcBorders>
            <w:shd w:val="clear" w:color="auto" w:fill="C6EFCE"/>
            <w:noWrap/>
            <w:vAlign w:val="center"/>
          </w:tcPr>
          <w:p w14:paraId="21AE04D2"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1380" w:type="dxa"/>
            <w:tcBorders>
              <w:top w:val="nil"/>
              <w:left w:val="nil"/>
              <w:bottom w:val="single" w:sz="4" w:space="0" w:color="auto"/>
              <w:right w:val="single" w:sz="4" w:space="0" w:color="auto"/>
            </w:tcBorders>
            <w:shd w:val="clear" w:color="auto" w:fill="C6EFCE"/>
            <w:noWrap/>
            <w:vAlign w:val="center"/>
          </w:tcPr>
          <w:p w14:paraId="2BFBC05C"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740F5B9E"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Multiyear investment programme, new contractual agreement and Technical Manager</w:t>
            </w:r>
          </w:p>
        </w:tc>
      </w:tr>
      <w:tr w:rsidR="005A49FA" w:rsidRPr="00DE4E4F" w14:paraId="6D849A08"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4020C2A2"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294</w:t>
            </w:r>
          </w:p>
        </w:tc>
        <w:tc>
          <w:tcPr>
            <w:tcW w:w="4677" w:type="dxa"/>
            <w:tcBorders>
              <w:top w:val="nil"/>
              <w:left w:val="nil"/>
              <w:bottom w:val="single" w:sz="4" w:space="0" w:color="auto"/>
              <w:right w:val="single" w:sz="4" w:space="0" w:color="auto"/>
            </w:tcBorders>
            <w:shd w:val="clear" w:color="auto" w:fill="C6EFCE"/>
            <w:noWrap/>
            <w:vAlign w:val="center"/>
          </w:tcPr>
          <w:p w14:paraId="43D78F3A" w14:textId="77777777" w:rsidR="005A49FA" w:rsidRPr="00DE4E4F" w:rsidRDefault="005A49FA" w:rsidP="005A49F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- 16944_Master plan for the renewal of the Greek passenger shipping fleet</w:t>
            </w:r>
          </w:p>
        </w:tc>
        <w:tc>
          <w:tcPr>
            <w:tcW w:w="1380" w:type="dxa"/>
            <w:tcBorders>
              <w:top w:val="nil"/>
              <w:left w:val="nil"/>
              <w:bottom w:val="single" w:sz="4" w:space="0" w:color="auto"/>
              <w:right w:val="single" w:sz="4" w:space="0" w:color="auto"/>
            </w:tcBorders>
            <w:shd w:val="clear" w:color="auto" w:fill="C6EFCE"/>
            <w:noWrap/>
            <w:vAlign w:val="center"/>
          </w:tcPr>
          <w:p w14:paraId="3F9E7DC3"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3E4B6593" w14:textId="77777777" w:rsidR="005A49FA" w:rsidRPr="00DE4E4F" w:rsidRDefault="005A49FA" w:rsidP="005A49F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Master plan for the renewal of the Greek passenger shipping fleet</w:t>
            </w:r>
          </w:p>
        </w:tc>
      </w:tr>
      <w:tr w:rsidR="005A49FA" w:rsidRPr="00DE4E4F" w14:paraId="1A85D99F"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08CC1121" w14:textId="5F80C0CA"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296</w:t>
            </w:r>
          </w:p>
        </w:tc>
        <w:tc>
          <w:tcPr>
            <w:tcW w:w="4677" w:type="dxa"/>
            <w:tcBorders>
              <w:top w:val="nil"/>
              <w:left w:val="nil"/>
              <w:bottom w:val="single" w:sz="4" w:space="0" w:color="auto"/>
              <w:right w:val="single" w:sz="4" w:space="0" w:color="auto"/>
            </w:tcBorders>
            <w:shd w:val="clear" w:color="auto" w:fill="C6EFCE"/>
            <w:noWrap/>
            <w:vAlign w:val="center"/>
          </w:tcPr>
          <w:p w14:paraId="17B9CA3A" w14:textId="4F5323B5"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17 - 4.6. Modernise and improve resilience of key economic sectors -_</w:t>
            </w:r>
            <w:r w:rsidR="005E4812" w:rsidRPr="00DE4E4F">
              <w:rPr>
                <w:rFonts w:ascii="Times New Roman" w:hAnsi="Times New Roman"/>
                <w:noProof/>
                <w:sz w:val="18"/>
              </w:rPr>
              <w:t>16921_</w:t>
            </w:r>
            <w:r w:rsidRPr="00DE4E4F">
              <w:rPr>
                <w:rFonts w:ascii="Times New Roman" w:hAnsi="Times New Roman"/>
                <w:noProof/>
                <w:sz w:val="18"/>
              </w:rPr>
              <w:t>Reskilling and Upskilling in Tourism</w:t>
            </w:r>
          </w:p>
        </w:tc>
        <w:tc>
          <w:tcPr>
            <w:tcW w:w="1380" w:type="dxa"/>
            <w:tcBorders>
              <w:top w:val="nil"/>
              <w:left w:val="nil"/>
              <w:bottom w:val="single" w:sz="4" w:space="0" w:color="auto"/>
              <w:right w:val="single" w:sz="4" w:space="0" w:color="auto"/>
            </w:tcBorders>
            <w:shd w:val="clear" w:color="auto" w:fill="C6EFCE"/>
            <w:noWrap/>
            <w:vAlign w:val="center"/>
          </w:tcPr>
          <w:p w14:paraId="4D8FBF21" w14:textId="2BF0CB35" w:rsidR="005A49FA" w:rsidRPr="00DE4E4F" w:rsidRDefault="005A49FA" w:rsidP="005A49FA">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1EA42756" w14:textId="4FB06C92" w:rsidR="005A49FA" w:rsidRPr="00DE4E4F" w:rsidRDefault="005A49FA" w:rsidP="005A49FA">
            <w:pPr>
              <w:keepNext/>
              <w:spacing w:before="40" w:after="0" w:line="240" w:lineRule="auto"/>
              <w:jc w:val="both"/>
              <w:rPr>
                <w:rFonts w:ascii="Times New Roman" w:hAnsi="Times New Roman"/>
                <w:noProof/>
                <w:sz w:val="18"/>
                <w:szCs w:val="18"/>
              </w:rPr>
            </w:pPr>
            <w:r w:rsidRPr="00DE4E4F">
              <w:rPr>
                <w:rFonts w:ascii="Times New Roman" w:hAnsi="Times New Roman"/>
                <w:noProof/>
                <w:sz w:val="18"/>
              </w:rPr>
              <w:t xml:space="preserve">Reskilling and Upskilling in Tourism </w:t>
            </w:r>
          </w:p>
        </w:tc>
      </w:tr>
      <w:tr w:rsidR="005A49FA" w:rsidRPr="00DE4E4F" w14:paraId="30C4AF14"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131618C0"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332</w:t>
            </w:r>
          </w:p>
        </w:tc>
        <w:tc>
          <w:tcPr>
            <w:tcW w:w="4677" w:type="dxa"/>
            <w:tcBorders>
              <w:top w:val="nil"/>
              <w:left w:val="nil"/>
              <w:bottom w:val="single" w:sz="4" w:space="0" w:color="auto"/>
              <w:right w:val="single" w:sz="4" w:space="0" w:color="auto"/>
            </w:tcBorders>
            <w:shd w:val="clear" w:color="auto" w:fill="C6EFCE"/>
            <w:noWrap/>
          </w:tcPr>
          <w:p w14:paraId="51C02A55" w14:textId="1A6F4C55"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4 - 1.4. Sustainable use of resources, climate resilience and environmental protection – 16983_Primary inspection of seismic resistance of buildings or sports facilities</w:t>
            </w:r>
          </w:p>
        </w:tc>
        <w:tc>
          <w:tcPr>
            <w:tcW w:w="1380" w:type="dxa"/>
            <w:tcBorders>
              <w:top w:val="nil"/>
              <w:left w:val="nil"/>
              <w:bottom w:val="single" w:sz="4" w:space="0" w:color="auto"/>
              <w:right w:val="single" w:sz="4" w:space="0" w:color="auto"/>
            </w:tcBorders>
            <w:shd w:val="clear" w:color="auto" w:fill="C6EFCE"/>
            <w:noWrap/>
          </w:tcPr>
          <w:p w14:paraId="5424DBA4" w14:textId="77777777"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250AF779" w14:textId="039FFD31" w:rsidR="005A49FA" w:rsidRPr="00DE4E4F" w:rsidRDefault="005A49FA" w:rsidP="005A49FA">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Completion of primary seismic inspections</w:t>
            </w:r>
          </w:p>
        </w:tc>
      </w:tr>
      <w:tr w:rsidR="005A49FA" w:rsidRPr="00DE4E4F" w14:paraId="633A1480"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047D6F1B"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336</w:t>
            </w:r>
          </w:p>
        </w:tc>
        <w:tc>
          <w:tcPr>
            <w:tcW w:w="4677" w:type="dxa"/>
            <w:tcBorders>
              <w:top w:val="nil"/>
              <w:left w:val="nil"/>
              <w:bottom w:val="single" w:sz="4" w:space="0" w:color="auto"/>
              <w:right w:val="single" w:sz="4" w:space="0" w:color="auto"/>
            </w:tcBorders>
            <w:shd w:val="clear" w:color="auto" w:fill="C6EFCE"/>
            <w:noWrap/>
          </w:tcPr>
          <w:p w14:paraId="5B1C144E"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10 - 3.3. Improve resilience, accessibility and sustainability of healthcare - 16984_Personal Doctor reform</w:t>
            </w:r>
          </w:p>
        </w:tc>
        <w:tc>
          <w:tcPr>
            <w:tcW w:w="1380" w:type="dxa"/>
            <w:tcBorders>
              <w:top w:val="nil"/>
              <w:left w:val="nil"/>
              <w:bottom w:val="single" w:sz="4" w:space="0" w:color="auto"/>
              <w:right w:val="single" w:sz="4" w:space="0" w:color="auto"/>
            </w:tcBorders>
            <w:shd w:val="clear" w:color="auto" w:fill="C6EFCE"/>
            <w:noWrap/>
          </w:tcPr>
          <w:p w14:paraId="5F43E8B3"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tcPr>
          <w:p w14:paraId="4B42F83D"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 xml:space="preserve">Personal doctor reform – registration </w:t>
            </w:r>
          </w:p>
        </w:tc>
      </w:tr>
      <w:tr w:rsidR="005A49FA" w:rsidRPr="00DE4E4F" w14:paraId="2E4D18E1"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46315242"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344</w:t>
            </w:r>
          </w:p>
        </w:tc>
        <w:tc>
          <w:tcPr>
            <w:tcW w:w="4677" w:type="dxa"/>
            <w:tcBorders>
              <w:top w:val="nil"/>
              <w:left w:val="nil"/>
              <w:bottom w:val="single" w:sz="4" w:space="0" w:color="auto"/>
              <w:right w:val="single" w:sz="4" w:space="0" w:color="auto"/>
            </w:tcBorders>
            <w:shd w:val="clear" w:color="auto" w:fill="C6EFCE"/>
            <w:noWrap/>
          </w:tcPr>
          <w:p w14:paraId="6D2D8D0F"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- 16986_Completion of the national cadastre</w:t>
            </w:r>
          </w:p>
        </w:tc>
        <w:tc>
          <w:tcPr>
            <w:tcW w:w="1380" w:type="dxa"/>
            <w:tcBorders>
              <w:top w:val="nil"/>
              <w:left w:val="nil"/>
              <w:bottom w:val="single" w:sz="4" w:space="0" w:color="auto"/>
              <w:right w:val="single" w:sz="4" w:space="0" w:color="auto"/>
            </w:tcBorders>
            <w:shd w:val="clear" w:color="auto" w:fill="C6EFCE"/>
            <w:noWrap/>
          </w:tcPr>
          <w:p w14:paraId="0789658C"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Target</w:t>
            </w:r>
          </w:p>
        </w:tc>
        <w:tc>
          <w:tcPr>
            <w:tcW w:w="2430" w:type="dxa"/>
            <w:tcBorders>
              <w:top w:val="nil"/>
              <w:left w:val="nil"/>
              <w:bottom w:val="single" w:sz="4" w:space="0" w:color="auto"/>
              <w:right w:val="single" w:sz="4" w:space="0" w:color="auto"/>
            </w:tcBorders>
            <w:shd w:val="clear" w:color="auto" w:fill="C6EFCE"/>
            <w:noWrap/>
          </w:tcPr>
          <w:p w14:paraId="3D097152"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Cadastral mapping –completion</w:t>
            </w:r>
          </w:p>
        </w:tc>
      </w:tr>
      <w:tr w:rsidR="005A49FA" w:rsidRPr="00DE4E4F" w14:paraId="04223E30"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vAlign w:val="center"/>
          </w:tcPr>
          <w:p w14:paraId="17BF68FB" w14:textId="1AFA763A" w:rsidR="005A49FA" w:rsidRPr="00DE4E4F" w:rsidRDefault="005A49FA" w:rsidP="005A49FA">
            <w:pPr>
              <w:keepNext/>
              <w:spacing w:before="40" w:after="0" w:line="259" w:lineRule="auto"/>
              <w:jc w:val="both"/>
              <w:rPr>
                <w:rFonts w:ascii="Times New Roman" w:hAnsi="Times New Roman"/>
                <w:noProof/>
                <w:sz w:val="18"/>
              </w:rPr>
            </w:pPr>
            <w:r w:rsidRPr="00DE4E4F">
              <w:rPr>
                <w:rFonts w:ascii="Times New Roman" w:hAnsi="Times New Roman"/>
                <w:noProof/>
                <w:sz w:val="18"/>
              </w:rPr>
              <w:t>346</w:t>
            </w:r>
          </w:p>
        </w:tc>
        <w:tc>
          <w:tcPr>
            <w:tcW w:w="4677" w:type="dxa"/>
            <w:tcBorders>
              <w:top w:val="nil"/>
              <w:left w:val="nil"/>
              <w:bottom w:val="single" w:sz="4" w:space="0" w:color="auto"/>
              <w:right w:val="single" w:sz="4" w:space="0" w:color="auto"/>
            </w:tcBorders>
            <w:shd w:val="clear" w:color="auto" w:fill="C6EFCE"/>
            <w:noWrap/>
            <w:vAlign w:val="center"/>
          </w:tcPr>
          <w:p w14:paraId="252B35F5" w14:textId="15965189" w:rsidR="005A49FA" w:rsidRPr="00DE4E4F" w:rsidRDefault="005A49FA" w:rsidP="005A49FA">
            <w:pPr>
              <w:keepNext/>
              <w:spacing w:before="40" w:after="0" w:line="259" w:lineRule="auto"/>
              <w:jc w:val="both"/>
              <w:rPr>
                <w:rFonts w:ascii="Times New Roman" w:hAnsi="Times New Roman"/>
                <w:noProof/>
                <w:sz w:val="18"/>
              </w:rPr>
            </w:pPr>
            <w:r w:rsidRPr="00DE4E4F">
              <w:rPr>
                <w:rFonts w:ascii="Times New Roman" w:hAnsi="Times New Roman"/>
                <w:noProof/>
                <w:sz w:val="18"/>
              </w:rPr>
              <w:t>16 - 4.5. Promote research and innovation - 16622_HORIZON 2020 “Seal of Excellence”: financing companies</w:t>
            </w:r>
          </w:p>
        </w:tc>
        <w:tc>
          <w:tcPr>
            <w:tcW w:w="1380" w:type="dxa"/>
            <w:tcBorders>
              <w:top w:val="nil"/>
              <w:left w:val="nil"/>
              <w:bottom w:val="single" w:sz="4" w:space="0" w:color="auto"/>
              <w:right w:val="single" w:sz="4" w:space="0" w:color="auto"/>
            </w:tcBorders>
            <w:shd w:val="clear" w:color="auto" w:fill="C6EFCE"/>
            <w:noWrap/>
            <w:vAlign w:val="center"/>
          </w:tcPr>
          <w:p w14:paraId="05C1CA81" w14:textId="42C2ACAB" w:rsidR="005A49FA" w:rsidRPr="00DE4E4F" w:rsidRDefault="005A49FA" w:rsidP="005A49FA">
            <w:pPr>
              <w:keepNext/>
              <w:spacing w:before="40" w:after="0" w:line="259" w:lineRule="auto"/>
              <w:jc w:val="both"/>
              <w:rPr>
                <w:rFonts w:ascii="Times New Roman" w:hAnsi="Times New Roman"/>
                <w:noProof/>
                <w:sz w:val="18"/>
              </w:rPr>
            </w:pPr>
            <w:r w:rsidRPr="00DE4E4F">
              <w:rPr>
                <w:rFonts w:ascii="Times New Roman" w:hAnsi="Times New Roman"/>
                <w:noProof/>
                <w:sz w:val="18"/>
              </w:rPr>
              <w:t>Milestone</w:t>
            </w:r>
          </w:p>
        </w:tc>
        <w:tc>
          <w:tcPr>
            <w:tcW w:w="2430" w:type="dxa"/>
            <w:tcBorders>
              <w:top w:val="nil"/>
              <w:left w:val="nil"/>
              <w:bottom w:val="single" w:sz="4" w:space="0" w:color="auto"/>
              <w:right w:val="single" w:sz="4" w:space="0" w:color="auto"/>
            </w:tcBorders>
            <w:shd w:val="clear" w:color="auto" w:fill="C6EFCE"/>
            <w:noWrap/>
            <w:vAlign w:val="center"/>
          </w:tcPr>
          <w:p w14:paraId="768269D0" w14:textId="51AB67D5" w:rsidR="005A49FA" w:rsidRPr="00DE4E4F" w:rsidRDefault="005A49FA" w:rsidP="005A49FA">
            <w:pPr>
              <w:keepNext/>
              <w:spacing w:before="40" w:after="0" w:line="259" w:lineRule="auto"/>
              <w:jc w:val="both"/>
              <w:rPr>
                <w:rFonts w:ascii="Times New Roman" w:hAnsi="Times New Roman"/>
                <w:noProof/>
                <w:sz w:val="18"/>
              </w:rPr>
            </w:pPr>
            <w:r w:rsidRPr="00DE4E4F">
              <w:rPr>
                <w:rFonts w:ascii="Times New Roman" w:hAnsi="Times New Roman"/>
                <w:noProof/>
                <w:sz w:val="18"/>
              </w:rPr>
              <w:t>Execution of projects</w:t>
            </w:r>
          </w:p>
        </w:tc>
      </w:tr>
      <w:tr w:rsidR="005A49FA" w:rsidRPr="00DE4E4F" w14:paraId="3B90D180" w14:textId="77777777" w:rsidTr="00DA7920">
        <w:trPr>
          <w:trHeight w:val="302"/>
          <w:jc w:val="center"/>
        </w:trPr>
        <w:tc>
          <w:tcPr>
            <w:tcW w:w="1101" w:type="dxa"/>
            <w:tcBorders>
              <w:top w:val="nil"/>
              <w:left w:val="single" w:sz="4" w:space="0" w:color="auto"/>
              <w:bottom w:val="single" w:sz="4" w:space="0" w:color="auto"/>
              <w:right w:val="single" w:sz="4" w:space="0" w:color="auto"/>
            </w:tcBorders>
            <w:shd w:val="clear" w:color="auto" w:fill="C6EFCE"/>
            <w:noWrap/>
          </w:tcPr>
          <w:p w14:paraId="7AD15D13" w14:textId="59147B51" w:rsidR="005A49FA" w:rsidRPr="00DE4E4F" w:rsidRDefault="005A49FA" w:rsidP="005A49FA">
            <w:pPr>
              <w:keepNext/>
              <w:spacing w:before="40" w:after="0" w:line="259" w:lineRule="auto"/>
              <w:jc w:val="both"/>
              <w:rPr>
                <w:rFonts w:ascii="Times New Roman" w:hAnsi="Times New Roman"/>
                <w:noProof/>
                <w:sz w:val="18"/>
                <w:szCs w:val="18"/>
              </w:rPr>
            </w:pPr>
            <w:r w:rsidRPr="00DE4E4F">
              <w:rPr>
                <w:rFonts w:ascii="Times New Roman" w:hAnsi="Times New Roman"/>
                <w:noProof/>
                <w:sz w:val="18"/>
                <w:szCs w:val="18"/>
              </w:rPr>
              <w:t>349a</w:t>
            </w:r>
          </w:p>
        </w:tc>
        <w:tc>
          <w:tcPr>
            <w:tcW w:w="4677" w:type="dxa"/>
            <w:tcBorders>
              <w:top w:val="nil"/>
              <w:left w:val="nil"/>
              <w:bottom w:val="single" w:sz="4" w:space="0" w:color="auto"/>
              <w:right w:val="single" w:sz="4" w:space="0" w:color="auto"/>
            </w:tcBorders>
            <w:shd w:val="clear" w:color="auto" w:fill="C6EFCE"/>
            <w:noWrap/>
          </w:tcPr>
          <w:p w14:paraId="4CEC8BB3" w14:textId="5E107249" w:rsidR="005A49FA" w:rsidRPr="00DE4E4F" w:rsidRDefault="005A49FA" w:rsidP="005A49FA">
            <w:pPr>
              <w:keepNext/>
              <w:spacing w:before="40" w:after="0" w:line="259" w:lineRule="auto"/>
              <w:jc w:val="both"/>
              <w:rPr>
                <w:rFonts w:ascii="Times New Roman" w:hAnsi="Times New Roman"/>
                <w:noProof/>
                <w:sz w:val="18"/>
                <w:szCs w:val="18"/>
              </w:rPr>
            </w:pPr>
            <w:r w:rsidRPr="00DE4E4F">
              <w:rPr>
                <w:rFonts w:ascii="Times New Roman" w:hAnsi="Times New Roman" w:cs="Times New Roman"/>
                <w:noProof/>
                <w:sz w:val="18"/>
                <w:szCs w:val="18"/>
              </w:rPr>
              <w:t>17 - 4.6. Modernise and improve resilience of key economic sectors - 16999_Restoration works following the devastating effects of storms "DANIEL", "ELIAS" and "IANOS"</w:t>
            </w:r>
          </w:p>
        </w:tc>
        <w:tc>
          <w:tcPr>
            <w:tcW w:w="1380" w:type="dxa"/>
            <w:tcBorders>
              <w:top w:val="nil"/>
              <w:left w:val="nil"/>
              <w:bottom w:val="single" w:sz="4" w:space="0" w:color="auto"/>
              <w:right w:val="single" w:sz="4" w:space="0" w:color="auto"/>
            </w:tcBorders>
            <w:shd w:val="clear" w:color="auto" w:fill="C6EFCE"/>
            <w:noWrap/>
          </w:tcPr>
          <w:p w14:paraId="29B83E27" w14:textId="7D2C636A" w:rsidR="005A49FA" w:rsidRPr="00DE4E4F" w:rsidRDefault="005A49FA" w:rsidP="005A49FA">
            <w:pPr>
              <w:keepNext/>
              <w:spacing w:before="40" w:after="0" w:line="259" w:lineRule="auto"/>
              <w:jc w:val="both"/>
              <w:rPr>
                <w:rFonts w:ascii="Times New Roman" w:hAnsi="Times New Roman"/>
                <w:noProof/>
                <w:sz w:val="18"/>
                <w:szCs w:val="18"/>
              </w:rPr>
            </w:pPr>
            <w:r w:rsidRPr="00DE4E4F">
              <w:rPr>
                <w:rFonts w:ascii="Times New Roman" w:hAnsi="Times New Roman"/>
                <w:noProof/>
                <w:sz w:val="18"/>
                <w:szCs w:val="18"/>
              </w:rPr>
              <w:t>Milestone</w:t>
            </w:r>
          </w:p>
        </w:tc>
        <w:tc>
          <w:tcPr>
            <w:tcW w:w="2430" w:type="dxa"/>
            <w:tcBorders>
              <w:top w:val="nil"/>
              <w:left w:val="nil"/>
              <w:bottom w:val="single" w:sz="4" w:space="0" w:color="auto"/>
              <w:right w:val="single" w:sz="4" w:space="0" w:color="auto"/>
            </w:tcBorders>
            <w:shd w:val="clear" w:color="auto" w:fill="C6EFCE"/>
            <w:noWrap/>
          </w:tcPr>
          <w:p w14:paraId="1C3515C4" w14:textId="0C662A34" w:rsidR="005A49FA" w:rsidRPr="00DE4E4F" w:rsidRDefault="005A49FA" w:rsidP="005A49FA">
            <w:pPr>
              <w:keepNext/>
              <w:spacing w:before="40" w:after="0" w:line="259" w:lineRule="auto"/>
              <w:jc w:val="both"/>
              <w:rPr>
                <w:rFonts w:ascii="Times New Roman" w:hAnsi="Times New Roman"/>
                <w:noProof/>
                <w:sz w:val="18"/>
                <w:szCs w:val="18"/>
              </w:rPr>
            </w:pPr>
            <w:r w:rsidRPr="00DE4E4F">
              <w:rPr>
                <w:rFonts w:ascii="Times New Roman" w:hAnsi="Times New Roman" w:cs="Times New Roman"/>
                <w:noProof/>
                <w:sz w:val="18"/>
                <w:szCs w:val="18"/>
              </w:rPr>
              <w:t>Restoration of road sections</w:t>
            </w:r>
          </w:p>
        </w:tc>
      </w:tr>
      <w:tr w:rsidR="005A49FA" w:rsidRPr="00DE4E4F" w14:paraId="32555CB7"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5EC02B28"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357</w:t>
            </w:r>
          </w:p>
        </w:tc>
        <w:tc>
          <w:tcPr>
            <w:tcW w:w="4677" w:type="dxa"/>
            <w:tcBorders>
              <w:top w:val="single" w:sz="4" w:space="0" w:color="auto"/>
              <w:left w:val="nil"/>
              <w:bottom w:val="single" w:sz="4" w:space="0" w:color="auto"/>
              <w:right w:val="single" w:sz="4" w:space="0" w:color="auto"/>
            </w:tcBorders>
            <w:shd w:val="clear" w:color="auto" w:fill="C6EFCE"/>
            <w:noWrap/>
          </w:tcPr>
          <w:p w14:paraId="0D4478F2"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20 - 5.1. REPowerEU reforms – 16990_Grid and storage capacity – fostering of storage investments</w:t>
            </w:r>
          </w:p>
        </w:tc>
        <w:tc>
          <w:tcPr>
            <w:tcW w:w="1380" w:type="dxa"/>
            <w:tcBorders>
              <w:top w:val="single" w:sz="4" w:space="0" w:color="auto"/>
              <w:left w:val="nil"/>
              <w:bottom w:val="single" w:sz="4" w:space="0" w:color="auto"/>
              <w:right w:val="single" w:sz="4" w:space="0" w:color="auto"/>
            </w:tcBorders>
            <w:shd w:val="clear" w:color="auto" w:fill="C6EFCE"/>
            <w:noWrap/>
          </w:tcPr>
          <w:p w14:paraId="16E0A678"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 xml:space="preserve">Milestone </w:t>
            </w:r>
          </w:p>
        </w:tc>
        <w:tc>
          <w:tcPr>
            <w:tcW w:w="2430" w:type="dxa"/>
            <w:tcBorders>
              <w:top w:val="single" w:sz="4" w:space="0" w:color="auto"/>
              <w:left w:val="nil"/>
              <w:bottom w:val="single" w:sz="4" w:space="0" w:color="auto"/>
              <w:right w:val="single" w:sz="4" w:space="0" w:color="auto"/>
            </w:tcBorders>
            <w:shd w:val="clear" w:color="auto" w:fill="C6EFCE"/>
            <w:noWrap/>
          </w:tcPr>
          <w:p w14:paraId="435F192B" w14:textId="77777777" w:rsidR="005A49FA" w:rsidRPr="00DE4E4F" w:rsidRDefault="005A49FA" w:rsidP="005A49FA">
            <w:pPr>
              <w:keepNext/>
              <w:spacing w:before="40" w:after="0" w:line="259" w:lineRule="auto"/>
              <w:jc w:val="both"/>
              <w:rPr>
                <w:rFonts w:ascii="Times New Roman" w:hAnsi="Times New Roman" w:cs="Times New Roman"/>
                <w:noProof/>
                <w:sz w:val="18"/>
              </w:rPr>
            </w:pPr>
            <w:r w:rsidRPr="00DE4E4F">
              <w:rPr>
                <w:rFonts w:ascii="Times New Roman" w:hAnsi="Times New Roman"/>
                <w:noProof/>
                <w:sz w:val="18"/>
              </w:rPr>
              <w:t>Entry into force of legal acts</w:t>
            </w:r>
          </w:p>
        </w:tc>
      </w:tr>
      <w:tr w:rsidR="005A49FA" w:rsidRPr="00DE4E4F" w14:paraId="0B77D8EE"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D2A702"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362</w:t>
            </w:r>
          </w:p>
        </w:tc>
        <w:tc>
          <w:tcPr>
            <w:tcW w:w="4677" w:type="dxa"/>
            <w:tcBorders>
              <w:top w:val="single" w:sz="4" w:space="0" w:color="auto"/>
              <w:left w:val="nil"/>
              <w:bottom w:val="single" w:sz="4" w:space="0" w:color="auto"/>
              <w:right w:val="single" w:sz="4" w:space="0" w:color="auto"/>
            </w:tcBorders>
            <w:shd w:val="clear" w:color="auto" w:fill="C6EFCE"/>
            <w:noWrap/>
          </w:tcPr>
          <w:p w14:paraId="1F5DB8FE"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20 - 5. REPowerEU reforms - 16992_Toolset to promote energy sharing, self-consumption and renewable Energy Communities</w:t>
            </w:r>
          </w:p>
        </w:tc>
        <w:tc>
          <w:tcPr>
            <w:tcW w:w="1380" w:type="dxa"/>
            <w:tcBorders>
              <w:top w:val="single" w:sz="4" w:space="0" w:color="auto"/>
              <w:left w:val="nil"/>
              <w:bottom w:val="single" w:sz="4" w:space="0" w:color="auto"/>
              <w:right w:val="single" w:sz="4" w:space="0" w:color="auto"/>
            </w:tcBorders>
            <w:shd w:val="clear" w:color="auto" w:fill="C6EFCE"/>
            <w:noWrap/>
          </w:tcPr>
          <w:p w14:paraId="698EA3C4"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202D7896"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Set-up of the Self-Consumer Registry and the technical assistance for Energy Communities</w:t>
            </w:r>
          </w:p>
        </w:tc>
      </w:tr>
      <w:tr w:rsidR="005A49FA" w:rsidRPr="00DE4E4F" w14:paraId="04407AEF"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tcPr>
          <w:p w14:paraId="0FC9CC0D" w14:textId="77777777" w:rsidR="005A49FA" w:rsidRPr="00DE4E4F" w:rsidRDefault="005A49FA" w:rsidP="005A49FA">
            <w:pPr>
              <w:keepNext/>
              <w:spacing w:before="40" w:after="0" w:line="259"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364</w:t>
            </w:r>
          </w:p>
        </w:tc>
        <w:tc>
          <w:tcPr>
            <w:tcW w:w="4677" w:type="dxa"/>
            <w:tcBorders>
              <w:top w:val="single" w:sz="4" w:space="0" w:color="auto"/>
              <w:left w:val="nil"/>
              <w:bottom w:val="single" w:sz="4" w:space="0" w:color="auto"/>
              <w:right w:val="single" w:sz="4" w:space="0" w:color="auto"/>
            </w:tcBorders>
            <w:shd w:val="clear" w:color="auto" w:fill="C6EFCE"/>
            <w:noWrap/>
          </w:tcPr>
          <w:p w14:paraId="4BA5BAEE" w14:textId="77777777" w:rsidR="005A49FA" w:rsidRPr="00DE4E4F" w:rsidRDefault="005A49FA" w:rsidP="005A49FA">
            <w:pPr>
              <w:keepNext/>
              <w:spacing w:before="40" w:after="0" w:line="259"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20 - 5. REPowerEU reforms - 16993_Roadmap for innovative energy efficiency interventions and identification of new financial instruments</w:t>
            </w:r>
          </w:p>
        </w:tc>
        <w:tc>
          <w:tcPr>
            <w:tcW w:w="1380" w:type="dxa"/>
            <w:tcBorders>
              <w:top w:val="single" w:sz="4" w:space="0" w:color="auto"/>
              <w:left w:val="nil"/>
              <w:bottom w:val="single" w:sz="4" w:space="0" w:color="auto"/>
              <w:right w:val="single" w:sz="4" w:space="0" w:color="auto"/>
            </w:tcBorders>
            <w:shd w:val="clear" w:color="auto" w:fill="C6EFCE"/>
            <w:noWrap/>
          </w:tcPr>
          <w:p w14:paraId="30011CBF"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2430" w:type="dxa"/>
            <w:tcBorders>
              <w:top w:val="single" w:sz="4" w:space="0" w:color="auto"/>
              <w:left w:val="nil"/>
              <w:bottom w:val="single" w:sz="4" w:space="0" w:color="auto"/>
              <w:right w:val="single" w:sz="4" w:space="0" w:color="auto"/>
            </w:tcBorders>
            <w:shd w:val="clear" w:color="auto" w:fill="C6EFCE"/>
            <w:noWrap/>
          </w:tcPr>
          <w:p w14:paraId="35B88E86"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Launch of non-grant financial instrument</w:t>
            </w:r>
          </w:p>
        </w:tc>
      </w:tr>
      <w:tr w:rsidR="005A49FA" w:rsidRPr="00DE4E4F" w14:paraId="52ACDC1C" w14:textId="77777777" w:rsidTr="00DA7920">
        <w:trPr>
          <w:trHeight w:val="302"/>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8B8C48B" w14:textId="77777777" w:rsidR="005A49FA" w:rsidRPr="00DE4E4F" w:rsidRDefault="005A49FA" w:rsidP="005A49FA">
            <w:pPr>
              <w:keepNext/>
              <w:spacing w:before="40" w:after="0" w:line="259" w:lineRule="auto"/>
              <w:jc w:val="both"/>
              <w:rPr>
                <w:rFonts w:ascii="Times New Roman" w:eastAsia="Times New Roman" w:hAnsi="Times New Roman" w:cs="Times New Roman"/>
                <w:bCs/>
                <w:noProof/>
                <w:sz w:val="18"/>
                <w:szCs w:val="18"/>
                <w:lang w:eastAsia="en-GB"/>
              </w:rPr>
            </w:pPr>
          </w:p>
        </w:tc>
        <w:tc>
          <w:tcPr>
            <w:tcW w:w="4677" w:type="dxa"/>
            <w:tcBorders>
              <w:top w:val="single" w:sz="4" w:space="0" w:color="auto"/>
              <w:left w:val="nil"/>
              <w:bottom w:val="single" w:sz="4" w:space="0" w:color="auto"/>
              <w:right w:val="single" w:sz="4" w:space="0" w:color="auto"/>
            </w:tcBorders>
            <w:shd w:val="clear" w:color="auto" w:fill="C6EFCE"/>
            <w:noWrap/>
            <w:vAlign w:val="bottom"/>
          </w:tcPr>
          <w:p w14:paraId="2358D84C" w14:textId="77777777" w:rsidR="005A49FA" w:rsidRPr="00DE4E4F" w:rsidRDefault="005A49FA" w:rsidP="005A49FA">
            <w:pPr>
              <w:keepNext/>
              <w:spacing w:before="40" w:after="0" w:line="259" w:lineRule="auto"/>
              <w:jc w:val="both"/>
              <w:rPr>
                <w:rFonts w:ascii="Times New Roman" w:eastAsia="Times New Roman" w:hAnsi="Times New Roman" w:cs="Times New Roman"/>
                <w:bCs/>
                <w:noProof/>
                <w:sz w:val="18"/>
                <w:szCs w:val="18"/>
                <w:lang w:eastAsia="en-GB"/>
              </w:rPr>
            </w:pPr>
          </w:p>
        </w:tc>
        <w:tc>
          <w:tcPr>
            <w:tcW w:w="1380" w:type="dxa"/>
            <w:tcBorders>
              <w:top w:val="single" w:sz="4" w:space="0" w:color="auto"/>
              <w:left w:val="nil"/>
              <w:bottom w:val="single" w:sz="4" w:space="0" w:color="auto"/>
              <w:right w:val="single" w:sz="4" w:space="0" w:color="auto"/>
            </w:tcBorders>
            <w:shd w:val="clear" w:color="auto" w:fill="C6EFCE"/>
            <w:noWrap/>
            <w:vAlign w:val="bottom"/>
          </w:tcPr>
          <w:p w14:paraId="226EA03F"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430" w:type="dxa"/>
            <w:tcBorders>
              <w:top w:val="single" w:sz="4" w:space="0" w:color="auto"/>
              <w:left w:val="nil"/>
              <w:bottom w:val="single" w:sz="4" w:space="0" w:color="auto"/>
              <w:right w:val="single" w:sz="4" w:space="0" w:color="auto"/>
            </w:tcBorders>
            <w:shd w:val="clear" w:color="auto" w:fill="C6EFCE"/>
            <w:noWrap/>
            <w:vAlign w:val="bottom"/>
          </w:tcPr>
          <w:p w14:paraId="0906530D" w14:textId="77777777" w:rsidR="005A49FA" w:rsidRPr="00DE4E4F" w:rsidRDefault="005A49FA" w:rsidP="005A49FA">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1 696</w:t>
            </w:r>
            <w:r w:rsidRPr="00DE4E4F">
              <w:rPr>
                <w:rFonts w:ascii="Times New Roman" w:hAnsi="Times New Roman" w:cs="Times New Roman"/>
                <w:noProof/>
                <w:sz w:val="18"/>
              </w:rPr>
              <w:t> </w:t>
            </w:r>
            <w:r w:rsidRPr="00DE4E4F">
              <w:rPr>
                <w:rFonts w:ascii="Times New Roman" w:hAnsi="Times New Roman"/>
                <w:noProof/>
                <w:sz w:val="18"/>
              </w:rPr>
              <w:t>474</w:t>
            </w:r>
            <w:r w:rsidRPr="00DE4E4F">
              <w:rPr>
                <w:rFonts w:ascii="Times New Roman" w:hAnsi="Times New Roman" w:cs="Times New Roman"/>
                <w:noProof/>
                <w:sz w:val="18"/>
              </w:rPr>
              <w:t> </w:t>
            </w:r>
            <w:r w:rsidRPr="00DE4E4F">
              <w:rPr>
                <w:rFonts w:ascii="Times New Roman" w:hAnsi="Times New Roman"/>
                <w:noProof/>
                <w:sz w:val="18"/>
              </w:rPr>
              <w:t>735</w:t>
            </w:r>
          </w:p>
        </w:tc>
      </w:tr>
    </w:tbl>
    <w:p w14:paraId="4C84F577" w14:textId="6FF5D108" w:rsidR="007607D9" w:rsidRPr="00DE4E4F" w:rsidRDefault="007607D9">
      <w:pPr>
        <w:keepNext/>
        <w:spacing w:before="40" w:after="0" w:line="259" w:lineRule="auto"/>
        <w:jc w:val="both"/>
        <w:rPr>
          <w:rFonts w:ascii="Times New Roman" w:eastAsia="Times New Roman" w:hAnsi="Times New Roman" w:cs="Times New Roman"/>
          <w:bCs/>
          <w:noProof/>
          <w:sz w:val="24"/>
          <w:szCs w:val="26"/>
        </w:rPr>
      </w:pPr>
    </w:p>
    <w:p w14:paraId="23C9A129" w14:textId="77777777" w:rsidR="001B186F" w:rsidRPr="00DE4E4F" w:rsidRDefault="0074517F">
      <w:pPr>
        <w:keepNext/>
        <w:numPr>
          <w:ilvl w:val="1"/>
          <w:numId w:val="93"/>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Ninth Payment Request (non-repayable support): </w:t>
      </w:r>
    </w:p>
    <w:p w14:paraId="09386DF3"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tbl>
      <w:tblPr>
        <w:tblW w:w="10346" w:type="dxa"/>
        <w:jc w:val="center"/>
        <w:tblLook w:val="04A0" w:firstRow="1" w:lastRow="0" w:firstColumn="1" w:lastColumn="0" w:noHBand="0" w:noVBand="1"/>
      </w:tblPr>
      <w:tblGrid>
        <w:gridCol w:w="817"/>
        <w:gridCol w:w="4820"/>
        <w:gridCol w:w="1417"/>
        <w:gridCol w:w="3292"/>
      </w:tblGrid>
      <w:tr w:rsidR="00682269" w:rsidRPr="00DE4E4F" w14:paraId="2DCC86C5" w14:textId="77777777" w:rsidTr="00BE2B84">
        <w:trPr>
          <w:trHeight w:val="1124"/>
          <w:tblHeader/>
          <w:jc w:val="center"/>
        </w:trPr>
        <w:tc>
          <w:tcPr>
            <w:tcW w:w="8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DEC4C4" w14:textId="5F789824" w:rsidR="001B186F" w:rsidRPr="00DE4E4F" w:rsidRDefault="0074517F" w:rsidP="00BE2B84">
            <w:pPr>
              <w:keepNext/>
              <w:spacing w:before="40" w:after="0" w:line="256"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r w:rsidR="006E76EC" w:rsidRPr="00DE4E4F">
              <w:rPr>
                <w:rFonts w:ascii="Times New Roman" w:hAnsi="Times New Roman" w:cs="Times New Roman"/>
                <w:b/>
                <w:noProof/>
                <w:sz w:val="18"/>
                <w:szCs w:val="18"/>
              </w:rPr>
              <w:t>²</w:t>
            </w:r>
          </w:p>
        </w:tc>
        <w:tc>
          <w:tcPr>
            <w:tcW w:w="48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12F639B" w14:textId="77777777" w:rsidR="001B186F" w:rsidRPr="00DE4E4F" w:rsidRDefault="0074517F" w:rsidP="00BE2B84">
            <w:pPr>
              <w:keepNext/>
              <w:spacing w:before="40" w:after="0" w:line="256"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0CE0F7" w14:textId="77777777" w:rsidR="001B186F" w:rsidRPr="00DE4E4F" w:rsidRDefault="0074517F" w:rsidP="00BE2B84">
            <w:pPr>
              <w:keepNext/>
              <w:spacing w:before="40" w:after="0" w:line="256"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32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31F2B4B" w14:textId="77777777" w:rsidR="001B186F" w:rsidRPr="00DE4E4F" w:rsidRDefault="0074517F" w:rsidP="00BE2B84">
            <w:pPr>
              <w:keepNext/>
              <w:spacing w:before="40" w:after="0" w:line="256"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5A4AA3E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5AFD56"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58C32"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1 - 1.1. Power up - 16870_Interventions for the electricity interconnection of islands and the investments in the electricity network</w:t>
            </w:r>
          </w:p>
        </w:tc>
        <w:tc>
          <w:tcPr>
            <w:tcW w:w="1417" w:type="dxa"/>
            <w:tcBorders>
              <w:top w:val="single" w:sz="4" w:space="0" w:color="auto"/>
              <w:left w:val="nil"/>
              <w:bottom w:val="single" w:sz="4" w:space="0" w:color="auto"/>
              <w:right w:val="single" w:sz="4" w:space="0" w:color="auto"/>
            </w:tcBorders>
            <w:shd w:val="clear" w:color="auto" w:fill="C6EFCE"/>
            <w:noWrap/>
            <w:vAlign w:val="center"/>
            <w:hideMark/>
          </w:tcPr>
          <w:p w14:paraId="62D021F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5B48B2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Interconnection of islands </w:t>
            </w:r>
          </w:p>
        </w:tc>
      </w:tr>
      <w:tr w:rsidR="00682269" w:rsidRPr="00DE4E4F" w14:paraId="52B07ECF"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7F3EE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9DA154"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- 16871_Revitalization actions of the most affected territories (Just transition territories)</w:t>
            </w:r>
          </w:p>
        </w:tc>
        <w:tc>
          <w:tcPr>
            <w:tcW w:w="1417" w:type="dxa"/>
            <w:tcBorders>
              <w:top w:val="nil"/>
              <w:left w:val="nil"/>
              <w:bottom w:val="single" w:sz="4" w:space="0" w:color="auto"/>
              <w:right w:val="single" w:sz="4" w:space="0" w:color="auto"/>
            </w:tcBorders>
            <w:shd w:val="clear" w:color="auto" w:fill="C6EFCE"/>
            <w:noWrap/>
            <w:vAlign w:val="center"/>
            <w:hideMark/>
          </w:tcPr>
          <w:p w14:paraId="1242D2FC"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28A4BB4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Land rehabilitation</w:t>
            </w:r>
          </w:p>
        </w:tc>
      </w:tr>
      <w:tr w:rsidR="00682269" w:rsidRPr="00DE4E4F" w14:paraId="0B9EF5F1"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FDAF0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16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A2F911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1 - 1.1. Power up - 16926_Support of the installation of storage systems to enhance RES penetration</w:t>
            </w:r>
          </w:p>
        </w:tc>
        <w:tc>
          <w:tcPr>
            <w:tcW w:w="1417" w:type="dxa"/>
            <w:tcBorders>
              <w:top w:val="nil"/>
              <w:left w:val="nil"/>
              <w:bottom w:val="single" w:sz="4" w:space="0" w:color="auto"/>
              <w:right w:val="single" w:sz="4" w:space="0" w:color="auto"/>
            </w:tcBorders>
            <w:shd w:val="clear" w:color="auto" w:fill="C6EFCE"/>
            <w:noWrap/>
            <w:vAlign w:val="center"/>
            <w:hideMark/>
          </w:tcPr>
          <w:p w14:paraId="4DDE872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CF4EFC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Energy Storage — battery storage installed and civil engineering works of the Amfilochia Pumped Hydro Storage Station</w:t>
            </w:r>
          </w:p>
        </w:tc>
      </w:tr>
      <w:tr w:rsidR="00682269" w:rsidRPr="00DE4E4F" w14:paraId="55A1F51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4DD9D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AA1AC5" w14:textId="56DB1412"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1 - 1.1. Power up - 16900_HEDNO network </w:t>
            </w:r>
            <w:r w:rsidR="00082329" w:rsidRPr="00DE4E4F">
              <w:rPr>
                <w:rFonts w:ascii="Times New Roman" w:hAnsi="Times New Roman"/>
                <w:noProof/>
                <w:sz w:val="18"/>
              </w:rPr>
              <w:t>upgrades</w:t>
            </w:r>
          </w:p>
        </w:tc>
        <w:tc>
          <w:tcPr>
            <w:tcW w:w="1417" w:type="dxa"/>
            <w:tcBorders>
              <w:top w:val="nil"/>
              <w:left w:val="nil"/>
              <w:bottom w:val="single" w:sz="4" w:space="0" w:color="auto"/>
              <w:right w:val="single" w:sz="4" w:space="0" w:color="auto"/>
            </w:tcBorders>
            <w:shd w:val="clear" w:color="auto" w:fill="C6EFCE"/>
            <w:noWrap/>
            <w:vAlign w:val="center"/>
            <w:hideMark/>
          </w:tcPr>
          <w:p w14:paraId="75D1A42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6932292" w14:textId="553EC81C"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HEDNO </w:t>
            </w:r>
            <w:r w:rsidR="007D3099" w:rsidRPr="00DE4E4F">
              <w:rPr>
                <w:rFonts w:ascii="Times New Roman" w:hAnsi="Times New Roman"/>
                <w:noProof/>
                <w:sz w:val="18"/>
              </w:rPr>
              <w:t>Network upgrades</w:t>
            </w:r>
          </w:p>
        </w:tc>
      </w:tr>
      <w:tr w:rsidR="00682269" w:rsidRPr="00DE4E4F" w14:paraId="144DB50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45043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C0ACE5" w14:textId="5B63B8F3"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1 - 1.1. Power up - 16899_ Hellenic Electricity Distribution Network Operator (HEDNO) HV/MV substations </w:t>
            </w:r>
          </w:p>
        </w:tc>
        <w:tc>
          <w:tcPr>
            <w:tcW w:w="1417" w:type="dxa"/>
            <w:tcBorders>
              <w:top w:val="nil"/>
              <w:left w:val="nil"/>
              <w:bottom w:val="single" w:sz="4" w:space="0" w:color="auto"/>
              <w:right w:val="single" w:sz="4" w:space="0" w:color="auto"/>
            </w:tcBorders>
            <w:shd w:val="clear" w:color="auto" w:fill="C6EFCE"/>
            <w:noWrap/>
            <w:vAlign w:val="center"/>
            <w:hideMark/>
          </w:tcPr>
          <w:p w14:paraId="6DB5960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A492CE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HEDNO — HV/MV substations</w:t>
            </w:r>
          </w:p>
        </w:tc>
      </w:tr>
      <w:tr w:rsidR="00682269" w:rsidRPr="00DE4E4F" w14:paraId="6DE2466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7809A"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7D555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- 16872_Energy renovation on residential buildings</w:t>
            </w:r>
          </w:p>
        </w:tc>
        <w:tc>
          <w:tcPr>
            <w:tcW w:w="1417" w:type="dxa"/>
            <w:tcBorders>
              <w:top w:val="nil"/>
              <w:left w:val="nil"/>
              <w:bottom w:val="single" w:sz="4" w:space="0" w:color="auto"/>
              <w:right w:val="single" w:sz="4" w:space="0" w:color="auto"/>
            </w:tcBorders>
            <w:shd w:val="clear" w:color="auto" w:fill="C6EFCE"/>
            <w:noWrap/>
            <w:vAlign w:val="center"/>
            <w:hideMark/>
          </w:tcPr>
          <w:p w14:paraId="354073D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04A94C57"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Residential renovation – renovation of residences #3</w:t>
            </w:r>
          </w:p>
        </w:tc>
      </w:tr>
      <w:tr w:rsidR="00682269" w:rsidRPr="00DE4E4F" w14:paraId="4A6F15F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B48C8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57F00A9"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- 16879_Preparation of Urban Plans in implementation of the urban policy reform</w:t>
            </w:r>
          </w:p>
        </w:tc>
        <w:tc>
          <w:tcPr>
            <w:tcW w:w="1417" w:type="dxa"/>
            <w:tcBorders>
              <w:top w:val="nil"/>
              <w:left w:val="nil"/>
              <w:bottom w:val="single" w:sz="4" w:space="0" w:color="auto"/>
              <w:right w:val="single" w:sz="4" w:space="0" w:color="auto"/>
            </w:tcBorders>
            <w:shd w:val="clear" w:color="auto" w:fill="C6EFCE"/>
            <w:noWrap/>
            <w:vAlign w:val="center"/>
            <w:hideMark/>
          </w:tcPr>
          <w:p w14:paraId="04493E6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8EB6AD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Preparatory steps for urban plans</w:t>
            </w:r>
          </w:p>
        </w:tc>
      </w:tr>
      <w:tr w:rsidR="00682269" w:rsidRPr="00DE4E4F" w14:paraId="27EC16B8"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A9BC3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A6082E"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- 16894_Establishment of new special spatial planning for RES, industry, and tourism</w:t>
            </w:r>
          </w:p>
        </w:tc>
        <w:tc>
          <w:tcPr>
            <w:tcW w:w="1417" w:type="dxa"/>
            <w:tcBorders>
              <w:top w:val="nil"/>
              <w:left w:val="nil"/>
              <w:bottom w:val="single" w:sz="4" w:space="0" w:color="auto"/>
              <w:right w:val="single" w:sz="4" w:space="0" w:color="auto"/>
            </w:tcBorders>
            <w:shd w:val="clear" w:color="auto" w:fill="C6EFCE"/>
            <w:noWrap/>
            <w:vAlign w:val="center"/>
            <w:hideMark/>
          </w:tcPr>
          <w:p w14:paraId="5094BF20"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575167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Adoption of Special Spatial Frameworks</w:t>
            </w:r>
          </w:p>
        </w:tc>
      </w:tr>
      <w:tr w:rsidR="00682269" w:rsidRPr="00DE4E4F" w14:paraId="63BDC01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3066F0"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6E9D3B7"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- 16874_Energy and entrepreneurship</w:t>
            </w:r>
          </w:p>
        </w:tc>
        <w:tc>
          <w:tcPr>
            <w:tcW w:w="1417" w:type="dxa"/>
            <w:tcBorders>
              <w:top w:val="nil"/>
              <w:left w:val="nil"/>
              <w:bottom w:val="single" w:sz="4" w:space="0" w:color="auto"/>
              <w:right w:val="single" w:sz="4" w:space="0" w:color="auto"/>
            </w:tcBorders>
            <w:shd w:val="clear" w:color="auto" w:fill="C6EFCE"/>
            <w:noWrap/>
            <w:vAlign w:val="center"/>
            <w:hideMark/>
          </w:tcPr>
          <w:p w14:paraId="536BD4B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6ACD5EE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Energy efficiency private sector</w:t>
            </w:r>
          </w:p>
        </w:tc>
      </w:tr>
      <w:tr w:rsidR="00682269" w:rsidRPr="00DE4E4F" w14:paraId="274B77E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802BC6"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1BFB7C"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2 - 1.2. Renovate - 16932_Olympic Athletic Center of Athens</w:t>
            </w:r>
          </w:p>
        </w:tc>
        <w:tc>
          <w:tcPr>
            <w:tcW w:w="1417" w:type="dxa"/>
            <w:tcBorders>
              <w:top w:val="nil"/>
              <w:left w:val="nil"/>
              <w:bottom w:val="single" w:sz="4" w:space="0" w:color="auto"/>
              <w:right w:val="single" w:sz="4" w:space="0" w:color="auto"/>
            </w:tcBorders>
            <w:shd w:val="clear" w:color="auto" w:fill="C6EFCE"/>
            <w:noWrap/>
            <w:vAlign w:val="center"/>
            <w:hideMark/>
          </w:tcPr>
          <w:p w14:paraId="258B9280"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67FFE4B"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OAKA – execution of works</w:t>
            </w:r>
          </w:p>
        </w:tc>
      </w:tr>
      <w:tr w:rsidR="00682269" w:rsidRPr="00DE4E4F" w14:paraId="1630FC7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2888C"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47D10DE"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- 16873_ - Interventions in residential areas and in the building stock</w:t>
            </w:r>
          </w:p>
        </w:tc>
        <w:tc>
          <w:tcPr>
            <w:tcW w:w="1417" w:type="dxa"/>
            <w:tcBorders>
              <w:top w:val="nil"/>
              <w:left w:val="nil"/>
              <w:bottom w:val="single" w:sz="4" w:space="0" w:color="auto"/>
              <w:right w:val="single" w:sz="4" w:space="0" w:color="auto"/>
            </w:tcBorders>
            <w:shd w:val="clear" w:color="auto" w:fill="C6EFCE"/>
            <w:noWrap/>
            <w:vAlign w:val="center"/>
            <w:hideMark/>
          </w:tcPr>
          <w:p w14:paraId="3CFCDC5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B9E626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Urban interventions –</w:t>
            </w:r>
            <w:r w:rsidRPr="00DE4E4F">
              <w:rPr>
                <w:rFonts w:ascii="Times New Roman" w:hAnsi="Times New Roman" w:cs="Times New Roman"/>
                <w:noProof/>
                <w:color w:val="A4262C"/>
                <w:sz w:val="18"/>
                <w:szCs w:val="18"/>
                <w:bdr w:val="none" w:sz="0" w:space="0" w:color="auto" w:frame="1"/>
              </w:rPr>
              <w:t xml:space="preserve"> </w:t>
            </w:r>
            <w:r w:rsidRPr="00DE4E4F">
              <w:rPr>
                <w:rFonts w:ascii="Times New Roman" w:hAnsi="Times New Roman"/>
                <w:noProof/>
                <w:sz w:val="18"/>
              </w:rPr>
              <w:t>Execution of works</w:t>
            </w:r>
          </w:p>
        </w:tc>
      </w:tr>
      <w:tr w:rsidR="00682269" w:rsidRPr="00DE4E4F" w14:paraId="253D432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52BAF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0DBB674"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- 16875_Infrastructure development and buildings’ restoration in former royal estate in Tatoi</w:t>
            </w:r>
          </w:p>
        </w:tc>
        <w:tc>
          <w:tcPr>
            <w:tcW w:w="1417" w:type="dxa"/>
            <w:tcBorders>
              <w:top w:val="nil"/>
              <w:left w:val="nil"/>
              <w:bottom w:val="single" w:sz="4" w:space="0" w:color="auto"/>
              <w:right w:val="single" w:sz="4" w:space="0" w:color="auto"/>
            </w:tcBorders>
            <w:shd w:val="clear" w:color="auto" w:fill="C6EFCE"/>
            <w:noWrap/>
            <w:vAlign w:val="center"/>
            <w:hideMark/>
          </w:tcPr>
          <w:p w14:paraId="77F34B7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BA21CF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Tatoi – restored</w:t>
            </w:r>
          </w:p>
        </w:tc>
      </w:tr>
      <w:tr w:rsidR="00682269" w:rsidRPr="00DE4E4F" w14:paraId="1849F8E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464E2B"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318C08"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3 - 1.3. Recharge and refuel - 16924_ Electromobility</w:t>
            </w:r>
          </w:p>
        </w:tc>
        <w:tc>
          <w:tcPr>
            <w:tcW w:w="1417" w:type="dxa"/>
            <w:tcBorders>
              <w:top w:val="nil"/>
              <w:left w:val="nil"/>
              <w:bottom w:val="single" w:sz="4" w:space="0" w:color="auto"/>
              <w:right w:val="single" w:sz="4" w:space="0" w:color="auto"/>
            </w:tcBorders>
            <w:shd w:val="clear" w:color="auto" w:fill="C6EFCE"/>
            <w:noWrap/>
            <w:vAlign w:val="center"/>
            <w:hideMark/>
          </w:tcPr>
          <w:p w14:paraId="25D5E287"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196023CC" w14:textId="54358F1E" w:rsidR="001B186F" w:rsidRPr="00DE4E4F" w:rsidRDefault="0036243E"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Busses – replacement with electric ones and entry into force of legal provisions on ownership of Organisation of Urban Transportation of Thessaloniki (OASTH)</w:t>
            </w:r>
          </w:p>
        </w:tc>
      </w:tr>
      <w:tr w:rsidR="00682269" w:rsidRPr="00DE4E4F" w14:paraId="17BA257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DEFE80"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DD6580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- 16831_Produc- E Green</w:t>
            </w:r>
          </w:p>
        </w:tc>
        <w:tc>
          <w:tcPr>
            <w:tcW w:w="1417" w:type="dxa"/>
            <w:tcBorders>
              <w:top w:val="nil"/>
              <w:left w:val="nil"/>
              <w:bottom w:val="single" w:sz="4" w:space="0" w:color="auto"/>
              <w:right w:val="single" w:sz="4" w:space="0" w:color="auto"/>
            </w:tcBorders>
            <w:shd w:val="clear" w:color="auto" w:fill="C6EFCE"/>
            <w:noWrap/>
            <w:vAlign w:val="center"/>
            <w:hideMark/>
          </w:tcPr>
          <w:p w14:paraId="32FB0098"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252A614" w14:textId="0CF47A84" w:rsidR="001B186F" w:rsidRPr="00DE4E4F" w:rsidRDefault="007F190D"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eastAsia="Times New Roman" w:hAnsi="Times New Roman" w:cs="Times New Roman"/>
                <w:noProof/>
                <w:sz w:val="18"/>
                <w:szCs w:val="18"/>
              </w:rPr>
              <w:t>CCS – Platform and approval of permits</w:t>
            </w:r>
          </w:p>
        </w:tc>
      </w:tr>
      <w:tr w:rsidR="00682269" w:rsidRPr="00DE4E4F" w14:paraId="3FFA3D2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3BCB5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F4167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3 - 1.3. Recharge and refuel – 16831_Produc- E Green</w:t>
            </w:r>
          </w:p>
        </w:tc>
        <w:tc>
          <w:tcPr>
            <w:tcW w:w="1417" w:type="dxa"/>
            <w:tcBorders>
              <w:top w:val="nil"/>
              <w:left w:val="nil"/>
              <w:bottom w:val="single" w:sz="4" w:space="0" w:color="auto"/>
              <w:right w:val="single" w:sz="4" w:space="0" w:color="auto"/>
            </w:tcBorders>
            <w:shd w:val="clear" w:color="auto" w:fill="C6EFCE"/>
            <w:noWrap/>
            <w:vAlign w:val="center"/>
            <w:hideMark/>
          </w:tcPr>
          <w:p w14:paraId="720F32A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C17969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Industrial units – completion of construction works and installation of equipment </w:t>
            </w:r>
          </w:p>
        </w:tc>
      </w:tr>
      <w:tr w:rsidR="00682269" w:rsidRPr="00DE4E4F" w14:paraId="2866FC93"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08265A"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59a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B44535"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4- 1.4. Sustainable use of resources, climate resilience and environmental protection - 16772_Waste management law for sustainable landfilling and recycling</w:t>
            </w:r>
          </w:p>
        </w:tc>
        <w:tc>
          <w:tcPr>
            <w:tcW w:w="1417" w:type="dxa"/>
            <w:tcBorders>
              <w:top w:val="nil"/>
              <w:left w:val="nil"/>
              <w:bottom w:val="single" w:sz="4" w:space="0" w:color="auto"/>
              <w:right w:val="single" w:sz="4" w:space="0" w:color="auto"/>
            </w:tcBorders>
            <w:shd w:val="clear" w:color="auto" w:fill="C6EFCE"/>
            <w:noWrap/>
            <w:vAlign w:val="center"/>
            <w:hideMark/>
          </w:tcPr>
          <w:p w14:paraId="33CFB522"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26499A4" w14:textId="466DC264" w:rsidR="001B186F" w:rsidRPr="00DE4E4F" w:rsidRDefault="2273494C" w:rsidP="00BE2B84">
            <w:pPr>
              <w:keepNext/>
              <w:spacing w:before="40" w:after="0" w:line="240" w:lineRule="auto"/>
              <w:jc w:val="both"/>
              <w:rPr>
                <w:rFonts w:ascii="Times New Roman" w:hAnsi="Times New Roman"/>
                <w:noProof/>
                <w:sz w:val="18"/>
                <w:szCs w:val="18"/>
              </w:rPr>
            </w:pPr>
            <w:r w:rsidRPr="00DE4E4F">
              <w:rPr>
                <w:rFonts w:ascii="Times New Roman" w:eastAsia="Times New Roman" w:hAnsi="Times New Roman" w:cs="Times New Roman"/>
                <w:noProof/>
                <w:color w:val="212121"/>
                <w:sz w:val="18"/>
                <w:szCs w:val="18"/>
              </w:rPr>
              <w:t>Assessment of the Managerial adequacy</w:t>
            </w:r>
            <w:r w:rsidRPr="00DE4E4F">
              <w:rPr>
                <w:rFonts w:ascii="Times New Roman" w:hAnsi="Times New Roman"/>
                <w:noProof/>
                <w:sz w:val="18"/>
                <w:szCs w:val="18"/>
              </w:rPr>
              <w:t xml:space="preserve"> </w:t>
            </w:r>
            <w:r w:rsidR="0074517F" w:rsidRPr="00DE4E4F">
              <w:rPr>
                <w:rFonts w:ascii="Times New Roman" w:hAnsi="Times New Roman"/>
                <w:noProof/>
                <w:sz w:val="18"/>
                <w:szCs w:val="18"/>
              </w:rPr>
              <w:t>of the solid waste management bodies (FODSAs) by the Regulatory Authority</w:t>
            </w:r>
          </w:p>
        </w:tc>
      </w:tr>
      <w:tr w:rsidR="00682269" w:rsidRPr="00DE4E4F" w14:paraId="2B11635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F45EA2"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6DF2E69"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- 16849_National Reforestation Plan, restoration and prevention (“antiNERO”), anti-erosion and flood protection measures</w:t>
            </w:r>
          </w:p>
        </w:tc>
        <w:tc>
          <w:tcPr>
            <w:tcW w:w="1417" w:type="dxa"/>
            <w:tcBorders>
              <w:top w:val="nil"/>
              <w:left w:val="nil"/>
              <w:bottom w:val="single" w:sz="4" w:space="0" w:color="auto"/>
              <w:right w:val="single" w:sz="4" w:space="0" w:color="auto"/>
            </w:tcBorders>
            <w:shd w:val="clear" w:color="auto" w:fill="C6EFCE"/>
            <w:noWrap/>
            <w:vAlign w:val="center"/>
            <w:hideMark/>
          </w:tcPr>
          <w:p w14:paraId="1B046FE0"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444B646"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Reforestation, restoration and prevention - execution</w:t>
            </w:r>
          </w:p>
        </w:tc>
      </w:tr>
      <w:tr w:rsidR="00682269" w:rsidRPr="00DE4E4F" w14:paraId="31149B1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1DA8A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DBB52E"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- 16851_Biodiversity protection as a driver for sustainable growth</w:t>
            </w:r>
          </w:p>
        </w:tc>
        <w:tc>
          <w:tcPr>
            <w:tcW w:w="1417" w:type="dxa"/>
            <w:tcBorders>
              <w:top w:val="nil"/>
              <w:left w:val="nil"/>
              <w:bottom w:val="single" w:sz="4" w:space="0" w:color="auto"/>
              <w:right w:val="single" w:sz="4" w:space="0" w:color="auto"/>
            </w:tcBorders>
            <w:shd w:val="clear" w:color="auto" w:fill="C6EFCE"/>
            <w:noWrap/>
            <w:vAlign w:val="center"/>
            <w:hideMark/>
          </w:tcPr>
          <w:p w14:paraId="20C28D7D"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2BABDE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Biodiversity</w:t>
            </w:r>
          </w:p>
        </w:tc>
      </w:tr>
      <w:tr w:rsidR="00682269" w:rsidRPr="00DE4E4F" w14:paraId="4BC65E9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E8F90F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B8F6A5" w14:textId="7BC74453"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 xml:space="preserve">4 - 1.4. Sustainable use of resources, climate resilience and environmental protection - 16846_ </w:t>
            </w:r>
            <w:r w:rsidR="514A7007" w:rsidRPr="00DE4E4F">
              <w:rPr>
                <w:rFonts w:ascii="Times New Roman" w:hAnsi="Times New Roman"/>
                <w:noProof/>
                <w:sz w:val="18"/>
                <w:szCs w:val="18"/>
              </w:rPr>
              <w:t xml:space="preserve">Urban Wastewater and Sludge Management Infrastructures and </w:t>
            </w:r>
            <w:r w:rsidR="2F10876C" w:rsidRPr="00DE4E4F">
              <w:rPr>
                <w:rFonts w:ascii="Times New Roman" w:hAnsi="Times New Roman"/>
                <w:noProof/>
                <w:sz w:val="18"/>
                <w:szCs w:val="18"/>
              </w:rPr>
              <w:t>Purchase</w:t>
            </w:r>
            <w:r w:rsidR="514A7007" w:rsidRPr="00DE4E4F">
              <w:rPr>
                <w:rFonts w:ascii="Times New Roman" w:hAnsi="Times New Roman"/>
                <w:noProof/>
                <w:sz w:val="18"/>
                <w:szCs w:val="18"/>
              </w:rPr>
              <w:t xml:space="preserve"> of Municipal Waste Management Equipment</w:t>
            </w:r>
          </w:p>
        </w:tc>
        <w:tc>
          <w:tcPr>
            <w:tcW w:w="1417" w:type="dxa"/>
            <w:tcBorders>
              <w:top w:val="nil"/>
              <w:left w:val="nil"/>
              <w:bottom w:val="single" w:sz="4" w:space="0" w:color="auto"/>
              <w:right w:val="single" w:sz="4" w:space="0" w:color="auto"/>
            </w:tcBorders>
            <w:shd w:val="clear" w:color="auto" w:fill="C6EFCE"/>
            <w:noWrap/>
            <w:vAlign w:val="center"/>
            <w:hideMark/>
          </w:tcPr>
          <w:p w14:paraId="26DB0AA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C34AC64"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Urban Wastewater and Sludge Management Infrastructure projects constructed</w:t>
            </w:r>
          </w:p>
        </w:tc>
      </w:tr>
      <w:tr w:rsidR="68750629" w:rsidRPr="00DE4E4F" w14:paraId="4D6E80A8"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122B55" w14:textId="0B4DA56B" w:rsidR="68750629" w:rsidRPr="00DE4E4F" w:rsidRDefault="594ECB53"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73a</w:t>
            </w:r>
            <w:r w:rsidR="00102608" w:rsidRPr="00DE4E4F">
              <w:rPr>
                <w:rFonts w:ascii="Times New Roman" w:hAnsi="Times New Roman"/>
                <w:noProof/>
                <w:sz w:val="18"/>
                <w:szCs w:val="18"/>
              </w:rPr>
              <w:t xml:space="preserve"> </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9BE80D" w14:textId="7AC49B41" w:rsidR="68750629" w:rsidRPr="00DE4E4F" w:rsidRDefault="002952FA"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4 - 1.4. Sustainable use of resources, climate resilience and environmental protection - 16846_ Urban Wastewater and Sludge Management Infrastructures and Purchase of Municipal Waste Management Equipment</w:t>
            </w:r>
          </w:p>
        </w:tc>
        <w:tc>
          <w:tcPr>
            <w:tcW w:w="1417" w:type="dxa"/>
            <w:tcBorders>
              <w:top w:val="nil"/>
              <w:left w:val="nil"/>
              <w:bottom w:val="single" w:sz="4" w:space="0" w:color="auto"/>
              <w:right w:val="single" w:sz="4" w:space="0" w:color="auto"/>
            </w:tcBorders>
            <w:shd w:val="clear" w:color="auto" w:fill="C6EFCE"/>
            <w:noWrap/>
            <w:vAlign w:val="center"/>
            <w:hideMark/>
          </w:tcPr>
          <w:p w14:paraId="497699F8" w14:textId="10D3626E" w:rsidR="68750629" w:rsidRPr="00DE4E4F" w:rsidRDefault="002952FA"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059CCD99" w14:textId="191F65F0" w:rsidR="68750629" w:rsidRPr="00DE4E4F" w:rsidRDefault="002952FA"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Purchase of 130 electric waste collection vehicles</w:t>
            </w:r>
          </w:p>
        </w:tc>
      </w:tr>
      <w:tr w:rsidR="00682269" w:rsidRPr="00DE4E4F" w14:paraId="5ED6FD48"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2837D4" w14:textId="7BC8345C"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5F2797C" w14:textId="0861E82D"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w:t>
            </w:r>
            <w:r w:rsidR="00102608" w:rsidRPr="00DE4E4F">
              <w:rPr>
                <w:rFonts w:ascii="Times New Roman" w:hAnsi="Times New Roman"/>
                <w:noProof/>
                <w:sz w:val="18"/>
              </w:rPr>
              <w:t xml:space="preserve"> </w:t>
            </w:r>
            <w:r w:rsidR="0063324A" w:rsidRPr="00DE4E4F">
              <w:rPr>
                <w:rFonts w:ascii="Times New Roman" w:hAnsi="Times New Roman"/>
                <w:noProof/>
                <w:sz w:val="18"/>
              </w:rPr>
              <w:t xml:space="preserve">Sustainable use of resources, climate resilience and environmental protection - 16850_Drinking Water Supply and Saving </w:t>
            </w:r>
            <w:r w:rsidR="00D10DCF" w:rsidRPr="00DE4E4F">
              <w:rPr>
                <w:rFonts w:ascii="Times New Roman" w:hAnsi="Times New Roman"/>
                <w:noProof/>
                <w:sz w:val="18"/>
              </w:rPr>
              <w:t>projects</w:t>
            </w:r>
          </w:p>
        </w:tc>
        <w:tc>
          <w:tcPr>
            <w:tcW w:w="1417" w:type="dxa"/>
            <w:tcBorders>
              <w:top w:val="nil"/>
              <w:left w:val="nil"/>
              <w:bottom w:val="single" w:sz="4" w:space="0" w:color="auto"/>
              <w:right w:val="single" w:sz="4" w:space="0" w:color="auto"/>
            </w:tcBorders>
            <w:shd w:val="clear" w:color="auto" w:fill="C6EFCE"/>
            <w:noWrap/>
            <w:vAlign w:val="center"/>
            <w:hideMark/>
          </w:tcPr>
          <w:p w14:paraId="222B701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778580E" w14:textId="25D7EC3B" w:rsidR="001B186F" w:rsidRPr="00DE4E4F" w:rsidRDefault="00EC6BB8"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eastAsia="Times New Roman" w:hAnsi="Times New Roman" w:cs="Times New Roman"/>
                <w:noProof/>
                <w:sz w:val="18"/>
                <w:szCs w:val="18"/>
              </w:rPr>
              <w:t>Water Supply and Saving projects</w:t>
            </w:r>
          </w:p>
        </w:tc>
      </w:tr>
      <w:tr w:rsidR="00682269" w:rsidRPr="00DE4E4F" w14:paraId="7F5A5A6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BF981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 xml:space="preserve"> 81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93A512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- 16910_Civil protection management and monitoring</w:t>
            </w:r>
          </w:p>
        </w:tc>
        <w:tc>
          <w:tcPr>
            <w:tcW w:w="1417" w:type="dxa"/>
            <w:tcBorders>
              <w:top w:val="nil"/>
              <w:left w:val="nil"/>
              <w:bottom w:val="single" w:sz="4" w:space="0" w:color="auto"/>
              <w:right w:val="single" w:sz="4" w:space="0" w:color="auto"/>
            </w:tcBorders>
            <w:shd w:val="clear" w:color="auto" w:fill="C6EFCE"/>
            <w:noWrap/>
            <w:vAlign w:val="center"/>
            <w:hideMark/>
          </w:tcPr>
          <w:p w14:paraId="7D48BC0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A635254" w14:textId="77530E80" w:rsidR="001B186F" w:rsidRPr="00DE4E4F" w:rsidRDefault="005F659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Delivery of equipment and construction and renovation works in pre-defined buildings</w:t>
            </w:r>
          </w:p>
        </w:tc>
      </w:tr>
      <w:tr w:rsidR="00682269" w:rsidRPr="00DE4E4F" w14:paraId="5D294B9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4BCF6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F5F96AE"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- 16911_Aerial means for crisis management</w:t>
            </w:r>
          </w:p>
        </w:tc>
        <w:tc>
          <w:tcPr>
            <w:tcW w:w="1417" w:type="dxa"/>
            <w:tcBorders>
              <w:top w:val="nil"/>
              <w:left w:val="nil"/>
              <w:bottom w:val="single" w:sz="4" w:space="0" w:color="auto"/>
              <w:right w:val="single" w:sz="4" w:space="0" w:color="auto"/>
            </w:tcBorders>
            <w:shd w:val="clear" w:color="auto" w:fill="C6EFCE"/>
            <w:noWrap/>
            <w:vAlign w:val="center"/>
            <w:hideMark/>
          </w:tcPr>
          <w:p w14:paraId="31244DE7"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8CD75B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Completion of project of aerial means for crisis management</w:t>
            </w:r>
          </w:p>
        </w:tc>
      </w:tr>
      <w:tr w:rsidR="00682269" w:rsidRPr="00DE4E4F" w14:paraId="2BA7154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4469BF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DAACC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4 - 1.4. Sustainable use of resources, climate resilience and environmental protection - 16912_Forest firefighting, prevention and response equipment</w:t>
            </w:r>
          </w:p>
        </w:tc>
        <w:tc>
          <w:tcPr>
            <w:tcW w:w="1417" w:type="dxa"/>
            <w:tcBorders>
              <w:top w:val="nil"/>
              <w:left w:val="nil"/>
              <w:bottom w:val="single" w:sz="4" w:space="0" w:color="auto"/>
              <w:right w:val="single" w:sz="4" w:space="0" w:color="auto"/>
            </w:tcBorders>
            <w:shd w:val="clear" w:color="auto" w:fill="C6EFCE"/>
            <w:noWrap/>
            <w:vAlign w:val="center"/>
            <w:hideMark/>
          </w:tcPr>
          <w:p w14:paraId="2722F170"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295108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Completion of forest fighting equipment</w:t>
            </w:r>
          </w:p>
        </w:tc>
      </w:tr>
      <w:tr w:rsidR="00682269" w:rsidRPr="00DE4E4F" w14:paraId="511ACAB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43E74A23" w14:textId="77777777" w:rsidR="001B186F" w:rsidRPr="00DE4E4F" w:rsidRDefault="0074517F" w:rsidP="00BE2B84">
            <w:pPr>
              <w:spacing w:line="240" w:lineRule="auto"/>
              <w:jc w:val="both"/>
              <w:rPr>
                <w:rFonts w:ascii="Times New Roman" w:hAnsi="Times New Roman"/>
                <w:noProof/>
                <w:sz w:val="18"/>
              </w:rPr>
            </w:pPr>
            <w:r w:rsidRPr="00DE4E4F">
              <w:rPr>
                <w:rFonts w:ascii="Times New Roman" w:hAnsi="Times New Roman"/>
                <w:noProof/>
                <w:sz w:val="18"/>
                <w:szCs w:val="18"/>
              </w:rPr>
              <w:t>316</w:t>
            </w:r>
          </w:p>
        </w:tc>
        <w:tc>
          <w:tcPr>
            <w:tcW w:w="4820" w:type="dxa"/>
            <w:tcBorders>
              <w:top w:val="nil"/>
              <w:left w:val="single" w:sz="4" w:space="0" w:color="auto"/>
              <w:bottom w:val="single" w:sz="4" w:space="0" w:color="auto"/>
              <w:right w:val="single" w:sz="4" w:space="0" w:color="auto"/>
            </w:tcBorders>
            <w:shd w:val="clear" w:color="auto" w:fill="C6EFCE"/>
            <w:noWrap/>
          </w:tcPr>
          <w:p w14:paraId="1B14044C" w14:textId="77777777" w:rsidR="001B186F" w:rsidRPr="00DE4E4F" w:rsidRDefault="0074517F" w:rsidP="00BE2B84">
            <w:pPr>
              <w:spacing w:line="240" w:lineRule="auto"/>
              <w:jc w:val="both"/>
              <w:rPr>
                <w:rFonts w:ascii="Times New Roman" w:hAnsi="Times New Roman"/>
                <w:noProof/>
                <w:sz w:val="18"/>
              </w:rPr>
            </w:pPr>
            <w:r w:rsidRPr="00DE4E4F">
              <w:rPr>
                <w:rFonts w:ascii="Times New Roman" w:hAnsi="Times New Roman"/>
                <w:noProof/>
                <w:sz w:val="18"/>
              </w:rPr>
              <w:t>4 - 1.4. Sustainable use of resources, climate resilience and environmental protection - 16285_ National Water Strategy</w:t>
            </w:r>
          </w:p>
        </w:tc>
        <w:tc>
          <w:tcPr>
            <w:tcW w:w="1417" w:type="dxa"/>
            <w:tcBorders>
              <w:top w:val="nil"/>
              <w:left w:val="nil"/>
              <w:bottom w:val="single" w:sz="4" w:space="0" w:color="auto"/>
              <w:right w:val="single" w:sz="4" w:space="0" w:color="auto"/>
            </w:tcBorders>
            <w:shd w:val="clear" w:color="auto" w:fill="C6EFCE"/>
            <w:noWrap/>
          </w:tcPr>
          <w:p w14:paraId="69F59A71" w14:textId="77777777" w:rsidR="001B186F" w:rsidRPr="00DE4E4F" w:rsidRDefault="0074517F" w:rsidP="00BE2B84">
            <w:pPr>
              <w:spacing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tcPr>
          <w:p w14:paraId="0E32E228" w14:textId="77777777" w:rsidR="001B186F" w:rsidRPr="00DE4E4F" w:rsidRDefault="0074517F" w:rsidP="00BE2B84">
            <w:pPr>
              <w:spacing w:line="240" w:lineRule="auto"/>
              <w:jc w:val="both"/>
              <w:rPr>
                <w:rFonts w:ascii="Times New Roman" w:hAnsi="Times New Roman"/>
                <w:noProof/>
                <w:sz w:val="18"/>
              </w:rPr>
            </w:pPr>
            <w:r w:rsidRPr="00DE4E4F">
              <w:rPr>
                <w:rFonts w:ascii="Times New Roman" w:hAnsi="Times New Roman"/>
                <w:noProof/>
                <w:sz w:val="18"/>
              </w:rPr>
              <w:t>National Water Strategy, and expansion of responsibilities of two water utilities</w:t>
            </w:r>
          </w:p>
        </w:tc>
      </w:tr>
      <w:tr w:rsidR="00682269" w:rsidRPr="00DE4E4F" w14:paraId="050DF48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DBD1D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D0D0BE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5 - 2.1. Connect - 16818_Fiber optic infrastructure in buildings</w:t>
            </w:r>
          </w:p>
        </w:tc>
        <w:tc>
          <w:tcPr>
            <w:tcW w:w="1417" w:type="dxa"/>
            <w:tcBorders>
              <w:top w:val="nil"/>
              <w:left w:val="nil"/>
              <w:bottom w:val="single" w:sz="4" w:space="0" w:color="auto"/>
              <w:right w:val="single" w:sz="4" w:space="0" w:color="auto"/>
            </w:tcBorders>
            <w:shd w:val="clear" w:color="auto" w:fill="C6EFCE"/>
            <w:noWrap/>
            <w:vAlign w:val="center"/>
            <w:hideMark/>
          </w:tcPr>
          <w:p w14:paraId="188D7F1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07528D9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Execution of the ‘Fiber optic infrastructure in buildings’ project</w:t>
            </w:r>
          </w:p>
        </w:tc>
      </w:tr>
      <w:tr w:rsidR="00955F04" w:rsidRPr="00DE4E4F" w14:paraId="0CC7967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21493" w14:textId="3719CDD8" w:rsidR="00955F04" w:rsidRPr="00DE4E4F" w:rsidRDefault="00955F04"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92a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B2C373A" w14:textId="47218A45" w:rsidR="00955F04" w:rsidRPr="00DE4E4F" w:rsidRDefault="00955F04"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5 - 2.1. Connect - 16855_Small-satellites</w:t>
            </w:r>
          </w:p>
        </w:tc>
        <w:tc>
          <w:tcPr>
            <w:tcW w:w="1417" w:type="dxa"/>
            <w:tcBorders>
              <w:top w:val="nil"/>
              <w:left w:val="nil"/>
              <w:bottom w:val="single" w:sz="4" w:space="0" w:color="auto"/>
              <w:right w:val="single" w:sz="4" w:space="0" w:color="auto"/>
            </w:tcBorders>
            <w:shd w:val="clear" w:color="auto" w:fill="C6EFCE"/>
            <w:noWrap/>
            <w:vAlign w:val="center"/>
          </w:tcPr>
          <w:p w14:paraId="0A4F6E29" w14:textId="78710AA3" w:rsidR="00955F04" w:rsidRPr="00DE4E4F" w:rsidRDefault="00955F04"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2441D651" w14:textId="716A0F30" w:rsidR="00955F04" w:rsidRPr="00DE4E4F" w:rsidRDefault="005D1124" w:rsidP="005F529E">
            <w:pPr>
              <w:keepNext/>
              <w:spacing w:before="40" w:after="0" w:line="240" w:lineRule="auto"/>
              <w:jc w:val="both"/>
              <w:rPr>
                <w:rFonts w:ascii="Times New Roman" w:hAnsi="Times New Roman"/>
                <w:noProof/>
                <w:sz w:val="18"/>
              </w:rPr>
            </w:pPr>
            <w:r w:rsidRPr="00DE4E4F">
              <w:rPr>
                <w:rFonts w:ascii="Times New Roman" w:hAnsi="Times New Roman"/>
                <w:noProof/>
                <w:sz w:val="18"/>
              </w:rPr>
              <w:t>Signature of the amendment to the Project Arrangement, and transfer of the funds</w:t>
            </w:r>
          </w:p>
        </w:tc>
      </w:tr>
      <w:tr w:rsidR="00682269" w:rsidRPr="00DE4E4F" w14:paraId="26234C7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819C"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D72A7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6 - 2.2. Modernise - 16778_Digitisation of archives and related services</w:t>
            </w:r>
          </w:p>
        </w:tc>
        <w:tc>
          <w:tcPr>
            <w:tcW w:w="1417" w:type="dxa"/>
            <w:tcBorders>
              <w:top w:val="nil"/>
              <w:left w:val="nil"/>
              <w:bottom w:val="single" w:sz="4" w:space="0" w:color="auto"/>
              <w:right w:val="single" w:sz="4" w:space="0" w:color="auto"/>
            </w:tcBorders>
            <w:shd w:val="clear" w:color="auto" w:fill="C6EFCE"/>
            <w:noWrap/>
            <w:vAlign w:val="center"/>
            <w:hideMark/>
          </w:tcPr>
          <w:p w14:paraId="03850D8C"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265601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Digitisation of archives</w:t>
            </w:r>
          </w:p>
        </w:tc>
      </w:tr>
      <w:tr w:rsidR="00682269" w:rsidRPr="00DE4E4F" w14:paraId="008130A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390E0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EDB0C9D"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6 - 2.2. Modernise - 16929_Towards Public Administration’s “customer”-oriented services through simplification and improvement of processes, systems enhancements and compliance with European strategies and policies</w:t>
            </w:r>
          </w:p>
        </w:tc>
        <w:tc>
          <w:tcPr>
            <w:tcW w:w="1417" w:type="dxa"/>
            <w:tcBorders>
              <w:top w:val="nil"/>
              <w:left w:val="nil"/>
              <w:bottom w:val="single" w:sz="4" w:space="0" w:color="auto"/>
              <w:right w:val="single" w:sz="4" w:space="0" w:color="auto"/>
            </w:tcBorders>
            <w:shd w:val="clear" w:color="auto" w:fill="C6EFCE"/>
            <w:noWrap/>
            <w:vAlign w:val="center"/>
            <w:hideMark/>
          </w:tcPr>
          <w:p w14:paraId="247FAB1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0D46DB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Reducing administrative burden in the public administration</w:t>
            </w:r>
          </w:p>
        </w:tc>
      </w:tr>
      <w:tr w:rsidR="00682269" w:rsidRPr="00DE4E4F" w14:paraId="6C8C682A" w14:textId="77777777" w:rsidTr="00BE2B84">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4ABE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108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B43F1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6 - 2.2. Modernise – 16779_Web services and Next Generation Interoperability Centre (KED)</w:t>
            </w:r>
          </w:p>
        </w:tc>
        <w:tc>
          <w:tcPr>
            <w:tcW w:w="1417" w:type="dxa"/>
            <w:tcBorders>
              <w:top w:val="nil"/>
              <w:left w:val="nil"/>
              <w:bottom w:val="single" w:sz="4" w:space="0" w:color="auto"/>
              <w:right w:val="single" w:sz="4" w:space="0" w:color="auto"/>
            </w:tcBorders>
            <w:shd w:val="clear" w:color="auto" w:fill="C6EFCE"/>
            <w:noWrap/>
            <w:vAlign w:val="center"/>
          </w:tcPr>
          <w:p w14:paraId="2FE66B18"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5A7419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cs="Times New Roman"/>
                <w:noProof/>
                <w:sz w:val="18"/>
                <w:szCs w:val="18"/>
              </w:rPr>
              <w:t>Delivery of web services and Next Generation Interoperability Centre (KED)</w:t>
            </w:r>
          </w:p>
        </w:tc>
      </w:tr>
      <w:tr w:rsidR="00682269" w:rsidRPr="00DE4E4F" w14:paraId="46754E5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50E70"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110b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887D034"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6 - 2.2. Modernise - 16780_Modernisation of Public Administration’s One-Stop Shops</w:t>
            </w:r>
          </w:p>
        </w:tc>
        <w:tc>
          <w:tcPr>
            <w:tcW w:w="1417" w:type="dxa"/>
            <w:tcBorders>
              <w:top w:val="nil"/>
              <w:left w:val="nil"/>
              <w:bottom w:val="single" w:sz="4" w:space="0" w:color="auto"/>
              <w:right w:val="single" w:sz="4" w:space="0" w:color="auto"/>
            </w:tcBorders>
            <w:shd w:val="clear" w:color="auto" w:fill="C6EFCE"/>
            <w:noWrap/>
            <w:vAlign w:val="center"/>
          </w:tcPr>
          <w:p w14:paraId="1D4B3BDA"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A43CF51"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Renovation of public administration’s one-stop-shops </w:t>
            </w:r>
          </w:p>
        </w:tc>
      </w:tr>
      <w:tr w:rsidR="00682269" w:rsidRPr="00DE4E4F" w14:paraId="21B26171"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D4A1E85"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81846C"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- 16736_New system for Public Procurements</w:t>
            </w:r>
          </w:p>
        </w:tc>
        <w:tc>
          <w:tcPr>
            <w:tcW w:w="1417" w:type="dxa"/>
            <w:tcBorders>
              <w:top w:val="nil"/>
              <w:left w:val="nil"/>
              <w:bottom w:val="single" w:sz="4" w:space="0" w:color="auto"/>
              <w:right w:val="single" w:sz="4" w:space="0" w:color="auto"/>
            </w:tcBorders>
            <w:shd w:val="clear" w:color="auto" w:fill="C6EFCE"/>
            <w:noWrap/>
            <w:vAlign w:val="center"/>
            <w:hideMark/>
          </w:tcPr>
          <w:p w14:paraId="66C1EE3C"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8DD6D2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the new system for public procurement</w:t>
            </w:r>
          </w:p>
        </w:tc>
      </w:tr>
      <w:tr w:rsidR="00682269" w:rsidRPr="00DE4E4F" w14:paraId="2B530E31"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50FCD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4FFFD25" w14:textId="7F903FFB"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- 16824_E</w:t>
            </w:r>
            <w:r w:rsidR="000F4ECD">
              <w:rPr>
                <w:rFonts w:ascii="Times New Roman" w:hAnsi="Times New Roman"/>
                <w:noProof/>
                <w:sz w:val="18"/>
              </w:rPr>
              <w:t>-</w:t>
            </w:r>
            <w:r w:rsidRPr="00DE4E4F">
              <w:rPr>
                <w:rFonts w:ascii="Times New Roman" w:hAnsi="Times New Roman"/>
                <w:noProof/>
                <w:sz w:val="18"/>
              </w:rPr>
              <w:t>Registries</w:t>
            </w:r>
          </w:p>
        </w:tc>
        <w:tc>
          <w:tcPr>
            <w:tcW w:w="1417" w:type="dxa"/>
            <w:tcBorders>
              <w:top w:val="nil"/>
              <w:left w:val="nil"/>
              <w:bottom w:val="single" w:sz="4" w:space="0" w:color="auto"/>
              <w:right w:val="single" w:sz="4" w:space="0" w:color="auto"/>
            </w:tcBorders>
            <w:shd w:val="clear" w:color="auto" w:fill="C6EFCE"/>
            <w:noWrap/>
            <w:vAlign w:val="center"/>
            <w:hideMark/>
          </w:tcPr>
          <w:p w14:paraId="4B9F741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F369085" w14:textId="46808CEE" w:rsidR="001B186F" w:rsidRPr="00DE4E4F" w:rsidRDefault="006B7878"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e-registries and</w:t>
            </w:r>
            <w:r w:rsidR="00422BE8" w:rsidRPr="00DE4E4F">
              <w:rPr>
                <w:rFonts w:ascii="Times New Roman" w:hAnsi="Times New Roman"/>
                <w:noProof/>
                <w:sz w:val="18"/>
              </w:rPr>
              <w:t xml:space="preserve"> / or</w:t>
            </w:r>
            <w:r w:rsidRPr="00DE4E4F">
              <w:rPr>
                <w:rFonts w:ascii="Times New Roman" w:hAnsi="Times New Roman"/>
                <w:noProof/>
                <w:sz w:val="18"/>
              </w:rPr>
              <w:t xml:space="preserve"> platforms</w:t>
            </w:r>
          </w:p>
        </w:tc>
      </w:tr>
      <w:tr w:rsidR="00682269" w:rsidRPr="00DE4E4F" w14:paraId="7515EF7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54396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62B08D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- 16854_Smart cities</w:t>
            </w:r>
          </w:p>
        </w:tc>
        <w:tc>
          <w:tcPr>
            <w:tcW w:w="1417" w:type="dxa"/>
            <w:tcBorders>
              <w:top w:val="nil"/>
              <w:left w:val="nil"/>
              <w:bottom w:val="single" w:sz="4" w:space="0" w:color="auto"/>
              <w:right w:val="single" w:sz="4" w:space="0" w:color="auto"/>
            </w:tcBorders>
            <w:shd w:val="clear" w:color="auto" w:fill="C6EFCE"/>
            <w:noWrap/>
            <w:vAlign w:val="center"/>
            <w:hideMark/>
          </w:tcPr>
          <w:p w14:paraId="2BFE496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55533B47"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“smart city” projects</w:t>
            </w:r>
          </w:p>
        </w:tc>
      </w:tr>
      <w:tr w:rsidR="00682269" w:rsidRPr="00DE4E4F" w14:paraId="13B8ED6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910F9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910A9E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- 16928_Incorporation of new technologies and trends towards Public Administration’s advanced services, increase of efficiency and effectiveness, and decrease of systems operating, upgrade and maintenance costs</w:t>
            </w:r>
          </w:p>
        </w:tc>
        <w:tc>
          <w:tcPr>
            <w:tcW w:w="1417" w:type="dxa"/>
            <w:tcBorders>
              <w:top w:val="nil"/>
              <w:left w:val="nil"/>
              <w:bottom w:val="single" w:sz="4" w:space="0" w:color="auto"/>
              <w:right w:val="single" w:sz="4" w:space="0" w:color="auto"/>
            </w:tcBorders>
            <w:shd w:val="clear" w:color="auto" w:fill="C6EFCE"/>
            <w:noWrap/>
            <w:vAlign w:val="center"/>
            <w:hideMark/>
          </w:tcPr>
          <w:p w14:paraId="5F535278"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A8FA4FB" w14:textId="6D120013"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Framework for the incorporation of new technologies in public administration</w:t>
            </w:r>
            <w:r w:rsidR="0090783B" w:rsidRPr="00DE4E4F">
              <w:rPr>
                <w:rFonts w:ascii="Times New Roman" w:hAnsi="Times New Roman" w:cs="Times New Roman"/>
                <w:noProof/>
                <w:sz w:val="18"/>
                <w:szCs w:val="18"/>
              </w:rPr>
              <w:t xml:space="preserve">, and </w:t>
            </w:r>
            <w:r w:rsidR="00951FF6" w:rsidRPr="00DE4E4F">
              <w:rPr>
                <w:rFonts w:ascii="Times New Roman" w:hAnsi="Times New Roman" w:cs="Times New Roman"/>
                <w:noProof/>
                <w:sz w:val="18"/>
                <w:szCs w:val="18"/>
              </w:rPr>
              <w:t xml:space="preserve">a </w:t>
            </w:r>
            <w:r w:rsidR="0090783B" w:rsidRPr="00DE4E4F">
              <w:rPr>
                <w:rFonts w:ascii="Times New Roman" w:hAnsi="Times New Roman" w:cs="Times New Roman"/>
                <w:noProof/>
                <w:sz w:val="18"/>
                <w:szCs w:val="18"/>
              </w:rPr>
              <w:t>policy for open and reusable data</w:t>
            </w:r>
          </w:p>
        </w:tc>
      </w:tr>
      <w:tr w:rsidR="00682269" w:rsidRPr="00DE4E4F" w14:paraId="520E558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7949F0"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0163FC6"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- 16955_Upgrade of Cloud-computing infrastructure and services of the National Infrastructures for Research and Technology (GRNET)</w:t>
            </w:r>
          </w:p>
        </w:tc>
        <w:tc>
          <w:tcPr>
            <w:tcW w:w="1417" w:type="dxa"/>
            <w:tcBorders>
              <w:top w:val="nil"/>
              <w:left w:val="nil"/>
              <w:bottom w:val="single" w:sz="4" w:space="0" w:color="auto"/>
              <w:right w:val="single" w:sz="4" w:space="0" w:color="auto"/>
            </w:tcBorders>
            <w:shd w:val="clear" w:color="auto" w:fill="C6EFCE"/>
            <w:noWrap/>
            <w:vAlign w:val="center"/>
            <w:hideMark/>
          </w:tcPr>
          <w:p w14:paraId="109962A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76969D7"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GRNET</w:t>
            </w:r>
          </w:p>
        </w:tc>
      </w:tr>
      <w:tr w:rsidR="00682269" w:rsidRPr="00DE4E4F" w14:paraId="72552CF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37ED3"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125a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A551E46"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6 - 2.2. Modernise - 16955_Upgrade of Cloud-computing infrastructure and services of the National Infrastructures for Research and Technology (GRNET)</w:t>
            </w:r>
          </w:p>
        </w:tc>
        <w:tc>
          <w:tcPr>
            <w:tcW w:w="1417" w:type="dxa"/>
            <w:tcBorders>
              <w:top w:val="nil"/>
              <w:left w:val="nil"/>
              <w:bottom w:val="single" w:sz="4" w:space="0" w:color="auto"/>
              <w:right w:val="single" w:sz="4" w:space="0" w:color="auto"/>
            </w:tcBorders>
            <w:shd w:val="clear" w:color="auto" w:fill="C6EFCE"/>
            <w:noWrap/>
            <w:vAlign w:val="center"/>
          </w:tcPr>
          <w:p w14:paraId="6E77310E"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DA1C6D1"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GRNET upscale</w:t>
            </w:r>
          </w:p>
        </w:tc>
      </w:tr>
      <w:tr w:rsidR="00682269" w:rsidRPr="00DE4E4F" w14:paraId="6C78CF13"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AA24D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543FB8" w14:textId="0CD586AC"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- 16956_Expansion of Syzef</w:t>
            </w:r>
            <w:r w:rsidR="00475BD6" w:rsidRPr="00DE4E4F">
              <w:rPr>
                <w:rFonts w:ascii="Times New Roman" w:hAnsi="Times New Roman"/>
                <w:noProof/>
                <w:sz w:val="18"/>
              </w:rPr>
              <w:t>x</w:t>
            </w:r>
            <w:r w:rsidRPr="00DE4E4F">
              <w:rPr>
                <w:rFonts w:ascii="Times New Roman" w:hAnsi="Times New Roman"/>
                <w:noProof/>
                <w:sz w:val="18"/>
              </w:rPr>
              <w:t>is II</w:t>
            </w:r>
          </w:p>
        </w:tc>
        <w:tc>
          <w:tcPr>
            <w:tcW w:w="1417" w:type="dxa"/>
            <w:tcBorders>
              <w:top w:val="nil"/>
              <w:left w:val="nil"/>
              <w:bottom w:val="single" w:sz="4" w:space="0" w:color="auto"/>
              <w:right w:val="single" w:sz="4" w:space="0" w:color="auto"/>
            </w:tcBorders>
            <w:shd w:val="clear" w:color="auto" w:fill="C6EFCE"/>
            <w:noWrap/>
            <w:vAlign w:val="center"/>
            <w:hideMark/>
          </w:tcPr>
          <w:p w14:paraId="351D5A1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2164C45" w14:textId="769C2D0D"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Syzef</w:t>
            </w:r>
            <w:r w:rsidR="00475BD6" w:rsidRPr="00DE4E4F">
              <w:rPr>
                <w:rFonts w:ascii="Times New Roman" w:hAnsi="Times New Roman"/>
                <w:noProof/>
                <w:sz w:val="18"/>
              </w:rPr>
              <w:t>x</w:t>
            </w:r>
            <w:r w:rsidRPr="00DE4E4F">
              <w:rPr>
                <w:rFonts w:ascii="Times New Roman" w:hAnsi="Times New Roman"/>
                <w:noProof/>
                <w:sz w:val="18"/>
              </w:rPr>
              <w:t>is II</w:t>
            </w:r>
          </w:p>
        </w:tc>
      </w:tr>
      <w:tr w:rsidR="00682269" w:rsidRPr="00DE4E4F" w14:paraId="6B79BBC7"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F036B2"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6F194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6 - 2.2. Modernise - 16842_Central BI - Data Analytics</w:t>
            </w:r>
          </w:p>
        </w:tc>
        <w:tc>
          <w:tcPr>
            <w:tcW w:w="1417" w:type="dxa"/>
            <w:tcBorders>
              <w:top w:val="nil"/>
              <w:left w:val="nil"/>
              <w:bottom w:val="single" w:sz="4" w:space="0" w:color="auto"/>
              <w:right w:val="single" w:sz="4" w:space="0" w:color="auto"/>
            </w:tcBorders>
            <w:shd w:val="clear" w:color="auto" w:fill="C6EFCE"/>
            <w:noWrap/>
            <w:vAlign w:val="center"/>
            <w:hideMark/>
          </w:tcPr>
          <w:p w14:paraId="74290DE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608678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Central BI</w:t>
            </w:r>
          </w:p>
        </w:tc>
      </w:tr>
      <w:tr w:rsidR="00682269" w:rsidRPr="00DE4E4F" w14:paraId="0226CF3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25B189" w14:textId="77777777" w:rsidR="001B186F" w:rsidRPr="00DE4E4F" w:rsidRDefault="0074517F"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131a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918B28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7 - 2.3. Digitalisation of businesses - 16706_Digital Transformation of SMEs</w:t>
            </w:r>
          </w:p>
        </w:tc>
        <w:tc>
          <w:tcPr>
            <w:tcW w:w="1417" w:type="dxa"/>
            <w:tcBorders>
              <w:top w:val="nil"/>
              <w:left w:val="nil"/>
              <w:bottom w:val="single" w:sz="4" w:space="0" w:color="auto"/>
              <w:right w:val="single" w:sz="4" w:space="0" w:color="auto"/>
            </w:tcBorders>
            <w:shd w:val="clear" w:color="auto" w:fill="C6EFCE"/>
            <w:noWrap/>
            <w:vAlign w:val="center"/>
          </w:tcPr>
          <w:p w14:paraId="6384E19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BD053AB" w14:textId="40EAB7BF"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Digital transformation of SMEs</w:t>
            </w:r>
            <w:r w:rsidR="7D870F73" w:rsidRPr="00DE4E4F">
              <w:rPr>
                <w:rFonts w:ascii="Times New Roman" w:hAnsi="Times New Roman"/>
                <w:noProof/>
                <w:sz w:val="18"/>
                <w:szCs w:val="18"/>
              </w:rPr>
              <w:t xml:space="preserve"> – </w:t>
            </w:r>
            <w:r w:rsidR="6D49610C" w:rsidRPr="00DE4E4F">
              <w:rPr>
                <w:rFonts w:ascii="Times New Roman" w:hAnsi="Times New Roman"/>
                <w:noProof/>
                <w:sz w:val="18"/>
                <w:szCs w:val="18"/>
              </w:rPr>
              <w:t xml:space="preserve">Delivery </w:t>
            </w:r>
            <w:r w:rsidR="7D870F73" w:rsidRPr="00DE4E4F">
              <w:rPr>
                <w:rFonts w:ascii="Times New Roman" w:hAnsi="Times New Roman"/>
                <w:noProof/>
                <w:sz w:val="18"/>
                <w:szCs w:val="18"/>
              </w:rPr>
              <w:t>of Milestone 2</w:t>
            </w:r>
            <w:r w:rsidRPr="00DE4E4F">
              <w:rPr>
                <w:rFonts w:ascii="Times New Roman" w:hAnsi="Times New Roman"/>
                <w:noProof/>
                <w:sz w:val="18"/>
                <w:szCs w:val="18"/>
              </w:rPr>
              <w:t xml:space="preserve"> of investment projects for digital products </w:t>
            </w:r>
            <w:r w:rsidR="24DC6707" w:rsidRPr="00DE4E4F">
              <w:rPr>
                <w:rFonts w:ascii="Times New Roman" w:hAnsi="Times New Roman"/>
                <w:noProof/>
                <w:sz w:val="18"/>
                <w:szCs w:val="18"/>
              </w:rPr>
              <w:t>/</w:t>
            </w:r>
            <w:r w:rsidR="71A39278" w:rsidRPr="00DE4E4F">
              <w:rPr>
                <w:rFonts w:ascii="Times New Roman" w:hAnsi="Times New Roman"/>
                <w:noProof/>
                <w:sz w:val="18"/>
                <w:szCs w:val="18"/>
              </w:rPr>
              <w:t xml:space="preserve"> </w:t>
            </w:r>
            <w:r w:rsidR="24DC6707" w:rsidRPr="00DE4E4F">
              <w:rPr>
                <w:rFonts w:ascii="Times New Roman" w:hAnsi="Times New Roman"/>
                <w:noProof/>
                <w:sz w:val="18"/>
                <w:szCs w:val="18"/>
              </w:rPr>
              <w:t>services</w:t>
            </w:r>
          </w:p>
        </w:tc>
      </w:tr>
      <w:tr w:rsidR="00682269" w:rsidRPr="00DE4E4F" w14:paraId="536FDE7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E75F3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83DC291"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9 - 3.2. Education, vocational education and training, and skills - 16913_A New Strategy for Lifelong Skilling: Modernising and Upgrading Greece’s Upskilling and Reskilling System</w:t>
            </w:r>
          </w:p>
        </w:tc>
        <w:tc>
          <w:tcPr>
            <w:tcW w:w="1417" w:type="dxa"/>
            <w:tcBorders>
              <w:top w:val="nil"/>
              <w:left w:val="nil"/>
              <w:bottom w:val="single" w:sz="4" w:space="0" w:color="auto"/>
              <w:right w:val="single" w:sz="4" w:space="0" w:color="auto"/>
            </w:tcBorders>
            <w:shd w:val="clear" w:color="auto" w:fill="C6EFCE"/>
            <w:noWrap/>
            <w:vAlign w:val="center"/>
            <w:hideMark/>
          </w:tcPr>
          <w:p w14:paraId="345DF484"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37A3C81"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Training programmes lifelong learning stagey delivery validation and certification of the acquired skills</w:t>
            </w:r>
          </w:p>
        </w:tc>
      </w:tr>
      <w:tr w:rsidR="00682269" w:rsidRPr="00DE4E4F" w14:paraId="6FB648A5" w14:textId="77777777" w:rsidTr="00BE2B84">
        <w:trPr>
          <w:trHeight w:val="300"/>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57A0AB4"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134a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55F96784"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8 - 3.1. Promote job creation and participation in the labour market - 16750_Digital Transformation of Labour Systems</w:t>
            </w:r>
          </w:p>
        </w:tc>
        <w:tc>
          <w:tcPr>
            <w:tcW w:w="1417" w:type="dxa"/>
            <w:tcBorders>
              <w:top w:val="nil"/>
              <w:left w:val="nil"/>
              <w:bottom w:val="single" w:sz="4" w:space="0" w:color="auto"/>
              <w:right w:val="single" w:sz="4" w:space="0" w:color="auto"/>
            </w:tcBorders>
            <w:shd w:val="clear" w:color="auto" w:fill="C6EFCE"/>
            <w:noWrap/>
            <w:hideMark/>
          </w:tcPr>
          <w:p w14:paraId="5C0521C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hideMark/>
          </w:tcPr>
          <w:p w14:paraId="4BED753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Labour IT systems delivery</w:t>
            </w:r>
          </w:p>
        </w:tc>
      </w:tr>
      <w:tr w:rsidR="00682269" w:rsidRPr="00DE4E4F" w14:paraId="7060B98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3BB57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8AD6F2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- 16792_Labor force skilling, reskilling and upskilling through a reformed training model (Vocational Education &amp; Training Reform)</w:t>
            </w:r>
          </w:p>
        </w:tc>
        <w:tc>
          <w:tcPr>
            <w:tcW w:w="1417" w:type="dxa"/>
            <w:tcBorders>
              <w:top w:val="nil"/>
              <w:left w:val="nil"/>
              <w:bottom w:val="single" w:sz="4" w:space="0" w:color="auto"/>
              <w:right w:val="single" w:sz="4" w:space="0" w:color="auto"/>
            </w:tcBorders>
            <w:shd w:val="clear" w:color="auto" w:fill="C6EFCE"/>
            <w:noWrap/>
            <w:vAlign w:val="center"/>
            <w:hideMark/>
          </w:tcPr>
          <w:p w14:paraId="608EB5C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DDFDE51" w14:textId="77777777" w:rsidR="001B186F" w:rsidRPr="00DE4E4F" w:rsidRDefault="0074517F" w:rsidP="00BE2B84">
            <w:pPr>
              <w:spacing w:after="0" w:line="240" w:lineRule="auto"/>
              <w:rPr>
                <w:rFonts w:ascii="Times New Roman" w:eastAsia="Times New Roman" w:hAnsi="Times New Roman" w:cs="Times New Roman"/>
                <w:noProof/>
                <w:sz w:val="18"/>
                <w:szCs w:val="18"/>
              </w:rPr>
            </w:pPr>
            <w:r w:rsidRPr="00DE4E4F">
              <w:rPr>
                <w:rFonts w:ascii="Times New Roman" w:hAnsi="Times New Roman"/>
                <w:noProof/>
                <w:sz w:val="18"/>
                <w:szCs w:val="18"/>
              </w:rPr>
              <w:t>VET quality control system, sectoral training programmes delivery</w:t>
            </w:r>
          </w:p>
        </w:tc>
      </w:tr>
      <w:tr w:rsidR="00682269" w:rsidRPr="00DE4E4F" w14:paraId="1CE6BA1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9B9F2F7"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148b</w:t>
            </w:r>
          </w:p>
        </w:tc>
        <w:tc>
          <w:tcPr>
            <w:tcW w:w="4820" w:type="dxa"/>
            <w:tcBorders>
              <w:top w:val="nil"/>
              <w:left w:val="single" w:sz="4" w:space="0" w:color="auto"/>
              <w:bottom w:val="single" w:sz="4" w:space="0" w:color="auto"/>
              <w:right w:val="single" w:sz="4" w:space="0" w:color="auto"/>
            </w:tcBorders>
            <w:shd w:val="clear" w:color="auto" w:fill="C6EFCE"/>
            <w:noWrap/>
            <w:hideMark/>
          </w:tcPr>
          <w:p w14:paraId="7DAACADD"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9 - 3.2. Education, vocational education and training, and skills - 16676_Digital transformation of Education</w:t>
            </w:r>
          </w:p>
        </w:tc>
        <w:tc>
          <w:tcPr>
            <w:tcW w:w="1417" w:type="dxa"/>
            <w:tcBorders>
              <w:top w:val="nil"/>
              <w:left w:val="nil"/>
              <w:bottom w:val="single" w:sz="4" w:space="0" w:color="auto"/>
              <w:right w:val="single" w:sz="4" w:space="0" w:color="auto"/>
            </w:tcBorders>
            <w:shd w:val="clear" w:color="auto" w:fill="C6EFCE"/>
            <w:noWrap/>
            <w:hideMark/>
          </w:tcPr>
          <w:p w14:paraId="1C357806"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4A4A3BD8" w14:textId="77777777" w:rsidR="001B186F" w:rsidRPr="00DE4E4F" w:rsidRDefault="0074517F" w:rsidP="00BE2B84">
            <w:pPr>
              <w:spacing w:after="0" w:line="240" w:lineRule="auto"/>
              <w:rPr>
                <w:rFonts w:ascii="Times New Roman" w:hAnsi="Times New Roman"/>
                <w:noProof/>
                <w:sz w:val="18"/>
              </w:rPr>
            </w:pPr>
            <w:r w:rsidRPr="00DE4E4F">
              <w:rPr>
                <w:rFonts w:ascii="Times New Roman" w:hAnsi="Times New Roman"/>
                <w:noProof/>
                <w:sz w:val="18"/>
                <w:szCs w:val="18"/>
              </w:rPr>
              <w:t>Digital transformation of education</w:t>
            </w:r>
          </w:p>
        </w:tc>
      </w:tr>
      <w:tr w:rsidR="00682269" w:rsidRPr="00DE4E4F" w14:paraId="44B876CF"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7ED2E9"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E0F75" w14:textId="4F6A812F"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9 - 3.2. Education, vocational education and training, and skills - 16933_Upgrading Vocational Education and Training (VET): </w:t>
            </w:r>
            <w:r w:rsidR="005F67B5" w:rsidRPr="00DE4E4F">
              <w:rPr>
                <w:rFonts w:ascii="Times New Roman" w:hAnsi="Times New Roman"/>
                <w:noProof/>
                <w:sz w:val="18"/>
              </w:rPr>
              <w:t>Purchase of laboratory equipment for laboratories of VET units</w:t>
            </w:r>
          </w:p>
        </w:tc>
        <w:tc>
          <w:tcPr>
            <w:tcW w:w="1417" w:type="dxa"/>
            <w:tcBorders>
              <w:top w:val="nil"/>
              <w:left w:val="nil"/>
              <w:bottom w:val="single" w:sz="4" w:space="0" w:color="auto"/>
              <w:right w:val="single" w:sz="4" w:space="0" w:color="auto"/>
            </w:tcBorders>
            <w:shd w:val="clear" w:color="auto" w:fill="C6EFCE"/>
            <w:noWrap/>
            <w:vAlign w:val="center"/>
            <w:hideMark/>
          </w:tcPr>
          <w:p w14:paraId="6F53DB0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F06D8CF" w14:textId="4021C365" w:rsidR="001B186F" w:rsidRPr="00DE4E4F" w:rsidRDefault="00CC2084"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Modernisation of laboratories of VET Units</w:t>
            </w:r>
          </w:p>
        </w:tc>
      </w:tr>
      <w:tr w:rsidR="00682269" w:rsidRPr="00DE4E4F" w14:paraId="5B485CB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2B58B"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EB873D"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- 16289_Strategy for Excellence in Universities &amp; Innovation</w:t>
            </w:r>
          </w:p>
        </w:tc>
        <w:tc>
          <w:tcPr>
            <w:tcW w:w="1417" w:type="dxa"/>
            <w:tcBorders>
              <w:top w:val="nil"/>
              <w:left w:val="nil"/>
              <w:bottom w:val="single" w:sz="4" w:space="0" w:color="auto"/>
              <w:right w:val="single" w:sz="4" w:space="0" w:color="auto"/>
            </w:tcBorders>
            <w:shd w:val="clear" w:color="auto" w:fill="C6EFCE"/>
            <w:noWrap/>
            <w:vAlign w:val="center"/>
            <w:hideMark/>
          </w:tcPr>
          <w:p w14:paraId="4BAFFEC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9CF284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Execution of collaborative research projects and of projects for Greek universities, and issuance of approval decisions for postgraduate programmes</w:t>
            </w:r>
          </w:p>
        </w:tc>
      </w:tr>
      <w:tr w:rsidR="00682269" w:rsidRPr="00DE4E4F" w14:paraId="0546852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1ACD07"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9383D8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9 - 3.2. Education, vocational education and training, and skills - 16934_Upgrading Vocational Education and Training</w:t>
            </w:r>
          </w:p>
        </w:tc>
        <w:tc>
          <w:tcPr>
            <w:tcW w:w="1417" w:type="dxa"/>
            <w:tcBorders>
              <w:top w:val="nil"/>
              <w:left w:val="nil"/>
              <w:bottom w:val="single" w:sz="4" w:space="0" w:color="auto"/>
              <w:right w:val="single" w:sz="4" w:space="0" w:color="auto"/>
            </w:tcBorders>
            <w:shd w:val="clear" w:color="auto" w:fill="C6EFCE"/>
            <w:noWrap/>
            <w:vAlign w:val="center"/>
            <w:hideMark/>
          </w:tcPr>
          <w:p w14:paraId="5D9CBEB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14DEB3E" w14:textId="0F4007CA" w:rsidR="001B186F" w:rsidRPr="00DE4E4F" w:rsidRDefault="00931768"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Information Systems of EOPPEP and development of an e-learning platform for VET</w:t>
            </w:r>
          </w:p>
        </w:tc>
      </w:tr>
      <w:tr w:rsidR="00682269" w:rsidRPr="00DE4E4F" w14:paraId="6300C03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6F555A" w14:textId="77777777" w:rsidR="001B186F" w:rsidRPr="00DE4E4F" w:rsidRDefault="0074517F"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156a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32A474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10 - 3.3. Improve resilience, accessibility and sustainability of healthcare - 16816_Clawback reduction and rationalization of healthcare expenditure</w:t>
            </w:r>
          </w:p>
        </w:tc>
        <w:tc>
          <w:tcPr>
            <w:tcW w:w="1417" w:type="dxa"/>
            <w:tcBorders>
              <w:top w:val="nil"/>
              <w:left w:val="nil"/>
              <w:bottom w:val="single" w:sz="4" w:space="0" w:color="auto"/>
              <w:right w:val="single" w:sz="4" w:space="0" w:color="auto"/>
            </w:tcBorders>
            <w:shd w:val="clear" w:color="auto" w:fill="C6EFCE"/>
            <w:noWrap/>
            <w:vAlign w:val="center"/>
            <w:hideMark/>
          </w:tcPr>
          <w:p w14:paraId="77FCF95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3EF7095A"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R&amp;D pharmaceutical</w:t>
            </w:r>
          </w:p>
          <w:p w14:paraId="262E8DC0"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investment proof - step 2</w:t>
            </w:r>
          </w:p>
        </w:tc>
      </w:tr>
      <w:tr w:rsidR="00682269" w:rsidRPr="00DE4E4F" w14:paraId="1FFDECC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EDBB48F"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158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DAAA7F8"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10 - 3.3. Improve resilience, accessibility and sustainability of healthcare - 16816_Clawback reduction and rationalization of healthcare expenditure</w:t>
            </w:r>
          </w:p>
        </w:tc>
        <w:tc>
          <w:tcPr>
            <w:tcW w:w="1417" w:type="dxa"/>
            <w:tcBorders>
              <w:top w:val="nil"/>
              <w:left w:val="nil"/>
              <w:bottom w:val="single" w:sz="4" w:space="0" w:color="auto"/>
              <w:right w:val="single" w:sz="4" w:space="0" w:color="auto"/>
            </w:tcBorders>
            <w:shd w:val="clear" w:color="auto" w:fill="C6EFCE"/>
            <w:noWrap/>
            <w:vAlign w:val="center"/>
            <w:hideMark/>
          </w:tcPr>
          <w:p w14:paraId="56FA9CA6"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6758780D"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 xml:space="preserve">Clawback decrease </w:t>
            </w:r>
          </w:p>
          <w:p w14:paraId="48026C34"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400</w:t>
            </w:r>
            <w:r w:rsidRPr="00DE4E4F">
              <w:rPr>
                <w:rFonts w:ascii="Times New Roman" w:hAnsi="Times New Roman" w:cs="Times New Roman"/>
                <w:noProof/>
                <w:sz w:val="18"/>
              </w:rPr>
              <w:t> </w:t>
            </w:r>
            <w:r w:rsidRPr="00DE4E4F">
              <w:rPr>
                <w:rFonts w:ascii="Times New Roman" w:hAnsi="Times New Roman"/>
                <w:noProof/>
                <w:sz w:val="18"/>
              </w:rPr>
              <w:t>000 000 - step 4</w:t>
            </w:r>
          </w:p>
        </w:tc>
      </w:tr>
      <w:tr w:rsidR="00682269" w:rsidRPr="00DE4E4F" w14:paraId="0B653DD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7202C8"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164a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FE1A71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10 - 3.3. Improve resilience, accessibility and sustainability of healthcare - 16756_Organizational Reforms in the Health System </w:t>
            </w:r>
          </w:p>
        </w:tc>
        <w:tc>
          <w:tcPr>
            <w:tcW w:w="1417" w:type="dxa"/>
            <w:tcBorders>
              <w:top w:val="nil"/>
              <w:left w:val="nil"/>
              <w:bottom w:val="single" w:sz="4" w:space="0" w:color="auto"/>
              <w:right w:val="single" w:sz="4" w:space="0" w:color="auto"/>
            </w:tcBorders>
            <w:shd w:val="clear" w:color="auto" w:fill="C6EFCE"/>
            <w:noWrap/>
            <w:vAlign w:val="center"/>
            <w:hideMark/>
          </w:tcPr>
          <w:p w14:paraId="5ED4280C"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0C113685"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Surgeries waiting list reduction</w:t>
            </w:r>
          </w:p>
        </w:tc>
      </w:tr>
      <w:tr w:rsidR="00682269" w:rsidRPr="00DE4E4F" w14:paraId="51884C7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0263C8"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164b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4BAC11A"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 xml:space="preserve">10 - 3.3. Improve resilience, accessibility and sustainability of healthcare - 16756_Organizational Reforms in the Health System </w:t>
            </w:r>
          </w:p>
        </w:tc>
        <w:tc>
          <w:tcPr>
            <w:tcW w:w="1417" w:type="dxa"/>
            <w:tcBorders>
              <w:top w:val="nil"/>
              <w:left w:val="nil"/>
              <w:bottom w:val="single" w:sz="4" w:space="0" w:color="auto"/>
              <w:right w:val="single" w:sz="4" w:space="0" w:color="auto"/>
            </w:tcBorders>
            <w:shd w:val="clear" w:color="auto" w:fill="C6EFCE"/>
            <w:noWrap/>
            <w:vAlign w:val="center"/>
          </w:tcPr>
          <w:p w14:paraId="6B8EED4A"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53230D5"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Health system navigation and guidance for citizens</w:t>
            </w:r>
          </w:p>
        </w:tc>
      </w:tr>
      <w:tr w:rsidR="00682269" w:rsidRPr="00DE4E4F" w14:paraId="5DB5C8B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E98EEC"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1CE7F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- 16783_Implementation of the National Public Health Prevention Program “Spiros Doxiadis” (NPP”SD”)</w:t>
            </w:r>
          </w:p>
        </w:tc>
        <w:tc>
          <w:tcPr>
            <w:tcW w:w="1417" w:type="dxa"/>
            <w:tcBorders>
              <w:top w:val="nil"/>
              <w:left w:val="nil"/>
              <w:bottom w:val="single" w:sz="4" w:space="0" w:color="auto"/>
              <w:right w:val="single" w:sz="4" w:space="0" w:color="auto"/>
            </w:tcBorders>
            <w:shd w:val="clear" w:color="auto" w:fill="C6EFCE"/>
            <w:noWrap/>
            <w:vAlign w:val="center"/>
            <w:hideMark/>
          </w:tcPr>
          <w:p w14:paraId="52FB24A0"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7B8F5AE"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National Public Health Prevention Program ‘Spiros Doxiadis’ - Primary Prevention</w:t>
            </w:r>
          </w:p>
        </w:tc>
      </w:tr>
      <w:tr w:rsidR="00682269" w:rsidRPr="00DE4E4F" w14:paraId="7C82BBA1"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2BACD"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165a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225108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- 16783_Implementation of the National Public Health Prevention Program “Spiros Doxiadis” (NPP”SD”)</w:t>
            </w:r>
          </w:p>
        </w:tc>
        <w:tc>
          <w:tcPr>
            <w:tcW w:w="1417" w:type="dxa"/>
            <w:tcBorders>
              <w:top w:val="nil"/>
              <w:left w:val="nil"/>
              <w:bottom w:val="single" w:sz="4" w:space="0" w:color="auto"/>
              <w:right w:val="single" w:sz="4" w:space="0" w:color="auto"/>
            </w:tcBorders>
            <w:shd w:val="clear" w:color="auto" w:fill="C6EFCE"/>
            <w:noWrap/>
            <w:vAlign w:val="center"/>
          </w:tcPr>
          <w:p w14:paraId="32F804E1"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FDFEC8C"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National Public Health Prevention Program ‘Spiros Doxiadis’ – Secondary prevention</w:t>
            </w:r>
          </w:p>
        </w:tc>
      </w:tr>
      <w:tr w:rsidR="00682269" w:rsidRPr="00DE4E4F" w14:paraId="6159705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50A9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165b</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455453D7"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- 16783_Implementation of the National Public Health Prevention Program “Spiros Doxiadis” (NPP”SD”)</w:t>
            </w:r>
          </w:p>
        </w:tc>
        <w:tc>
          <w:tcPr>
            <w:tcW w:w="1417" w:type="dxa"/>
            <w:tcBorders>
              <w:top w:val="nil"/>
              <w:left w:val="nil"/>
              <w:bottom w:val="single" w:sz="4" w:space="0" w:color="auto"/>
              <w:right w:val="single" w:sz="4" w:space="0" w:color="auto"/>
            </w:tcBorders>
            <w:shd w:val="clear" w:color="auto" w:fill="C6EFCE"/>
            <w:noWrap/>
            <w:vAlign w:val="center"/>
          </w:tcPr>
          <w:p w14:paraId="4F214B27"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4B4CEE2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Health Monitoring</w:t>
            </w:r>
          </w:p>
        </w:tc>
      </w:tr>
      <w:tr w:rsidR="00682269" w:rsidRPr="00DE4E4F" w14:paraId="131DAB93"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368999"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166b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A4998F0"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- 16755_Green investments - Reform of the Primary Health Care System</w:t>
            </w:r>
          </w:p>
        </w:tc>
        <w:tc>
          <w:tcPr>
            <w:tcW w:w="1417" w:type="dxa"/>
            <w:tcBorders>
              <w:top w:val="nil"/>
              <w:left w:val="nil"/>
              <w:bottom w:val="single" w:sz="4" w:space="0" w:color="auto"/>
              <w:right w:val="single" w:sz="4" w:space="0" w:color="auto"/>
            </w:tcBorders>
            <w:shd w:val="clear" w:color="auto" w:fill="C6EFCE"/>
            <w:noWrap/>
            <w:vAlign w:val="center"/>
            <w:hideMark/>
          </w:tcPr>
          <w:p w14:paraId="647CE74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26C29D6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PHC –</w:t>
            </w:r>
            <w:r w:rsidRPr="00DE4E4F">
              <w:rPr>
                <w:rFonts w:ascii="Times New Roman" w:hAnsi="Times New Roman" w:cs="Times New Roman"/>
                <w:noProof/>
                <w:color w:val="000000"/>
                <w:sz w:val="18"/>
                <w:szCs w:val="18"/>
              </w:rPr>
              <w:t xml:space="preserve"> </w:t>
            </w:r>
            <w:r w:rsidRPr="00DE4E4F">
              <w:rPr>
                <w:rFonts w:ascii="Times New Roman" w:hAnsi="Times New Roman"/>
                <w:noProof/>
                <w:sz w:val="18"/>
              </w:rPr>
              <w:t>primary healthcare units with infrastructure renovated - step 3</w:t>
            </w:r>
          </w:p>
        </w:tc>
      </w:tr>
      <w:tr w:rsidR="00682269" w:rsidRPr="00DE4E4F" w14:paraId="4D33867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4BE57D"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166c</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AFEA5E"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- 16755_Green investments - Reform of the Primary Health Care System</w:t>
            </w:r>
          </w:p>
        </w:tc>
        <w:tc>
          <w:tcPr>
            <w:tcW w:w="1417" w:type="dxa"/>
            <w:tcBorders>
              <w:top w:val="nil"/>
              <w:left w:val="nil"/>
              <w:bottom w:val="single" w:sz="4" w:space="0" w:color="auto"/>
              <w:right w:val="single" w:sz="4" w:space="0" w:color="auto"/>
            </w:tcBorders>
            <w:shd w:val="clear" w:color="auto" w:fill="C6EFCE"/>
            <w:noWrap/>
            <w:vAlign w:val="center"/>
          </w:tcPr>
          <w:p w14:paraId="5DBED8A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7D8AB44A"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PHC – medical equipment</w:t>
            </w:r>
          </w:p>
        </w:tc>
      </w:tr>
      <w:tr w:rsidR="00682269" w:rsidRPr="00DE4E4F" w14:paraId="66B5A18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AB915"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166d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325B2E66"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10 - 3.3. Improve resilience, accessibility and sustainability of healthcare - 16755_Green investments - Reform of the Primary Health Care System</w:t>
            </w:r>
          </w:p>
        </w:tc>
        <w:tc>
          <w:tcPr>
            <w:tcW w:w="1417" w:type="dxa"/>
            <w:tcBorders>
              <w:top w:val="nil"/>
              <w:left w:val="nil"/>
              <w:bottom w:val="single" w:sz="4" w:space="0" w:color="auto"/>
              <w:right w:val="single" w:sz="4" w:space="0" w:color="auto"/>
            </w:tcBorders>
            <w:shd w:val="clear" w:color="auto" w:fill="C6EFCE"/>
            <w:noWrap/>
            <w:vAlign w:val="center"/>
          </w:tcPr>
          <w:p w14:paraId="6F0FDBBD"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4E6DD5F3"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PHC – Reform and training</w:t>
            </w:r>
          </w:p>
        </w:tc>
      </w:tr>
      <w:tr w:rsidR="00682269" w:rsidRPr="00DE4E4F" w14:paraId="1DFF4E4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0247C7"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170c</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F887CAE"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10 - 3.3. Improve resilience, accessibility and sustainability of healthcare - 16795_Health infrastructure</w:t>
            </w:r>
          </w:p>
        </w:tc>
        <w:tc>
          <w:tcPr>
            <w:tcW w:w="1417" w:type="dxa"/>
            <w:tcBorders>
              <w:top w:val="nil"/>
              <w:left w:val="nil"/>
              <w:bottom w:val="single" w:sz="4" w:space="0" w:color="auto"/>
              <w:right w:val="single" w:sz="4" w:space="0" w:color="auto"/>
            </w:tcBorders>
            <w:shd w:val="clear" w:color="auto" w:fill="C6EFCE"/>
            <w:noWrap/>
            <w:vAlign w:val="center"/>
            <w:hideMark/>
          </w:tcPr>
          <w:p w14:paraId="2223DB7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54A6CC7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NHS Infrastructure upgrade – step 4</w:t>
            </w:r>
          </w:p>
        </w:tc>
      </w:tr>
      <w:tr w:rsidR="00682269" w:rsidRPr="00DE4E4F" w14:paraId="0B0ECDD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A80C2"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170d</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1EDA8E8F"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10 - 3.3. Improve resilience, accessibility and sustainability of healthcare - 16795_Health infrastructure</w:t>
            </w:r>
          </w:p>
        </w:tc>
        <w:tc>
          <w:tcPr>
            <w:tcW w:w="1417" w:type="dxa"/>
            <w:tcBorders>
              <w:top w:val="nil"/>
              <w:left w:val="nil"/>
              <w:bottom w:val="single" w:sz="4" w:space="0" w:color="auto"/>
              <w:right w:val="single" w:sz="4" w:space="0" w:color="auto"/>
            </w:tcBorders>
            <w:shd w:val="clear" w:color="auto" w:fill="C6EFCE"/>
            <w:noWrap/>
            <w:vAlign w:val="center"/>
          </w:tcPr>
          <w:p w14:paraId="419BD5FF"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3292" w:type="dxa"/>
            <w:tcBorders>
              <w:top w:val="nil"/>
              <w:left w:val="nil"/>
              <w:bottom w:val="single" w:sz="4" w:space="0" w:color="auto"/>
              <w:right w:val="single" w:sz="4" w:space="0" w:color="auto"/>
            </w:tcBorders>
            <w:shd w:val="clear" w:color="auto" w:fill="C6EFCE"/>
            <w:noWrap/>
            <w:vAlign w:val="center"/>
          </w:tcPr>
          <w:p w14:paraId="126D6D82"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NHS Infrastructure upgrade – step 5</w:t>
            </w:r>
          </w:p>
        </w:tc>
      </w:tr>
      <w:tr w:rsidR="00682269" w:rsidRPr="00DE4E4F" w14:paraId="3A95922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B0557D"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ACC7ED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- 16757_Establishment of a Radiotherapy Centre at the “Sotiria” Thoracic</w:t>
            </w:r>
          </w:p>
        </w:tc>
        <w:tc>
          <w:tcPr>
            <w:tcW w:w="1417" w:type="dxa"/>
            <w:tcBorders>
              <w:top w:val="nil"/>
              <w:left w:val="nil"/>
              <w:bottom w:val="single" w:sz="4" w:space="0" w:color="auto"/>
              <w:right w:val="single" w:sz="4" w:space="0" w:color="auto"/>
            </w:tcBorders>
            <w:shd w:val="clear" w:color="auto" w:fill="C6EFCE"/>
            <w:noWrap/>
            <w:vAlign w:val="center"/>
            <w:hideMark/>
          </w:tcPr>
          <w:p w14:paraId="622BD80C"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70C368D"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Sotiria Radiotherapy Centre</w:t>
            </w:r>
          </w:p>
        </w:tc>
      </w:tr>
      <w:tr w:rsidR="00682269" w:rsidRPr="00DE4E4F" w14:paraId="0A625D6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15586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8EC7C7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- 16793_Cell &amp; Gene Therapies and Hematology Clinic Laboratories within the General Hospital of Thessaloniki “Papanikolaou”</w:t>
            </w:r>
          </w:p>
        </w:tc>
        <w:tc>
          <w:tcPr>
            <w:tcW w:w="1417" w:type="dxa"/>
            <w:tcBorders>
              <w:top w:val="nil"/>
              <w:left w:val="nil"/>
              <w:bottom w:val="single" w:sz="4" w:space="0" w:color="auto"/>
              <w:right w:val="single" w:sz="4" w:space="0" w:color="auto"/>
            </w:tcBorders>
            <w:shd w:val="clear" w:color="auto" w:fill="C6EFCE"/>
            <w:noWrap/>
            <w:vAlign w:val="center"/>
            <w:hideMark/>
          </w:tcPr>
          <w:p w14:paraId="1370E64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D3E4ECF"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Papanikolaou hospital </w:t>
            </w:r>
          </w:p>
        </w:tc>
      </w:tr>
      <w:tr w:rsidR="00682269" w:rsidRPr="00DE4E4F" w14:paraId="0926A83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A6ECBF"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0D54688"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10 - 3.3. Improve resilience, accessibility and sustainability of healthcare - 16752_Digital Transformation of Health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40FFC60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F5C75F9"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Digital transformation – all subprojects delivered, step 1</w:t>
            </w:r>
          </w:p>
        </w:tc>
      </w:tr>
      <w:tr w:rsidR="00682269" w:rsidRPr="00DE4E4F" w14:paraId="5D3BA35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107996" w14:textId="77777777" w:rsidR="001B186F" w:rsidRPr="00DE4E4F" w:rsidRDefault="0074517F"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173a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153208"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10 - 3.3. Improve resilience, accessibility and sustainability of healthcare - 16752_Digital Transformation of Health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722D1BC5"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78F3D9E"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Digital transformation – all subprojects delivered, step 2</w:t>
            </w:r>
          </w:p>
        </w:tc>
      </w:tr>
      <w:tr w:rsidR="00682269" w:rsidRPr="00DE4E4F" w14:paraId="24CBF59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F67C13" w14:textId="77777777" w:rsidR="001B186F" w:rsidRPr="00DE4E4F" w:rsidRDefault="0074517F" w:rsidP="00BE2B84">
            <w:pPr>
              <w:spacing w:line="240" w:lineRule="auto"/>
              <w:jc w:val="both"/>
              <w:rPr>
                <w:rFonts w:ascii="Times New Roman" w:hAnsi="Times New Roman"/>
                <w:noProof/>
                <w:sz w:val="18"/>
                <w:szCs w:val="18"/>
              </w:rPr>
            </w:pPr>
            <w:r w:rsidRPr="00DE4E4F">
              <w:rPr>
                <w:rFonts w:ascii="Times New Roman" w:hAnsi="Times New Roman"/>
                <w:noProof/>
                <w:sz w:val="18"/>
                <w:szCs w:val="18"/>
              </w:rPr>
              <w:t>173b</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202D093"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10 - 3.3. Improve resilience, accessibility and sustainability of healthcare - 16752_Digital Transformation of Health (DigHealth)</w:t>
            </w:r>
          </w:p>
        </w:tc>
        <w:tc>
          <w:tcPr>
            <w:tcW w:w="1417" w:type="dxa"/>
            <w:tcBorders>
              <w:top w:val="nil"/>
              <w:left w:val="nil"/>
              <w:bottom w:val="single" w:sz="4" w:space="0" w:color="auto"/>
              <w:right w:val="single" w:sz="4" w:space="0" w:color="auto"/>
            </w:tcBorders>
            <w:shd w:val="clear" w:color="auto" w:fill="C6EFCE"/>
            <w:noWrap/>
            <w:vAlign w:val="center"/>
            <w:hideMark/>
          </w:tcPr>
          <w:p w14:paraId="310871EB"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C070808"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Digital transformation – all subprojects delivered, step 3</w:t>
            </w:r>
          </w:p>
        </w:tc>
      </w:tr>
      <w:tr w:rsidR="00682269" w:rsidRPr="00DE4E4F" w14:paraId="2B20ADC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3F98B3A3" w14:textId="77777777"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174a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603046A2" w14:textId="5386780B"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 xml:space="preserve">11 - 3.4. Increase access to effective and inclusive social policies - 16904_ Accessibility and support infrastructure early childhood interventions, </w:t>
            </w:r>
            <w:r w:rsidR="3182B562" w:rsidRPr="00DE4E4F">
              <w:rPr>
                <w:rFonts w:ascii="Times New Roman" w:hAnsi="Times New Roman"/>
                <w:noProof/>
                <w:sz w:val="18"/>
                <w:szCs w:val="18"/>
              </w:rPr>
              <w:t xml:space="preserve">permanent </w:t>
            </w:r>
            <w:r w:rsidRPr="00DE4E4F">
              <w:rPr>
                <w:rFonts w:ascii="Times New Roman" w:hAnsi="Times New Roman"/>
                <w:noProof/>
                <w:sz w:val="18"/>
                <w:szCs w:val="18"/>
              </w:rPr>
              <w:t>national rollout of Personal Assistance disability scheme</w:t>
            </w:r>
          </w:p>
        </w:tc>
        <w:tc>
          <w:tcPr>
            <w:tcW w:w="1417" w:type="dxa"/>
            <w:tcBorders>
              <w:top w:val="nil"/>
              <w:left w:val="nil"/>
              <w:bottom w:val="single" w:sz="4" w:space="0" w:color="auto"/>
              <w:right w:val="single" w:sz="4" w:space="0" w:color="auto"/>
            </w:tcBorders>
            <w:shd w:val="clear" w:color="auto" w:fill="C6EFCE"/>
            <w:noWrap/>
            <w:hideMark/>
          </w:tcPr>
          <w:p w14:paraId="3712AD90"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hideMark/>
          </w:tcPr>
          <w:p w14:paraId="629938B0" w14:textId="78BE386E"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 xml:space="preserve">Accessibility and support infrastructure, early childhood interventions, </w:t>
            </w:r>
            <w:r w:rsidR="6DBF0B37" w:rsidRPr="00DE4E4F">
              <w:rPr>
                <w:rFonts w:ascii="Times New Roman" w:hAnsi="Times New Roman"/>
                <w:noProof/>
                <w:sz w:val="18"/>
                <w:szCs w:val="18"/>
              </w:rPr>
              <w:t xml:space="preserve">permanent </w:t>
            </w:r>
            <w:r w:rsidRPr="00DE4E4F">
              <w:rPr>
                <w:rFonts w:ascii="Times New Roman" w:hAnsi="Times New Roman"/>
                <w:noProof/>
                <w:sz w:val="18"/>
                <w:szCs w:val="18"/>
              </w:rPr>
              <w:t>national rollout of Personal Assistance disability scheme</w:t>
            </w:r>
          </w:p>
        </w:tc>
      </w:tr>
      <w:tr w:rsidR="00682269" w:rsidRPr="00DE4E4F" w14:paraId="173E8D1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8609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178</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7F5EA03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11 - 3.4. Increase access to effective and inclusive social policies - 16919_Child Protection</w:t>
            </w:r>
          </w:p>
        </w:tc>
        <w:tc>
          <w:tcPr>
            <w:tcW w:w="1417" w:type="dxa"/>
            <w:tcBorders>
              <w:top w:val="nil"/>
              <w:left w:val="nil"/>
              <w:bottom w:val="single" w:sz="4" w:space="0" w:color="auto"/>
              <w:right w:val="single" w:sz="4" w:space="0" w:color="auto"/>
            </w:tcBorders>
            <w:shd w:val="clear" w:color="auto" w:fill="C6EFCE"/>
            <w:noWrap/>
            <w:vAlign w:val="center"/>
          </w:tcPr>
          <w:p w14:paraId="6C35B852"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3ED0751"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Independent living apartments for de-institutionalisation of persons up to 26 years old</w:t>
            </w:r>
          </w:p>
        </w:tc>
      </w:tr>
      <w:tr w:rsidR="00682269" w:rsidRPr="00DE4E4F" w14:paraId="4A1AC60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6621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179</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0DE3744"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11 - 3.4. Increase access to effective and inclusive social policies - 16904_Disability</w:t>
            </w:r>
          </w:p>
        </w:tc>
        <w:tc>
          <w:tcPr>
            <w:tcW w:w="1417" w:type="dxa"/>
            <w:tcBorders>
              <w:top w:val="nil"/>
              <w:left w:val="nil"/>
              <w:bottom w:val="single" w:sz="4" w:space="0" w:color="auto"/>
              <w:right w:val="single" w:sz="4" w:space="0" w:color="auto"/>
            </w:tcBorders>
            <w:shd w:val="clear" w:color="auto" w:fill="C6EFCE"/>
            <w:noWrap/>
            <w:vAlign w:val="center"/>
          </w:tcPr>
          <w:p w14:paraId="77FB11E7"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75EAC1D4" w14:textId="26778F40" w:rsidR="001B186F" w:rsidRPr="00DE4E4F" w:rsidRDefault="0074517F"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 xml:space="preserve">National rollout of Personal Assistance disability scheme and </w:t>
            </w:r>
            <w:r w:rsidR="53A822E1" w:rsidRPr="00DE4E4F">
              <w:rPr>
                <w:rFonts w:ascii="Times New Roman" w:hAnsi="Times New Roman"/>
                <w:noProof/>
                <w:sz w:val="18"/>
                <w:szCs w:val="18"/>
              </w:rPr>
              <w:t>evaluation of the pilot programme</w:t>
            </w:r>
          </w:p>
        </w:tc>
      </w:tr>
      <w:tr w:rsidR="00682269" w:rsidRPr="00DE4E4F" w14:paraId="6306FC9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002C80B9"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181</w:t>
            </w:r>
          </w:p>
        </w:tc>
        <w:tc>
          <w:tcPr>
            <w:tcW w:w="4820" w:type="dxa"/>
            <w:tcBorders>
              <w:top w:val="nil"/>
              <w:left w:val="single" w:sz="4" w:space="0" w:color="auto"/>
              <w:bottom w:val="single" w:sz="4" w:space="0" w:color="auto"/>
              <w:right w:val="single" w:sz="4" w:space="0" w:color="auto"/>
            </w:tcBorders>
            <w:shd w:val="clear" w:color="auto" w:fill="C6EFCE"/>
            <w:noWrap/>
          </w:tcPr>
          <w:p w14:paraId="4652DBD3"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11 – 3.4 Increase access to effective and inclusive social policies – 16402_Social and Affordable Housing</w:t>
            </w:r>
          </w:p>
        </w:tc>
        <w:tc>
          <w:tcPr>
            <w:tcW w:w="1417" w:type="dxa"/>
            <w:tcBorders>
              <w:top w:val="nil"/>
              <w:left w:val="nil"/>
              <w:bottom w:val="single" w:sz="4" w:space="0" w:color="auto"/>
              <w:right w:val="single" w:sz="4" w:space="0" w:color="auto"/>
            </w:tcBorders>
            <w:shd w:val="clear" w:color="auto" w:fill="C6EFCE"/>
            <w:noWrap/>
          </w:tcPr>
          <w:p w14:paraId="73C80458"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tcPr>
          <w:p w14:paraId="5B5B9243" w14:textId="77777777" w:rsidR="001B186F" w:rsidRPr="00DE4E4F" w:rsidRDefault="0074517F"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National Housing Strategy</w:t>
            </w:r>
          </w:p>
        </w:tc>
      </w:tr>
      <w:tr w:rsidR="00682269" w:rsidRPr="00DE4E4F" w14:paraId="7FA682A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1E14138E"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182a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033EF001"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- 16925_Digital Transformation of the social support system</w:t>
            </w:r>
          </w:p>
        </w:tc>
        <w:tc>
          <w:tcPr>
            <w:tcW w:w="1417" w:type="dxa"/>
            <w:tcBorders>
              <w:top w:val="nil"/>
              <w:left w:val="nil"/>
              <w:bottom w:val="single" w:sz="4" w:space="0" w:color="auto"/>
              <w:right w:val="single" w:sz="4" w:space="0" w:color="auto"/>
            </w:tcBorders>
            <w:shd w:val="clear" w:color="auto" w:fill="C6EFCE"/>
            <w:noWrap/>
            <w:hideMark/>
          </w:tcPr>
          <w:p w14:paraId="2089F96F"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6832CB1A"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National Portal of Disability</w:t>
            </w:r>
          </w:p>
        </w:tc>
      </w:tr>
      <w:tr w:rsidR="00682269" w:rsidRPr="00DE4E4F" w14:paraId="1505A32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EE40B1"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C3496DA"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- 16925_Digital Transformation of the social support system</w:t>
            </w:r>
          </w:p>
        </w:tc>
        <w:tc>
          <w:tcPr>
            <w:tcW w:w="1417" w:type="dxa"/>
            <w:tcBorders>
              <w:top w:val="nil"/>
              <w:left w:val="nil"/>
              <w:bottom w:val="single" w:sz="4" w:space="0" w:color="auto"/>
              <w:right w:val="single" w:sz="4" w:space="0" w:color="auto"/>
            </w:tcBorders>
            <w:shd w:val="clear" w:color="auto" w:fill="C6EFCE"/>
            <w:noWrap/>
            <w:vAlign w:val="center"/>
            <w:hideMark/>
          </w:tcPr>
          <w:p w14:paraId="288BE6CA"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A2192B3"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Issuance of disability cards to beneficiaries</w:t>
            </w:r>
          </w:p>
        </w:tc>
      </w:tr>
      <w:tr w:rsidR="00682269" w:rsidRPr="00DE4E4F" w14:paraId="689F954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54FADB4D"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186a</w:t>
            </w:r>
          </w:p>
        </w:tc>
        <w:tc>
          <w:tcPr>
            <w:tcW w:w="4820" w:type="dxa"/>
            <w:tcBorders>
              <w:top w:val="nil"/>
              <w:left w:val="single" w:sz="4" w:space="0" w:color="auto"/>
              <w:bottom w:val="single" w:sz="4" w:space="0" w:color="auto"/>
              <w:right w:val="single" w:sz="4" w:space="0" w:color="auto"/>
            </w:tcBorders>
            <w:shd w:val="clear" w:color="auto" w:fill="C6EFCE"/>
            <w:noWrap/>
            <w:hideMark/>
          </w:tcPr>
          <w:p w14:paraId="36BC08D7"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- 16922_Social Integration</w:t>
            </w:r>
          </w:p>
        </w:tc>
        <w:tc>
          <w:tcPr>
            <w:tcW w:w="1417" w:type="dxa"/>
            <w:tcBorders>
              <w:top w:val="nil"/>
              <w:left w:val="nil"/>
              <w:bottom w:val="single" w:sz="4" w:space="0" w:color="auto"/>
              <w:right w:val="single" w:sz="4" w:space="0" w:color="auto"/>
            </w:tcBorders>
            <w:shd w:val="clear" w:color="auto" w:fill="C6EFCE"/>
            <w:noWrap/>
            <w:hideMark/>
          </w:tcPr>
          <w:p w14:paraId="66AC0136"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6FB75E0A"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Social integration of vulnerable groups, digital training</w:t>
            </w:r>
          </w:p>
        </w:tc>
      </w:tr>
      <w:tr w:rsidR="00682269" w:rsidRPr="00DE4E4F" w14:paraId="115F908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2E9125"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E8315CE"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11 - 3.4. Increase access to effective and inclusive social policies - 16688: Promote integration of the refugee population into the labour market </w:t>
            </w:r>
          </w:p>
        </w:tc>
        <w:tc>
          <w:tcPr>
            <w:tcW w:w="1417" w:type="dxa"/>
            <w:tcBorders>
              <w:top w:val="nil"/>
              <w:left w:val="nil"/>
              <w:bottom w:val="single" w:sz="4" w:space="0" w:color="auto"/>
              <w:right w:val="single" w:sz="4" w:space="0" w:color="auto"/>
            </w:tcBorders>
            <w:shd w:val="clear" w:color="auto" w:fill="C6EFCE"/>
            <w:noWrap/>
            <w:vAlign w:val="center"/>
            <w:hideMark/>
          </w:tcPr>
          <w:p w14:paraId="55E83FC0"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9E28044" w14:textId="77777777" w:rsidR="001B186F" w:rsidRPr="00DE4E4F" w:rsidRDefault="0074517F"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Refugee labour market integration</w:t>
            </w:r>
          </w:p>
        </w:tc>
      </w:tr>
      <w:tr w:rsidR="00682269" w:rsidRPr="00DE4E4F" w14:paraId="31FC343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38BDD3"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194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DD70A44"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- 16611_Digital transformation of tax audits</w:t>
            </w:r>
          </w:p>
        </w:tc>
        <w:tc>
          <w:tcPr>
            <w:tcW w:w="1417" w:type="dxa"/>
            <w:tcBorders>
              <w:top w:val="nil"/>
              <w:left w:val="nil"/>
              <w:bottom w:val="single" w:sz="4" w:space="0" w:color="auto"/>
              <w:right w:val="single" w:sz="4" w:space="0" w:color="auto"/>
            </w:tcBorders>
            <w:shd w:val="clear" w:color="auto" w:fill="C6EFCE"/>
            <w:noWrap/>
            <w:vAlign w:val="center"/>
            <w:hideMark/>
          </w:tcPr>
          <w:p w14:paraId="0DB1988A"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135A4B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and entry into use of systems relating to the digital transformation of tax audits</w:t>
            </w:r>
          </w:p>
        </w:tc>
      </w:tr>
      <w:tr w:rsidR="00682269" w:rsidRPr="00DE4E4F" w14:paraId="12AAF01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6B8C54"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195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FF33966" w14:textId="77777777" w:rsidR="001B186F" w:rsidRPr="00DE4E4F" w:rsidRDefault="0074517F"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12 - 4.1. Making taxes more growth friendly and improving tax administration and tax collection - 16291_Digital Transformation of the Tax and Customs Administration</w:t>
            </w:r>
          </w:p>
        </w:tc>
        <w:tc>
          <w:tcPr>
            <w:tcW w:w="1417" w:type="dxa"/>
            <w:tcBorders>
              <w:top w:val="nil"/>
              <w:left w:val="nil"/>
              <w:bottom w:val="single" w:sz="4" w:space="0" w:color="auto"/>
              <w:right w:val="single" w:sz="4" w:space="0" w:color="auto"/>
            </w:tcBorders>
            <w:shd w:val="clear" w:color="auto" w:fill="C6EFCE"/>
            <w:noWrap/>
            <w:vAlign w:val="center"/>
            <w:hideMark/>
          </w:tcPr>
          <w:p w14:paraId="70EDD172" w14:textId="77777777" w:rsidR="001B186F" w:rsidRPr="00DE4E4F" w:rsidRDefault="0074517F"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2D809BF2" w14:textId="77777777" w:rsidR="00FC67EE" w:rsidRPr="00DE4E4F" w:rsidRDefault="00FC67EE"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Delivery of first phase of the integrated tax and audit IT environment of the Independent Authority for Public Revenue</w:t>
            </w:r>
          </w:p>
          <w:p w14:paraId="39EB69D5" w14:textId="77777777" w:rsidR="00FC67EE" w:rsidRPr="00DE4E4F" w:rsidRDefault="00FC67EE" w:rsidP="00BE2B84">
            <w:pPr>
              <w:keepNext/>
              <w:spacing w:before="40" w:after="0" w:line="240" w:lineRule="auto"/>
              <w:jc w:val="both"/>
              <w:rPr>
                <w:rFonts w:ascii="Times New Roman" w:hAnsi="Times New Roman"/>
                <w:noProof/>
                <w:sz w:val="18"/>
              </w:rPr>
            </w:pPr>
          </w:p>
          <w:p w14:paraId="317939CB" w14:textId="1747DED5" w:rsidR="001B186F" w:rsidRPr="00DE4E4F" w:rsidRDefault="00FC67EE" w:rsidP="00BE2B84">
            <w:pPr>
              <w:keepNext/>
              <w:spacing w:before="40" w:after="0" w:line="240" w:lineRule="auto"/>
              <w:jc w:val="both"/>
              <w:rPr>
                <w:rFonts w:ascii="Times New Roman" w:eastAsia="Times New Roman" w:hAnsi="Times New Roman" w:cs="Times New Roman"/>
                <w:noProof/>
                <w:sz w:val="18"/>
                <w:szCs w:val="18"/>
                <w:highlight w:val="yellow"/>
                <w:u w:val="single"/>
              </w:rPr>
            </w:pPr>
            <w:r w:rsidRPr="00DE4E4F">
              <w:rPr>
                <w:rFonts w:ascii="Times New Roman" w:hAnsi="Times New Roman"/>
                <w:noProof/>
                <w:sz w:val="18"/>
              </w:rPr>
              <w:t>Delivery of sub-projects as part of IAPR’s digital transformation</w:t>
            </w:r>
          </w:p>
        </w:tc>
      </w:tr>
      <w:tr w:rsidR="005132F2" w:rsidRPr="00DE4E4F" w14:paraId="08E0430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B8E8" w14:textId="1376003E"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204a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2E0B7081" w14:textId="30F402F2"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12 - 4.1. Making taxes more growth friendly and improving tax administration and tax collection – 16643_Codification and simplification of tax legislation</w:t>
            </w:r>
          </w:p>
        </w:tc>
        <w:tc>
          <w:tcPr>
            <w:tcW w:w="1417" w:type="dxa"/>
            <w:tcBorders>
              <w:top w:val="nil"/>
              <w:left w:val="nil"/>
              <w:bottom w:val="single" w:sz="4" w:space="0" w:color="auto"/>
              <w:right w:val="single" w:sz="4" w:space="0" w:color="auto"/>
            </w:tcBorders>
            <w:shd w:val="clear" w:color="auto" w:fill="C6EFCE"/>
            <w:noWrap/>
            <w:vAlign w:val="center"/>
          </w:tcPr>
          <w:p w14:paraId="07E7BEA3" w14:textId="1C21CF24"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6089286A" w14:textId="581447A8"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Publication of primary and secondary legislation in taxpayer website</w:t>
            </w:r>
          </w:p>
        </w:tc>
      </w:tr>
      <w:tr w:rsidR="005132F2" w:rsidRPr="00DE4E4F" w14:paraId="639BC78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B44B45"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211a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69B87479"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- 16952_Strengthening the National Anti-Corruption Framework through targeted interventions in the fields of detection, prevention and raising awareness</w:t>
            </w:r>
          </w:p>
        </w:tc>
        <w:tc>
          <w:tcPr>
            <w:tcW w:w="1417" w:type="dxa"/>
            <w:tcBorders>
              <w:top w:val="nil"/>
              <w:left w:val="nil"/>
              <w:bottom w:val="single" w:sz="4" w:space="0" w:color="auto"/>
              <w:right w:val="single" w:sz="4" w:space="0" w:color="auto"/>
            </w:tcBorders>
            <w:shd w:val="clear" w:color="auto" w:fill="C6EFCE"/>
            <w:noWrap/>
            <w:vAlign w:val="center"/>
          </w:tcPr>
          <w:p w14:paraId="64594110"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4F21ED5C" w14:textId="09A0A059"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Delivery of investment projects to support the digital and infrastructure capacities of the National Transparency Authority</w:t>
            </w:r>
          </w:p>
        </w:tc>
      </w:tr>
      <w:tr w:rsidR="005132F2" w:rsidRPr="00DE4E4F" w14:paraId="3018221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F671F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220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7E9E5D"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13 - 4.2. Modernise the public administration, including through speeding up the implementation of public investments, improving the public procurement framework, capacity building measures and fighting corruption - 16705_Digital Transformation of Fiscal Management and Supervision in Governance &amp; Electronic Invoicing</w:t>
            </w:r>
          </w:p>
        </w:tc>
        <w:tc>
          <w:tcPr>
            <w:tcW w:w="1417" w:type="dxa"/>
            <w:tcBorders>
              <w:top w:val="nil"/>
              <w:left w:val="nil"/>
              <w:bottom w:val="single" w:sz="4" w:space="0" w:color="auto"/>
              <w:right w:val="single" w:sz="4" w:space="0" w:color="auto"/>
            </w:tcBorders>
            <w:shd w:val="clear" w:color="auto" w:fill="C6EFCE"/>
            <w:noWrap/>
            <w:vAlign w:val="center"/>
            <w:hideMark/>
          </w:tcPr>
          <w:p w14:paraId="508E583C"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FDBD8C6"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Government Enterprise Resource Planning (govERP)</w:t>
            </w:r>
          </w:p>
        </w:tc>
      </w:tr>
      <w:tr w:rsidR="005132F2" w:rsidRPr="00DE4E4F" w14:paraId="209BFF9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03EB6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76A654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- 16292_New Judicial Buildings</w:t>
            </w:r>
          </w:p>
        </w:tc>
        <w:tc>
          <w:tcPr>
            <w:tcW w:w="1417" w:type="dxa"/>
            <w:tcBorders>
              <w:top w:val="nil"/>
              <w:left w:val="nil"/>
              <w:bottom w:val="single" w:sz="4" w:space="0" w:color="auto"/>
              <w:right w:val="single" w:sz="4" w:space="0" w:color="auto"/>
            </w:tcBorders>
            <w:shd w:val="clear" w:color="auto" w:fill="C6EFCE"/>
            <w:noWrap/>
            <w:vAlign w:val="center"/>
            <w:hideMark/>
          </w:tcPr>
          <w:p w14:paraId="27BBF144"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0239870"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Construction and renovation works finished– e-identity - certificates issued </w:t>
            </w:r>
          </w:p>
        </w:tc>
      </w:tr>
      <w:tr w:rsidR="005132F2" w:rsidRPr="00DE4E4F" w14:paraId="0226C447"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A821B3"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239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B21A0BA"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14 - 4.3. Improve the efficiency of the justice system - 16727_Digital Transformation of Justice (E-Justice)</w:t>
            </w:r>
          </w:p>
        </w:tc>
        <w:tc>
          <w:tcPr>
            <w:tcW w:w="1417" w:type="dxa"/>
            <w:tcBorders>
              <w:top w:val="nil"/>
              <w:left w:val="nil"/>
              <w:bottom w:val="single" w:sz="4" w:space="0" w:color="auto"/>
              <w:right w:val="single" w:sz="4" w:space="0" w:color="auto"/>
            </w:tcBorders>
            <w:shd w:val="clear" w:color="auto" w:fill="C6EFCE"/>
            <w:noWrap/>
            <w:vAlign w:val="center"/>
            <w:hideMark/>
          </w:tcPr>
          <w:p w14:paraId="741FCB18"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2BF5B86"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Record-keeping and IT upgrades</w:t>
            </w:r>
          </w:p>
        </w:tc>
      </w:tr>
      <w:tr w:rsidR="005132F2" w:rsidRPr="00DE4E4F" w14:paraId="0C30CA3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E9B7E6"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243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C40F30F"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15 - 4.4. Strengthen the financial sector and capital markets - 16581_Enhanced capital market supervision and trustworthiness</w:t>
            </w:r>
          </w:p>
        </w:tc>
        <w:tc>
          <w:tcPr>
            <w:tcW w:w="1417" w:type="dxa"/>
            <w:tcBorders>
              <w:top w:val="nil"/>
              <w:left w:val="nil"/>
              <w:bottom w:val="single" w:sz="4" w:space="0" w:color="auto"/>
              <w:right w:val="single" w:sz="4" w:space="0" w:color="auto"/>
            </w:tcBorders>
            <w:shd w:val="clear" w:color="auto" w:fill="C6EFCE"/>
            <w:noWrap/>
            <w:vAlign w:val="center"/>
            <w:hideMark/>
          </w:tcPr>
          <w:p w14:paraId="32B94DA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9E408C3"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Digitalisation of supervisory process of the Hellenic Capital Market Commission</w:t>
            </w:r>
          </w:p>
        </w:tc>
      </w:tr>
      <w:tr w:rsidR="005132F2" w:rsidRPr="00DE4E4F" w14:paraId="349CB7A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C9EA8E"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244c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B38363B"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15 - 4.4. Strengthen the financial sector and capital markets - 16957_Strengthening the capacity of the financial system to overcome legacy challenges and finance the real economy</w:t>
            </w:r>
          </w:p>
        </w:tc>
        <w:tc>
          <w:tcPr>
            <w:tcW w:w="1417" w:type="dxa"/>
            <w:tcBorders>
              <w:top w:val="nil"/>
              <w:left w:val="nil"/>
              <w:bottom w:val="single" w:sz="4" w:space="0" w:color="auto"/>
              <w:right w:val="single" w:sz="4" w:space="0" w:color="auto"/>
            </w:tcBorders>
            <w:shd w:val="clear" w:color="auto" w:fill="C6EFCE"/>
            <w:noWrap/>
            <w:hideMark/>
          </w:tcPr>
          <w:p w14:paraId="46855DCF"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056CA904" w14:textId="3CBA680B" w:rsidR="005132F2" w:rsidRPr="00DE4E4F" w:rsidRDefault="005132F2" w:rsidP="00BE2B84">
            <w:pPr>
              <w:keepNext/>
              <w:spacing w:before="40" w:after="0" w:line="240" w:lineRule="auto"/>
              <w:jc w:val="both"/>
              <w:rPr>
                <w:rFonts w:ascii="Times New Roman" w:hAnsi="Times New Roman"/>
                <w:noProof/>
                <w:sz w:val="18"/>
                <w:szCs w:val="18"/>
                <w:highlight w:val="yellow"/>
              </w:rPr>
            </w:pPr>
            <w:r w:rsidRPr="00DE4E4F">
              <w:rPr>
                <w:rFonts w:ascii="Times New Roman" w:hAnsi="Times New Roman"/>
                <w:noProof/>
                <w:sz w:val="18"/>
                <w:szCs w:val="18"/>
              </w:rPr>
              <w:t>Delivery of IT systems and data templates, entry into force of legal acts on case handling and backlog reduction in enforcement proceedings</w:t>
            </w:r>
          </w:p>
        </w:tc>
      </w:tr>
      <w:tr w:rsidR="005132F2" w:rsidRPr="00DE4E4F" w14:paraId="6F809CF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3D3F4D"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7B2666E"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16 - 4.5. Promote research and innovation - 16624_Creation - Expansion – Upgrade of Infrastructures of Research Centers supervised by the General Secretariat for Research and Innovation (GSRI)</w:t>
            </w:r>
          </w:p>
        </w:tc>
        <w:tc>
          <w:tcPr>
            <w:tcW w:w="1417" w:type="dxa"/>
            <w:tcBorders>
              <w:top w:val="nil"/>
              <w:left w:val="nil"/>
              <w:bottom w:val="single" w:sz="4" w:space="0" w:color="auto"/>
              <w:right w:val="single" w:sz="4" w:space="0" w:color="auto"/>
            </w:tcBorders>
            <w:shd w:val="clear" w:color="auto" w:fill="C6EFCE"/>
            <w:noWrap/>
            <w:vAlign w:val="center"/>
            <w:hideMark/>
          </w:tcPr>
          <w:p w14:paraId="121074BD"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C5B23FF" w14:textId="79C8442E"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projects concerning research centres</w:t>
            </w:r>
            <w:r w:rsidRPr="00DE4E4F">
              <w:rPr>
                <w:noProof/>
              </w:rPr>
              <w:t xml:space="preserve"> </w:t>
            </w:r>
          </w:p>
        </w:tc>
      </w:tr>
      <w:tr w:rsidR="005132F2" w:rsidRPr="00DE4E4F" w14:paraId="61D2190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138E52"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250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D47B5BB"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16 - 4.5. Promote research and innovation - 16618_Basic &amp; Applied Research</w:t>
            </w:r>
          </w:p>
        </w:tc>
        <w:tc>
          <w:tcPr>
            <w:tcW w:w="1417" w:type="dxa"/>
            <w:tcBorders>
              <w:top w:val="nil"/>
              <w:left w:val="nil"/>
              <w:bottom w:val="single" w:sz="4" w:space="0" w:color="auto"/>
              <w:right w:val="single" w:sz="4" w:space="0" w:color="auto"/>
            </w:tcBorders>
            <w:shd w:val="clear" w:color="auto" w:fill="C6EFCE"/>
            <w:noWrap/>
            <w:vAlign w:val="center"/>
            <w:hideMark/>
          </w:tcPr>
          <w:p w14:paraId="7313ADE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502A71E" w14:textId="52B5485C"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Basic &amp; Applied research projects</w:t>
            </w:r>
          </w:p>
        </w:tc>
      </w:tr>
      <w:tr w:rsidR="005132F2" w:rsidRPr="00DE4E4F" w14:paraId="00707C0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16969A"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251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19C7E39"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16 - 4.5. Promote research and innovation - 16654_TH 2 ORAX: Trellis Holistic &amp; Hybrid Operational Ruggedized Autonomous eXemplary system</w:t>
            </w:r>
          </w:p>
        </w:tc>
        <w:tc>
          <w:tcPr>
            <w:tcW w:w="1417" w:type="dxa"/>
            <w:tcBorders>
              <w:top w:val="nil"/>
              <w:left w:val="nil"/>
              <w:bottom w:val="single" w:sz="4" w:space="0" w:color="auto"/>
              <w:right w:val="single" w:sz="4" w:space="0" w:color="auto"/>
            </w:tcBorders>
            <w:shd w:val="clear" w:color="auto" w:fill="C6EFCE"/>
            <w:noWrap/>
            <w:vAlign w:val="center"/>
            <w:hideMark/>
          </w:tcPr>
          <w:p w14:paraId="6BA2EFE0"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64D953CB"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Execution of TH²ORAX project</w:t>
            </w:r>
          </w:p>
        </w:tc>
      </w:tr>
      <w:tr w:rsidR="005132F2" w:rsidRPr="00DE4E4F" w14:paraId="683C9BF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DCB238"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256</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FADCBEF" w14:textId="09C544F2"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17 - 4.6. Modernise and improve resilience of key economic sectors – 16628</w:t>
            </w:r>
          </w:p>
          <w:p w14:paraId="59757580"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b/>
                <w:bCs/>
                <w:noProof/>
                <w:sz w:val="18"/>
              </w:rPr>
              <w:t>_</w:t>
            </w:r>
            <w:r w:rsidRPr="00DE4E4F">
              <w:rPr>
                <w:rFonts w:ascii="Times New Roman" w:hAnsi="Times New Roman"/>
                <w:noProof/>
                <w:sz w:val="18"/>
              </w:rPr>
              <w:t>Central Greece Highway E-65: Trikala- Egnatia Section</w:t>
            </w:r>
          </w:p>
        </w:tc>
        <w:tc>
          <w:tcPr>
            <w:tcW w:w="1417" w:type="dxa"/>
            <w:tcBorders>
              <w:top w:val="nil"/>
              <w:left w:val="nil"/>
              <w:bottom w:val="single" w:sz="4" w:space="0" w:color="auto"/>
              <w:right w:val="single" w:sz="4" w:space="0" w:color="auto"/>
            </w:tcBorders>
            <w:shd w:val="clear" w:color="auto" w:fill="C6EFCE"/>
            <w:noWrap/>
            <w:vAlign w:val="center"/>
            <w:hideMark/>
          </w:tcPr>
          <w:p w14:paraId="0A299C00"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9526012"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E-65 works — completion</w:t>
            </w:r>
          </w:p>
        </w:tc>
      </w:tr>
      <w:tr w:rsidR="005132F2" w:rsidRPr="00DE4E4F" w14:paraId="0747FF11"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37E4EF"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262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356AA59" w14:textId="6FF2B115"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- 16630_Cretan Northern Highway (Β.Ο.Α.Κ.)</w:t>
            </w:r>
          </w:p>
        </w:tc>
        <w:tc>
          <w:tcPr>
            <w:tcW w:w="1417" w:type="dxa"/>
            <w:tcBorders>
              <w:top w:val="nil"/>
              <w:left w:val="nil"/>
              <w:bottom w:val="single" w:sz="4" w:space="0" w:color="auto"/>
              <w:right w:val="single" w:sz="4" w:space="0" w:color="auto"/>
            </w:tcBorders>
            <w:shd w:val="clear" w:color="auto" w:fill="C6EFCE"/>
            <w:noWrap/>
            <w:vAlign w:val="center"/>
            <w:hideMark/>
          </w:tcPr>
          <w:p w14:paraId="7ED1E62E"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5786859"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Works executed funded by RRF</w:t>
            </w:r>
          </w:p>
        </w:tc>
      </w:tr>
      <w:tr w:rsidR="005132F2" w:rsidRPr="00DE4E4F" w14:paraId="422B7B0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10F5C1"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262a</w:t>
            </w:r>
          </w:p>
        </w:tc>
        <w:tc>
          <w:tcPr>
            <w:tcW w:w="4820" w:type="dxa"/>
            <w:tcBorders>
              <w:top w:val="nil"/>
              <w:left w:val="single" w:sz="4" w:space="0" w:color="auto"/>
              <w:bottom w:val="single" w:sz="4" w:space="0" w:color="auto"/>
              <w:right w:val="single" w:sz="4" w:space="0" w:color="auto"/>
            </w:tcBorders>
            <w:shd w:val="clear" w:color="auto" w:fill="C6EFCE"/>
            <w:noWrap/>
            <w:vAlign w:val="center"/>
          </w:tcPr>
          <w:p w14:paraId="55B0F15C"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17 - 4.6. Modernise and improve resilience of key economic sectors - 16630_Cretan Northern Highway (Β.Ο.Α.Κ.)</w:t>
            </w:r>
          </w:p>
        </w:tc>
        <w:tc>
          <w:tcPr>
            <w:tcW w:w="1417" w:type="dxa"/>
            <w:tcBorders>
              <w:top w:val="nil"/>
              <w:left w:val="nil"/>
              <w:bottom w:val="single" w:sz="4" w:space="0" w:color="auto"/>
              <w:right w:val="single" w:sz="4" w:space="0" w:color="auto"/>
            </w:tcBorders>
            <w:shd w:val="clear" w:color="auto" w:fill="C6EFCE"/>
            <w:noWrap/>
            <w:vAlign w:val="center"/>
          </w:tcPr>
          <w:p w14:paraId="00284731"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tcPr>
          <w:p w14:paraId="243FE471"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Works executed funded by RRF</w:t>
            </w:r>
          </w:p>
        </w:tc>
      </w:tr>
      <w:tr w:rsidR="005132F2" w:rsidRPr="00DE4E4F" w14:paraId="51FF0938"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1B7158"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268c</w:t>
            </w:r>
          </w:p>
        </w:tc>
        <w:tc>
          <w:tcPr>
            <w:tcW w:w="4820" w:type="dxa"/>
            <w:tcBorders>
              <w:top w:val="nil"/>
              <w:left w:val="single" w:sz="4" w:space="0" w:color="auto"/>
              <w:bottom w:val="single" w:sz="4" w:space="0" w:color="auto"/>
              <w:right w:val="single" w:sz="4" w:space="0" w:color="auto"/>
            </w:tcBorders>
            <w:shd w:val="clear" w:color="auto" w:fill="C6EFCE"/>
            <w:noWrap/>
            <w:hideMark/>
          </w:tcPr>
          <w:p w14:paraId="4CD8007B"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17 - 4.6. Modernise and improve resilience of key economic sectors - 16982_Organisational reform in the railways sector</w:t>
            </w:r>
          </w:p>
        </w:tc>
        <w:tc>
          <w:tcPr>
            <w:tcW w:w="1417" w:type="dxa"/>
            <w:tcBorders>
              <w:top w:val="nil"/>
              <w:left w:val="nil"/>
              <w:bottom w:val="single" w:sz="4" w:space="0" w:color="auto"/>
              <w:right w:val="single" w:sz="4" w:space="0" w:color="auto"/>
            </w:tcBorders>
            <w:shd w:val="clear" w:color="auto" w:fill="C6EFCE"/>
            <w:noWrap/>
            <w:hideMark/>
          </w:tcPr>
          <w:p w14:paraId="15973B6A"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hideMark/>
          </w:tcPr>
          <w:p w14:paraId="65CF04FB" w14:textId="6316639E"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New organisational structure</w:t>
            </w:r>
          </w:p>
        </w:tc>
      </w:tr>
      <w:tr w:rsidR="005132F2" w:rsidRPr="00DE4E4F" w14:paraId="380624BA"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1182BC"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269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AD13485" w14:textId="56364609"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17 - 4.6. Modernise and improve resilience of key economic sectors – 16833_Regional airport upgrades - DAAD withdrawal</w:t>
            </w:r>
          </w:p>
        </w:tc>
        <w:tc>
          <w:tcPr>
            <w:tcW w:w="1417" w:type="dxa"/>
            <w:tcBorders>
              <w:top w:val="nil"/>
              <w:left w:val="nil"/>
              <w:bottom w:val="single" w:sz="4" w:space="0" w:color="auto"/>
              <w:right w:val="single" w:sz="4" w:space="0" w:color="auto"/>
            </w:tcBorders>
            <w:shd w:val="clear" w:color="auto" w:fill="C6EFCE"/>
            <w:noWrap/>
            <w:vAlign w:val="center"/>
            <w:hideMark/>
          </w:tcPr>
          <w:p w14:paraId="46D8C46F"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4F4A261" w14:textId="77777777" w:rsidR="005132F2" w:rsidRPr="00DE4E4F" w:rsidRDefault="005132F2" w:rsidP="00BE2B84">
            <w:pPr>
              <w:keepNext/>
              <w:spacing w:before="40" w:after="0" w:line="240" w:lineRule="auto"/>
              <w:jc w:val="both"/>
              <w:rPr>
                <w:rFonts w:ascii="Times New Roman" w:eastAsiaTheme="minorEastAsia" w:hAnsi="Times New Roman" w:cs="Times New Roman"/>
                <w:noProof/>
                <w:sz w:val="18"/>
                <w:szCs w:val="18"/>
              </w:rPr>
            </w:pPr>
            <w:r w:rsidRPr="00DE4E4F">
              <w:rPr>
                <w:rFonts w:ascii="Times New Roman" w:eastAsia="Times New Roman" w:hAnsi="Times New Roman" w:cs="Times New Roman"/>
                <w:noProof/>
                <w:sz w:val="18"/>
                <w:szCs w:val="18"/>
              </w:rPr>
              <w:t>Withdrawal of Deviation Acceptance and Action Documents (DAADs)</w:t>
            </w:r>
            <w:r w:rsidRPr="00DE4E4F">
              <w:rPr>
                <w:rFonts w:ascii="Times New Roman" w:eastAsiaTheme="minorEastAsia" w:hAnsi="Times New Roman" w:cs="Times New Roman"/>
                <w:noProof/>
                <w:sz w:val="18"/>
                <w:szCs w:val="18"/>
              </w:rPr>
              <w:t xml:space="preserve"> </w:t>
            </w:r>
          </w:p>
        </w:tc>
      </w:tr>
      <w:tr w:rsidR="005132F2" w:rsidRPr="00DE4E4F" w14:paraId="06ACD38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01B4D01"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272</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265EB1D"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- 16949_Smart Bridges</w:t>
            </w:r>
          </w:p>
        </w:tc>
        <w:tc>
          <w:tcPr>
            <w:tcW w:w="1417" w:type="dxa"/>
            <w:tcBorders>
              <w:top w:val="nil"/>
              <w:left w:val="nil"/>
              <w:bottom w:val="single" w:sz="4" w:space="0" w:color="auto"/>
              <w:right w:val="single" w:sz="4" w:space="0" w:color="auto"/>
            </w:tcBorders>
            <w:shd w:val="clear" w:color="auto" w:fill="C6EFCE"/>
            <w:noWrap/>
            <w:vAlign w:val="center"/>
            <w:hideMark/>
          </w:tcPr>
          <w:p w14:paraId="2AF9A9E1"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46F6D742" w14:textId="7B29B184"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Installation of smart bridges equipment</w:t>
            </w:r>
          </w:p>
        </w:tc>
      </w:tr>
      <w:tr w:rsidR="005132F2" w:rsidRPr="00DE4E4F" w14:paraId="29985E7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EEFBF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444A984"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17 - 4.6. Modernise and improve resilience of key economic sectors - 16959_Digital Transformation of the Hellenic Railways</w:t>
            </w:r>
          </w:p>
        </w:tc>
        <w:tc>
          <w:tcPr>
            <w:tcW w:w="1417" w:type="dxa"/>
            <w:tcBorders>
              <w:top w:val="nil"/>
              <w:left w:val="nil"/>
              <w:bottom w:val="single" w:sz="4" w:space="0" w:color="auto"/>
              <w:right w:val="single" w:sz="4" w:space="0" w:color="auto"/>
            </w:tcBorders>
            <w:shd w:val="clear" w:color="auto" w:fill="C6EFCE"/>
            <w:noWrap/>
            <w:vAlign w:val="center"/>
            <w:hideMark/>
          </w:tcPr>
          <w:p w14:paraId="7927F9AD"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DA2620E" w14:textId="77777777"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Digital projects, systems, equipment and services</w:t>
            </w:r>
          </w:p>
        </w:tc>
      </w:tr>
      <w:tr w:rsidR="005132F2" w:rsidRPr="00DE4E4F" w14:paraId="05806E6D"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6D01F3"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275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1F0B7BE"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- 16960_Smart Infrastructure with environmental and cultural focus</w:t>
            </w:r>
          </w:p>
        </w:tc>
        <w:tc>
          <w:tcPr>
            <w:tcW w:w="1417" w:type="dxa"/>
            <w:tcBorders>
              <w:top w:val="nil"/>
              <w:left w:val="nil"/>
              <w:bottom w:val="single" w:sz="4" w:space="0" w:color="auto"/>
              <w:right w:val="single" w:sz="4" w:space="0" w:color="auto"/>
            </w:tcBorders>
            <w:shd w:val="clear" w:color="auto" w:fill="C6EFCE"/>
            <w:noWrap/>
            <w:vAlign w:val="center"/>
            <w:hideMark/>
          </w:tcPr>
          <w:p w14:paraId="1AC5E684"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5291E69"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Delivery of smart infrastructure project</w:t>
            </w:r>
          </w:p>
        </w:tc>
      </w:tr>
      <w:tr w:rsidR="005132F2" w:rsidRPr="00DE4E4F" w14:paraId="61D36E2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A551A9"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283</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D3A9417"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- 16293_Culture as a driver of growth</w:t>
            </w:r>
          </w:p>
        </w:tc>
        <w:tc>
          <w:tcPr>
            <w:tcW w:w="1417" w:type="dxa"/>
            <w:tcBorders>
              <w:top w:val="nil"/>
              <w:left w:val="nil"/>
              <w:bottom w:val="single" w:sz="4" w:space="0" w:color="auto"/>
              <w:right w:val="single" w:sz="4" w:space="0" w:color="auto"/>
            </w:tcBorders>
            <w:shd w:val="clear" w:color="auto" w:fill="C6EFCE"/>
            <w:noWrap/>
            <w:vAlign w:val="center"/>
            <w:hideMark/>
          </w:tcPr>
          <w:p w14:paraId="3B500C13"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8EC06F4" w14:textId="0C418D6F"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Cultural master plans and works</w:t>
            </w:r>
          </w:p>
        </w:tc>
      </w:tr>
      <w:tr w:rsidR="005132F2" w:rsidRPr="00DE4E4F" w14:paraId="6722C8B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35616E"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5E7603A" w14:textId="71AEB61B"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 xml:space="preserve">17 - 4.6. Modernise and improve resilience of key economic sectors - 16536_Upgrade of infrastructure and equipment of HOCRED stores </w:t>
            </w:r>
          </w:p>
        </w:tc>
        <w:tc>
          <w:tcPr>
            <w:tcW w:w="1417" w:type="dxa"/>
            <w:tcBorders>
              <w:top w:val="nil"/>
              <w:left w:val="nil"/>
              <w:bottom w:val="single" w:sz="4" w:space="0" w:color="auto"/>
              <w:right w:val="single" w:sz="4" w:space="0" w:color="auto"/>
            </w:tcBorders>
            <w:shd w:val="clear" w:color="auto" w:fill="C6EFCE"/>
            <w:noWrap/>
            <w:vAlign w:val="center"/>
            <w:hideMark/>
          </w:tcPr>
          <w:p w14:paraId="38634B71"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451F4A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 xml:space="preserve">Upgrade of the Hellenic Organisation of Cultural Resources Development (HOCRED) </w:t>
            </w:r>
          </w:p>
        </w:tc>
      </w:tr>
      <w:tr w:rsidR="005132F2" w:rsidRPr="00DE4E4F" w14:paraId="47E3E58F"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7BC4FD"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285</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340FEF1"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- 16725_Upgrading higher arts education</w:t>
            </w:r>
          </w:p>
        </w:tc>
        <w:tc>
          <w:tcPr>
            <w:tcW w:w="1417" w:type="dxa"/>
            <w:tcBorders>
              <w:top w:val="nil"/>
              <w:left w:val="nil"/>
              <w:bottom w:val="single" w:sz="4" w:space="0" w:color="auto"/>
              <w:right w:val="single" w:sz="4" w:space="0" w:color="auto"/>
            </w:tcBorders>
            <w:shd w:val="clear" w:color="auto" w:fill="C6EFCE"/>
            <w:noWrap/>
            <w:vAlign w:val="center"/>
            <w:hideMark/>
          </w:tcPr>
          <w:p w14:paraId="1F81460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D678847"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Upgrading higher arts education</w:t>
            </w:r>
          </w:p>
        </w:tc>
      </w:tr>
      <w:tr w:rsidR="005132F2" w:rsidRPr="00DE4E4F" w14:paraId="35B04113"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EA69A8"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7E4092E"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17 - 4.6. Modernise and improve resilience of key economic sectors - 16486_Museum of underwater antiquities</w:t>
            </w:r>
          </w:p>
        </w:tc>
        <w:tc>
          <w:tcPr>
            <w:tcW w:w="1417" w:type="dxa"/>
            <w:tcBorders>
              <w:top w:val="nil"/>
              <w:left w:val="nil"/>
              <w:bottom w:val="single" w:sz="4" w:space="0" w:color="auto"/>
              <w:right w:val="single" w:sz="4" w:space="0" w:color="auto"/>
            </w:tcBorders>
            <w:shd w:val="clear" w:color="auto" w:fill="C6EFCE"/>
            <w:noWrap/>
            <w:vAlign w:val="center"/>
            <w:hideMark/>
          </w:tcPr>
          <w:p w14:paraId="2240F790" w14:textId="7F19D0C0" w:rsidR="005132F2" w:rsidRPr="00DE4E4F" w:rsidRDefault="00D02914"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Target</w:t>
            </w:r>
          </w:p>
        </w:tc>
        <w:tc>
          <w:tcPr>
            <w:tcW w:w="3292" w:type="dxa"/>
            <w:tcBorders>
              <w:top w:val="nil"/>
              <w:left w:val="nil"/>
              <w:bottom w:val="single" w:sz="4" w:space="0" w:color="auto"/>
              <w:right w:val="single" w:sz="4" w:space="0" w:color="auto"/>
            </w:tcBorders>
            <w:shd w:val="clear" w:color="auto" w:fill="C6EFCE"/>
            <w:noWrap/>
            <w:vAlign w:val="center"/>
            <w:hideMark/>
          </w:tcPr>
          <w:p w14:paraId="31661E96"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Museum of underwater antiquities</w:t>
            </w:r>
          </w:p>
        </w:tc>
      </w:tr>
      <w:tr w:rsidR="005132F2" w:rsidRPr="00DE4E4F" w14:paraId="2B11E747"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BD54E9"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B6F54C6" w14:textId="732AFAE0"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 xml:space="preserve">17 - 4.6. Modernise and improve resilience of key economic sectors - 16485_Cultural Routes </w:t>
            </w:r>
            <w:r w:rsidR="00734D9F" w:rsidRPr="00DE4E4F">
              <w:rPr>
                <w:rFonts w:ascii="Times New Roman" w:hAnsi="Times New Roman"/>
                <w:noProof/>
                <w:sz w:val="18"/>
                <w:szCs w:val="18"/>
              </w:rPr>
              <w:t>at</w:t>
            </w:r>
            <w:r w:rsidRPr="00DE4E4F">
              <w:rPr>
                <w:rFonts w:ascii="Times New Roman" w:hAnsi="Times New Roman"/>
                <w:noProof/>
                <w:sz w:val="18"/>
                <w:szCs w:val="18"/>
              </w:rPr>
              <w:t xml:space="preserve"> Archaeological Sites And Monuments</w:t>
            </w:r>
          </w:p>
        </w:tc>
        <w:tc>
          <w:tcPr>
            <w:tcW w:w="1417" w:type="dxa"/>
            <w:tcBorders>
              <w:top w:val="nil"/>
              <w:left w:val="nil"/>
              <w:bottom w:val="single" w:sz="4" w:space="0" w:color="auto"/>
              <w:right w:val="single" w:sz="4" w:space="0" w:color="auto"/>
            </w:tcBorders>
            <w:shd w:val="clear" w:color="auto" w:fill="C6EFCE"/>
            <w:noWrap/>
            <w:vAlign w:val="center"/>
            <w:hideMark/>
          </w:tcPr>
          <w:p w14:paraId="4913F98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1E57D84E" w14:textId="3DA0EC12"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Cultural Routes at Archaeological Sites</w:t>
            </w:r>
          </w:p>
        </w:tc>
      </w:tr>
      <w:tr w:rsidR="005132F2" w:rsidRPr="00DE4E4F" w14:paraId="56CF314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E25872"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289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E67FC75" w14:textId="7ABCD398"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- 16735_</w:t>
            </w:r>
            <w:r w:rsidRPr="00DE4E4F">
              <w:rPr>
                <w:noProof/>
              </w:rPr>
              <w:t xml:space="preserve"> </w:t>
            </w:r>
            <w:r w:rsidRPr="00DE4E4F">
              <w:rPr>
                <w:rFonts w:ascii="Times New Roman" w:hAnsi="Times New Roman"/>
                <w:noProof/>
                <w:sz w:val="18"/>
              </w:rPr>
              <w:t>Utilizing “Pilot Actions of cultural prescription”, promoting social cohesion, and tapping on the silver economy</w:t>
            </w:r>
          </w:p>
        </w:tc>
        <w:tc>
          <w:tcPr>
            <w:tcW w:w="1417" w:type="dxa"/>
            <w:tcBorders>
              <w:top w:val="nil"/>
              <w:left w:val="nil"/>
              <w:bottom w:val="single" w:sz="4" w:space="0" w:color="auto"/>
              <w:right w:val="single" w:sz="4" w:space="0" w:color="auto"/>
            </w:tcBorders>
            <w:shd w:val="clear" w:color="auto" w:fill="C6EFCE"/>
            <w:noWrap/>
            <w:vAlign w:val="center"/>
            <w:hideMark/>
          </w:tcPr>
          <w:p w14:paraId="064CF5B1"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17A2AF7" w14:textId="22EF95E8"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 xml:space="preserve"> “Pilot Action of cultural prescription” program, and infrastructure works </w:t>
            </w:r>
          </w:p>
        </w:tc>
      </w:tr>
      <w:tr w:rsidR="005132F2" w:rsidRPr="00DE4E4F" w14:paraId="1BCD1517"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15730"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290</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99ABEB3"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- 16433_Protection of cultural monuments and archaeological sites from climate change</w:t>
            </w:r>
          </w:p>
        </w:tc>
        <w:tc>
          <w:tcPr>
            <w:tcW w:w="1417" w:type="dxa"/>
            <w:tcBorders>
              <w:top w:val="nil"/>
              <w:left w:val="nil"/>
              <w:bottom w:val="single" w:sz="4" w:space="0" w:color="auto"/>
              <w:right w:val="single" w:sz="4" w:space="0" w:color="auto"/>
            </w:tcBorders>
            <w:shd w:val="clear" w:color="auto" w:fill="C6EFCE"/>
            <w:noWrap/>
            <w:vAlign w:val="center"/>
            <w:hideMark/>
          </w:tcPr>
          <w:p w14:paraId="4092D94E"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 xml:space="preserve">Milestone </w:t>
            </w:r>
          </w:p>
        </w:tc>
        <w:tc>
          <w:tcPr>
            <w:tcW w:w="3292" w:type="dxa"/>
            <w:tcBorders>
              <w:top w:val="nil"/>
              <w:left w:val="nil"/>
              <w:bottom w:val="single" w:sz="4" w:space="0" w:color="auto"/>
              <w:right w:val="single" w:sz="4" w:space="0" w:color="auto"/>
            </w:tcBorders>
            <w:shd w:val="clear" w:color="auto" w:fill="C6EFCE"/>
            <w:noWrap/>
            <w:vAlign w:val="center"/>
            <w:hideMark/>
          </w:tcPr>
          <w:p w14:paraId="5CA75DFA"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Protection of cultural monuments from climate change</w:t>
            </w:r>
          </w:p>
        </w:tc>
      </w:tr>
      <w:tr w:rsidR="005132F2" w:rsidRPr="00DE4E4F" w14:paraId="5294E12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AEE1F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291</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11F3C3C"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- 16435_Restoration - Conservation- Enhancement of the Acropolis Monuments</w:t>
            </w:r>
          </w:p>
        </w:tc>
        <w:tc>
          <w:tcPr>
            <w:tcW w:w="1417" w:type="dxa"/>
            <w:tcBorders>
              <w:top w:val="nil"/>
              <w:left w:val="nil"/>
              <w:bottom w:val="single" w:sz="4" w:space="0" w:color="auto"/>
              <w:right w:val="single" w:sz="4" w:space="0" w:color="auto"/>
            </w:tcBorders>
            <w:shd w:val="clear" w:color="auto" w:fill="C6EFCE"/>
            <w:noWrap/>
            <w:vAlign w:val="center"/>
            <w:hideMark/>
          </w:tcPr>
          <w:p w14:paraId="6656A788"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565EF2A"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Restoration - Conservation- Enhancement of the Acropolis</w:t>
            </w:r>
          </w:p>
        </w:tc>
      </w:tr>
      <w:tr w:rsidR="005132F2" w:rsidRPr="00DE4E4F" w14:paraId="273FC68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F1054"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F723AF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- 16931_Tourism Development</w:t>
            </w:r>
          </w:p>
        </w:tc>
        <w:tc>
          <w:tcPr>
            <w:tcW w:w="1417" w:type="dxa"/>
            <w:tcBorders>
              <w:top w:val="nil"/>
              <w:left w:val="nil"/>
              <w:bottom w:val="single" w:sz="4" w:space="0" w:color="auto"/>
              <w:right w:val="single" w:sz="4" w:space="0" w:color="auto"/>
            </w:tcBorders>
            <w:shd w:val="clear" w:color="auto" w:fill="C6EFCE"/>
            <w:noWrap/>
            <w:vAlign w:val="center"/>
            <w:hideMark/>
          </w:tcPr>
          <w:p w14:paraId="0C4CBE0C"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7237B58"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Tourism Projects</w:t>
            </w:r>
          </w:p>
        </w:tc>
      </w:tr>
      <w:tr w:rsidR="005132F2" w:rsidRPr="00DE4E4F" w14:paraId="79227320"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FB75A"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298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7419EC22"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- 16975_Upgrade Interventions for Regional Ports</w:t>
            </w:r>
          </w:p>
        </w:tc>
        <w:tc>
          <w:tcPr>
            <w:tcW w:w="1417" w:type="dxa"/>
            <w:tcBorders>
              <w:top w:val="nil"/>
              <w:left w:val="nil"/>
              <w:bottom w:val="single" w:sz="4" w:space="0" w:color="auto"/>
              <w:right w:val="single" w:sz="4" w:space="0" w:color="auto"/>
            </w:tcBorders>
            <w:shd w:val="clear" w:color="auto" w:fill="C6EFCE"/>
            <w:noWrap/>
            <w:vAlign w:val="center"/>
            <w:hideMark/>
          </w:tcPr>
          <w:p w14:paraId="2184B888"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BA80DB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Construction of infrastructure works in ports</w:t>
            </w:r>
          </w:p>
        </w:tc>
      </w:tr>
      <w:tr w:rsidR="005132F2" w:rsidRPr="00DE4E4F" w14:paraId="71ED9DE9"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A7906E"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307</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6C5CA4E6"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- 16634_Industrial Parks</w:t>
            </w:r>
          </w:p>
        </w:tc>
        <w:tc>
          <w:tcPr>
            <w:tcW w:w="1417" w:type="dxa"/>
            <w:tcBorders>
              <w:top w:val="nil"/>
              <w:left w:val="nil"/>
              <w:bottom w:val="single" w:sz="4" w:space="0" w:color="auto"/>
              <w:right w:val="single" w:sz="4" w:space="0" w:color="auto"/>
            </w:tcBorders>
            <w:shd w:val="clear" w:color="auto" w:fill="C6EFCE"/>
            <w:noWrap/>
            <w:vAlign w:val="center"/>
            <w:hideMark/>
          </w:tcPr>
          <w:p w14:paraId="392EFCB2"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AA11D4B"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Industrial parks– execution of investment plans</w:t>
            </w:r>
          </w:p>
        </w:tc>
      </w:tr>
      <w:tr w:rsidR="005132F2" w:rsidRPr="00DE4E4F" w14:paraId="0C940D4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CFE16A"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308</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077D65"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- 16593_Amendment of the legal framework for the attraction of strategic investment</w:t>
            </w:r>
          </w:p>
        </w:tc>
        <w:tc>
          <w:tcPr>
            <w:tcW w:w="1417" w:type="dxa"/>
            <w:tcBorders>
              <w:top w:val="nil"/>
              <w:left w:val="nil"/>
              <w:bottom w:val="single" w:sz="4" w:space="0" w:color="auto"/>
              <w:right w:val="single" w:sz="4" w:space="0" w:color="auto"/>
            </w:tcBorders>
            <w:shd w:val="clear" w:color="auto" w:fill="C6EFCE"/>
            <w:noWrap/>
            <w:vAlign w:val="center"/>
            <w:hideMark/>
          </w:tcPr>
          <w:p w14:paraId="4F625605"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0A8ADEDA"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Strategic investments – execution of investment plans</w:t>
            </w:r>
          </w:p>
        </w:tc>
      </w:tr>
      <w:tr w:rsidR="005132F2" w:rsidRPr="00DE4E4F" w14:paraId="14AAA67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CE9D49"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309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5F74C558"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17 - 4.6. Modernise and improve resilience of key economic sectors - 16721_Acceleration of smart manufacturing</w:t>
            </w:r>
          </w:p>
        </w:tc>
        <w:tc>
          <w:tcPr>
            <w:tcW w:w="1417" w:type="dxa"/>
            <w:tcBorders>
              <w:top w:val="nil"/>
              <w:left w:val="nil"/>
              <w:bottom w:val="single" w:sz="4" w:space="0" w:color="auto"/>
              <w:right w:val="single" w:sz="4" w:space="0" w:color="auto"/>
            </w:tcBorders>
            <w:shd w:val="clear" w:color="auto" w:fill="C6EFCE"/>
            <w:noWrap/>
            <w:vAlign w:val="center"/>
            <w:hideMark/>
          </w:tcPr>
          <w:p w14:paraId="1DC3BA48"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8CE128D"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Manufacturing sector – execution of investment plans</w:t>
            </w:r>
          </w:p>
        </w:tc>
      </w:tr>
      <w:tr w:rsidR="005132F2" w:rsidRPr="00DE4E4F" w14:paraId="629A4C7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C18EE1"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313a</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2993318B"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17 - 4.6. Modernise and improve resilience of key economic sectors - 16653_Digital Transformation of the Agri-Food Sector</w:t>
            </w:r>
          </w:p>
        </w:tc>
        <w:tc>
          <w:tcPr>
            <w:tcW w:w="1417" w:type="dxa"/>
            <w:tcBorders>
              <w:top w:val="nil"/>
              <w:left w:val="nil"/>
              <w:bottom w:val="single" w:sz="4" w:space="0" w:color="auto"/>
              <w:right w:val="single" w:sz="4" w:space="0" w:color="auto"/>
            </w:tcBorders>
            <w:shd w:val="clear" w:color="auto" w:fill="C6EFCE"/>
            <w:noWrap/>
            <w:vAlign w:val="center"/>
            <w:hideMark/>
          </w:tcPr>
          <w:p w14:paraId="0EE0793E"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5497E789"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Delivery of Digital transformation of Agri-Food Sector projects</w:t>
            </w:r>
          </w:p>
        </w:tc>
      </w:tr>
      <w:tr w:rsidR="005132F2" w:rsidRPr="00DE4E4F" w14:paraId="13B2EB9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740E9A"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314</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03610B95" w14:textId="3F5957F9"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xml:space="preserve">17 - 4.6. Modernise and improve resilience of key economic sectors - 16626_Economic transformation of the Agricultural and </w:t>
            </w:r>
            <w:r w:rsidR="00DE4E4F" w:rsidRPr="00DE4E4F">
              <w:rPr>
                <w:rFonts w:ascii="Times New Roman" w:hAnsi="Times New Roman"/>
                <w:noProof/>
                <w:sz w:val="18"/>
              </w:rPr>
              <w:t>Aquaculture</w:t>
            </w:r>
            <w:r w:rsidRPr="00DE4E4F">
              <w:rPr>
                <w:rFonts w:ascii="Times New Roman" w:hAnsi="Times New Roman"/>
                <w:noProof/>
                <w:sz w:val="18"/>
              </w:rPr>
              <w:t xml:space="preserve"> Sectors</w:t>
            </w:r>
          </w:p>
        </w:tc>
        <w:tc>
          <w:tcPr>
            <w:tcW w:w="1417" w:type="dxa"/>
            <w:tcBorders>
              <w:top w:val="nil"/>
              <w:left w:val="nil"/>
              <w:bottom w:val="single" w:sz="4" w:space="0" w:color="auto"/>
              <w:right w:val="single" w:sz="4" w:space="0" w:color="auto"/>
            </w:tcBorders>
            <w:shd w:val="clear" w:color="auto" w:fill="C6EFCE"/>
            <w:noWrap/>
            <w:vAlign w:val="center"/>
            <w:hideMark/>
          </w:tcPr>
          <w:p w14:paraId="3D05FA3E"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95DEF52" w14:textId="76831146"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eastAsia="Times New Roman" w:hAnsi="Times New Roman" w:cs="Times New Roman"/>
                <w:noProof/>
                <w:sz w:val="18"/>
                <w:szCs w:val="18"/>
              </w:rPr>
              <w:t>Delivery of economic transformation of agriculture and aquaculture projects</w:t>
            </w:r>
          </w:p>
        </w:tc>
      </w:tr>
      <w:tr w:rsidR="005132F2" w:rsidRPr="00DE4E4F" w14:paraId="76DE18CE"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205C32C"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319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421D405B"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18 - 4.7. Improve competitiveness and promote private investments and exports - 16543_Actions for the simplification of the business environment and its upgrading in quality and safety</w:t>
            </w:r>
          </w:p>
        </w:tc>
        <w:tc>
          <w:tcPr>
            <w:tcW w:w="1417" w:type="dxa"/>
            <w:tcBorders>
              <w:top w:val="nil"/>
              <w:left w:val="nil"/>
              <w:bottom w:val="single" w:sz="4" w:space="0" w:color="auto"/>
              <w:right w:val="single" w:sz="4" w:space="0" w:color="auto"/>
            </w:tcBorders>
            <w:shd w:val="clear" w:color="auto" w:fill="C6EFCE"/>
            <w:noWrap/>
            <w:vAlign w:val="center"/>
            <w:hideMark/>
          </w:tcPr>
          <w:p w14:paraId="773AC6EF"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24EEC3E6"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Business environment –licensing simplification and market surveillance</w:t>
            </w:r>
          </w:p>
        </w:tc>
      </w:tr>
      <w:tr w:rsidR="005132F2" w:rsidRPr="00DE4E4F" w14:paraId="5BD9CA5F"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6A9743"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259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3139CC11" w14:textId="77777777" w:rsidR="005132F2" w:rsidRPr="00DE4E4F" w:rsidRDefault="005132F2" w:rsidP="00BE2B84">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 17 - 4.6. Modernise and improve resilience of key economic sectors - 16631_Road Safety Upgrade</w:t>
            </w:r>
          </w:p>
        </w:tc>
        <w:tc>
          <w:tcPr>
            <w:tcW w:w="1417" w:type="dxa"/>
            <w:tcBorders>
              <w:top w:val="nil"/>
              <w:left w:val="nil"/>
              <w:bottom w:val="single" w:sz="4" w:space="0" w:color="auto"/>
              <w:right w:val="single" w:sz="4" w:space="0" w:color="auto"/>
            </w:tcBorders>
            <w:shd w:val="clear" w:color="auto" w:fill="C6EFCE"/>
            <w:noWrap/>
            <w:vAlign w:val="center"/>
            <w:hideMark/>
          </w:tcPr>
          <w:p w14:paraId="11568324"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3EF1C32F" w14:textId="77777777" w:rsidR="005132F2" w:rsidRPr="00DE4E4F" w:rsidRDefault="005132F2" w:rsidP="00BE2B84">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Road safety project completion</w:t>
            </w:r>
          </w:p>
        </w:tc>
      </w:tr>
      <w:tr w:rsidR="005132F2" w:rsidRPr="00DE4E4F" w14:paraId="0B3CFFE5"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B5FE8"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349</w:t>
            </w:r>
          </w:p>
        </w:tc>
        <w:tc>
          <w:tcPr>
            <w:tcW w:w="4820" w:type="dxa"/>
            <w:tcBorders>
              <w:top w:val="nil"/>
              <w:left w:val="single" w:sz="4" w:space="0" w:color="auto"/>
              <w:bottom w:val="single" w:sz="4" w:space="0" w:color="auto"/>
              <w:right w:val="single" w:sz="4" w:space="0" w:color="auto"/>
            </w:tcBorders>
            <w:shd w:val="clear" w:color="auto" w:fill="C6EFCE"/>
            <w:noWrap/>
            <w:vAlign w:val="center"/>
            <w:hideMark/>
          </w:tcPr>
          <w:p w14:paraId="199B2BC3" w14:textId="20D42A08"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17 - 4.6. Modernise and improve resilience of key economic sectors - 16999_Restoration works following the devastating effects of storms "DANIEL", “ELIAS” and “IANOS”</w:t>
            </w:r>
          </w:p>
        </w:tc>
        <w:tc>
          <w:tcPr>
            <w:tcW w:w="1417" w:type="dxa"/>
            <w:tcBorders>
              <w:top w:val="nil"/>
              <w:left w:val="nil"/>
              <w:bottom w:val="single" w:sz="4" w:space="0" w:color="auto"/>
              <w:right w:val="single" w:sz="4" w:space="0" w:color="auto"/>
            </w:tcBorders>
            <w:shd w:val="clear" w:color="auto" w:fill="C6EFCE"/>
            <w:noWrap/>
            <w:vAlign w:val="center"/>
            <w:hideMark/>
          </w:tcPr>
          <w:p w14:paraId="70EAA1A4"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Milestone</w:t>
            </w:r>
          </w:p>
        </w:tc>
        <w:tc>
          <w:tcPr>
            <w:tcW w:w="3292" w:type="dxa"/>
            <w:tcBorders>
              <w:top w:val="nil"/>
              <w:left w:val="nil"/>
              <w:bottom w:val="single" w:sz="4" w:space="0" w:color="auto"/>
              <w:right w:val="single" w:sz="4" w:space="0" w:color="auto"/>
            </w:tcBorders>
            <w:shd w:val="clear" w:color="auto" w:fill="C6EFCE"/>
            <w:noWrap/>
            <w:vAlign w:val="center"/>
            <w:hideMark/>
          </w:tcPr>
          <w:p w14:paraId="74480D8E" w14:textId="77777777"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Road restoration projects constructed</w:t>
            </w:r>
          </w:p>
        </w:tc>
      </w:tr>
      <w:tr w:rsidR="005132F2" w:rsidRPr="00DE4E4F" w14:paraId="068BBC8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3198AF" w14:textId="77777777"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350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BB36A9" w14:textId="3F89C1C6"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17 - 4.6. Modernise and improve resilience of key economic sectors - 16999_Restoration works following the devastating effects of storms "DANIEL", “ELIAS” and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2CB701" w14:textId="77777777"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w:t>
            </w: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757162" w14:textId="2B6A1406" w:rsidR="005132F2" w:rsidRPr="00DE4E4F" w:rsidRDefault="005132F2" w:rsidP="00BE2B84">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szCs w:val="18"/>
              </w:rPr>
              <w:t>Railway restoration works executed</w:t>
            </w:r>
          </w:p>
        </w:tc>
      </w:tr>
      <w:tr w:rsidR="005132F2" w:rsidRPr="00DE4E4F" w14:paraId="368328A3"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B7D1A" w14:textId="77777777"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350a</w:t>
            </w:r>
          </w:p>
          <w:p w14:paraId="4E8B18EC" w14:textId="77777777" w:rsidR="005132F2" w:rsidRPr="00DE4E4F" w:rsidRDefault="005132F2" w:rsidP="00BE2B84">
            <w:pPr>
              <w:keepNext/>
              <w:spacing w:before="40" w:after="0" w:line="240" w:lineRule="auto"/>
              <w:jc w:val="both"/>
              <w:rPr>
                <w:rFonts w:ascii="Times New Roman" w:hAnsi="Times New Roman"/>
                <w:noProof/>
                <w:sz w:val="18"/>
                <w:szCs w:val="18"/>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804B4" w14:textId="5D9BC146"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4.6. Modernise and improve resilience of key economic sectors - 16999_Restoration works following the devastating effects of storms "DANIEL", “ELIAS” and “IANOS”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9479A" w14:textId="77777777"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w:t>
            </w:r>
          </w:p>
          <w:p w14:paraId="126CD376" w14:textId="77777777" w:rsidR="005132F2" w:rsidRPr="00DE4E4F" w:rsidRDefault="005132F2" w:rsidP="00BE2B84">
            <w:pPr>
              <w:keepNext/>
              <w:spacing w:before="40" w:after="0" w:line="240" w:lineRule="auto"/>
              <w:jc w:val="both"/>
              <w:rPr>
                <w:rFonts w:ascii="Times New Roman" w:hAnsi="Times New Roman"/>
                <w:noProof/>
                <w:sz w:val="18"/>
                <w:szCs w:val="18"/>
              </w:rPr>
            </w:pPr>
          </w:p>
        </w:tc>
        <w:tc>
          <w:tcPr>
            <w:tcW w:w="32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F91AB9" w14:textId="4C7D6186" w:rsidR="005132F2" w:rsidRPr="00DE4E4F" w:rsidRDefault="005132F2" w:rsidP="00BE2B84">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Railway signalling and train detection systems and ETCS</w:t>
            </w:r>
          </w:p>
        </w:tc>
      </w:tr>
      <w:tr w:rsidR="005132F2" w:rsidRPr="00DE4E4F" w14:paraId="6987245B"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0BAD1C0"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354</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7A0D9919"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20 - 5.1. REPowerEU reforms - 16989_Optimisation of land and sea space usage for the development of RES and offshore wind energy development</w:t>
            </w:r>
          </w:p>
        </w:tc>
        <w:tc>
          <w:tcPr>
            <w:tcW w:w="1417" w:type="dxa"/>
            <w:tcBorders>
              <w:top w:val="single" w:sz="4" w:space="0" w:color="auto"/>
              <w:left w:val="nil"/>
              <w:bottom w:val="single" w:sz="4" w:space="0" w:color="auto"/>
              <w:right w:val="single" w:sz="4" w:space="0" w:color="auto"/>
            </w:tcBorders>
            <w:shd w:val="clear" w:color="auto" w:fill="C6EFCE"/>
            <w:noWrap/>
          </w:tcPr>
          <w:p w14:paraId="76B758ED" w14:textId="77777777"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single" w:sz="4" w:space="0" w:color="auto"/>
              <w:left w:val="nil"/>
              <w:bottom w:val="single" w:sz="4" w:space="0" w:color="auto"/>
              <w:right w:val="single" w:sz="4" w:space="0" w:color="auto"/>
            </w:tcBorders>
            <w:shd w:val="clear" w:color="auto" w:fill="C6EFCE"/>
            <w:noWrap/>
          </w:tcPr>
          <w:p w14:paraId="72DB7E3F" w14:textId="24DF2C2B" w:rsidR="005132F2" w:rsidRPr="00DE4E4F" w:rsidRDefault="005132F2" w:rsidP="00BE2B84">
            <w:pPr>
              <w:keepNext/>
              <w:spacing w:before="40" w:after="0" w:line="240" w:lineRule="auto"/>
              <w:jc w:val="both"/>
              <w:rPr>
                <w:rFonts w:ascii="Times New Roman" w:hAnsi="Times New Roman"/>
                <w:noProof/>
                <w:sz w:val="18"/>
              </w:rPr>
            </w:pPr>
            <w:r w:rsidRPr="00DE4E4F">
              <w:rPr>
                <w:rFonts w:ascii="Times New Roman" w:hAnsi="Times New Roman"/>
                <w:noProof/>
                <w:sz w:val="18"/>
              </w:rPr>
              <w:t>Legal act(s) for offshore wind farms and Renewable Energy Sources</w:t>
            </w:r>
          </w:p>
        </w:tc>
      </w:tr>
      <w:tr w:rsidR="005132F2" w:rsidRPr="00DE4E4F" w14:paraId="1375C10C"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47F4FF0E" w14:textId="77777777" w:rsidR="005132F2" w:rsidRPr="00DE4E4F" w:rsidRDefault="005132F2" w:rsidP="00BE2B84">
            <w:pPr>
              <w:keepNext/>
              <w:spacing w:before="40" w:after="0" w:line="256"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369</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1CE99BC6" w14:textId="77777777" w:rsidR="005132F2" w:rsidRPr="00DE4E4F" w:rsidRDefault="005132F2" w:rsidP="00BE2B84">
            <w:pPr>
              <w:keepNext/>
              <w:spacing w:before="40" w:after="0" w:line="256"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21 - 5.2 REPowerEU investments - 16994_Energy Efficiency and promotion of RES for auto-consumption</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909ACAF" w14:textId="77777777" w:rsidR="005132F2" w:rsidRPr="00DE4E4F" w:rsidRDefault="005132F2" w:rsidP="00BE2B84">
            <w:pPr>
              <w:keepNext/>
              <w:spacing w:before="40" w:after="0" w:line="256" w:lineRule="auto"/>
              <w:jc w:val="both"/>
              <w:rPr>
                <w:rFonts w:ascii="Times New Roman" w:eastAsia="Times New Roman" w:hAnsi="Times New Roman" w:cs="Times New Roman"/>
                <w:noProof/>
                <w:sz w:val="18"/>
                <w:szCs w:val="18"/>
              </w:rPr>
            </w:pPr>
            <w:r w:rsidRPr="00DE4E4F">
              <w:rPr>
                <w:rFonts w:ascii="Times New Roman" w:hAnsi="Times New Roman"/>
                <w:noProof/>
                <w:sz w:val="18"/>
              </w:rPr>
              <w:t>Target</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332806E" w14:textId="42CFCF8E" w:rsidR="005132F2" w:rsidRPr="00DE4E4F" w:rsidRDefault="005132F2" w:rsidP="00BE2B84">
            <w:pPr>
              <w:keepNext/>
              <w:spacing w:before="40" w:after="0" w:line="256" w:lineRule="auto"/>
              <w:jc w:val="both"/>
              <w:rPr>
                <w:rFonts w:ascii="Times New Roman" w:eastAsia="Times New Roman" w:hAnsi="Times New Roman" w:cs="Times New Roman"/>
                <w:noProof/>
                <w:sz w:val="18"/>
                <w:szCs w:val="18"/>
              </w:rPr>
            </w:pPr>
            <w:r w:rsidRPr="00DE4E4F" w:rsidDel="00104896">
              <w:rPr>
                <w:rFonts w:ascii="Times New Roman" w:hAnsi="Times New Roman" w:cs="Times New Roman"/>
                <w:noProof/>
                <w:sz w:val="18"/>
                <w:szCs w:val="18"/>
              </w:rPr>
              <w:t xml:space="preserve"> </w:t>
            </w:r>
            <w:r w:rsidRPr="00DE4E4F">
              <w:rPr>
                <w:rFonts w:ascii="Times New Roman" w:hAnsi="Times New Roman" w:cs="Times New Roman"/>
                <w:noProof/>
                <w:sz w:val="18"/>
                <w:szCs w:val="18"/>
              </w:rPr>
              <w:t>Sub-investments on installation of photovoltaic systems for auto consumption, energy efficiency renovations, solar water heaters and heat pumps</w:t>
            </w:r>
          </w:p>
        </w:tc>
      </w:tr>
      <w:tr w:rsidR="005132F2" w:rsidRPr="00DE4E4F" w14:paraId="72250AB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277BAEF8" w14:textId="77777777" w:rsidR="005132F2" w:rsidRPr="00DE4E4F" w:rsidRDefault="005132F2" w:rsidP="00BE2B84">
            <w:pPr>
              <w:keepNext/>
              <w:spacing w:before="40" w:after="0" w:line="256"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371</w:t>
            </w:r>
          </w:p>
        </w:tc>
        <w:tc>
          <w:tcPr>
            <w:tcW w:w="4820" w:type="dxa"/>
            <w:tcBorders>
              <w:top w:val="single" w:sz="4" w:space="0" w:color="auto"/>
              <w:left w:val="single" w:sz="4" w:space="0" w:color="auto"/>
              <w:bottom w:val="single" w:sz="4" w:space="0" w:color="auto"/>
              <w:right w:val="single" w:sz="4" w:space="0" w:color="auto"/>
            </w:tcBorders>
            <w:shd w:val="clear" w:color="auto" w:fill="C6EFCE"/>
            <w:noWrap/>
            <w:hideMark/>
          </w:tcPr>
          <w:p w14:paraId="4EF4301E" w14:textId="77777777" w:rsidR="005132F2" w:rsidRPr="00DE4E4F" w:rsidRDefault="005132F2" w:rsidP="00BE2B84">
            <w:pPr>
              <w:keepNext/>
              <w:spacing w:before="40" w:after="0" w:line="256"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21 - 5.2 REPowerEU investments - 16995_</w:t>
            </w:r>
            <w:r w:rsidRPr="00DE4E4F">
              <w:rPr>
                <w:rFonts w:ascii="Times New Roman" w:hAnsi="Times New Roman" w:cs="Times New Roman"/>
                <w:noProof/>
                <w:sz w:val="18"/>
                <w:szCs w:val="18"/>
              </w:rPr>
              <w:t xml:space="preserve"> </w:t>
            </w:r>
            <w:r w:rsidRPr="00DE4E4F">
              <w:rPr>
                <w:rFonts w:ascii="Times New Roman" w:hAnsi="Times New Roman"/>
                <w:noProof/>
                <w:sz w:val="18"/>
              </w:rPr>
              <w:t>Renewable Hydrogen production project</w:t>
            </w:r>
          </w:p>
        </w:tc>
        <w:tc>
          <w:tcPr>
            <w:tcW w:w="1417" w:type="dxa"/>
            <w:tcBorders>
              <w:top w:val="single" w:sz="4" w:space="0" w:color="auto"/>
              <w:left w:val="nil"/>
              <w:bottom w:val="single" w:sz="4" w:space="0" w:color="auto"/>
              <w:right w:val="single" w:sz="4" w:space="0" w:color="auto"/>
            </w:tcBorders>
            <w:shd w:val="clear" w:color="auto" w:fill="C6EFCE"/>
            <w:noWrap/>
            <w:hideMark/>
          </w:tcPr>
          <w:p w14:paraId="08E6C871" w14:textId="77777777" w:rsidR="005132F2" w:rsidRPr="00DE4E4F" w:rsidRDefault="005132F2" w:rsidP="00BE2B84">
            <w:pPr>
              <w:keepNext/>
              <w:spacing w:before="40" w:after="0" w:line="256" w:lineRule="auto"/>
              <w:jc w:val="both"/>
              <w:rPr>
                <w:rFonts w:ascii="Times New Roman" w:eastAsia="Times New Roman" w:hAnsi="Times New Roman" w:cs="Times New Roman"/>
                <w:noProof/>
                <w:sz w:val="18"/>
                <w:szCs w:val="18"/>
              </w:rPr>
            </w:pPr>
            <w:r w:rsidRPr="00DE4E4F">
              <w:rPr>
                <w:rFonts w:ascii="Times New Roman" w:hAnsi="Times New Roman"/>
                <w:noProof/>
                <w:sz w:val="18"/>
              </w:rPr>
              <w:t>Milestone</w:t>
            </w:r>
          </w:p>
        </w:tc>
        <w:tc>
          <w:tcPr>
            <w:tcW w:w="3292" w:type="dxa"/>
            <w:tcBorders>
              <w:top w:val="single" w:sz="4" w:space="0" w:color="auto"/>
              <w:left w:val="nil"/>
              <w:bottom w:val="single" w:sz="4" w:space="0" w:color="auto"/>
              <w:right w:val="single" w:sz="4" w:space="0" w:color="auto"/>
            </w:tcBorders>
            <w:shd w:val="clear" w:color="auto" w:fill="C6EFCE"/>
            <w:noWrap/>
            <w:hideMark/>
          </w:tcPr>
          <w:p w14:paraId="18A44CDA" w14:textId="77777777" w:rsidR="005132F2" w:rsidRPr="00DE4E4F" w:rsidRDefault="005132F2" w:rsidP="00BE2B84">
            <w:pPr>
              <w:keepNext/>
              <w:spacing w:before="40" w:after="0" w:line="256" w:lineRule="auto"/>
              <w:jc w:val="both"/>
              <w:rPr>
                <w:rFonts w:ascii="Times New Roman" w:eastAsia="Times New Roman" w:hAnsi="Times New Roman" w:cs="Times New Roman"/>
                <w:noProof/>
                <w:sz w:val="18"/>
                <w:szCs w:val="18"/>
              </w:rPr>
            </w:pPr>
            <w:r w:rsidRPr="00DE4E4F">
              <w:rPr>
                <w:rFonts w:ascii="Times New Roman" w:hAnsi="Times New Roman"/>
                <w:noProof/>
                <w:sz w:val="18"/>
              </w:rPr>
              <w:t>Renewable hydrogen production capacity</w:t>
            </w:r>
          </w:p>
        </w:tc>
      </w:tr>
      <w:tr w:rsidR="005132F2" w:rsidRPr="00DE4E4F" w14:paraId="34B29256"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123D2501" w14:textId="4EC2238F" w:rsidR="005132F2" w:rsidRPr="00DE4E4F" w:rsidRDefault="005132F2" w:rsidP="00BE2B84">
            <w:pPr>
              <w:keepNext/>
              <w:spacing w:before="40" w:after="0" w:line="256" w:lineRule="auto"/>
              <w:jc w:val="both"/>
              <w:rPr>
                <w:rFonts w:ascii="Times New Roman" w:hAnsi="Times New Roman"/>
                <w:noProof/>
                <w:sz w:val="18"/>
              </w:rPr>
            </w:pPr>
            <w:r w:rsidRPr="00DE4E4F">
              <w:rPr>
                <w:rFonts w:ascii="Times New Roman" w:hAnsi="Times New Roman"/>
                <w:noProof/>
                <w:sz w:val="18"/>
              </w:rPr>
              <w:t>387</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4EC153E8" w14:textId="310E9388" w:rsidR="005132F2" w:rsidRPr="00DE4E4F" w:rsidRDefault="005132F2" w:rsidP="00BE2B84">
            <w:pPr>
              <w:keepNext/>
              <w:spacing w:before="40" w:after="0" w:line="256" w:lineRule="auto"/>
              <w:jc w:val="both"/>
              <w:rPr>
                <w:rFonts w:ascii="Times New Roman" w:hAnsi="Times New Roman"/>
                <w:noProof/>
                <w:sz w:val="18"/>
              </w:rPr>
            </w:pPr>
            <w:r w:rsidRPr="00DE4E4F">
              <w:rPr>
                <w:rFonts w:ascii="Times New Roman" w:hAnsi="Times New Roman"/>
                <w:noProof/>
                <w:sz w:val="18"/>
              </w:rPr>
              <w:t>1 - 1.1 Power up- 16880_Contribution of DES ADMIE in IPTO’s share capital increase</w:t>
            </w:r>
          </w:p>
        </w:tc>
        <w:tc>
          <w:tcPr>
            <w:tcW w:w="1417" w:type="dxa"/>
            <w:tcBorders>
              <w:top w:val="single" w:sz="4" w:space="0" w:color="auto"/>
              <w:left w:val="nil"/>
              <w:bottom w:val="single" w:sz="4" w:space="0" w:color="auto"/>
              <w:right w:val="single" w:sz="4" w:space="0" w:color="auto"/>
            </w:tcBorders>
            <w:shd w:val="clear" w:color="auto" w:fill="C6EFCE"/>
            <w:noWrap/>
          </w:tcPr>
          <w:p w14:paraId="69BCBC20" w14:textId="0E651896" w:rsidR="005132F2" w:rsidRPr="00DE4E4F" w:rsidRDefault="005132F2" w:rsidP="00BE2B84">
            <w:pPr>
              <w:keepNext/>
              <w:spacing w:before="40" w:after="0" w:line="256" w:lineRule="auto"/>
              <w:jc w:val="both"/>
              <w:rPr>
                <w:rFonts w:ascii="Times New Roman" w:hAnsi="Times New Roman"/>
                <w:noProof/>
                <w:sz w:val="18"/>
              </w:rPr>
            </w:pPr>
            <w:r w:rsidRPr="00DE4E4F">
              <w:rPr>
                <w:rFonts w:ascii="Times New Roman" w:hAnsi="Times New Roman"/>
                <w:noProof/>
                <w:sz w:val="18"/>
              </w:rPr>
              <w:t>Milestone</w:t>
            </w:r>
          </w:p>
        </w:tc>
        <w:tc>
          <w:tcPr>
            <w:tcW w:w="3292" w:type="dxa"/>
            <w:tcBorders>
              <w:top w:val="single" w:sz="4" w:space="0" w:color="auto"/>
              <w:left w:val="nil"/>
              <w:bottom w:val="single" w:sz="4" w:space="0" w:color="auto"/>
              <w:right w:val="single" w:sz="4" w:space="0" w:color="auto"/>
            </w:tcBorders>
            <w:shd w:val="clear" w:color="auto" w:fill="C6EFCE"/>
            <w:noWrap/>
          </w:tcPr>
          <w:p w14:paraId="088A1775" w14:textId="495EC7B0" w:rsidR="005132F2" w:rsidRPr="00DE4E4F" w:rsidRDefault="005132F2" w:rsidP="00BE2B84">
            <w:pPr>
              <w:keepNext/>
              <w:spacing w:before="40" w:after="0" w:line="256" w:lineRule="auto"/>
              <w:jc w:val="both"/>
              <w:rPr>
                <w:rFonts w:ascii="Times New Roman" w:hAnsi="Times New Roman"/>
                <w:noProof/>
                <w:sz w:val="18"/>
              </w:rPr>
            </w:pPr>
            <w:r w:rsidRPr="00DE4E4F">
              <w:rPr>
                <w:rFonts w:ascii="Times New Roman" w:hAnsi="Times New Roman"/>
                <w:noProof/>
                <w:sz w:val="18"/>
              </w:rPr>
              <w:t>Share capital increase of IPTO</w:t>
            </w:r>
          </w:p>
        </w:tc>
      </w:tr>
      <w:tr w:rsidR="005132F2" w:rsidRPr="00DE4E4F" w14:paraId="44F21E14"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tcPr>
          <w:p w14:paraId="65F8C387" w14:textId="7FBB96B9" w:rsidR="005132F2" w:rsidRPr="00DE4E4F" w:rsidRDefault="005132F2" w:rsidP="00BE2B84">
            <w:pPr>
              <w:spacing w:line="256" w:lineRule="auto"/>
              <w:rPr>
                <w:noProof/>
              </w:rPr>
            </w:pPr>
            <w:r w:rsidRPr="00DE4E4F">
              <w:rPr>
                <w:rFonts w:ascii="Times New Roman" w:hAnsi="Times New Roman"/>
                <w:noProof/>
                <w:sz w:val="18"/>
                <w:szCs w:val="18"/>
              </w:rPr>
              <w:t>400</w:t>
            </w:r>
          </w:p>
        </w:tc>
        <w:tc>
          <w:tcPr>
            <w:tcW w:w="4820" w:type="dxa"/>
            <w:tcBorders>
              <w:top w:val="single" w:sz="4" w:space="0" w:color="auto"/>
              <w:left w:val="single" w:sz="4" w:space="0" w:color="auto"/>
              <w:bottom w:val="single" w:sz="4" w:space="0" w:color="auto"/>
              <w:right w:val="single" w:sz="4" w:space="0" w:color="auto"/>
            </w:tcBorders>
            <w:shd w:val="clear" w:color="auto" w:fill="C6EFCE"/>
            <w:noWrap/>
          </w:tcPr>
          <w:p w14:paraId="2DC9ACA8" w14:textId="0988AE46" w:rsidR="005132F2" w:rsidRPr="00DE4E4F" w:rsidRDefault="005132F2" w:rsidP="00BE2B84">
            <w:pPr>
              <w:spacing w:line="256" w:lineRule="auto"/>
              <w:rPr>
                <w:rFonts w:ascii="Times New Roman" w:hAnsi="Times New Roman"/>
                <w:noProof/>
                <w:sz w:val="18"/>
                <w:szCs w:val="18"/>
              </w:rPr>
            </w:pPr>
            <w:r w:rsidRPr="00DE4E4F">
              <w:rPr>
                <w:rFonts w:ascii="Times New Roman" w:hAnsi="Times New Roman"/>
                <w:noProof/>
                <w:sz w:val="18"/>
                <w:szCs w:val="18"/>
              </w:rPr>
              <w:t>6 – 2.2. Modernise - 16859_Voluntary contribution to the EuroHPC Joint Undertaking</w:t>
            </w:r>
          </w:p>
        </w:tc>
        <w:tc>
          <w:tcPr>
            <w:tcW w:w="1417" w:type="dxa"/>
            <w:tcBorders>
              <w:top w:val="single" w:sz="4" w:space="0" w:color="auto"/>
              <w:left w:val="nil"/>
              <w:bottom w:val="single" w:sz="4" w:space="0" w:color="auto"/>
              <w:right w:val="single" w:sz="4" w:space="0" w:color="auto"/>
            </w:tcBorders>
            <w:shd w:val="clear" w:color="auto" w:fill="C6EFCE"/>
            <w:noWrap/>
          </w:tcPr>
          <w:p w14:paraId="2CFD2982" w14:textId="0D4C97A3" w:rsidR="005132F2" w:rsidRPr="00DE4E4F" w:rsidRDefault="005132F2" w:rsidP="00BE2B84">
            <w:pPr>
              <w:spacing w:line="256" w:lineRule="auto"/>
              <w:rPr>
                <w:noProof/>
              </w:rPr>
            </w:pPr>
            <w:r w:rsidRPr="00DE4E4F">
              <w:rPr>
                <w:rFonts w:ascii="Times New Roman" w:hAnsi="Times New Roman"/>
                <w:noProof/>
                <w:sz w:val="18"/>
                <w:szCs w:val="18"/>
              </w:rPr>
              <w:t>Milestone</w:t>
            </w:r>
          </w:p>
        </w:tc>
        <w:tc>
          <w:tcPr>
            <w:tcW w:w="3292" w:type="dxa"/>
            <w:tcBorders>
              <w:top w:val="single" w:sz="4" w:space="0" w:color="auto"/>
              <w:left w:val="nil"/>
              <w:bottom w:val="single" w:sz="4" w:space="0" w:color="auto"/>
              <w:right w:val="single" w:sz="4" w:space="0" w:color="auto"/>
            </w:tcBorders>
            <w:shd w:val="clear" w:color="auto" w:fill="C6EFCE"/>
            <w:noWrap/>
          </w:tcPr>
          <w:p w14:paraId="1F56D69B" w14:textId="2C8CDF52" w:rsidR="005132F2" w:rsidRPr="00DE4E4F" w:rsidRDefault="005132F2" w:rsidP="00BE2B84">
            <w:pPr>
              <w:spacing w:line="256" w:lineRule="auto"/>
              <w:rPr>
                <w:noProof/>
              </w:rPr>
            </w:pPr>
            <w:r w:rsidRPr="00DE4E4F">
              <w:rPr>
                <w:rFonts w:ascii="Times New Roman" w:hAnsi="Times New Roman"/>
                <w:noProof/>
                <w:sz w:val="18"/>
                <w:szCs w:val="18"/>
              </w:rPr>
              <w:t>Signature of the Contribution Agreement between Greece and the EuroHPC JU and disbursement of the voluntary contribution to the EuroHPC JU</w:t>
            </w:r>
          </w:p>
        </w:tc>
      </w:tr>
      <w:tr w:rsidR="005132F2" w:rsidRPr="00DE4E4F" w14:paraId="56CBC6B2" w14:textId="77777777" w:rsidTr="00BE2B84">
        <w:trPr>
          <w:trHeight w:val="302"/>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CFE41A" w14:textId="77777777" w:rsidR="005132F2" w:rsidRPr="00DE4E4F" w:rsidRDefault="005132F2" w:rsidP="00BE2B84">
            <w:pPr>
              <w:keepNext/>
              <w:spacing w:before="40" w:after="0" w:line="256" w:lineRule="auto"/>
              <w:jc w:val="center"/>
              <w:rPr>
                <w:rFonts w:ascii="Times New Roman" w:eastAsia="Times New Roman" w:hAnsi="Times New Roman" w:cs="Times New Roman"/>
                <w:bCs/>
                <w:noProof/>
                <w:sz w:val="18"/>
                <w:szCs w:val="18"/>
                <w:lang w:eastAsia="en-GB"/>
              </w:rPr>
            </w:pPr>
          </w:p>
        </w:tc>
        <w:tc>
          <w:tcPr>
            <w:tcW w:w="4820"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416E5F0F" w14:textId="77777777" w:rsidR="005132F2" w:rsidRPr="00DE4E4F" w:rsidRDefault="005132F2" w:rsidP="00BE2B84">
            <w:pPr>
              <w:keepNext/>
              <w:spacing w:before="40" w:after="0" w:line="256" w:lineRule="auto"/>
              <w:jc w:val="both"/>
              <w:rPr>
                <w:rFonts w:ascii="Times New Roman" w:eastAsia="Times New Roman" w:hAnsi="Times New Roman" w:cs="Times New Roman"/>
                <w:bCs/>
                <w:noProof/>
                <w:sz w:val="18"/>
                <w:szCs w:val="18"/>
                <w:lang w:eastAsia="en-GB"/>
              </w:rPr>
            </w:pPr>
          </w:p>
        </w:tc>
        <w:tc>
          <w:tcPr>
            <w:tcW w:w="1417" w:type="dxa"/>
            <w:tcBorders>
              <w:top w:val="single" w:sz="4" w:space="0" w:color="auto"/>
              <w:left w:val="nil"/>
              <w:bottom w:val="single" w:sz="4" w:space="0" w:color="auto"/>
              <w:right w:val="single" w:sz="4" w:space="0" w:color="auto"/>
            </w:tcBorders>
            <w:shd w:val="clear" w:color="auto" w:fill="C6EFCE"/>
            <w:noWrap/>
            <w:vAlign w:val="bottom"/>
            <w:hideMark/>
          </w:tcPr>
          <w:p w14:paraId="4241A355" w14:textId="77777777" w:rsidR="005132F2" w:rsidRPr="00DE4E4F" w:rsidRDefault="005132F2" w:rsidP="00BE2B84">
            <w:pPr>
              <w:keepNext/>
              <w:spacing w:before="40" w:after="0" w:line="256"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3292" w:type="dxa"/>
            <w:tcBorders>
              <w:top w:val="single" w:sz="4" w:space="0" w:color="auto"/>
              <w:left w:val="nil"/>
              <w:bottom w:val="single" w:sz="4" w:space="0" w:color="auto"/>
              <w:right w:val="single" w:sz="4" w:space="0" w:color="auto"/>
            </w:tcBorders>
            <w:shd w:val="clear" w:color="auto" w:fill="C6EFCE"/>
            <w:noWrap/>
            <w:vAlign w:val="center"/>
            <w:hideMark/>
          </w:tcPr>
          <w:p w14:paraId="6B23C865" w14:textId="77777777" w:rsidR="005132F2" w:rsidRPr="00DE4E4F" w:rsidRDefault="005132F2" w:rsidP="00BE2B84">
            <w:pPr>
              <w:keepNext/>
              <w:spacing w:before="40" w:after="0" w:line="256" w:lineRule="auto"/>
              <w:rPr>
                <w:rFonts w:ascii="Times New Roman" w:eastAsia="Times New Roman" w:hAnsi="Times New Roman" w:cs="Times New Roman"/>
                <w:noProof/>
                <w:sz w:val="18"/>
                <w:szCs w:val="18"/>
              </w:rPr>
            </w:pPr>
            <w:r w:rsidRPr="00DE4E4F">
              <w:rPr>
                <w:rFonts w:ascii="Times New Roman" w:hAnsi="Times New Roman"/>
                <w:noProof/>
                <w:sz w:val="18"/>
              </w:rPr>
              <w:t>EUR 4 425 660 305</w:t>
            </w:r>
          </w:p>
        </w:tc>
      </w:tr>
    </w:tbl>
    <w:p w14:paraId="62928C2E" w14:textId="77777777" w:rsidR="001B186F" w:rsidRPr="00DE4E4F" w:rsidRDefault="001B186F">
      <w:pPr>
        <w:keepNext/>
        <w:spacing w:before="40" w:after="160" w:line="259" w:lineRule="auto"/>
        <w:contextualSpacing/>
        <w:jc w:val="both"/>
        <w:rPr>
          <w:rFonts w:ascii="Times New Roman" w:hAnsi="Times New Roman"/>
          <w:noProof/>
          <w:sz w:val="24"/>
        </w:rPr>
      </w:pPr>
    </w:p>
    <w:p w14:paraId="2B18A1AB" w14:textId="77777777" w:rsidR="001B186F" w:rsidRPr="00DE4E4F" w:rsidRDefault="001B186F">
      <w:pPr>
        <w:keepNext/>
        <w:spacing w:before="40" w:after="160" w:line="259" w:lineRule="auto"/>
        <w:contextualSpacing/>
        <w:jc w:val="both"/>
        <w:rPr>
          <w:rFonts w:ascii="Times New Roman" w:hAnsi="Times New Roman"/>
          <w:noProof/>
          <w:sz w:val="24"/>
        </w:rPr>
      </w:pPr>
    </w:p>
    <w:p w14:paraId="6AFEF89B"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rPr>
      </w:pPr>
    </w:p>
    <w:p w14:paraId="7B6922DD" w14:textId="738F939B" w:rsidR="001B186F" w:rsidRPr="00DE4E4F" w:rsidRDefault="0074517F" w:rsidP="007607D9">
      <w:pPr>
        <w:rPr>
          <w:rFonts w:ascii="Times New Roman" w:eastAsia="Times New Roman" w:hAnsi="Times New Roman" w:cs="Times New Roman"/>
          <w:b/>
          <w:noProof/>
          <w:sz w:val="24"/>
          <w:u w:val="single"/>
        </w:rPr>
      </w:pPr>
      <w:r w:rsidRPr="00DE4E4F">
        <w:rPr>
          <w:rFonts w:ascii="Times New Roman" w:eastAsia="Times New Roman" w:hAnsi="Times New Roman" w:cs="Times New Roman"/>
          <w:noProof/>
          <w:sz w:val="18"/>
          <w:szCs w:val="18"/>
        </w:rPr>
        <w:br w:type="page"/>
      </w:r>
      <w:r w:rsidRPr="00DE4E4F">
        <w:rPr>
          <w:rFonts w:ascii="Times New Roman" w:hAnsi="Times New Roman"/>
          <w:b/>
          <w:noProof/>
          <w:sz w:val="24"/>
          <w:u w:val="single"/>
        </w:rPr>
        <w:t>Loan</w:t>
      </w:r>
      <w:r w:rsidR="00DE4C0C" w:rsidRPr="00DE4E4F">
        <w:rPr>
          <w:rFonts w:ascii="Times New Roman" w:hAnsi="Times New Roman"/>
          <w:b/>
          <w:noProof/>
          <w:sz w:val="24"/>
          <w:u w:val="single"/>
        </w:rPr>
        <w:t xml:space="preserve"> </w:t>
      </w:r>
    </w:p>
    <w:p w14:paraId="32C0FEC4" w14:textId="26A46570" w:rsidR="001B186F" w:rsidRPr="00DE4E4F" w:rsidRDefault="0074517F" w:rsidP="004911F3">
      <w:pPr>
        <w:keepNext/>
        <w:spacing w:before="40" w:after="0" w:line="259" w:lineRule="auto"/>
        <w:jc w:val="both"/>
        <w:outlineLvl w:val="1"/>
        <w:rPr>
          <w:rFonts w:ascii="Times New Roman" w:hAnsi="Times New Roman"/>
          <w:b/>
          <w:noProof/>
          <w:sz w:val="24"/>
          <w:u w:val="single"/>
        </w:rPr>
      </w:pPr>
      <w:r w:rsidRPr="00DE4E4F">
        <w:rPr>
          <w:rFonts w:ascii="Times New Roman" w:eastAsia="Times New Roman" w:hAnsi="Times New Roman" w:cs="Times New Roman"/>
          <w:noProof/>
          <w:sz w:val="24"/>
        </w:rPr>
        <w:t>Th</w:t>
      </w:r>
      <w:r w:rsidRPr="00DE4E4F">
        <w:rPr>
          <w:rFonts w:ascii="Times New Roman" w:hAnsi="Times New Roman"/>
          <w:noProof/>
          <w:sz w:val="24"/>
        </w:rPr>
        <w:t>e instalments referred to in Article 3(2) shall be organised in the following manner:</w:t>
      </w:r>
    </w:p>
    <w:p w14:paraId="0694A5B9" w14:textId="77777777" w:rsidR="004911F3" w:rsidRPr="00DE4E4F" w:rsidRDefault="004911F3" w:rsidP="004911F3">
      <w:pPr>
        <w:keepNext/>
        <w:spacing w:before="40" w:after="0" w:line="259" w:lineRule="auto"/>
        <w:jc w:val="both"/>
        <w:outlineLvl w:val="1"/>
        <w:rPr>
          <w:rFonts w:ascii="Times New Roman" w:hAnsi="Times New Roman"/>
          <w:b/>
          <w:noProof/>
          <w:sz w:val="24"/>
          <w:u w:val="single"/>
        </w:rPr>
      </w:pPr>
    </w:p>
    <w:p w14:paraId="683834F2" w14:textId="77777777" w:rsidR="004911F3" w:rsidRPr="00DE4E4F" w:rsidRDefault="004911F3" w:rsidP="004911F3">
      <w:pPr>
        <w:pStyle w:val="ListParagraph"/>
        <w:keepNext/>
        <w:numPr>
          <w:ilvl w:val="0"/>
          <w:numId w:val="106"/>
        </w:numPr>
        <w:spacing w:before="40" w:after="160" w:line="259" w:lineRule="auto"/>
        <w:jc w:val="both"/>
        <w:rPr>
          <w:rFonts w:ascii="Times New Roman" w:hAnsi="Times New Roman"/>
          <w:noProof/>
          <w:vanish/>
          <w:sz w:val="24"/>
        </w:rPr>
      </w:pPr>
    </w:p>
    <w:p w14:paraId="69B0C2C9" w14:textId="77777777" w:rsidR="004911F3" w:rsidRPr="00DE4E4F" w:rsidRDefault="004911F3" w:rsidP="004911F3">
      <w:pPr>
        <w:pStyle w:val="ListParagraph"/>
        <w:keepNext/>
        <w:numPr>
          <w:ilvl w:val="0"/>
          <w:numId w:val="106"/>
        </w:numPr>
        <w:spacing w:before="40" w:after="160" w:line="259" w:lineRule="auto"/>
        <w:jc w:val="both"/>
        <w:rPr>
          <w:rFonts w:ascii="Times New Roman" w:hAnsi="Times New Roman"/>
          <w:noProof/>
          <w:vanish/>
          <w:sz w:val="24"/>
        </w:rPr>
      </w:pPr>
    </w:p>
    <w:p w14:paraId="30FA698A" w14:textId="4F542232"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First Payment Request (loan support): </w:t>
      </w:r>
    </w:p>
    <w:tbl>
      <w:tblPr>
        <w:tblW w:w="9535" w:type="dxa"/>
        <w:jc w:val="center"/>
        <w:tblLook w:val="04A0" w:firstRow="1" w:lastRow="0" w:firstColumn="1" w:lastColumn="0" w:noHBand="0" w:noVBand="1"/>
      </w:tblPr>
      <w:tblGrid>
        <w:gridCol w:w="1195"/>
        <w:gridCol w:w="4892"/>
        <w:gridCol w:w="1692"/>
        <w:gridCol w:w="1756"/>
      </w:tblGrid>
      <w:tr w:rsidR="00682269" w:rsidRPr="00DE4E4F" w14:paraId="2464A40B" w14:textId="77777777" w:rsidTr="00BE2B84">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AF9FCA"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Seq. No.</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991B4E5"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5D564A0"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668200C6"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12F00E97" w14:textId="77777777" w:rsidTr="00BE2B84">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43F5F3FE"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lang w:eastAsia="en-GB"/>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4D9E2161"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4673525E"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lang w:eastAsia="en-GB"/>
              </w:rPr>
            </w:pPr>
          </w:p>
        </w:tc>
        <w:tc>
          <w:tcPr>
            <w:tcW w:w="1756" w:type="dxa"/>
            <w:vMerge/>
            <w:tcBorders>
              <w:top w:val="single" w:sz="4" w:space="0" w:color="auto"/>
              <w:left w:val="nil"/>
              <w:bottom w:val="single" w:sz="4" w:space="0" w:color="000000"/>
              <w:right w:val="single" w:sz="4" w:space="0" w:color="auto"/>
            </w:tcBorders>
            <w:vAlign w:val="center"/>
            <w:hideMark/>
          </w:tcPr>
          <w:p w14:paraId="512BA89A"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lang w:eastAsia="en-GB"/>
              </w:rPr>
            </w:pPr>
          </w:p>
        </w:tc>
      </w:tr>
      <w:tr w:rsidR="00682269" w:rsidRPr="00DE4E4F" w14:paraId="51D89E45" w14:textId="77777777" w:rsidTr="00BE2B84">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E6C66E3"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320</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3FB3D680"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138C3A4"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9B64DEF"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Operational agreements with IFIs</w:t>
            </w:r>
          </w:p>
        </w:tc>
      </w:tr>
      <w:tr w:rsidR="00682269" w:rsidRPr="00DE4E4F" w14:paraId="342EC9E3" w14:textId="77777777" w:rsidTr="00BE2B84">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hideMark/>
          </w:tcPr>
          <w:p w14:paraId="7E3C8BBD"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321</w:t>
            </w:r>
          </w:p>
        </w:tc>
        <w:tc>
          <w:tcPr>
            <w:tcW w:w="4892" w:type="dxa"/>
            <w:tcBorders>
              <w:top w:val="nil"/>
              <w:left w:val="nil"/>
              <w:bottom w:val="single" w:sz="4" w:space="0" w:color="auto"/>
              <w:right w:val="single" w:sz="4" w:space="0" w:color="auto"/>
            </w:tcBorders>
            <w:shd w:val="clear" w:color="000000" w:fill="C6EFCE"/>
            <w:noWrap/>
            <w:vAlign w:val="center"/>
            <w:hideMark/>
          </w:tcPr>
          <w:p w14:paraId="73C9C738"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nil"/>
              <w:left w:val="nil"/>
              <w:bottom w:val="single" w:sz="4" w:space="0" w:color="auto"/>
              <w:right w:val="single" w:sz="4" w:space="0" w:color="auto"/>
            </w:tcBorders>
            <w:shd w:val="clear" w:color="000000" w:fill="C6EFCE"/>
            <w:noWrap/>
            <w:vAlign w:val="center"/>
            <w:hideMark/>
          </w:tcPr>
          <w:p w14:paraId="1EECAF66"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56" w:type="dxa"/>
            <w:tcBorders>
              <w:top w:val="nil"/>
              <w:left w:val="nil"/>
              <w:bottom w:val="single" w:sz="4" w:space="0" w:color="auto"/>
              <w:right w:val="single" w:sz="4" w:space="0" w:color="auto"/>
            </w:tcBorders>
            <w:shd w:val="clear" w:color="000000" w:fill="C6EFCE"/>
            <w:noWrap/>
            <w:vAlign w:val="center"/>
            <w:hideMark/>
          </w:tcPr>
          <w:p w14:paraId="79119FDD"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Launch of commercial banks call</w:t>
            </w:r>
          </w:p>
        </w:tc>
      </w:tr>
      <w:tr w:rsidR="00682269" w:rsidRPr="00DE4E4F" w14:paraId="07EEA680" w14:textId="77777777" w:rsidTr="00BE2B84">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0203D2D3"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67BB9575"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2619B2D" w14:textId="77777777" w:rsidR="001B186F" w:rsidRPr="00DE4E4F" w:rsidRDefault="0074517F">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158AC685" w14:textId="77777777" w:rsidR="001B186F" w:rsidRPr="00DE4E4F" w:rsidRDefault="0074517F">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2 121 256 487</w:t>
            </w:r>
          </w:p>
        </w:tc>
      </w:tr>
    </w:tbl>
    <w:p w14:paraId="6976293B" w14:textId="77777777" w:rsidR="001B186F" w:rsidRPr="00DE4E4F" w:rsidRDefault="001B186F">
      <w:pPr>
        <w:keepNext/>
        <w:spacing w:before="120" w:after="160" w:line="259" w:lineRule="auto"/>
        <w:ind w:hanging="360"/>
        <w:contextualSpacing/>
        <w:jc w:val="both"/>
        <w:rPr>
          <w:rFonts w:ascii="Times New Roman" w:eastAsia="Times New Roman" w:hAnsi="Times New Roman" w:cs="Times New Roman"/>
          <w:bCs/>
          <w:noProof/>
          <w:sz w:val="24"/>
          <w:szCs w:val="24"/>
        </w:rPr>
      </w:pPr>
    </w:p>
    <w:p w14:paraId="7518A721" w14:textId="77777777"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Second Payment Request (loan support): </w:t>
      </w:r>
    </w:p>
    <w:tbl>
      <w:tblPr>
        <w:tblW w:w="9535" w:type="dxa"/>
        <w:jc w:val="center"/>
        <w:tblLook w:val="04A0" w:firstRow="1" w:lastRow="0" w:firstColumn="1" w:lastColumn="0" w:noHBand="0" w:noVBand="1"/>
      </w:tblPr>
      <w:tblGrid>
        <w:gridCol w:w="1195"/>
        <w:gridCol w:w="4892"/>
        <w:gridCol w:w="1692"/>
        <w:gridCol w:w="1756"/>
      </w:tblGrid>
      <w:tr w:rsidR="00682269" w:rsidRPr="00DE4E4F" w14:paraId="623B99F6" w14:textId="77777777" w:rsidTr="00BE2B84">
        <w:trPr>
          <w:trHeight w:val="906"/>
          <w:jc w:val="center"/>
        </w:trPr>
        <w:tc>
          <w:tcPr>
            <w:tcW w:w="119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D09001"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Seq. No.</w:t>
            </w:r>
          </w:p>
        </w:tc>
        <w:tc>
          <w:tcPr>
            <w:tcW w:w="48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531494F"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D63875"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5B40DBC2"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0A6B7FBB" w14:textId="77777777" w:rsidTr="00BE2B84">
        <w:trPr>
          <w:trHeight w:val="269"/>
          <w:jc w:val="center"/>
        </w:trPr>
        <w:tc>
          <w:tcPr>
            <w:tcW w:w="1195" w:type="dxa"/>
            <w:vMerge/>
            <w:tcBorders>
              <w:top w:val="single" w:sz="4" w:space="0" w:color="auto"/>
              <w:left w:val="single" w:sz="4" w:space="0" w:color="auto"/>
              <w:bottom w:val="single" w:sz="4" w:space="0" w:color="000000"/>
              <w:right w:val="single" w:sz="4" w:space="0" w:color="auto"/>
            </w:tcBorders>
            <w:vAlign w:val="center"/>
            <w:hideMark/>
          </w:tcPr>
          <w:p w14:paraId="238E4F35"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4892" w:type="dxa"/>
            <w:vMerge/>
            <w:tcBorders>
              <w:top w:val="single" w:sz="4" w:space="0" w:color="auto"/>
              <w:left w:val="single" w:sz="4" w:space="0" w:color="auto"/>
              <w:bottom w:val="single" w:sz="4" w:space="0" w:color="000000"/>
              <w:right w:val="single" w:sz="4" w:space="0" w:color="auto"/>
            </w:tcBorders>
            <w:vAlign w:val="center"/>
            <w:hideMark/>
          </w:tcPr>
          <w:p w14:paraId="258159C1"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E5D0F1C"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756" w:type="dxa"/>
            <w:vMerge/>
            <w:tcBorders>
              <w:top w:val="single" w:sz="4" w:space="0" w:color="auto"/>
              <w:left w:val="nil"/>
              <w:bottom w:val="single" w:sz="4" w:space="0" w:color="000000"/>
              <w:right w:val="single" w:sz="4" w:space="0" w:color="auto"/>
            </w:tcBorders>
            <w:vAlign w:val="center"/>
            <w:hideMark/>
          </w:tcPr>
          <w:p w14:paraId="0319A8C0"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57F83216" w14:textId="77777777" w:rsidTr="00BE2B84">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590FE254"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322</w:t>
            </w:r>
          </w:p>
        </w:tc>
        <w:tc>
          <w:tcPr>
            <w:tcW w:w="4892" w:type="dxa"/>
            <w:tcBorders>
              <w:top w:val="single" w:sz="4" w:space="0" w:color="auto"/>
              <w:left w:val="nil"/>
              <w:bottom w:val="single" w:sz="4" w:space="0" w:color="auto"/>
              <w:right w:val="single" w:sz="4" w:space="0" w:color="auto"/>
            </w:tcBorders>
            <w:shd w:val="clear" w:color="000000" w:fill="C6EFCE"/>
            <w:noWrap/>
            <w:vAlign w:val="center"/>
            <w:hideMark/>
          </w:tcPr>
          <w:p w14:paraId="516AA698"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385E9F7"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436D6CEA"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Agreement for equity platform</w:t>
            </w:r>
          </w:p>
        </w:tc>
      </w:tr>
      <w:tr w:rsidR="00682269" w:rsidRPr="00DE4E4F" w14:paraId="770E3B9B" w14:textId="77777777" w:rsidTr="00BE2B84">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67A6511A"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323</w:t>
            </w:r>
          </w:p>
        </w:tc>
        <w:tc>
          <w:tcPr>
            <w:tcW w:w="4892" w:type="dxa"/>
            <w:tcBorders>
              <w:top w:val="nil"/>
              <w:left w:val="nil"/>
              <w:bottom w:val="single" w:sz="4" w:space="0" w:color="auto"/>
              <w:right w:val="single" w:sz="4" w:space="0" w:color="auto"/>
            </w:tcBorders>
            <w:shd w:val="clear" w:color="000000" w:fill="C6EFCE"/>
            <w:noWrap/>
            <w:vAlign w:val="center"/>
          </w:tcPr>
          <w:p w14:paraId="72824DD9"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nil"/>
              <w:left w:val="nil"/>
              <w:bottom w:val="single" w:sz="4" w:space="0" w:color="auto"/>
              <w:right w:val="single" w:sz="4" w:space="0" w:color="auto"/>
            </w:tcBorders>
            <w:shd w:val="clear" w:color="000000" w:fill="C6EFCE"/>
            <w:noWrap/>
            <w:vAlign w:val="center"/>
          </w:tcPr>
          <w:p w14:paraId="0BF18442"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56" w:type="dxa"/>
            <w:tcBorders>
              <w:top w:val="nil"/>
              <w:left w:val="nil"/>
              <w:bottom w:val="single" w:sz="4" w:space="0" w:color="auto"/>
              <w:right w:val="single" w:sz="4" w:space="0" w:color="auto"/>
            </w:tcBorders>
            <w:shd w:val="clear" w:color="000000" w:fill="C6EFCE"/>
            <w:noWrap/>
            <w:vAlign w:val="center"/>
          </w:tcPr>
          <w:p w14:paraId="4B6B865B"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InvestEU contribution agreement</w:t>
            </w:r>
          </w:p>
        </w:tc>
      </w:tr>
      <w:tr w:rsidR="00682269" w:rsidRPr="00DE4E4F" w14:paraId="0DF5962B" w14:textId="77777777" w:rsidTr="00BE2B84">
        <w:trPr>
          <w:trHeight w:val="302"/>
          <w:jc w:val="center"/>
        </w:trPr>
        <w:tc>
          <w:tcPr>
            <w:tcW w:w="1195" w:type="dxa"/>
            <w:tcBorders>
              <w:top w:val="nil"/>
              <w:left w:val="single" w:sz="4" w:space="0" w:color="auto"/>
              <w:bottom w:val="single" w:sz="4" w:space="0" w:color="auto"/>
              <w:right w:val="single" w:sz="4" w:space="0" w:color="auto"/>
            </w:tcBorders>
            <w:shd w:val="clear" w:color="000000" w:fill="C6EFCE"/>
            <w:noWrap/>
            <w:vAlign w:val="center"/>
          </w:tcPr>
          <w:p w14:paraId="78118E62"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324</w:t>
            </w:r>
          </w:p>
        </w:tc>
        <w:tc>
          <w:tcPr>
            <w:tcW w:w="4892" w:type="dxa"/>
            <w:tcBorders>
              <w:top w:val="nil"/>
              <w:left w:val="nil"/>
              <w:bottom w:val="single" w:sz="4" w:space="0" w:color="auto"/>
              <w:right w:val="single" w:sz="4" w:space="0" w:color="auto"/>
            </w:tcBorders>
            <w:shd w:val="clear" w:color="000000" w:fill="C6EFCE"/>
            <w:noWrap/>
            <w:vAlign w:val="center"/>
          </w:tcPr>
          <w:p w14:paraId="54904727"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nil"/>
              <w:left w:val="nil"/>
              <w:bottom w:val="single" w:sz="4" w:space="0" w:color="auto"/>
              <w:right w:val="single" w:sz="4" w:space="0" w:color="auto"/>
            </w:tcBorders>
            <w:shd w:val="clear" w:color="000000" w:fill="C6EFCE"/>
            <w:noWrap/>
            <w:vAlign w:val="center"/>
          </w:tcPr>
          <w:p w14:paraId="3E067F41"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1756" w:type="dxa"/>
            <w:tcBorders>
              <w:top w:val="nil"/>
              <w:left w:val="nil"/>
              <w:bottom w:val="single" w:sz="4" w:space="0" w:color="auto"/>
              <w:right w:val="single" w:sz="4" w:space="0" w:color="auto"/>
            </w:tcBorders>
            <w:shd w:val="clear" w:color="000000" w:fill="C6EFCE"/>
            <w:noWrap/>
            <w:vAlign w:val="center"/>
          </w:tcPr>
          <w:p w14:paraId="1A4CC385"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EUR 586.4 million of financial institutions funds signed with final beneficiaries</w:t>
            </w:r>
          </w:p>
        </w:tc>
      </w:tr>
      <w:tr w:rsidR="00682269" w:rsidRPr="00DE4E4F" w14:paraId="0FE25045" w14:textId="77777777" w:rsidTr="00BE2B84">
        <w:trPr>
          <w:trHeight w:val="302"/>
          <w:jc w:val="center"/>
        </w:trPr>
        <w:tc>
          <w:tcPr>
            <w:tcW w:w="119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218EA2B9"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4892" w:type="dxa"/>
            <w:tcBorders>
              <w:top w:val="single" w:sz="4" w:space="0" w:color="auto"/>
              <w:left w:val="nil"/>
              <w:bottom w:val="single" w:sz="4" w:space="0" w:color="auto"/>
              <w:right w:val="single" w:sz="4" w:space="0" w:color="auto"/>
            </w:tcBorders>
            <w:shd w:val="clear" w:color="auto" w:fill="C6EFCE"/>
            <w:noWrap/>
            <w:vAlign w:val="bottom"/>
          </w:tcPr>
          <w:p w14:paraId="78056866"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0282FF0E" w14:textId="77777777" w:rsidR="001B186F" w:rsidRPr="00DE4E4F" w:rsidRDefault="0074517F">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67F6212" w14:textId="77777777" w:rsidR="001B186F" w:rsidRPr="00DE4E4F" w:rsidRDefault="0074517F">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2 121 256 487</w:t>
            </w:r>
          </w:p>
        </w:tc>
      </w:tr>
    </w:tbl>
    <w:p w14:paraId="782E17B1" w14:textId="77777777" w:rsidR="001B186F" w:rsidRPr="00DE4E4F" w:rsidRDefault="001B186F">
      <w:pPr>
        <w:keepNext/>
        <w:spacing w:before="40" w:after="160" w:line="259" w:lineRule="auto"/>
        <w:contextualSpacing/>
        <w:jc w:val="both"/>
        <w:rPr>
          <w:rFonts w:ascii="Times New Roman" w:eastAsia="Times New Roman" w:hAnsi="Times New Roman" w:cs="Times New Roman"/>
          <w:noProof/>
          <w:sz w:val="24"/>
        </w:rPr>
      </w:pPr>
    </w:p>
    <w:p w14:paraId="1B4FDD16" w14:textId="77777777" w:rsidR="001B186F" w:rsidRPr="00DE4E4F" w:rsidRDefault="001B186F" w:rsidP="004911F3">
      <w:pPr>
        <w:keepNext/>
        <w:numPr>
          <w:ilvl w:val="1"/>
          <w:numId w:val="106"/>
        </w:numPr>
        <w:spacing w:before="40" w:after="160" w:line="259" w:lineRule="auto"/>
        <w:ind w:left="0"/>
        <w:contextualSpacing/>
        <w:jc w:val="both"/>
        <w:rPr>
          <w:rFonts w:ascii="Times New Roman" w:hAnsi="Times New Roman"/>
          <w:noProof/>
          <w:sz w:val="24"/>
        </w:rPr>
        <w:sectPr w:rsidR="001B186F" w:rsidRPr="00DE4E4F">
          <w:headerReference w:type="even" r:id="rId450"/>
          <w:headerReference w:type="default" r:id="rId451"/>
          <w:footerReference w:type="even" r:id="rId452"/>
          <w:footerReference w:type="default" r:id="rId453"/>
          <w:headerReference w:type="first" r:id="rId454"/>
          <w:footerReference w:type="first" r:id="rId455"/>
          <w:pgSz w:w="11906" w:h="16838"/>
          <w:pgMar w:top="1134" w:right="1134" w:bottom="1134" w:left="1134" w:header="567" w:footer="567" w:gutter="0"/>
          <w:cols w:space="708"/>
          <w:docGrid w:linePitch="360"/>
        </w:sectPr>
      </w:pPr>
    </w:p>
    <w:p w14:paraId="61E14B2A" w14:textId="77777777"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Third Payment Request (loan support): </w:t>
      </w:r>
    </w:p>
    <w:tbl>
      <w:tblPr>
        <w:tblW w:w="9535" w:type="dxa"/>
        <w:jc w:val="center"/>
        <w:tblLook w:val="04A0" w:firstRow="1" w:lastRow="0" w:firstColumn="1" w:lastColumn="0" w:noHBand="0" w:noVBand="1"/>
      </w:tblPr>
      <w:tblGrid>
        <w:gridCol w:w="704"/>
        <w:gridCol w:w="5383"/>
        <w:gridCol w:w="1692"/>
        <w:gridCol w:w="1756"/>
      </w:tblGrid>
      <w:tr w:rsidR="00682269" w:rsidRPr="00DE4E4F" w14:paraId="541594BB" w14:textId="77777777" w:rsidTr="00BE2B84">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B0D709D"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A5EF27"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1D4AD3F"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270709F4"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2C4C7047" w14:textId="77777777" w:rsidTr="00BE2B84">
        <w:trPr>
          <w:trHeight w:val="343"/>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5AF7A186"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68FC787B"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8A6E89E"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756" w:type="dxa"/>
            <w:vMerge/>
            <w:tcBorders>
              <w:top w:val="single" w:sz="4" w:space="0" w:color="auto"/>
              <w:left w:val="nil"/>
              <w:bottom w:val="single" w:sz="4" w:space="0" w:color="000000"/>
              <w:right w:val="single" w:sz="4" w:space="0" w:color="auto"/>
            </w:tcBorders>
            <w:vAlign w:val="center"/>
            <w:hideMark/>
          </w:tcPr>
          <w:p w14:paraId="7636B862"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6927BD9C" w14:textId="77777777" w:rsidTr="00BE2B84">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0B7C2432"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325</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348541D2"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773ADCD8"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28373638"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EUR 3 518.4 million of financial institutions funds signed with final beneficiaries</w:t>
            </w:r>
          </w:p>
        </w:tc>
      </w:tr>
      <w:tr w:rsidR="00682269" w:rsidRPr="00DE4E4F" w14:paraId="30ECAEC4" w14:textId="77777777" w:rsidTr="00BE2B84">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4A1FD83"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45875D63" w14:textId="77777777" w:rsidR="001B186F" w:rsidRPr="00DE4E4F" w:rsidRDefault="001B186F">
            <w:pPr>
              <w:keepNext/>
              <w:spacing w:before="40" w:after="0" w:line="240"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75166DC9"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787EBB84"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2 121 256 487</w:t>
            </w:r>
          </w:p>
        </w:tc>
      </w:tr>
    </w:tbl>
    <w:p w14:paraId="02F959C4"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rPr>
      </w:pPr>
    </w:p>
    <w:p w14:paraId="32F56F66" w14:textId="77777777"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Fourth Payment Request (loan support): </w:t>
      </w:r>
    </w:p>
    <w:tbl>
      <w:tblPr>
        <w:tblW w:w="9535" w:type="dxa"/>
        <w:jc w:val="center"/>
        <w:tblLayout w:type="fixed"/>
        <w:tblLook w:val="04A0" w:firstRow="1" w:lastRow="0" w:firstColumn="1" w:lastColumn="0" w:noHBand="0" w:noVBand="1"/>
      </w:tblPr>
      <w:tblGrid>
        <w:gridCol w:w="704"/>
        <w:gridCol w:w="5383"/>
        <w:gridCol w:w="1692"/>
        <w:gridCol w:w="1756"/>
      </w:tblGrid>
      <w:tr w:rsidR="00682269" w:rsidRPr="00DE4E4F" w14:paraId="7E9DD2B3" w14:textId="77777777" w:rsidTr="00BE2B84">
        <w:trPr>
          <w:trHeight w:val="906"/>
          <w:jc w:val="center"/>
        </w:trPr>
        <w:tc>
          <w:tcPr>
            <w:tcW w:w="70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BF6291" w14:textId="77777777" w:rsidR="001B186F" w:rsidRPr="00DE4E4F" w:rsidRDefault="0074517F">
            <w:pPr>
              <w:keepNext/>
              <w:spacing w:before="40" w:after="0" w:line="259" w:lineRule="auto"/>
              <w:jc w:val="center"/>
              <w:rPr>
                <w:rFonts w:ascii="Times New Roman" w:eastAsia="Times New Roman" w:hAnsi="Times New Roman" w:cs="Times New Roman"/>
                <w:b/>
                <w:noProof/>
                <w:sz w:val="18"/>
                <w:szCs w:val="18"/>
              </w:rPr>
            </w:pPr>
            <w:bookmarkStart w:id="9" w:name="_Hlk150347477"/>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38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5351C3C" w14:textId="77777777" w:rsidR="001B186F" w:rsidRPr="00DE4E4F" w:rsidRDefault="0074517F">
            <w:pPr>
              <w:keepNext/>
              <w:spacing w:before="40" w:after="0" w:line="259" w:lineRule="auto"/>
              <w:jc w:val="center"/>
              <w:rPr>
                <w:rFonts w:ascii="Times New Roman" w:eastAsia="Times New Roman" w:hAnsi="Times New Roman" w:cs="Times New Roman"/>
                <w:b/>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188EF2F" w14:textId="77777777" w:rsidR="001B186F" w:rsidRPr="00DE4E4F" w:rsidRDefault="0074517F">
            <w:pPr>
              <w:keepNext/>
              <w:spacing w:before="40" w:after="0" w:line="259" w:lineRule="auto"/>
              <w:jc w:val="center"/>
              <w:rPr>
                <w:rFonts w:ascii="Times New Roman" w:eastAsia="Times New Roman" w:hAnsi="Times New Roman" w:cs="Times New Roman"/>
                <w:b/>
                <w:noProof/>
                <w:sz w:val="18"/>
                <w:szCs w:val="18"/>
              </w:rPr>
            </w:pPr>
            <w:r w:rsidRPr="00DE4E4F">
              <w:rPr>
                <w:rFonts w:ascii="Times New Roman" w:hAnsi="Times New Roman"/>
                <w:b/>
                <w:bCs/>
                <w:noProof/>
                <w:sz w:val="18"/>
              </w:rPr>
              <w:t>Milestone / Target</w:t>
            </w:r>
          </w:p>
        </w:tc>
        <w:tc>
          <w:tcPr>
            <w:tcW w:w="1756" w:type="dxa"/>
            <w:vMerge w:val="restart"/>
            <w:tcBorders>
              <w:top w:val="single" w:sz="4" w:space="0" w:color="auto"/>
              <w:left w:val="nil"/>
              <w:bottom w:val="single" w:sz="4" w:space="0" w:color="000000"/>
              <w:right w:val="single" w:sz="4" w:space="0" w:color="auto"/>
            </w:tcBorders>
            <w:shd w:val="clear" w:color="auto" w:fill="BDD7EE"/>
            <w:vAlign w:val="center"/>
            <w:hideMark/>
          </w:tcPr>
          <w:p w14:paraId="7D4C9930" w14:textId="77777777" w:rsidR="001B186F" w:rsidRPr="00DE4E4F" w:rsidRDefault="0074517F">
            <w:pPr>
              <w:keepNext/>
              <w:spacing w:before="40" w:after="0" w:line="259" w:lineRule="auto"/>
              <w:jc w:val="center"/>
              <w:rPr>
                <w:rFonts w:ascii="Times New Roman" w:eastAsia="Times New Roman" w:hAnsi="Times New Roman" w:cs="Times New Roman"/>
                <w:b/>
                <w:noProof/>
                <w:sz w:val="18"/>
                <w:szCs w:val="18"/>
              </w:rPr>
            </w:pPr>
            <w:r w:rsidRPr="00DE4E4F">
              <w:rPr>
                <w:rFonts w:ascii="Times New Roman" w:hAnsi="Times New Roman"/>
                <w:b/>
                <w:bCs/>
                <w:noProof/>
                <w:sz w:val="18"/>
              </w:rPr>
              <w:t>Name</w:t>
            </w:r>
          </w:p>
        </w:tc>
      </w:tr>
      <w:tr w:rsidR="00682269" w:rsidRPr="00DE4E4F" w14:paraId="23233DCD" w14:textId="77777777" w:rsidTr="00BE2B84">
        <w:trPr>
          <w:trHeight w:val="276"/>
          <w:jc w:val="center"/>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07A929F9"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383" w:type="dxa"/>
            <w:vMerge/>
            <w:tcBorders>
              <w:top w:val="single" w:sz="4" w:space="0" w:color="auto"/>
              <w:left w:val="single" w:sz="4" w:space="0" w:color="auto"/>
              <w:bottom w:val="single" w:sz="4" w:space="0" w:color="000000"/>
              <w:right w:val="single" w:sz="4" w:space="0" w:color="auto"/>
            </w:tcBorders>
            <w:vAlign w:val="center"/>
            <w:hideMark/>
          </w:tcPr>
          <w:p w14:paraId="7FBBDC31"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64FB407B"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756" w:type="dxa"/>
            <w:vMerge/>
            <w:tcBorders>
              <w:top w:val="single" w:sz="4" w:space="0" w:color="auto"/>
              <w:left w:val="nil"/>
              <w:bottom w:val="single" w:sz="4" w:space="0" w:color="000000"/>
              <w:right w:val="single" w:sz="4" w:space="0" w:color="auto"/>
            </w:tcBorders>
            <w:vAlign w:val="center"/>
            <w:hideMark/>
          </w:tcPr>
          <w:p w14:paraId="15E5921E"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0E28511B" w14:textId="77777777" w:rsidTr="00BE2B84">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14:paraId="1A069E18"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325a</w:t>
            </w:r>
          </w:p>
        </w:tc>
        <w:tc>
          <w:tcPr>
            <w:tcW w:w="5383" w:type="dxa"/>
            <w:tcBorders>
              <w:top w:val="single" w:sz="4" w:space="0" w:color="auto"/>
              <w:left w:val="nil"/>
              <w:bottom w:val="single" w:sz="4" w:space="0" w:color="auto"/>
              <w:right w:val="single" w:sz="4" w:space="0" w:color="auto"/>
            </w:tcBorders>
            <w:shd w:val="clear" w:color="000000" w:fill="C6EFCE"/>
            <w:noWrap/>
            <w:vAlign w:val="center"/>
            <w:hideMark/>
          </w:tcPr>
          <w:p w14:paraId="0AEBB02D"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hideMark/>
          </w:tcPr>
          <w:p w14:paraId="0ED25D55"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1756" w:type="dxa"/>
            <w:tcBorders>
              <w:top w:val="single" w:sz="4" w:space="0" w:color="auto"/>
              <w:left w:val="nil"/>
              <w:bottom w:val="single" w:sz="4" w:space="0" w:color="auto"/>
              <w:right w:val="single" w:sz="4" w:space="0" w:color="auto"/>
            </w:tcBorders>
            <w:shd w:val="clear" w:color="000000" w:fill="C6EFCE"/>
            <w:noWrap/>
            <w:vAlign w:val="center"/>
            <w:hideMark/>
          </w:tcPr>
          <w:p w14:paraId="37533516"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EUR 4</w:t>
            </w:r>
            <w:r w:rsidRPr="00DE4E4F">
              <w:rPr>
                <w:rFonts w:ascii="Times New Roman" w:hAnsi="Times New Roman" w:cs="Times New Roman"/>
                <w:noProof/>
                <w:sz w:val="18"/>
              </w:rPr>
              <w:t> </w:t>
            </w:r>
            <w:r w:rsidRPr="00DE4E4F">
              <w:rPr>
                <w:rFonts w:ascii="Times New Roman" w:hAnsi="Times New Roman"/>
                <w:noProof/>
                <w:sz w:val="18"/>
              </w:rPr>
              <w:t>518.4 million of financial institutions funds signed with final beneficiaries</w:t>
            </w:r>
          </w:p>
        </w:tc>
      </w:tr>
      <w:tr w:rsidR="00682269" w:rsidRPr="00DE4E4F" w14:paraId="1A35C955" w14:textId="77777777" w:rsidTr="00BE2B84">
        <w:trPr>
          <w:trHeight w:val="302"/>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3BBC308E"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383" w:type="dxa"/>
            <w:tcBorders>
              <w:top w:val="single" w:sz="4" w:space="0" w:color="auto"/>
              <w:left w:val="nil"/>
              <w:bottom w:val="single" w:sz="4" w:space="0" w:color="auto"/>
              <w:right w:val="single" w:sz="4" w:space="0" w:color="auto"/>
            </w:tcBorders>
            <w:shd w:val="clear" w:color="auto" w:fill="C6EFCE"/>
            <w:noWrap/>
            <w:vAlign w:val="bottom"/>
          </w:tcPr>
          <w:p w14:paraId="3D9F96D2" w14:textId="77777777" w:rsidR="001B186F" w:rsidRPr="00DE4E4F" w:rsidRDefault="001B186F">
            <w:pPr>
              <w:keepNext/>
              <w:spacing w:before="40" w:after="0" w:line="240"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2E69CAF6"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1756" w:type="dxa"/>
            <w:tcBorders>
              <w:top w:val="single" w:sz="4" w:space="0" w:color="auto"/>
              <w:left w:val="nil"/>
              <w:bottom w:val="single" w:sz="4" w:space="0" w:color="auto"/>
              <w:right w:val="single" w:sz="4" w:space="0" w:color="auto"/>
            </w:tcBorders>
            <w:shd w:val="clear" w:color="auto" w:fill="C6EFCE"/>
            <w:noWrap/>
            <w:vAlign w:val="bottom"/>
          </w:tcPr>
          <w:p w14:paraId="2B9BFC96"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2</w:t>
            </w:r>
            <w:r w:rsidRPr="00DE4E4F">
              <w:rPr>
                <w:rFonts w:ascii="Times New Roman" w:hAnsi="Times New Roman" w:cs="Times New Roman"/>
                <w:noProof/>
                <w:sz w:val="18"/>
              </w:rPr>
              <w:t> </w:t>
            </w:r>
            <w:r w:rsidRPr="00DE4E4F">
              <w:rPr>
                <w:rFonts w:ascii="Times New Roman" w:hAnsi="Times New Roman"/>
                <w:noProof/>
                <w:sz w:val="18"/>
              </w:rPr>
              <w:t>534</w:t>
            </w:r>
            <w:r w:rsidRPr="00DE4E4F">
              <w:rPr>
                <w:rFonts w:ascii="Times New Roman" w:hAnsi="Times New Roman" w:cs="Times New Roman"/>
                <w:noProof/>
                <w:sz w:val="18"/>
              </w:rPr>
              <w:t> </w:t>
            </w:r>
            <w:r w:rsidRPr="00DE4E4F">
              <w:rPr>
                <w:rFonts w:ascii="Times New Roman" w:hAnsi="Times New Roman"/>
                <w:noProof/>
                <w:sz w:val="18"/>
              </w:rPr>
              <w:t>514</w:t>
            </w:r>
            <w:r w:rsidRPr="00DE4E4F">
              <w:rPr>
                <w:rFonts w:ascii="Times New Roman" w:hAnsi="Times New Roman" w:cs="Times New Roman"/>
                <w:noProof/>
                <w:sz w:val="18"/>
              </w:rPr>
              <w:t> </w:t>
            </w:r>
            <w:r w:rsidRPr="00DE4E4F">
              <w:rPr>
                <w:rFonts w:ascii="Times New Roman" w:hAnsi="Times New Roman"/>
                <w:noProof/>
                <w:sz w:val="18"/>
              </w:rPr>
              <w:t>342</w:t>
            </w:r>
          </w:p>
        </w:tc>
      </w:tr>
      <w:bookmarkEnd w:id="9"/>
    </w:tbl>
    <w:p w14:paraId="1C797642" w14:textId="77777777" w:rsidR="001B186F" w:rsidRPr="00DE4E4F" w:rsidRDefault="001B186F">
      <w:pPr>
        <w:keepNext/>
        <w:spacing w:before="40" w:after="0" w:line="259" w:lineRule="auto"/>
        <w:jc w:val="both"/>
        <w:rPr>
          <w:rFonts w:ascii="Times New Roman" w:eastAsia="Times New Roman" w:hAnsi="Times New Roman" w:cs="Times New Roman"/>
          <w:bCs/>
          <w:noProof/>
          <w:sz w:val="24"/>
          <w:szCs w:val="26"/>
        </w:rPr>
      </w:pPr>
    </w:p>
    <w:p w14:paraId="7ABA742D" w14:textId="77777777"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Fifth Payment Request (loan support): </w:t>
      </w:r>
    </w:p>
    <w:tbl>
      <w:tblPr>
        <w:tblW w:w="9519" w:type="dxa"/>
        <w:jc w:val="center"/>
        <w:tblLayout w:type="fixed"/>
        <w:tblLook w:val="04A0" w:firstRow="1" w:lastRow="0" w:firstColumn="1" w:lastColumn="0" w:noHBand="0" w:noVBand="1"/>
      </w:tblPr>
      <w:tblGrid>
        <w:gridCol w:w="675"/>
        <w:gridCol w:w="5412"/>
        <w:gridCol w:w="1692"/>
        <w:gridCol w:w="1740"/>
      </w:tblGrid>
      <w:tr w:rsidR="00682269" w:rsidRPr="00DE4E4F" w14:paraId="6795C043" w14:textId="77777777" w:rsidTr="00BE2B84">
        <w:trPr>
          <w:trHeight w:val="906"/>
          <w:tblHeader/>
          <w:jc w:val="center"/>
        </w:trPr>
        <w:tc>
          <w:tcPr>
            <w:tcW w:w="6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5E07D702" w14:textId="77777777" w:rsidR="001B186F" w:rsidRPr="00DE4E4F" w:rsidRDefault="0074517F" w:rsidP="001544EB">
            <w:pPr>
              <w:keepNext/>
              <w:spacing w:before="40" w:after="0" w:line="240"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41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DD060E2" w14:textId="77777777" w:rsidR="001B186F" w:rsidRPr="00DE4E4F" w:rsidRDefault="0074517F" w:rsidP="001544EB">
            <w:pPr>
              <w:keepNext/>
              <w:spacing w:before="4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E21B349" w14:textId="77777777" w:rsidR="001B186F" w:rsidRPr="00DE4E4F" w:rsidRDefault="0074517F" w:rsidP="001544EB">
            <w:pPr>
              <w:keepNext/>
              <w:spacing w:before="4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1740" w:type="dxa"/>
            <w:vMerge w:val="restart"/>
            <w:tcBorders>
              <w:top w:val="single" w:sz="4" w:space="0" w:color="auto"/>
              <w:left w:val="nil"/>
              <w:bottom w:val="single" w:sz="4" w:space="0" w:color="000000"/>
              <w:right w:val="single" w:sz="4" w:space="0" w:color="auto"/>
            </w:tcBorders>
            <w:shd w:val="clear" w:color="auto" w:fill="BDD7EE"/>
            <w:vAlign w:val="center"/>
            <w:hideMark/>
          </w:tcPr>
          <w:p w14:paraId="1DE7FB05" w14:textId="77777777" w:rsidR="001B186F" w:rsidRPr="00DE4E4F" w:rsidRDefault="0074517F" w:rsidP="001544EB">
            <w:pPr>
              <w:keepNext/>
              <w:spacing w:before="40" w:after="0" w:line="240"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0E1E1CC7" w14:textId="77777777" w:rsidTr="00BE2B84">
        <w:trPr>
          <w:trHeight w:val="348"/>
          <w:tblHeader/>
          <w:jc w:val="center"/>
        </w:trPr>
        <w:tc>
          <w:tcPr>
            <w:tcW w:w="675" w:type="dxa"/>
            <w:vMerge/>
            <w:tcBorders>
              <w:top w:val="single" w:sz="4" w:space="0" w:color="auto"/>
              <w:left w:val="single" w:sz="4" w:space="0" w:color="auto"/>
              <w:bottom w:val="single" w:sz="4" w:space="0" w:color="000000"/>
              <w:right w:val="single" w:sz="4" w:space="0" w:color="auto"/>
            </w:tcBorders>
            <w:vAlign w:val="center"/>
            <w:hideMark/>
          </w:tcPr>
          <w:p w14:paraId="76FDB52F" w14:textId="77777777" w:rsidR="001B186F" w:rsidRPr="00DE4E4F" w:rsidRDefault="001B186F" w:rsidP="001544EB">
            <w:pPr>
              <w:keepNext/>
              <w:spacing w:before="40" w:after="0" w:line="259" w:lineRule="auto"/>
              <w:jc w:val="both"/>
              <w:rPr>
                <w:rFonts w:ascii="Times New Roman" w:eastAsia="Times New Roman" w:hAnsi="Times New Roman" w:cs="Times New Roman"/>
                <w:bCs/>
                <w:noProof/>
                <w:sz w:val="18"/>
                <w:szCs w:val="18"/>
                <w:lang w:eastAsia="en-GB"/>
              </w:rPr>
            </w:pPr>
          </w:p>
        </w:tc>
        <w:tc>
          <w:tcPr>
            <w:tcW w:w="5412" w:type="dxa"/>
            <w:vMerge/>
            <w:tcBorders>
              <w:top w:val="single" w:sz="4" w:space="0" w:color="auto"/>
              <w:left w:val="single" w:sz="4" w:space="0" w:color="auto"/>
              <w:bottom w:val="single" w:sz="4" w:space="0" w:color="000000"/>
              <w:right w:val="single" w:sz="4" w:space="0" w:color="auto"/>
            </w:tcBorders>
            <w:vAlign w:val="center"/>
            <w:hideMark/>
          </w:tcPr>
          <w:p w14:paraId="7E1CCD06" w14:textId="77777777" w:rsidR="001B186F" w:rsidRPr="00DE4E4F" w:rsidRDefault="001B186F" w:rsidP="001544EB">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31F2503F" w14:textId="77777777" w:rsidR="001B186F" w:rsidRPr="00DE4E4F" w:rsidRDefault="001B186F" w:rsidP="001544EB">
            <w:pPr>
              <w:keepNext/>
              <w:spacing w:before="40" w:after="0" w:line="259" w:lineRule="auto"/>
              <w:jc w:val="both"/>
              <w:rPr>
                <w:rFonts w:ascii="Times New Roman" w:eastAsia="Times New Roman" w:hAnsi="Times New Roman" w:cs="Times New Roman"/>
                <w:bCs/>
                <w:noProof/>
                <w:sz w:val="18"/>
                <w:szCs w:val="18"/>
                <w:lang w:eastAsia="en-GB"/>
              </w:rPr>
            </w:pPr>
          </w:p>
        </w:tc>
        <w:tc>
          <w:tcPr>
            <w:tcW w:w="1740" w:type="dxa"/>
            <w:vMerge/>
            <w:tcBorders>
              <w:top w:val="single" w:sz="4" w:space="0" w:color="auto"/>
              <w:left w:val="nil"/>
              <w:bottom w:val="single" w:sz="4" w:space="0" w:color="000000"/>
              <w:right w:val="single" w:sz="4" w:space="0" w:color="auto"/>
            </w:tcBorders>
            <w:vAlign w:val="center"/>
            <w:hideMark/>
          </w:tcPr>
          <w:p w14:paraId="37FD5E79" w14:textId="77777777" w:rsidR="001B186F" w:rsidRPr="00DE4E4F" w:rsidRDefault="001B186F" w:rsidP="001544EB">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61F797A2" w14:textId="77777777" w:rsidTr="00BE2B84">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442C972" w14:textId="77777777" w:rsidR="001B186F" w:rsidRPr="00DE4E4F" w:rsidRDefault="0074517F" w:rsidP="001544EB">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374</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0136FB60"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2 - 1.2. Renovate - 16401_Energy Upgrade Programme “Upgrade My Home”</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5564700"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49EE9C86"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Upgrade My Home - Implementing Agreement between the Hellenic Development Bank and the Ministry of Finance</w:t>
            </w:r>
          </w:p>
        </w:tc>
      </w:tr>
      <w:tr w:rsidR="00682269" w:rsidRPr="00DE4E4F" w14:paraId="3EAB73D0" w14:textId="77777777" w:rsidTr="00BE2B84">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72810701" w14:textId="77777777" w:rsidR="001B186F" w:rsidRPr="00DE4E4F" w:rsidRDefault="0074517F" w:rsidP="001544EB">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378</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5AF69371"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11 - 3.4. Increase access to effective and inclusive social policies - 16400_Affordable Housing Programme “My Home II”</w:t>
            </w:r>
            <w:r w:rsidRPr="00DE4E4F">
              <w:rPr>
                <w:rFonts w:ascii="Times New Roman" w:hAnsi="Times New Roman"/>
                <w:noProof/>
                <w:sz w:val="18"/>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0834D69"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Milestone</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83D9C8D" w14:textId="77777777" w:rsidR="001B186F" w:rsidRPr="00DE4E4F" w:rsidRDefault="0074517F" w:rsidP="001544EB">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My Home II - Implementing Agreement between the Hellenic Development Bank and the Ministry of Finance</w:t>
            </w:r>
          </w:p>
        </w:tc>
      </w:tr>
      <w:tr w:rsidR="00682269" w:rsidRPr="00DE4E4F" w14:paraId="1C9A9AD0" w14:textId="77777777" w:rsidTr="00BE2B84">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5286BAF1" w14:textId="77777777" w:rsidR="001B186F" w:rsidRPr="00DE4E4F" w:rsidRDefault="0074517F" w:rsidP="001544EB">
            <w:pPr>
              <w:keepNext/>
              <w:spacing w:before="40" w:after="0" w:line="240" w:lineRule="auto"/>
              <w:jc w:val="both"/>
              <w:rPr>
                <w:rFonts w:ascii="Times New Roman" w:hAnsi="Times New Roman"/>
                <w:noProof/>
                <w:sz w:val="18"/>
              </w:rPr>
            </w:pPr>
            <w:r w:rsidRPr="00DE4E4F">
              <w:rPr>
                <w:rFonts w:ascii="Times New Roman" w:hAnsi="Times New Roman"/>
                <w:noProof/>
                <w:sz w:val="18"/>
              </w:rPr>
              <w:t>326</w:t>
            </w:r>
          </w:p>
        </w:tc>
        <w:tc>
          <w:tcPr>
            <w:tcW w:w="5412" w:type="dxa"/>
            <w:tcBorders>
              <w:top w:val="single" w:sz="4" w:space="0" w:color="auto"/>
              <w:left w:val="nil"/>
              <w:bottom w:val="single" w:sz="4" w:space="0" w:color="auto"/>
              <w:right w:val="single" w:sz="4" w:space="0" w:color="auto"/>
            </w:tcBorders>
            <w:shd w:val="clear" w:color="000000" w:fill="C6EFCE"/>
            <w:noWrap/>
            <w:vAlign w:val="center"/>
          </w:tcPr>
          <w:p w14:paraId="15BE9B3A" w14:textId="77777777" w:rsidR="001B186F" w:rsidRPr="00DE4E4F" w:rsidRDefault="0074517F" w:rsidP="001544EB">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4C55B438" w14:textId="77777777" w:rsidR="001B186F" w:rsidRPr="00DE4E4F" w:rsidRDefault="0074517F" w:rsidP="001544EB">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1740" w:type="dxa"/>
            <w:tcBorders>
              <w:top w:val="single" w:sz="4" w:space="0" w:color="auto"/>
              <w:left w:val="nil"/>
              <w:bottom w:val="single" w:sz="4" w:space="0" w:color="auto"/>
              <w:right w:val="single" w:sz="4" w:space="0" w:color="auto"/>
            </w:tcBorders>
            <w:shd w:val="clear" w:color="000000" w:fill="C6EFCE"/>
            <w:noWrap/>
            <w:vAlign w:val="center"/>
          </w:tcPr>
          <w:p w14:paraId="0EEFB25F" w14:textId="77777777" w:rsidR="001B186F" w:rsidRPr="00DE4E4F" w:rsidRDefault="0074517F" w:rsidP="001544EB">
            <w:pPr>
              <w:keepNext/>
              <w:spacing w:before="40" w:after="0" w:line="240" w:lineRule="auto"/>
              <w:jc w:val="both"/>
              <w:rPr>
                <w:rFonts w:ascii="Times New Roman" w:hAnsi="Times New Roman"/>
                <w:noProof/>
                <w:sz w:val="18"/>
              </w:rPr>
            </w:pPr>
            <w:r w:rsidRPr="00DE4E4F">
              <w:rPr>
                <w:rFonts w:ascii="Times New Roman" w:hAnsi="Times New Roman"/>
                <w:noProof/>
                <w:sz w:val="18"/>
              </w:rPr>
              <w:t>EUR 7</w:t>
            </w:r>
            <w:r w:rsidRPr="00DE4E4F">
              <w:rPr>
                <w:rFonts w:ascii="Times New Roman" w:hAnsi="Times New Roman" w:cs="Times New Roman"/>
                <w:noProof/>
                <w:sz w:val="18"/>
              </w:rPr>
              <w:t> </w:t>
            </w:r>
            <w:r w:rsidRPr="00DE4E4F">
              <w:rPr>
                <w:rFonts w:ascii="Times New Roman" w:hAnsi="Times New Roman"/>
                <w:noProof/>
                <w:sz w:val="18"/>
              </w:rPr>
              <w:t>064 million of financial institutions funds signed with final beneficiaries</w:t>
            </w:r>
          </w:p>
        </w:tc>
      </w:tr>
      <w:tr w:rsidR="00682269" w:rsidRPr="00DE4E4F" w14:paraId="64ED3BB3" w14:textId="77777777" w:rsidTr="00BE2B84">
        <w:trPr>
          <w:trHeight w:val="302"/>
          <w:jc w:val="center"/>
        </w:trPr>
        <w:tc>
          <w:tcPr>
            <w:tcW w:w="675"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231EF28" w14:textId="77777777" w:rsidR="001B186F" w:rsidRPr="00DE4E4F" w:rsidRDefault="001B186F" w:rsidP="001544EB">
            <w:pPr>
              <w:keepNext/>
              <w:spacing w:before="40" w:after="0" w:line="259" w:lineRule="auto"/>
              <w:jc w:val="both"/>
              <w:rPr>
                <w:rFonts w:ascii="Times New Roman" w:eastAsia="Times New Roman" w:hAnsi="Times New Roman" w:cs="Times New Roman"/>
                <w:bCs/>
                <w:noProof/>
                <w:sz w:val="18"/>
                <w:szCs w:val="18"/>
                <w:lang w:eastAsia="en-GB"/>
              </w:rPr>
            </w:pPr>
          </w:p>
        </w:tc>
        <w:tc>
          <w:tcPr>
            <w:tcW w:w="5412" w:type="dxa"/>
            <w:tcBorders>
              <w:top w:val="single" w:sz="4" w:space="0" w:color="auto"/>
              <w:left w:val="nil"/>
              <w:bottom w:val="single" w:sz="4" w:space="0" w:color="auto"/>
              <w:right w:val="single" w:sz="4" w:space="0" w:color="auto"/>
            </w:tcBorders>
            <w:shd w:val="clear" w:color="auto" w:fill="C6EFCE"/>
            <w:noWrap/>
            <w:vAlign w:val="bottom"/>
          </w:tcPr>
          <w:p w14:paraId="00B0CA52" w14:textId="77777777" w:rsidR="001B186F" w:rsidRPr="00DE4E4F" w:rsidRDefault="001B186F" w:rsidP="001544EB">
            <w:pPr>
              <w:keepNext/>
              <w:spacing w:before="40" w:after="0" w:line="240"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194E57C6" w14:textId="77777777" w:rsidR="001B186F" w:rsidRPr="00DE4E4F" w:rsidRDefault="0074517F" w:rsidP="001544EB">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1740" w:type="dxa"/>
            <w:tcBorders>
              <w:top w:val="single" w:sz="4" w:space="0" w:color="auto"/>
              <w:left w:val="nil"/>
              <w:bottom w:val="single" w:sz="4" w:space="0" w:color="auto"/>
              <w:right w:val="single" w:sz="4" w:space="0" w:color="auto"/>
            </w:tcBorders>
            <w:shd w:val="clear" w:color="auto" w:fill="C6EFCE"/>
            <w:noWrap/>
            <w:vAlign w:val="bottom"/>
          </w:tcPr>
          <w:p w14:paraId="6D8A124E" w14:textId="77777777" w:rsidR="001B186F" w:rsidRPr="00DE4E4F" w:rsidRDefault="0074517F" w:rsidP="001544EB">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1</w:t>
            </w:r>
            <w:r w:rsidRPr="00DE4E4F">
              <w:rPr>
                <w:rFonts w:ascii="Times New Roman" w:hAnsi="Times New Roman" w:cs="Times New Roman"/>
                <w:noProof/>
                <w:sz w:val="18"/>
              </w:rPr>
              <w:t> </w:t>
            </w:r>
            <w:r w:rsidRPr="00DE4E4F">
              <w:rPr>
                <w:rFonts w:ascii="Times New Roman" w:hAnsi="Times New Roman"/>
                <w:noProof/>
                <w:sz w:val="18"/>
              </w:rPr>
              <w:t>940</w:t>
            </w:r>
            <w:r w:rsidRPr="00DE4E4F">
              <w:rPr>
                <w:rFonts w:ascii="Times New Roman" w:hAnsi="Times New Roman" w:cs="Times New Roman"/>
                <w:noProof/>
                <w:sz w:val="18"/>
              </w:rPr>
              <w:t> </w:t>
            </w:r>
            <w:r w:rsidRPr="00DE4E4F">
              <w:rPr>
                <w:rFonts w:ascii="Times New Roman" w:hAnsi="Times New Roman"/>
                <w:noProof/>
                <w:sz w:val="18"/>
              </w:rPr>
              <w:t>000</w:t>
            </w:r>
            <w:r w:rsidRPr="00DE4E4F">
              <w:rPr>
                <w:rFonts w:ascii="Times New Roman" w:hAnsi="Times New Roman" w:cs="Times New Roman"/>
                <w:noProof/>
                <w:sz w:val="18"/>
              </w:rPr>
              <w:t> </w:t>
            </w:r>
            <w:r w:rsidRPr="00DE4E4F">
              <w:rPr>
                <w:rFonts w:ascii="Times New Roman" w:hAnsi="Times New Roman"/>
                <w:noProof/>
                <w:sz w:val="18"/>
              </w:rPr>
              <w:t>000</w:t>
            </w:r>
          </w:p>
        </w:tc>
      </w:tr>
    </w:tbl>
    <w:p w14:paraId="7B857E6B"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500CDA8B"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769A0DBA"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1471BAB9"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416FFD46"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3B12CA29" w14:textId="77777777" w:rsidR="001544EB" w:rsidRPr="00DE4E4F" w:rsidRDefault="001544EB" w:rsidP="001544EB">
      <w:pPr>
        <w:keepNext/>
        <w:spacing w:before="40" w:after="160" w:line="259" w:lineRule="auto"/>
        <w:contextualSpacing/>
        <w:jc w:val="both"/>
        <w:rPr>
          <w:rFonts w:ascii="Times New Roman" w:eastAsia="Times New Roman" w:hAnsi="Times New Roman" w:cs="Times New Roman"/>
          <w:noProof/>
          <w:sz w:val="24"/>
        </w:rPr>
      </w:pPr>
    </w:p>
    <w:p w14:paraId="7C181FE9" w14:textId="00543F73"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rPr>
      </w:pPr>
      <w:r w:rsidRPr="00DE4E4F">
        <w:rPr>
          <w:rFonts w:ascii="Times New Roman" w:hAnsi="Times New Roman"/>
          <w:noProof/>
          <w:sz w:val="24"/>
        </w:rPr>
        <w:t xml:space="preserve"> Sixth Payment Request (loan support): </w:t>
      </w:r>
    </w:p>
    <w:tbl>
      <w:tblPr>
        <w:tblW w:w="9951" w:type="dxa"/>
        <w:jc w:val="center"/>
        <w:tblLook w:val="04A0" w:firstRow="1" w:lastRow="0" w:firstColumn="1" w:lastColumn="0" w:noHBand="0" w:noVBand="1"/>
      </w:tblPr>
      <w:tblGrid>
        <w:gridCol w:w="846"/>
        <w:gridCol w:w="5241"/>
        <w:gridCol w:w="1692"/>
        <w:gridCol w:w="2172"/>
      </w:tblGrid>
      <w:tr w:rsidR="00682269" w:rsidRPr="00DE4E4F" w14:paraId="08A0A639" w14:textId="77777777" w:rsidTr="00BE2B84">
        <w:trPr>
          <w:trHeight w:val="906"/>
          <w:jc w:val="center"/>
        </w:trPr>
        <w:tc>
          <w:tcPr>
            <w:tcW w:w="846"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48D1E56"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24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4D1AA45"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692"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7E21E3"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172" w:type="dxa"/>
            <w:vMerge w:val="restart"/>
            <w:tcBorders>
              <w:top w:val="single" w:sz="4" w:space="0" w:color="auto"/>
              <w:left w:val="nil"/>
              <w:bottom w:val="single" w:sz="4" w:space="0" w:color="000000"/>
              <w:right w:val="single" w:sz="4" w:space="0" w:color="auto"/>
            </w:tcBorders>
            <w:shd w:val="clear" w:color="auto" w:fill="BDD7EE"/>
            <w:vAlign w:val="center"/>
            <w:hideMark/>
          </w:tcPr>
          <w:p w14:paraId="43E6CF04"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1DC8B989" w14:textId="77777777" w:rsidTr="00BE2B84">
        <w:trPr>
          <w:trHeight w:val="308"/>
          <w:jc w:val="center"/>
        </w:trPr>
        <w:tc>
          <w:tcPr>
            <w:tcW w:w="846" w:type="dxa"/>
            <w:vMerge/>
            <w:tcBorders>
              <w:top w:val="single" w:sz="4" w:space="0" w:color="auto"/>
              <w:left w:val="single" w:sz="4" w:space="0" w:color="auto"/>
              <w:bottom w:val="single" w:sz="4" w:space="0" w:color="000000"/>
              <w:right w:val="single" w:sz="4" w:space="0" w:color="auto"/>
            </w:tcBorders>
            <w:vAlign w:val="center"/>
            <w:hideMark/>
          </w:tcPr>
          <w:p w14:paraId="16157D0D"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241" w:type="dxa"/>
            <w:vMerge/>
            <w:tcBorders>
              <w:top w:val="single" w:sz="4" w:space="0" w:color="auto"/>
              <w:left w:val="single" w:sz="4" w:space="0" w:color="auto"/>
              <w:bottom w:val="single" w:sz="4" w:space="0" w:color="000000"/>
              <w:right w:val="single" w:sz="4" w:space="0" w:color="auto"/>
            </w:tcBorders>
            <w:vAlign w:val="center"/>
            <w:hideMark/>
          </w:tcPr>
          <w:p w14:paraId="516B12DF"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vMerge/>
            <w:tcBorders>
              <w:top w:val="single" w:sz="4" w:space="0" w:color="auto"/>
              <w:left w:val="single" w:sz="4" w:space="0" w:color="auto"/>
              <w:bottom w:val="single" w:sz="4" w:space="0" w:color="000000"/>
              <w:right w:val="single" w:sz="4" w:space="0" w:color="auto"/>
            </w:tcBorders>
            <w:vAlign w:val="center"/>
            <w:hideMark/>
          </w:tcPr>
          <w:p w14:paraId="13BFC2DE"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2172" w:type="dxa"/>
            <w:vMerge/>
            <w:tcBorders>
              <w:top w:val="single" w:sz="4" w:space="0" w:color="auto"/>
              <w:left w:val="nil"/>
              <w:bottom w:val="single" w:sz="4" w:space="0" w:color="000000"/>
              <w:right w:val="single" w:sz="4" w:space="0" w:color="auto"/>
            </w:tcBorders>
            <w:vAlign w:val="center"/>
            <w:hideMark/>
          </w:tcPr>
          <w:p w14:paraId="3EA3678F"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16BB1756" w14:textId="77777777" w:rsidTr="00BE2B84">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882756B"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379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7FDF49A2"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11 - 3.4. Increase access to effective and inclusive social policies - 16400_Affordable Housing Programme “My Home II”</w:t>
            </w:r>
            <w:r w:rsidRPr="00DE4E4F">
              <w:rPr>
                <w:rFonts w:ascii="Times New Roman" w:hAnsi="Times New Roman"/>
                <w:noProof/>
                <w:sz w:val="18"/>
              </w:rPr>
              <w:tab/>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418BBCC"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rPr>
              <w:t>Target</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3E942F9"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eastAsia="Times New Roman" w:hAnsi="Times New Roman" w:cs="Times New Roman"/>
                <w:bCs/>
                <w:noProof/>
                <w:sz w:val="18"/>
                <w:szCs w:val="18"/>
              </w:rPr>
              <w:t>My Home II - Legal agreements signed with final beneficiaries - 50%</w:t>
            </w:r>
          </w:p>
        </w:tc>
      </w:tr>
      <w:tr w:rsidR="00682269" w:rsidRPr="00DE4E4F" w14:paraId="61D1288C" w14:textId="77777777" w:rsidTr="00BE2B84">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227AFFA8"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327</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63AE9976"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3C421E02"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4F85F9E8"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EUR 9 800 million of financial institutions funds signed with final beneficiaries</w:t>
            </w:r>
          </w:p>
        </w:tc>
      </w:tr>
      <w:tr w:rsidR="00682269" w:rsidRPr="00DE4E4F" w14:paraId="36462C06" w14:textId="77777777" w:rsidTr="00BE2B84">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00D78F3"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329</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0FE5BFF2"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016D32"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5DC6FF8A" w14:textId="3AA0011B"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Legal agreements signed with funds - EUR 500</w:t>
            </w:r>
            <w:r w:rsidR="001544EB" w:rsidRPr="00DE4E4F">
              <w:rPr>
                <w:rFonts w:ascii="Times New Roman" w:hAnsi="Times New Roman"/>
                <w:noProof/>
                <w:sz w:val="18"/>
              </w:rPr>
              <w:t> </w:t>
            </w:r>
            <w:r w:rsidRPr="00DE4E4F">
              <w:rPr>
                <w:rFonts w:ascii="Times New Roman" w:hAnsi="Times New Roman"/>
                <w:noProof/>
                <w:sz w:val="18"/>
              </w:rPr>
              <w:t>million</w:t>
            </w:r>
          </w:p>
        </w:tc>
      </w:tr>
      <w:tr w:rsidR="00682269" w:rsidRPr="00DE4E4F" w14:paraId="07B6424B" w14:textId="77777777" w:rsidTr="00BE2B84">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000000" w:fill="C6EFCE"/>
            <w:noWrap/>
            <w:vAlign w:val="center"/>
          </w:tcPr>
          <w:p w14:paraId="3D13A252"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330</w:t>
            </w:r>
          </w:p>
        </w:tc>
        <w:tc>
          <w:tcPr>
            <w:tcW w:w="5241" w:type="dxa"/>
            <w:tcBorders>
              <w:top w:val="single" w:sz="4" w:space="0" w:color="auto"/>
              <w:left w:val="nil"/>
              <w:bottom w:val="single" w:sz="4" w:space="0" w:color="auto"/>
              <w:right w:val="single" w:sz="4" w:space="0" w:color="auto"/>
            </w:tcBorders>
            <w:shd w:val="clear" w:color="000000" w:fill="C6EFCE"/>
            <w:noWrap/>
            <w:vAlign w:val="center"/>
          </w:tcPr>
          <w:p w14:paraId="3546E9D9"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- 16980_RRP Loan Facility</w:t>
            </w:r>
          </w:p>
        </w:tc>
        <w:tc>
          <w:tcPr>
            <w:tcW w:w="1692" w:type="dxa"/>
            <w:tcBorders>
              <w:top w:val="single" w:sz="4" w:space="0" w:color="auto"/>
              <w:left w:val="nil"/>
              <w:bottom w:val="single" w:sz="4" w:space="0" w:color="auto"/>
              <w:right w:val="single" w:sz="4" w:space="0" w:color="auto"/>
            </w:tcBorders>
            <w:shd w:val="clear" w:color="000000" w:fill="C6EFCE"/>
            <w:noWrap/>
            <w:vAlign w:val="center"/>
          </w:tcPr>
          <w:p w14:paraId="7C85FD4C"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172" w:type="dxa"/>
            <w:tcBorders>
              <w:top w:val="single" w:sz="4" w:space="0" w:color="auto"/>
              <w:left w:val="nil"/>
              <w:bottom w:val="single" w:sz="4" w:space="0" w:color="auto"/>
              <w:right w:val="single" w:sz="4" w:space="0" w:color="auto"/>
            </w:tcBorders>
            <w:shd w:val="clear" w:color="000000" w:fill="C6EFCE"/>
            <w:noWrap/>
            <w:vAlign w:val="center"/>
          </w:tcPr>
          <w:p w14:paraId="3B535A26" w14:textId="56DEABEB"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InvestEU approval of operations of EUR 500</w:t>
            </w:r>
            <w:r w:rsidR="001544EB" w:rsidRPr="00DE4E4F">
              <w:rPr>
                <w:rFonts w:ascii="Times New Roman" w:hAnsi="Times New Roman"/>
                <w:noProof/>
                <w:sz w:val="18"/>
              </w:rPr>
              <w:t> </w:t>
            </w:r>
            <w:r w:rsidRPr="00DE4E4F">
              <w:rPr>
                <w:rFonts w:ascii="Times New Roman" w:hAnsi="Times New Roman"/>
                <w:noProof/>
                <w:sz w:val="18"/>
              </w:rPr>
              <w:t>million</w:t>
            </w:r>
          </w:p>
        </w:tc>
      </w:tr>
      <w:tr w:rsidR="00682269" w:rsidRPr="00DE4E4F" w14:paraId="1888D0DA" w14:textId="77777777" w:rsidTr="00BE2B84">
        <w:trPr>
          <w:trHeight w:val="30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7619EC98"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241" w:type="dxa"/>
            <w:tcBorders>
              <w:top w:val="single" w:sz="4" w:space="0" w:color="auto"/>
              <w:left w:val="nil"/>
              <w:bottom w:val="single" w:sz="4" w:space="0" w:color="auto"/>
              <w:right w:val="single" w:sz="4" w:space="0" w:color="auto"/>
            </w:tcBorders>
            <w:shd w:val="clear" w:color="auto" w:fill="C6EFCE"/>
            <w:noWrap/>
            <w:vAlign w:val="bottom"/>
          </w:tcPr>
          <w:p w14:paraId="5B9669A5"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692" w:type="dxa"/>
            <w:tcBorders>
              <w:top w:val="single" w:sz="4" w:space="0" w:color="auto"/>
              <w:left w:val="nil"/>
              <w:bottom w:val="single" w:sz="4" w:space="0" w:color="auto"/>
              <w:right w:val="single" w:sz="4" w:space="0" w:color="auto"/>
            </w:tcBorders>
            <w:shd w:val="clear" w:color="auto" w:fill="C6EFCE"/>
            <w:noWrap/>
            <w:vAlign w:val="bottom"/>
          </w:tcPr>
          <w:p w14:paraId="345FC478" w14:textId="77777777" w:rsidR="001B186F" w:rsidRPr="00DE4E4F" w:rsidRDefault="0074517F">
            <w:pPr>
              <w:keepNext/>
              <w:spacing w:before="40" w:after="0" w:line="259" w:lineRule="auto"/>
              <w:jc w:val="both"/>
              <w:rPr>
                <w:rFonts w:ascii="Times New Roman" w:eastAsia="Times New Roman" w:hAnsi="Times New Roman" w:cs="Times New Roman"/>
                <w:noProof/>
                <w:sz w:val="18"/>
                <w:szCs w:val="18"/>
              </w:rPr>
            </w:pPr>
            <w:r w:rsidRPr="00DE4E4F">
              <w:rPr>
                <w:rFonts w:ascii="Times New Roman" w:hAnsi="Times New Roman"/>
                <w:noProof/>
                <w:sz w:val="18"/>
              </w:rPr>
              <w:t>Instalment Amount</w:t>
            </w:r>
          </w:p>
        </w:tc>
        <w:tc>
          <w:tcPr>
            <w:tcW w:w="2172" w:type="dxa"/>
            <w:tcBorders>
              <w:top w:val="single" w:sz="4" w:space="0" w:color="auto"/>
              <w:left w:val="nil"/>
              <w:bottom w:val="single" w:sz="4" w:space="0" w:color="auto"/>
              <w:right w:val="single" w:sz="4" w:space="0" w:color="auto"/>
            </w:tcBorders>
            <w:shd w:val="clear" w:color="auto" w:fill="C6EFCE"/>
            <w:noWrap/>
            <w:vAlign w:val="bottom"/>
          </w:tcPr>
          <w:p w14:paraId="59010E27"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rPr>
              <w:t>EUR 320 000 000</w:t>
            </w:r>
          </w:p>
        </w:tc>
      </w:tr>
    </w:tbl>
    <w:p w14:paraId="53C0F723" w14:textId="77777777" w:rsidR="001B186F" w:rsidRPr="00DE4E4F" w:rsidRDefault="001B186F">
      <w:pPr>
        <w:keepNext/>
        <w:spacing w:before="40" w:after="0" w:line="259" w:lineRule="auto"/>
        <w:jc w:val="both"/>
        <w:rPr>
          <w:rFonts w:ascii="Times New Roman" w:hAnsi="Times New Roman"/>
          <w:noProof/>
          <w:sz w:val="24"/>
        </w:rPr>
      </w:pPr>
    </w:p>
    <w:p w14:paraId="2CD5DF8B" w14:textId="77777777" w:rsidR="001B186F" w:rsidRPr="00DE4E4F" w:rsidRDefault="0074517F" w:rsidP="004911F3">
      <w:pPr>
        <w:keepNext/>
        <w:numPr>
          <w:ilvl w:val="1"/>
          <w:numId w:val="106"/>
        </w:numPr>
        <w:spacing w:before="40" w:after="160" w:line="259" w:lineRule="auto"/>
        <w:ind w:left="0"/>
        <w:contextualSpacing/>
        <w:jc w:val="both"/>
        <w:rPr>
          <w:rFonts w:ascii="Times New Roman" w:eastAsia="Times New Roman" w:hAnsi="Times New Roman" w:cs="Times New Roman"/>
          <w:noProof/>
          <w:sz w:val="24"/>
          <w:szCs w:val="24"/>
        </w:rPr>
      </w:pPr>
      <w:r w:rsidRPr="00DE4E4F">
        <w:rPr>
          <w:rFonts w:ascii="Times New Roman" w:hAnsi="Times New Roman"/>
          <w:noProof/>
          <w:sz w:val="24"/>
          <w:szCs w:val="24"/>
        </w:rPr>
        <w:t xml:space="preserve">Seventh Payment </w:t>
      </w:r>
      <w:r w:rsidRPr="00DE4E4F">
        <w:rPr>
          <w:rFonts w:ascii="Times New Roman" w:hAnsi="Times New Roman"/>
          <w:noProof/>
          <w:sz w:val="24"/>
        </w:rPr>
        <w:t>Request</w:t>
      </w:r>
      <w:r w:rsidRPr="00DE4E4F">
        <w:rPr>
          <w:rFonts w:ascii="Times New Roman" w:hAnsi="Times New Roman"/>
          <w:noProof/>
          <w:sz w:val="24"/>
          <w:szCs w:val="24"/>
        </w:rPr>
        <w:t xml:space="preserve"> (loan support):</w:t>
      </w:r>
    </w:p>
    <w:tbl>
      <w:tblPr>
        <w:tblW w:w="997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879"/>
        <w:gridCol w:w="4679"/>
        <w:gridCol w:w="1559"/>
        <w:gridCol w:w="2862"/>
      </w:tblGrid>
      <w:tr w:rsidR="00682269" w:rsidRPr="00DE4E4F" w14:paraId="7F1AE87E" w14:textId="77777777" w:rsidTr="00BE2B84">
        <w:trPr>
          <w:trHeight w:val="906"/>
          <w:jc w:val="center"/>
        </w:trPr>
        <w:tc>
          <w:tcPr>
            <w:tcW w:w="879" w:type="dxa"/>
            <w:vMerge w:val="restart"/>
            <w:shd w:val="clear" w:color="auto" w:fill="BDD7EE"/>
            <w:vAlign w:val="center"/>
            <w:hideMark/>
          </w:tcPr>
          <w:p w14:paraId="23EDAB91" w14:textId="77777777" w:rsidR="001B186F" w:rsidRPr="00DE4E4F" w:rsidRDefault="0074517F" w:rsidP="001E23A0">
            <w:pPr>
              <w:keepNext/>
              <w:spacing w:before="40" w:after="0" w:line="259" w:lineRule="auto"/>
              <w:ind w:right="313"/>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4679" w:type="dxa"/>
            <w:vMerge w:val="restart"/>
            <w:shd w:val="clear" w:color="auto" w:fill="BDD7EE"/>
            <w:vAlign w:val="center"/>
            <w:hideMark/>
          </w:tcPr>
          <w:p w14:paraId="6FDBABDF" w14:textId="77777777" w:rsidR="001B186F" w:rsidRPr="00DE4E4F" w:rsidRDefault="0074517F" w:rsidP="001E23A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559" w:type="dxa"/>
            <w:vMerge w:val="restart"/>
            <w:shd w:val="clear" w:color="auto" w:fill="BDD7EE"/>
            <w:vAlign w:val="center"/>
            <w:hideMark/>
          </w:tcPr>
          <w:p w14:paraId="595D6DD1" w14:textId="77777777" w:rsidR="001B186F" w:rsidRPr="00DE4E4F" w:rsidRDefault="0074517F" w:rsidP="001E23A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862" w:type="dxa"/>
            <w:vMerge w:val="restart"/>
            <w:shd w:val="clear" w:color="auto" w:fill="BDD7EE"/>
            <w:vAlign w:val="center"/>
            <w:hideMark/>
          </w:tcPr>
          <w:p w14:paraId="704AC2AA" w14:textId="133C25D6" w:rsidR="001B186F" w:rsidRPr="00DE4E4F" w:rsidRDefault="0074517F" w:rsidP="001E23A0">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noProof/>
                <w:sz w:val="18"/>
                <w:szCs w:val="18"/>
              </w:rPr>
              <w:t>Name</w:t>
            </w:r>
          </w:p>
        </w:tc>
      </w:tr>
      <w:tr w:rsidR="00682269" w:rsidRPr="00DE4E4F" w14:paraId="672239BE" w14:textId="77777777" w:rsidTr="00BE2B84">
        <w:trPr>
          <w:trHeight w:val="489"/>
          <w:jc w:val="center"/>
        </w:trPr>
        <w:tc>
          <w:tcPr>
            <w:tcW w:w="879" w:type="dxa"/>
            <w:vMerge/>
            <w:vAlign w:val="center"/>
            <w:hideMark/>
          </w:tcPr>
          <w:p w14:paraId="465629FA" w14:textId="77777777" w:rsidR="001B186F" w:rsidRPr="00DE4E4F" w:rsidRDefault="001B186F" w:rsidP="001E23A0">
            <w:pPr>
              <w:keepNext/>
              <w:spacing w:before="40" w:after="0" w:line="259" w:lineRule="auto"/>
              <w:ind w:right="313"/>
              <w:jc w:val="both"/>
              <w:rPr>
                <w:rFonts w:ascii="Times New Roman" w:eastAsia="Times New Roman" w:hAnsi="Times New Roman" w:cs="Times New Roman"/>
                <w:bCs/>
                <w:noProof/>
                <w:sz w:val="18"/>
                <w:szCs w:val="18"/>
                <w:lang w:eastAsia="en-GB"/>
              </w:rPr>
            </w:pPr>
          </w:p>
        </w:tc>
        <w:tc>
          <w:tcPr>
            <w:tcW w:w="4679" w:type="dxa"/>
            <w:vMerge/>
            <w:vAlign w:val="center"/>
            <w:hideMark/>
          </w:tcPr>
          <w:p w14:paraId="72952D90" w14:textId="77777777" w:rsidR="001B186F" w:rsidRPr="00DE4E4F" w:rsidRDefault="001B186F" w:rsidP="001E23A0">
            <w:pPr>
              <w:keepNext/>
              <w:spacing w:before="40" w:after="0" w:line="259" w:lineRule="auto"/>
              <w:jc w:val="both"/>
              <w:rPr>
                <w:rFonts w:ascii="Times New Roman" w:eastAsia="Times New Roman" w:hAnsi="Times New Roman" w:cs="Times New Roman"/>
                <w:bCs/>
                <w:noProof/>
                <w:sz w:val="18"/>
                <w:szCs w:val="18"/>
                <w:lang w:eastAsia="en-GB"/>
              </w:rPr>
            </w:pPr>
          </w:p>
        </w:tc>
        <w:tc>
          <w:tcPr>
            <w:tcW w:w="1559" w:type="dxa"/>
            <w:vMerge/>
            <w:vAlign w:val="center"/>
            <w:hideMark/>
          </w:tcPr>
          <w:p w14:paraId="6001F408" w14:textId="77777777" w:rsidR="001B186F" w:rsidRPr="00DE4E4F" w:rsidRDefault="001B186F" w:rsidP="001E23A0">
            <w:pPr>
              <w:keepNext/>
              <w:spacing w:before="40" w:after="0" w:line="259" w:lineRule="auto"/>
              <w:jc w:val="both"/>
              <w:rPr>
                <w:rFonts w:ascii="Times New Roman" w:eastAsia="Times New Roman" w:hAnsi="Times New Roman" w:cs="Times New Roman"/>
                <w:bCs/>
                <w:noProof/>
                <w:sz w:val="18"/>
                <w:szCs w:val="18"/>
                <w:lang w:eastAsia="en-GB"/>
              </w:rPr>
            </w:pPr>
          </w:p>
        </w:tc>
        <w:tc>
          <w:tcPr>
            <w:tcW w:w="2862" w:type="dxa"/>
            <w:vMerge/>
            <w:vAlign w:val="center"/>
            <w:hideMark/>
          </w:tcPr>
          <w:p w14:paraId="45FBC786" w14:textId="77777777" w:rsidR="001B186F" w:rsidRPr="00DE4E4F" w:rsidRDefault="001B186F" w:rsidP="001E23A0">
            <w:pPr>
              <w:keepNext/>
              <w:spacing w:before="40" w:after="0" w:line="259" w:lineRule="auto"/>
              <w:jc w:val="both"/>
              <w:rPr>
                <w:rFonts w:ascii="Times New Roman" w:eastAsia="Times New Roman" w:hAnsi="Times New Roman" w:cs="Times New Roman"/>
                <w:bCs/>
                <w:noProof/>
                <w:sz w:val="18"/>
                <w:szCs w:val="18"/>
                <w:lang w:eastAsia="en-GB"/>
              </w:rPr>
            </w:pPr>
          </w:p>
        </w:tc>
      </w:tr>
      <w:tr w:rsidR="00E02B9A" w:rsidRPr="00DE4E4F" w14:paraId="30E1A9DB" w14:textId="77777777" w:rsidTr="00BE2B84">
        <w:trPr>
          <w:trHeight w:val="302"/>
          <w:jc w:val="center"/>
        </w:trPr>
        <w:tc>
          <w:tcPr>
            <w:tcW w:w="879" w:type="dxa"/>
            <w:shd w:val="clear" w:color="auto" w:fill="C6EFCE"/>
            <w:noWrap/>
            <w:vAlign w:val="center"/>
          </w:tcPr>
          <w:p w14:paraId="270E149A" w14:textId="5C35EFDA" w:rsidR="00E02B9A" w:rsidRPr="00DE4E4F" w:rsidRDefault="00E02B9A" w:rsidP="00E02B9A">
            <w:pPr>
              <w:keepNext/>
              <w:spacing w:before="40" w:after="0" w:line="240" w:lineRule="auto"/>
              <w:ind w:right="313"/>
              <w:jc w:val="both"/>
              <w:rPr>
                <w:rFonts w:ascii="Times New Roman" w:eastAsia="Times New Roman" w:hAnsi="Times New Roman" w:cs="Times New Roman"/>
                <w:noProof/>
                <w:sz w:val="18"/>
                <w:szCs w:val="18"/>
              </w:rPr>
            </w:pPr>
            <w:r w:rsidRPr="00DE4E4F">
              <w:rPr>
                <w:rFonts w:ascii="Times New Roman" w:hAnsi="Times New Roman"/>
                <w:noProof/>
                <w:sz w:val="18"/>
                <w:szCs w:val="18"/>
              </w:rPr>
              <w:t>376</w:t>
            </w:r>
          </w:p>
        </w:tc>
        <w:tc>
          <w:tcPr>
            <w:tcW w:w="4679" w:type="dxa"/>
            <w:shd w:val="clear" w:color="auto" w:fill="C6EFCE"/>
            <w:noWrap/>
            <w:vAlign w:val="center"/>
          </w:tcPr>
          <w:p w14:paraId="623924F8" w14:textId="1C3F62FA" w:rsidR="00E02B9A" w:rsidRPr="00DE4E4F" w:rsidRDefault="00E02B9A" w:rsidP="00E02B9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2 - 1.2. Renovate - 16401_Energy Upgrade Programme “Upgrade My Home”</w:t>
            </w:r>
          </w:p>
        </w:tc>
        <w:tc>
          <w:tcPr>
            <w:tcW w:w="1559" w:type="dxa"/>
            <w:shd w:val="clear" w:color="auto" w:fill="C6EFCE"/>
            <w:noWrap/>
            <w:vAlign w:val="center"/>
          </w:tcPr>
          <w:p w14:paraId="454C33CE" w14:textId="46C4D00F" w:rsidR="00E02B9A" w:rsidRPr="00DE4E4F" w:rsidRDefault="00E02B9A" w:rsidP="00E02B9A">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Target</w:t>
            </w:r>
          </w:p>
        </w:tc>
        <w:tc>
          <w:tcPr>
            <w:tcW w:w="2862" w:type="dxa"/>
            <w:shd w:val="clear" w:color="auto" w:fill="C6EFCE"/>
            <w:noWrap/>
            <w:vAlign w:val="center"/>
          </w:tcPr>
          <w:p w14:paraId="176C4D64" w14:textId="076EB4FB" w:rsidR="00E02B9A" w:rsidRPr="00DE4E4F" w:rsidRDefault="00E02B9A" w:rsidP="00E02B9A">
            <w:pPr>
              <w:keepNext/>
              <w:spacing w:before="40" w:after="0" w:line="240" w:lineRule="auto"/>
              <w:jc w:val="both"/>
              <w:rPr>
                <w:rFonts w:ascii="Times New Roman" w:eastAsia="Times New Roman" w:hAnsi="Times New Roman" w:cs="Times New Roman"/>
                <w:noProof/>
                <w:sz w:val="18"/>
                <w:szCs w:val="18"/>
              </w:rPr>
            </w:pPr>
            <w:r w:rsidRPr="00DE4E4F">
              <w:rPr>
                <w:rFonts w:ascii="Times New Roman" w:eastAsia="Times New Roman" w:hAnsi="Times New Roman" w:cs="Times New Roman"/>
                <w:noProof/>
                <w:sz w:val="18"/>
                <w:szCs w:val="18"/>
              </w:rPr>
              <w:t>Upgrade My Home - Legal agreements signed with final beneficiaries - 100%</w:t>
            </w:r>
          </w:p>
        </w:tc>
      </w:tr>
      <w:tr w:rsidR="00E02B9A" w:rsidRPr="00DE4E4F" w14:paraId="4DCAD64F" w14:textId="77777777" w:rsidTr="00BE2B84">
        <w:trPr>
          <w:trHeight w:val="302"/>
          <w:jc w:val="center"/>
        </w:trPr>
        <w:tc>
          <w:tcPr>
            <w:tcW w:w="879" w:type="dxa"/>
            <w:shd w:val="clear" w:color="auto" w:fill="C6EFCE"/>
            <w:noWrap/>
            <w:vAlign w:val="center"/>
          </w:tcPr>
          <w:p w14:paraId="40ADCBE1" w14:textId="3D21B961" w:rsidR="00E02B9A" w:rsidRPr="00DE4E4F" w:rsidRDefault="00E02B9A" w:rsidP="00E02B9A">
            <w:pPr>
              <w:keepNext/>
              <w:spacing w:before="40" w:after="0" w:line="240" w:lineRule="auto"/>
              <w:ind w:right="313"/>
              <w:jc w:val="both"/>
              <w:rPr>
                <w:rFonts w:ascii="Times New Roman" w:hAnsi="Times New Roman"/>
                <w:noProof/>
                <w:sz w:val="18"/>
              </w:rPr>
            </w:pPr>
            <w:r w:rsidRPr="00DE4E4F">
              <w:rPr>
                <w:rFonts w:ascii="Times New Roman" w:hAnsi="Times New Roman"/>
                <w:noProof/>
                <w:sz w:val="18"/>
                <w:szCs w:val="18"/>
              </w:rPr>
              <w:t>377</w:t>
            </w:r>
          </w:p>
        </w:tc>
        <w:tc>
          <w:tcPr>
            <w:tcW w:w="4679" w:type="dxa"/>
            <w:shd w:val="clear" w:color="auto" w:fill="C6EFCE"/>
            <w:noWrap/>
            <w:vAlign w:val="center"/>
          </w:tcPr>
          <w:p w14:paraId="66735F43" w14:textId="51D1A0EB"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szCs w:val="18"/>
              </w:rPr>
              <w:t>2 - 1.2. Renovate - 16401_Energy Upgrade Programme “Upgrade My Home”</w:t>
            </w:r>
          </w:p>
        </w:tc>
        <w:tc>
          <w:tcPr>
            <w:tcW w:w="1559" w:type="dxa"/>
            <w:shd w:val="clear" w:color="auto" w:fill="C6EFCE"/>
            <w:noWrap/>
            <w:vAlign w:val="center"/>
          </w:tcPr>
          <w:p w14:paraId="731A7616" w14:textId="721739AD"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szCs w:val="18"/>
              </w:rPr>
              <w:t>Milestone</w:t>
            </w:r>
          </w:p>
        </w:tc>
        <w:tc>
          <w:tcPr>
            <w:tcW w:w="2862" w:type="dxa"/>
            <w:shd w:val="clear" w:color="auto" w:fill="C6EFCE"/>
            <w:noWrap/>
            <w:vAlign w:val="center"/>
          </w:tcPr>
          <w:p w14:paraId="593127A5" w14:textId="000C87AE"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eastAsia="Times New Roman" w:hAnsi="Times New Roman" w:cs="Times New Roman"/>
                <w:noProof/>
                <w:sz w:val="18"/>
                <w:szCs w:val="18"/>
              </w:rPr>
              <w:t>Upgrade My Home - The Ministry of Finance has completed the investment</w:t>
            </w:r>
          </w:p>
        </w:tc>
      </w:tr>
      <w:tr w:rsidR="00E02B9A" w:rsidRPr="00DE4E4F" w14:paraId="4CADC31D" w14:textId="77777777" w:rsidTr="00BE2B84">
        <w:trPr>
          <w:trHeight w:val="302"/>
          <w:jc w:val="center"/>
        </w:trPr>
        <w:tc>
          <w:tcPr>
            <w:tcW w:w="879" w:type="dxa"/>
            <w:shd w:val="clear" w:color="auto" w:fill="C6EFCE"/>
            <w:noWrap/>
            <w:vAlign w:val="center"/>
          </w:tcPr>
          <w:p w14:paraId="2887093C" w14:textId="38E2F20F" w:rsidR="00E02B9A" w:rsidRPr="00DE4E4F" w:rsidRDefault="00E02B9A" w:rsidP="00E02B9A">
            <w:pPr>
              <w:keepNext/>
              <w:spacing w:before="40" w:after="0" w:line="240" w:lineRule="auto"/>
              <w:ind w:right="313"/>
              <w:jc w:val="both"/>
              <w:rPr>
                <w:rFonts w:ascii="Times New Roman" w:hAnsi="Times New Roman"/>
                <w:noProof/>
                <w:sz w:val="18"/>
              </w:rPr>
            </w:pPr>
            <w:r w:rsidRPr="00DE4E4F">
              <w:rPr>
                <w:rFonts w:ascii="Times New Roman" w:hAnsi="Times New Roman"/>
                <w:noProof/>
                <w:sz w:val="18"/>
              </w:rPr>
              <w:t>327a</w:t>
            </w:r>
          </w:p>
        </w:tc>
        <w:tc>
          <w:tcPr>
            <w:tcW w:w="4679" w:type="dxa"/>
            <w:shd w:val="clear" w:color="auto" w:fill="C6EFCE"/>
            <w:noWrap/>
            <w:vAlign w:val="center"/>
          </w:tcPr>
          <w:p w14:paraId="5F7A051B" w14:textId="756D0037"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- 16980_RRP Loan Facility</w:t>
            </w:r>
          </w:p>
        </w:tc>
        <w:tc>
          <w:tcPr>
            <w:tcW w:w="1559" w:type="dxa"/>
            <w:shd w:val="clear" w:color="auto" w:fill="C6EFCE"/>
            <w:noWrap/>
            <w:vAlign w:val="center"/>
          </w:tcPr>
          <w:p w14:paraId="6722D37E" w14:textId="71AE24DB"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rPr>
              <w:t>Target</w:t>
            </w:r>
          </w:p>
        </w:tc>
        <w:tc>
          <w:tcPr>
            <w:tcW w:w="2862" w:type="dxa"/>
            <w:shd w:val="clear" w:color="auto" w:fill="C6EFCE"/>
            <w:noWrap/>
            <w:vAlign w:val="center"/>
          </w:tcPr>
          <w:p w14:paraId="3E187E30" w14:textId="27A33F34"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EUR 13 366 446 891</w:t>
            </w:r>
            <w:r w:rsidR="00E70F97" w:rsidRPr="00DE4E4F">
              <w:rPr>
                <w:rFonts w:ascii="Times New Roman" w:hAnsi="Times New Roman"/>
                <w:noProof/>
                <w:sz w:val="18"/>
                <w:szCs w:val="18"/>
              </w:rPr>
              <w:t xml:space="preserve"> </w:t>
            </w:r>
            <w:r w:rsidRPr="00DE4E4F">
              <w:rPr>
                <w:rFonts w:ascii="Times New Roman" w:hAnsi="Times New Roman"/>
                <w:noProof/>
                <w:sz w:val="18"/>
                <w:szCs w:val="18"/>
              </w:rPr>
              <w:t>of financial institutions funds signed with final beneficiaries</w:t>
            </w:r>
          </w:p>
        </w:tc>
      </w:tr>
      <w:tr w:rsidR="00E02B9A" w:rsidRPr="00DE4E4F" w14:paraId="5CC47AA7" w14:textId="77777777" w:rsidTr="00BE2B84">
        <w:trPr>
          <w:trHeight w:val="302"/>
          <w:jc w:val="center"/>
        </w:trPr>
        <w:tc>
          <w:tcPr>
            <w:tcW w:w="879" w:type="dxa"/>
            <w:shd w:val="clear" w:color="auto" w:fill="C6EFCE"/>
            <w:noWrap/>
            <w:vAlign w:val="center"/>
          </w:tcPr>
          <w:p w14:paraId="6652324C" w14:textId="0CBB3605" w:rsidR="00E02B9A" w:rsidRPr="00DE4E4F" w:rsidRDefault="00E02B9A" w:rsidP="00E02B9A">
            <w:pPr>
              <w:keepNext/>
              <w:spacing w:before="40" w:after="0" w:line="240" w:lineRule="auto"/>
              <w:ind w:right="313"/>
              <w:jc w:val="both"/>
              <w:rPr>
                <w:rFonts w:ascii="Times New Roman" w:hAnsi="Times New Roman"/>
                <w:noProof/>
                <w:sz w:val="18"/>
                <w:szCs w:val="18"/>
              </w:rPr>
            </w:pPr>
            <w:r w:rsidRPr="00DE4E4F">
              <w:rPr>
                <w:rFonts w:ascii="Times New Roman" w:hAnsi="Times New Roman"/>
                <w:noProof/>
                <w:sz w:val="18"/>
                <w:szCs w:val="18"/>
              </w:rPr>
              <w:t>328a</w:t>
            </w:r>
          </w:p>
        </w:tc>
        <w:tc>
          <w:tcPr>
            <w:tcW w:w="4679" w:type="dxa"/>
            <w:shd w:val="clear" w:color="auto" w:fill="C6EFCE"/>
            <w:noWrap/>
            <w:vAlign w:val="center"/>
          </w:tcPr>
          <w:p w14:paraId="7A607408" w14:textId="051418CA"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4.7. Improve competitiveness and promote private investments and exports - 16980_RRP Loan Facility</w:t>
            </w:r>
          </w:p>
        </w:tc>
        <w:tc>
          <w:tcPr>
            <w:tcW w:w="1559" w:type="dxa"/>
            <w:shd w:val="clear" w:color="auto" w:fill="C6EFCE"/>
            <w:noWrap/>
            <w:vAlign w:val="center"/>
          </w:tcPr>
          <w:p w14:paraId="615062B9" w14:textId="6F07AEFC"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Milestone</w:t>
            </w:r>
          </w:p>
        </w:tc>
        <w:tc>
          <w:tcPr>
            <w:tcW w:w="2862" w:type="dxa"/>
            <w:shd w:val="clear" w:color="auto" w:fill="C6EFCE"/>
            <w:noWrap/>
            <w:vAlign w:val="center"/>
          </w:tcPr>
          <w:p w14:paraId="63E82AF2" w14:textId="14D0DCD4"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Loan Facility - The Ministry of Finance has completed the investment</w:t>
            </w:r>
          </w:p>
        </w:tc>
      </w:tr>
      <w:tr w:rsidR="00E02B9A" w:rsidRPr="00DE4E4F" w14:paraId="55D82C68" w14:textId="77777777" w:rsidTr="00BE2B84">
        <w:trPr>
          <w:trHeight w:val="302"/>
          <w:jc w:val="center"/>
        </w:trPr>
        <w:tc>
          <w:tcPr>
            <w:tcW w:w="879" w:type="dxa"/>
            <w:shd w:val="clear" w:color="auto" w:fill="C6EFCE"/>
            <w:noWrap/>
            <w:vAlign w:val="center"/>
          </w:tcPr>
          <w:p w14:paraId="5C3DF6B2" w14:textId="77777777" w:rsidR="00E02B9A" w:rsidRPr="00DE4E4F" w:rsidRDefault="00E02B9A" w:rsidP="00E02B9A">
            <w:pPr>
              <w:keepNext/>
              <w:spacing w:before="40" w:after="0" w:line="240" w:lineRule="auto"/>
              <w:ind w:right="313"/>
              <w:jc w:val="both"/>
              <w:rPr>
                <w:rFonts w:ascii="Times New Roman" w:hAnsi="Times New Roman"/>
                <w:noProof/>
                <w:sz w:val="18"/>
                <w:szCs w:val="18"/>
              </w:rPr>
            </w:pPr>
            <w:r w:rsidRPr="00DE4E4F">
              <w:rPr>
                <w:rFonts w:ascii="Times New Roman" w:hAnsi="Times New Roman"/>
                <w:noProof/>
                <w:sz w:val="18"/>
                <w:szCs w:val="18"/>
              </w:rPr>
              <w:t>329a</w:t>
            </w:r>
          </w:p>
        </w:tc>
        <w:tc>
          <w:tcPr>
            <w:tcW w:w="4679" w:type="dxa"/>
            <w:shd w:val="clear" w:color="auto" w:fill="C6EFCE"/>
            <w:noWrap/>
            <w:vAlign w:val="center"/>
          </w:tcPr>
          <w:p w14:paraId="502DF716" w14:textId="77777777"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4.7. Improve competitiveness and promote private investments and exports - 16980_RRP Loan Facility</w:t>
            </w:r>
          </w:p>
        </w:tc>
        <w:tc>
          <w:tcPr>
            <w:tcW w:w="1559" w:type="dxa"/>
            <w:shd w:val="clear" w:color="auto" w:fill="C6EFCE"/>
            <w:noWrap/>
            <w:vAlign w:val="center"/>
          </w:tcPr>
          <w:p w14:paraId="0E6CDA77" w14:textId="77777777"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Target</w:t>
            </w:r>
          </w:p>
        </w:tc>
        <w:tc>
          <w:tcPr>
            <w:tcW w:w="2862" w:type="dxa"/>
            <w:shd w:val="clear" w:color="auto" w:fill="C6EFCE"/>
            <w:noWrap/>
            <w:vAlign w:val="center"/>
          </w:tcPr>
          <w:p w14:paraId="0105C80C" w14:textId="49BCADD1"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 xml:space="preserve">Legal agreements signed with funds </w:t>
            </w:r>
            <w:r w:rsidR="00347380" w:rsidRPr="00DE4E4F">
              <w:rPr>
                <w:rFonts w:ascii="Times New Roman" w:hAnsi="Times New Roman"/>
                <w:noProof/>
                <w:sz w:val="18"/>
                <w:szCs w:val="18"/>
              </w:rPr>
              <w:t>-</w:t>
            </w:r>
            <w:r w:rsidRPr="00DE4E4F">
              <w:rPr>
                <w:rFonts w:ascii="Times New Roman" w:hAnsi="Times New Roman"/>
                <w:noProof/>
                <w:sz w:val="18"/>
                <w:szCs w:val="18"/>
              </w:rPr>
              <w:t xml:space="preserve"> EUR 650 000 000</w:t>
            </w:r>
          </w:p>
        </w:tc>
      </w:tr>
      <w:tr w:rsidR="00E02B9A" w:rsidRPr="00DE4E4F" w14:paraId="3C97DF89" w14:textId="77777777" w:rsidTr="00BE2B84">
        <w:trPr>
          <w:trHeight w:val="302"/>
          <w:jc w:val="center"/>
        </w:trPr>
        <w:tc>
          <w:tcPr>
            <w:tcW w:w="879" w:type="dxa"/>
            <w:shd w:val="clear" w:color="auto" w:fill="C6EFCE"/>
            <w:noWrap/>
            <w:vAlign w:val="center"/>
          </w:tcPr>
          <w:p w14:paraId="13103599" w14:textId="6C0755F3" w:rsidR="00E02B9A" w:rsidRPr="00DE4E4F" w:rsidRDefault="00E02B9A" w:rsidP="00E02B9A">
            <w:pPr>
              <w:keepNext/>
              <w:spacing w:before="40" w:after="0" w:line="240" w:lineRule="auto"/>
              <w:ind w:right="313"/>
              <w:jc w:val="both"/>
              <w:rPr>
                <w:rFonts w:ascii="Times New Roman" w:hAnsi="Times New Roman"/>
                <w:noProof/>
                <w:sz w:val="18"/>
                <w:szCs w:val="18"/>
              </w:rPr>
            </w:pPr>
            <w:r w:rsidRPr="00DE4E4F">
              <w:rPr>
                <w:rFonts w:ascii="Times New Roman" w:hAnsi="Times New Roman"/>
                <w:noProof/>
                <w:sz w:val="18"/>
                <w:szCs w:val="18"/>
              </w:rPr>
              <w:t>330a</w:t>
            </w:r>
          </w:p>
        </w:tc>
        <w:tc>
          <w:tcPr>
            <w:tcW w:w="4679" w:type="dxa"/>
            <w:shd w:val="clear" w:color="auto" w:fill="C6EFCE"/>
            <w:noWrap/>
            <w:vAlign w:val="center"/>
          </w:tcPr>
          <w:p w14:paraId="6FE4E5B0" w14:textId="70792E41"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4.7. Improve competitiveness and promote private investments and exports - 16980_RRP Loan Facility</w:t>
            </w:r>
          </w:p>
        </w:tc>
        <w:tc>
          <w:tcPr>
            <w:tcW w:w="1559" w:type="dxa"/>
            <w:shd w:val="clear" w:color="auto" w:fill="C6EFCE"/>
            <w:noWrap/>
            <w:vAlign w:val="center"/>
          </w:tcPr>
          <w:p w14:paraId="3B4C94D9" w14:textId="73F071DD"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Target</w:t>
            </w:r>
          </w:p>
        </w:tc>
        <w:tc>
          <w:tcPr>
            <w:tcW w:w="2862" w:type="dxa"/>
            <w:shd w:val="clear" w:color="auto" w:fill="C6EFCE"/>
            <w:noWrap/>
            <w:vAlign w:val="center"/>
          </w:tcPr>
          <w:p w14:paraId="03F72D77" w14:textId="26E9F22E" w:rsidR="00E02B9A" w:rsidRPr="00DE4E4F" w:rsidRDefault="00E02B9A" w:rsidP="00E02B9A">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InvestEU approval of operations of EUR 300 000 000</w:t>
            </w:r>
          </w:p>
        </w:tc>
      </w:tr>
      <w:tr w:rsidR="00E02B9A" w:rsidRPr="00DE4E4F" w14:paraId="362D9E2E" w14:textId="77777777" w:rsidTr="00BE2B84">
        <w:trPr>
          <w:trHeight w:val="302"/>
          <w:jc w:val="center"/>
        </w:trPr>
        <w:tc>
          <w:tcPr>
            <w:tcW w:w="879" w:type="dxa"/>
            <w:shd w:val="clear" w:color="auto" w:fill="C6EFCE"/>
            <w:noWrap/>
            <w:vAlign w:val="center"/>
          </w:tcPr>
          <w:p w14:paraId="612C6686" w14:textId="77777777" w:rsidR="00E02B9A" w:rsidRPr="00DE4E4F" w:rsidRDefault="00E02B9A" w:rsidP="00E02B9A">
            <w:pPr>
              <w:keepNext/>
              <w:spacing w:before="40" w:after="0" w:line="240" w:lineRule="auto"/>
              <w:ind w:right="313"/>
              <w:jc w:val="both"/>
              <w:rPr>
                <w:rFonts w:ascii="Times New Roman" w:hAnsi="Times New Roman"/>
                <w:noProof/>
                <w:sz w:val="18"/>
              </w:rPr>
            </w:pPr>
          </w:p>
        </w:tc>
        <w:tc>
          <w:tcPr>
            <w:tcW w:w="4679" w:type="dxa"/>
            <w:shd w:val="clear" w:color="auto" w:fill="C6EFCE"/>
            <w:noWrap/>
            <w:vAlign w:val="center"/>
          </w:tcPr>
          <w:p w14:paraId="7F6618B0" w14:textId="77777777" w:rsidR="00E02B9A" w:rsidRPr="00DE4E4F" w:rsidRDefault="00E02B9A" w:rsidP="00E02B9A">
            <w:pPr>
              <w:keepNext/>
              <w:spacing w:before="40" w:after="0" w:line="240" w:lineRule="auto"/>
              <w:jc w:val="both"/>
              <w:rPr>
                <w:rFonts w:ascii="Times New Roman" w:hAnsi="Times New Roman"/>
                <w:noProof/>
                <w:sz w:val="18"/>
              </w:rPr>
            </w:pPr>
          </w:p>
        </w:tc>
        <w:tc>
          <w:tcPr>
            <w:tcW w:w="1559" w:type="dxa"/>
            <w:shd w:val="clear" w:color="auto" w:fill="C6EFCE"/>
            <w:noWrap/>
            <w:vAlign w:val="bottom"/>
          </w:tcPr>
          <w:p w14:paraId="0ACE1B5E" w14:textId="77777777"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rPr>
              <w:t>Instalment Amount</w:t>
            </w:r>
          </w:p>
        </w:tc>
        <w:tc>
          <w:tcPr>
            <w:tcW w:w="2862" w:type="dxa"/>
            <w:shd w:val="clear" w:color="auto" w:fill="C6EFCE"/>
            <w:noWrap/>
            <w:vAlign w:val="bottom"/>
          </w:tcPr>
          <w:p w14:paraId="1FFC8957" w14:textId="1B92630F" w:rsidR="00E02B9A" w:rsidRPr="00DE4E4F" w:rsidRDefault="00E02B9A" w:rsidP="00E02B9A">
            <w:pPr>
              <w:keepNext/>
              <w:spacing w:before="40" w:after="0" w:line="240" w:lineRule="auto"/>
              <w:jc w:val="both"/>
              <w:rPr>
                <w:rFonts w:ascii="Times New Roman" w:hAnsi="Times New Roman"/>
                <w:noProof/>
                <w:sz w:val="18"/>
              </w:rPr>
            </w:pPr>
            <w:r w:rsidRPr="00DE4E4F">
              <w:rPr>
                <w:rFonts w:ascii="Times New Roman" w:hAnsi="Times New Roman"/>
                <w:noProof/>
                <w:sz w:val="18"/>
              </w:rPr>
              <w:t>EUR 4 220 163 088</w:t>
            </w:r>
          </w:p>
        </w:tc>
      </w:tr>
    </w:tbl>
    <w:p w14:paraId="78694D5C" w14:textId="3164DEB8" w:rsidR="001B186F" w:rsidRPr="00DE4E4F" w:rsidRDefault="0074517F" w:rsidP="00BE2B84">
      <w:pPr>
        <w:rPr>
          <w:rFonts w:ascii="Times New Roman" w:eastAsia="Times New Roman" w:hAnsi="Times New Roman" w:cs="Times New Roman"/>
          <w:bCs/>
          <w:noProof/>
          <w:sz w:val="24"/>
          <w:szCs w:val="26"/>
        </w:rPr>
      </w:pPr>
      <w:r w:rsidRPr="00DE4E4F">
        <w:rPr>
          <w:rFonts w:ascii="Times New Roman" w:eastAsia="Times New Roman" w:hAnsi="Times New Roman" w:cs="Times New Roman"/>
          <w:bCs/>
          <w:noProof/>
          <w:sz w:val="24"/>
          <w:szCs w:val="26"/>
        </w:rPr>
        <w:br w:type="page"/>
      </w:r>
    </w:p>
    <w:p w14:paraId="7AC9AA0B" w14:textId="3F347095" w:rsidR="001B186F" w:rsidRPr="00DE4E4F" w:rsidRDefault="0074517F" w:rsidP="004911F3">
      <w:pPr>
        <w:keepNext/>
        <w:numPr>
          <w:ilvl w:val="1"/>
          <w:numId w:val="106"/>
        </w:numPr>
        <w:spacing w:before="40" w:after="160" w:line="259" w:lineRule="auto"/>
        <w:ind w:left="0"/>
        <w:contextualSpacing/>
        <w:jc w:val="both"/>
        <w:rPr>
          <w:rFonts w:ascii="Times New Roman" w:hAnsi="Times New Roman" w:cs="Times New Roman"/>
          <w:noProof/>
          <w:sz w:val="24"/>
          <w:szCs w:val="24"/>
        </w:rPr>
      </w:pPr>
      <w:r w:rsidRPr="00DE4E4F">
        <w:rPr>
          <w:rFonts w:ascii="Times New Roman" w:hAnsi="Times New Roman"/>
          <w:noProof/>
          <w:sz w:val="24"/>
          <w:szCs w:val="24"/>
        </w:rPr>
        <w:t xml:space="preserve">Eighth </w:t>
      </w:r>
      <w:r w:rsidRPr="00DE4E4F">
        <w:rPr>
          <w:rFonts w:ascii="Times New Roman" w:hAnsi="Times New Roman"/>
          <w:noProof/>
          <w:sz w:val="24"/>
        </w:rPr>
        <w:t>Payment</w:t>
      </w:r>
      <w:r w:rsidRPr="00DE4E4F">
        <w:rPr>
          <w:rFonts w:ascii="Times New Roman" w:hAnsi="Times New Roman"/>
          <w:noProof/>
          <w:sz w:val="24"/>
          <w:szCs w:val="24"/>
        </w:rPr>
        <w:t xml:space="preserve"> Request (loan support): </w:t>
      </w:r>
    </w:p>
    <w:tbl>
      <w:tblPr>
        <w:tblW w:w="992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964"/>
        <w:gridCol w:w="5131"/>
        <w:gridCol w:w="1701"/>
        <w:gridCol w:w="2127"/>
      </w:tblGrid>
      <w:tr w:rsidR="00682269" w:rsidRPr="00DE4E4F" w14:paraId="64BA1176" w14:textId="77777777" w:rsidTr="00BE2B84">
        <w:trPr>
          <w:trHeight w:val="964"/>
          <w:jc w:val="center"/>
        </w:trPr>
        <w:tc>
          <w:tcPr>
            <w:tcW w:w="964" w:type="dxa"/>
            <w:vMerge w:val="restart"/>
            <w:shd w:val="clear" w:color="auto" w:fill="BDD7EE"/>
            <w:vAlign w:val="center"/>
            <w:hideMark/>
          </w:tcPr>
          <w:p w14:paraId="258D704B"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cs="Times New Roman"/>
                <w:b/>
                <w:noProof/>
                <w:sz w:val="18"/>
                <w:szCs w:val="18"/>
              </w:rPr>
              <w:t xml:space="preserve">Seq. </w:t>
            </w:r>
            <w:r w:rsidRPr="00DE4E4F">
              <w:rPr>
                <w:rFonts w:ascii="Times New Roman" w:hAnsi="Times New Roman" w:cs="Times New Roman"/>
                <w:b/>
                <w:noProof/>
                <w:sz w:val="18"/>
                <w:szCs w:val="18"/>
              </w:rPr>
              <w:br/>
              <w:t>No.</w:t>
            </w:r>
          </w:p>
        </w:tc>
        <w:tc>
          <w:tcPr>
            <w:tcW w:w="5131" w:type="dxa"/>
            <w:vMerge w:val="restart"/>
            <w:shd w:val="clear" w:color="auto" w:fill="BDD7EE"/>
            <w:vAlign w:val="center"/>
            <w:hideMark/>
          </w:tcPr>
          <w:p w14:paraId="3E19B04F"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Related Measure (Reform or Investment)</w:t>
            </w:r>
          </w:p>
        </w:tc>
        <w:tc>
          <w:tcPr>
            <w:tcW w:w="1701" w:type="dxa"/>
            <w:vMerge w:val="restart"/>
            <w:shd w:val="clear" w:color="auto" w:fill="BDD7EE"/>
            <w:vAlign w:val="center"/>
            <w:hideMark/>
          </w:tcPr>
          <w:p w14:paraId="7A8D8FFA"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Milestone / Target</w:t>
            </w:r>
          </w:p>
        </w:tc>
        <w:tc>
          <w:tcPr>
            <w:tcW w:w="2127" w:type="dxa"/>
            <w:vMerge w:val="restart"/>
            <w:shd w:val="clear" w:color="auto" w:fill="BDD7EE"/>
            <w:vAlign w:val="center"/>
            <w:hideMark/>
          </w:tcPr>
          <w:p w14:paraId="23D95C63" w14:textId="77777777" w:rsidR="001B186F" w:rsidRPr="00DE4E4F" w:rsidRDefault="0074517F">
            <w:pPr>
              <w:keepNext/>
              <w:spacing w:before="40" w:after="0" w:line="259" w:lineRule="auto"/>
              <w:jc w:val="center"/>
              <w:rPr>
                <w:rFonts w:ascii="Times New Roman" w:eastAsia="Times New Roman" w:hAnsi="Times New Roman" w:cs="Times New Roman"/>
                <w:b/>
                <w:bCs/>
                <w:noProof/>
                <w:sz w:val="18"/>
                <w:szCs w:val="18"/>
              </w:rPr>
            </w:pPr>
            <w:r w:rsidRPr="00DE4E4F">
              <w:rPr>
                <w:rFonts w:ascii="Times New Roman" w:hAnsi="Times New Roman"/>
                <w:b/>
                <w:bCs/>
                <w:noProof/>
                <w:sz w:val="18"/>
              </w:rPr>
              <w:t>Name</w:t>
            </w:r>
          </w:p>
        </w:tc>
      </w:tr>
      <w:tr w:rsidR="00682269" w:rsidRPr="00DE4E4F" w14:paraId="76F6E9B3" w14:textId="77777777" w:rsidTr="00BE2B84">
        <w:trPr>
          <w:trHeight w:val="418"/>
          <w:jc w:val="center"/>
        </w:trPr>
        <w:tc>
          <w:tcPr>
            <w:tcW w:w="964" w:type="dxa"/>
            <w:vMerge/>
            <w:vAlign w:val="center"/>
            <w:hideMark/>
          </w:tcPr>
          <w:p w14:paraId="513CD15B"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5131" w:type="dxa"/>
            <w:vMerge/>
            <w:vAlign w:val="center"/>
            <w:hideMark/>
          </w:tcPr>
          <w:p w14:paraId="253862B5"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1701" w:type="dxa"/>
            <w:vMerge/>
            <w:vAlign w:val="center"/>
            <w:hideMark/>
          </w:tcPr>
          <w:p w14:paraId="7F2F7AA3"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c>
          <w:tcPr>
            <w:tcW w:w="2127" w:type="dxa"/>
            <w:vMerge/>
            <w:vAlign w:val="center"/>
            <w:hideMark/>
          </w:tcPr>
          <w:p w14:paraId="5B80CAF4" w14:textId="77777777" w:rsidR="001B186F" w:rsidRPr="00DE4E4F" w:rsidRDefault="001B186F">
            <w:pPr>
              <w:keepNext/>
              <w:spacing w:before="40" w:after="0" w:line="259" w:lineRule="auto"/>
              <w:jc w:val="both"/>
              <w:rPr>
                <w:rFonts w:ascii="Times New Roman" w:eastAsia="Times New Roman" w:hAnsi="Times New Roman" w:cs="Times New Roman"/>
                <w:bCs/>
                <w:noProof/>
                <w:sz w:val="18"/>
                <w:szCs w:val="18"/>
                <w:lang w:eastAsia="en-GB"/>
              </w:rPr>
            </w:pPr>
          </w:p>
        </w:tc>
      </w:tr>
      <w:tr w:rsidR="00682269" w:rsidRPr="00DE4E4F" w14:paraId="5173C44C" w14:textId="77777777" w:rsidTr="00BE2B84">
        <w:trPr>
          <w:trHeight w:val="320"/>
          <w:jc w:val="center"/>
        </w:trPr>
        <w:tc>
          <w:tcPr>
            <w:tcW w:w="964" w:type="dxa"/>
            <w:shd w:val="clear" w:color="auto" w:fill="C6EFCE"/>
            <w:noWrap/>
            <w:vAlign w:val="center"/>
          </w:tcPr>
          <w:p w14:paraId="1F605CA5"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380</w:t>
            </w:r>
          </w:p>
        </w:tc>
        <w:tc>
          <w:tcPr>
            <w:tcW w:w="5131" w:type="dxa"/>
            <w:shd w:val="clear" w:color="auto" w:fill="C6EFCE"/>
            <w:noWrap/>
            <w:vAlign w:val="center"/>
          </w:tcPr>
          <w:p w14:paraId="4ECEE5C8"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11 - 3.4. Increase access to effective and inclusive social policies - 16400_Affordable Housing Programme “My Home II”</w:t>
            </w:r>
          </w:p>
        </w:tc>
        <w:tc>
          <w:tcPr>
            <w:tcW w:w="1701" w:type="dxa"/>
            <w:shd w:val="clear" w:color="auto" w:fill="C6EFCE"/>
            <w:noWrap/>
            <w:vAlign w:val="center"/>
          </w:tcPr>
          <w:p w14:paraId="7251FA34"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Target</w:t>
            </w:r>
          </w:p>
        </w:tc>
        <w:tc>
          <w:tcPr>
            <w:tcW w:w="2127" w:type="dxa"/>
            <w:shd w:val="clear" w:color="auto" w:fill="C6EFCE"/>
            <w:noWrap/>
            <w:vAlign w:val="center"/>
          </w:tcPr>
          <w:p w14:paraId="4DF880D8" w14:textId="68D493EB"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eastAsia="Times New Roman" w:hAnsi="Times New Roman" w:cs="Times New Roman"/>
                <w:noProof/>
                <w:sz w:val="18"/>
                <w:szCs w:val="18"/>
              </w:rPr>
              <w:t xml:space="preserve">My Home II - Legal agreements signed with final beneficiaries - </w:t>
            </w:r>
            <w:r w:rsidRPr="00DE4E4F" w:rsidDel="009F24B9">
              <w:rPr>
                <w:rFonts w:ascii="Times New Roman" w:eastAsia="Times New Roman" w:hAnsi="Times New Roman" w:cs="Times New Roman"/>
                <w:noProof/>
                <w:sz w:val="18"/>
                <w:szCs w:val="18"/>
              </w:rPr>
              <w:t>100%</w:t>
            </w:r>
          </w:p>
        </w:tc>
      </w:tr>
      <w:tr w:rsidR="00682269" w:rsidRPr="00DE4E4F" w14:paraId="55736B2C" w14:textId="77777777" w:rsidTr="00BE2B84">
        <w:trPr>
          <w:trHeight w:val="320"/>
          <w:jc w:val="center"/>
        </w:trPr>
        <w:tc>
          <w:tcPr>
            <w:tcW w:w="964" w:type="dxa"/>
            <w:shd w:val="clear" w:color="auto" w:fill="C6EFCE"/>
            <w:noWrap/>
            <w:vAlign w:val="center"/>
          </w:tcPr>
          <w:p w14:paraId="613E6BAD" w14:textId="77777777" w:rsidR="001B186F" w:rsidRPr="00DE4E4F" w:rsidRDefault="0074517F">
            <w:pPr>
              <w:keepNext/>
              <w:spacing w:before="40" w:after="0" w:line="240" w:lineRule="auto"/>
              <w:jc w:val="both"/>
              <w:rPr>
                <w:rFonts w:ascii="Times New Roman" w:eastAsia="Times New Roman" w:hAnsi="Times New Roman" w:cs="Times New Roman"/>
                <w:noProof/>
                <w:sz w:val="18"/>
                <w:szCs w:val="18"/>
              </w:rPr>
            </w:pPr>
            <w:r w:rsidRPr="00DE4E4F">
              <w:rPr>
                <w:rFonts w:ascii="Times New Roman" w:hAnsi="Times New Roman"/>
                <w:noProof/>
                <w:sz w:val="18"/>
                <w:szCs w:val="18"/>
              </w:rPr>
              <w:t>381</w:t>
            </w:r>
          </w:p>
        </w:tc>
        <w:tc>
          <w:tcPr>
            <w:tcW w:w="5131" w:type="dxa"/>
            <w:shd w:val="clear" w:color="auto" w:fill="C6EFCE"/>
            <w:noWrap/>
            <w:vAlign w:val="center"/>
          </w:tcPr>
          <w:p w14:paraId="32B5C469"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11 - 3.4. Increase access to effective and inclusive social policies - 16400_Affordable Housing Programme “My Home II”</w:t>
            </w:r>
          </w:p>
        </w:tc>
        <w:tc>
          <w:tcPr>
            <w:tcW w:w="1701" w:type="dxa"/>
            <w:shd w:val="clear" w:color="auto" w:fill="C6EFCE"/>
            <w:noWrap/>
            <w:vAlign w:val="center"/>
          </w:tcPr>
          <w:p w14:paraId="023CAD97"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hAnsi="Times New Roman"/>
                <w:noProof/>
                <w:sz w:val="18"/>
                <w:szCs w:val="18"/>
              </w:rPr>
              <w:t>Milestone</w:t>
            </w:r>
          </w:p>
        </w:tc>
        <w:tc>
          <w:tcPr>
            <w:tcW w:w="2127" w:type="dxa"/>
            <w:shd w:val="clear" w:color="auto" w:fill="C6EFCE"/>
            <w:noWrap/>
            <w:vAlign w:val="center"/>
          </w:tcPr>
          <w:p w14:paraId="6CDC2B3B" w14:textId="77777777" w:rsidR="001B186F" w:rsidRPr="00DE4E4F" w:rsidRDefault="0074517F">
            <w:pPr>
              <w:keepNext/>
              <w:spacing w:before="40" w:after="0" w:line="240" w:lineRule="auto"/>
              <w:jc w:val="both"/>
              <w:rPr>
                <w:rFonts w:ascii="Times New Roman" w:eastAsia="Times New Roman" w:hAnsi="Times New Roman" w:cs="Times New Roman"/>
                <w:bCs/>
                <w:noProof/>
                <w:sz w:val="18"/>
                <w:szCs w:val="18"/>
              </w:rPr>
            </w:pPr>
            <w:r w:rsidRPr="00DE4E4F">
              <w:rPr>
                <w:rFonts w:ascii="Times New Roman" w:eastAsia="Times New Roman" w:hAnsi="Times New Roman" w:cs="Times New Roman"/>
                <w:bCs/>
                <w:noProof/>
                <w:sz w:val="18"/>
                <w:szCs w:val="18"/>
              </w:rPr>
              <w:t>My Home II - The Ministry of Finance has completed the investment</w:t>
            </w:r>
          </w:p>
        </w:tc>
      </w:tr>
      <w:tr w:rsidR="00682269" w:rsidRPr="00DE4E4F" w14:paraId="6D5227E8" w14:textId="77777777" w:rsidTr="00BE2B84">
        <w:trPr>
          <w:trHeight w:val="320"/>
          <w:jc w:val="center"/>
        </w:trPr>
        <w:tc>
          <w:tcPr>
            <w:tcW w:w="964" w:type="dxa"/>
            <w:shd w:val="clear" w:color="auto" w:fill="C6EFCE"/>
            <w:noWrap/>
            <w:vAlign w:val="center"/>
          </w:tcPr>
          <w:p w14:paraId="1DF0A2B4" w14:textId="2313AFC0" w:rsidR="001B186F" w:rsidRPr="00DE4E4F" w:rsidRDefault="0074517F">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330</w:t>
            </w:r>
            <w:r w:rsidR="00C318CB" w:rsidRPr="00DE4E4F">
              <w:rPr>
                <w:rFonts w:ascii="Times New Roman" w:hAnsi="Times New Roman"/>
                <w:noProof/>
                <w:sz w:val="18"/>
                <w:szCs w:val="18"/>
              </w:rPr>
              <w:t>b</w:t>
            </w:r>
          </w:p>
        </w:tc>
        <w:tc>
          <w:tcPr>
            <w:tcW w:w="5131" w:type="dxa"/>
            <w:shd w:val="clear" w:color="auto" w:fill="C6EFCE"/>
            <w:noWrap/>
            <w:vAlign w:val="center"/>
          </w:tcPr>
          <w:p w14:paraId="339E9661" w14:textId="77777777" w:rsidR="001B186F" w:rsidRPr="00DE4E4F" w:rsidRDefault="0074517F">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4.7. Improve competitiveness and promote private investments and exports - 16980_RRP Loan Facility</w:t>
            </w:r>
          </w:p>
        </w:tc>
        <w:tc>
          <w:tcPr>
            <w:tcW w:w="1701" w:type="dxa"/>
            <w:shd w:val="clear" w:color="auto" w:fill="C6EFCE"/>
            <w:noWrap/>
            <w:vAlign w:val="center"/>
          </w:tcPr>
          <w:p w14:paraId="65FBC98C" w14:textId="77777777" w:rsidR="001B186F" w:rsidRPr="00DE4E4F" w:rsidRDefault="0074517F">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Target</w:t>
            </w:r>
          </w:p>
        </w:tc>
        <w:tc>
          <w:tcPr>
            <w:tcW w:w="2127" w:type="dxa"/>
            <w:shd w:val="clear" w:color="auto" w:fill="C6EFCE"/>
            <w:noWrap/>
            <w:vAlign w:val="center"/>
          </w:tcPr>
          <w:p w14:paraId="076FF68D" w14:textId="6B020F64" w:rsidR="001B186F" w:rsidRPr="00DE4E4F" w:rsidRDefault="0074517F">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InvestEU approval of operations of EUR</w:t>
            </w:r>
            <w:r w:rsidR="007607D9" w:rsidRPr="00DE4E4F">
              <w:rPr>
                <w:rFonts w:ascii="Times New Roman" w:hAnsi="Times New Roman"/>
                <w:noProof/>
                <w:sz w:val="18"/>
                <w:szCs w:val="18"/>
              </w:rPr>
              <w:t> </w:t>
            </w:r>
            <w:r w:rsidR="00E8790A" w:rsidRPr="00DE4E4F">
              <w:rPr>
                <w:rFonts w:ascii="Times New Roman" w:hAnsi="Times New Roman"/>
                <w:noProof/>
                <w:sz w:val="18"/>
                <w:szCs w:val="18"/>
              </w:rPr>
              <w:t>1</w:t>
            </w:r>
            <w:r w:rsidRPr="00DE4E4F">
              <w:rPr>
                <w:rFonts w:ascii="Times New Roman" w:hAnsi="Times New Roman"/>
                <w:noProof/>
                <w:sz w:val="18"/>
                <w:szCs w:val="18"/>
              </w:rPr>
              <w:t>00</w:t>
            </w:r>
            <w:r w:rsidR="007607D9" w:rsidRPr="00DE4E4F">
              <w:rPr>
                <w:rFonts w:ascii="Times New Roman" w:hAnsi="Times New Roman"/>
                <w:noProof/>
                <w:sz w:val="18"/>
                <w:szCs w:val="18"/>
              </w:rPr>
              <w:t> </w:t>
            </w:r>
            <w:r w:rsidR="00EF359C" w:rsidRPr="00DE4E4F">
              <w:rPr>
                <w:rFonts w:ascii="Times New Roman" w:hAnsi="Times New Roman"/>
                <w:noProof/>
                <w:sz w:val="18"/>
                <w:szCs w:val="18"/>
              </w:rPr>
              <w:t>000</w:t>
            </w:r>
            <w:r w:rsidR="007607D9" w:rsidRPr="00DE4E4F">
              <w:rPr>
                <w:rFonts w:ascii="Times New Roman" w:hAnsi="Times New Roman"/>
                <w:noProof/>
                <w:sz w:val="18"/>
                <w:szCs w:val="18"/>
              </w:rPr>
              <w:t> </w:t>
            </w:r>
            <w:r w:rsidR="00EF359C" w:rsidRPr="00DE4E4F">
              <w:rPr>
                <w:rFonts w:ascii="Times New Roman" w:hAnsi="Times New Roman"/>
                <w:noProof/>
                <w:sz w:val="18"/>
                <w:szCs w:val="18"/>
              </w:rPr>
              <w:t>000</w:t>
            </w:r>
          </w:p>
        </w:tc>
      </w:tr>
      <w:tr w:rsidR="00682269" w:rsidRPr="00DE4E4F" w14:paraId="256D569A" w14:textId="77777777" w:rsidTr="00BE2B84">
        <w:trPr>
          <w:trHeight w:val="320"/>
          <w:jc w:val="center"/>
        </w:trPr>
        <w:tc>
          <w:tcPr>
            <w:tcW w:w="964" w:type="dxa"/>
            <w:shd w:val="clear" w:color="auto" w:fill="C6EFCE"/>
            <w:noWrap/>
            <w:vAlign w:val="center"/>
          </w:tcPr>
          <w:p w14:paraId="03D1E153"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382</w:t>
            </w:r>
          </w:p>
        </w:tc>
        <w:tc>
          <w:tcPr>
            <w:tcW w:w="5131" w:type="dxa"/>
            <w:shd w:val="clear" w:color="auto" w:fill="C6EFCE"/>
            <w:noWrap/>
            <w:vAlign w:val="center"/>
          </w:tcPr>
          <w:p w14:paraId="25BDF250"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- 16403 Capital injection into the Hellenic Development Bank</w:t>
            </w:r>
          </w:p>
        </w:tc>
        <w:tc>
          <w:tcPr>
            <w:tcW w:w="1701" w:type="dxa"/>
            <w:shd w:val="clear" w:color="auto" w:fill="C6EFCE"/>
            <w:noWrap/>
            <w:vAlign w:val="center"/>
          </w:tcPr>
          <w:p w14:paraId="0305B3A5"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127" w:type="dxa"/>
            <w:shd w:val="clear" w:color="auto" w:fill="C6EFCE"/>
            <w:noWrap/>
            <w:vAlign w:val="center"/>
          </w:tcPr>
          <w:p w14:paraId="0CC9667C"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Investment policy</w:t>
            </w:r>
          </w:p>
        </w:tc>
      </w:tr>
      <w:tr w:rsidR="00682269" w:rsidRPr="00DE4E4F" w14:paraId="0634A44D" w14:textId="77777777" w:rsidTr="00BE2B84">
        <w:trPr>
          <w:trHeight w:val="320"/>
          <w:jc w:val="center"/>
        </w:trPr>
        <w:tc>
          <w:tcPr>
            <w:tcW w:w="964" w:type="dxa"/>
            <w:shd w:val="clear" w:color="auto" w:fill="C6EFCE"/>
            <w:noWrap/>
            <w:vAlign w:val="center"/>
          </w:tcPr>
          <w:p w14:paraId="6EA01B37"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383</w:t>
            </w:r>
          </w:p>
        </w:tc>
        <w:tc>
          <w:tcPr>
            <w:tcW w:w="5131" w:type="dxa"/>
            <w:shd w:val="clear" w:color="auto" w:fill="C6EFCE"/>
            <w:noWrap/>
            <w:vAlign w:val="center"/>
          </w:tcPr>
          <w:p w14:paraId="0F40F04D"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- 16403 Capital injection into the Hellenic Development Bank</w:t>
            </w:r>
          </w:p>
        </w:tc>
        <w:tc>
          <w:tcPr>
            <w:tcW w:w="1701" w:type="dxa"/>
            <w:shd w:val="clear" w:color="auto" w:fill="C6EFCE"/>
            <w:noWrap/>
            <w:vAlign w:val="center"/>
          </w:tcPr>
          <w:p w14:paraId="494F77A3"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127" w:type="dxa"/>
            <w:shd w:val="clear" w:color="auto" w:fill="C6EFCE"/>
            <w:noWrap/>
            <w:vAlign w:val="center"/>
          </w:tcPr>
          <w:p w14:paraId="08AD94DD"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Capital injection</w:t>
            </w:r>
          </w:p>
        </w:tc>
      </w:tr>
      <w:tr w:rsidR="00682269" w:rsidRPr="00DE4E4F" w14:paraId="650E8261" w14:textId="77777777" w:rsidTr="00BE2B84">
        <w:trPr>
          <w:trHeight w:val="320"/>
          <w:jc w:val="center"/>
        </w:trPr>
        <w:tc>
          <w:tcPr>
            <w:tcW w:w="964" w:type="dxa"/>
            <w:shd w:val="clear" w:color="auto" w:fill="C6EFCE"/>
            <w:noWrap/>
            <w:vAlign w:val="center"/>
          </w:tcPr>
          <w:p w14:paraId="2C8FD26D"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384</w:t>
            </w:r>
          </w:p>
        </w:tc>
        <w:tc>
          <w:tcPr>
            <w:tcW w:w="5131" w:type="dxa"/>
            <w:shd w:val="clear" w:color="auto" w:fill="C6EFCE"/>
            <w:noWrap/>
            <w:vAlign w:val="center"/>
          </w:tcPr>
          <w:p w14:paraId="248858C5"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4.7. Improve competitiveness and promote private investments and exports - 16405 Pillar assessment of the Hellenic Development Bank</w:t>
            </w:r>
          </w:p>
        </w:tc>
        <w:tc>
          <w:tcPr>
            <w:tcW w:w="1701" w:type="dxa"/>
            <w:shd w:val="clear" w:color="auto" w:fill="C6EFCE"/>
            <w:noWrap/>
            <w:vAlign w:val="center"/>
          </w:tcPr>
          <w:p w14:paraId="1DC247BF"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Milestone</w:t>
            </w:r>
          </w:p>
        </w:tc>
        <w:tc>
          <w:tcPr>
            <w:tcW w:w="2127" w:type="dxa"/>
            <w:shd w:val="clear" w:color="auto" w:fill="C6EFCE"/>
            <w:noWrap/>
            <w:vAlign w:val="center"/>
          </w:tcPr>
          <w:p w14:paraId="41473D7C" w14:textId="77777777" w:rsidR="001B186F" w:rsidRPr="00DE4E4F" w:rsidRDefault="0074517F">
            <w:pPr>
              <w:keepNext/>
              <w:spacing w:before="40" w:after="0" w:line="240" w:lineRule="auto"/>
              <w:jc w:val="both"/>
              <w:rPr>
                <w:rFonts w:ascii="Times New Roman" w:hAnsi="Times New Roman"/>
                <w:noProof/>
                <w:sz w:val="18"/>
              </w:rPr>
            </w:pPr>
            <w:r w:rsidRPr="00DE4E4F">
              <w:rPr>
                <w:rFonts w:ascii="Times New Roman" w:hAnsi="Times New Roman"/>
                <w:noProof/>
                <w:sz w:val="18"/>
              </w:rPr>
              <w:t>Hellenic Development Bank is pillar assessed</w:t>
            </w:r>
          </w:p>
        </w:tc>
      </w:tr>
      <w:tr w:rsidR="00682269" w:rsidRPr="00DE4E4F" w14:paraId="349B17CA" w14:textId="77777777" w:rsidTr="00BE2B84">
        <w:trPr>
          <w:trHeight w:val="320"/>
          <w:jc w:val="center"/>
        </w:trPr>
        <w:tc>
          <w:tcPr>
            <w:tcW w:w="964" w:type="dxa"/>
            <w:shd w:val="clear" w:color="auto" w:fill="C6EFCE"/>
            <w:noWrap/>
            <w:vAlign w:val="bottom"/>
          </w:tcPr>
          <w:p w14:paraId="78ACB640" w14:textId="77777777" w:rsidR="001B186F" w:rsidRPr="00DE4E4F" w:rsidRDefault="001B186F">
            <w:pPr>
              <w:keepNext/>
              <w:spacing w:before="40" w:after="0" w:line="240" w:lineRule="auto"/>
              <w:jc w:val="both"/>
              <w:rPr>
                <w:rFonts w:ascii="Times New Roman" w:eastAsia="Times New Roman" w:hAnsi="Times New Roman" w:cs="Times New Roman"/>
                <w:noProof/>
                <w:sz w:val="18"/>
                <w:szCs w:val="18"/>
                <w:lang w:eastAsia="en-GB"/>
              </w:rPr>
            </w:pPr>
          </w:p>
        </w:tc>
        <w:tc>
          <w:tcPr>
            <w:tcW w:w="5131" w:type="dxa"/>
            <w:shd w:val="clear" w:color="auto" w:fill="C6EFCE"/>
            <w:noWrap/>
            <w:vAlign w:val="bottom"/>
          </w:tcPr>
          <w:p w14:paraId="14D8AE7D" w14:textId="77777777" w:rsidR="001B186F" w:rsidRPr="00DE4E4F" w:rsidRDefault="001B186F">
            <w:pPr>
              <w:keepNext/>
              <w:spacing w:before="40" w:after="0" w:line="240" w:lineRule="auto"/>
              <w:jc w:val="both"/>
              <w:rPr>
                <w:rFonts w:ascii="Times New Roman" w:hAnsi="Times New Roman" w:cs="Times New Roman"/>
                <w:noProof/>
                <w:sz w:val="18"/>
                <w:szCs w:val="18"/>
              </w:rPr>
            </w:pPr>
          </w:p>
        </w:tc>
        <w:tc>
          <w:tcPr>
            <w:tcW w:w="1701" w:type="dxa"/>
            <w:shd w:val="clear" w:color="auto" w:fill="C6EFCE"/>
            <w:noWrap/>
            <w:vAlign w:val="bottom"/>
          </w:tcPr>
          <w:p w14:paraId="57AAA0FD" w14:textId="77777777" w:rsidR="001B186F" w:rsidRPr="00DE4E4F" w:rsidRDefault="0074517F">
            <w:pPr>
              <w:keepNext/>
              <w:spacing w:before="40" w:after="0" w:line="240" w:lineRule="auto"/>
              <w:jc w:val="both"/>
              <w:rPr>
                <w:rFonts w:ascii="Times New Roman" w:hAnsi="Times New Roman" w:cs="Times New Roman"/>
                <w:noProof/>
                <w:sz w:val="18"/>
                <w:szCs w:val="18"/>
              </w:rPr>
            </w:pPr>
            <w:r w:rsidRPr="00DE4E4F">
              <w:rPr>
                <w:rFonts w:ascii="Times New Roman" w:hAnsi="Times New Roman"/>
                <w:noProof/>
                <w:sz w:val="18"/>
              </w:rPr>
              <w:t>Instalment Amount</w:t>
            </w:r>
          </w:p>
        </w:tc>
        <w:tc>
          <w:tcPr>
            <w:tcW w:w="2127" w:type="dxa"/>
            <w:shd w:val="clear" w:color="auto" w:fill="C6EFCE"/>
            <w:noWrap/>
            <w:vAlign w:val="bottom"/>
          </w:tcPr>
          <w:p w14:paraId="47EEF0DD" w14:textId="096CB452" w:rsidR="001B186F" w:rsidRPr="00DE4E4F" w:rsidRDefault="0074517F">
            <w:pPr>
              <w:keepNext/>
              <w:spacing w:before="40" w:after="0" w:line="240" w:lineRule="auto"/>
              <w:jc w:val="both"/>
              <w:rPr>
                <w:rFonts w:ascii="Times New Roman" w:hAnsi="Times New Roman"/>
                <w:noProof/>
                <w:sz w:val="18"/>
                <w:szCs w:val="18"/>
              </w:rPr>
            </w:pPr>
            <w:r w:rsidRPr="00DE4E4F">
              <w:rPr>
                <w:rFonts w:ascii="Times New Roman" w:hAnsi="Times New Roman"/>
                <w:noProof/>
                <w:sz w:val="18"/>
                <w:szCs w:val="18"/>
              </w:rPr>
              <w:t>EUR </w:t>
            </w:r>
            <w:r w:rsidR="0019507D" w:rsidRPr="00DE4E4F">
              <w:rPr>
                <w:rFonts w:ascii="Times New Roman" w:hAnsi="Times New Roman"/>
                <w:noProof/>
                <w:sz w:val="18"/>
                <w:szCs w:val="18"/>
              </w:rPr>
              <w:t>2</w:t>
            </w:r>
            <w:r w:rsidR="007607D9" w:rsidRPr="00DE4E4F">
              <w:rPr>
                <w:rFonts w:ascii="Times New Roman" w:hAnsi="Times New Roman"/>
                <w:noProof/>
                <w:sz w:val="18"/>
                <w:szCs w:val="18"/>
              </w:rPr>
              <w:t> </w:t>
            </w:r>
            <w:r w:rsidR="00C93841" w:rsidRPr="00DE4E4F">
              <w:rPr>
                <w:rFonts w:ascii="Times New Roman" w:hAnsi="Times New Roman"/>
                <w:noProof/>
                <w:sz w:val="18"/>
                <w:szCs w:val="18"/>
              </w:rPr>
              <w:t>349</w:t>
            </w:r>
            <w:r w:rsidR="007607D9" w:rsidRPr="00DE4E4F">
              <w:rPr>
                <w:rFonts w:ascii="Times New Roman" w:hAnsi="Times New Roman"/>
                <w:noProof/>
                <w:sz w:val="18"/>
                <w:szCs w:val="18"/>
              </w:rPr>
              <w:t> </w:t>
            </w:r>
            <w:r w:rsidR="00C93841" w:rsidRPr="00DE4E4F">
              <w:rPr>
                <w:rFonts w:ascii="Times New Roman" w:hAnsi="Times New Roman"/>
                <w:noProof/>
                <w:sz w:val="18"/>
                <w:szCs w:val="18"/>
              </w:rPr>
              <w:t>092</w:t>
            </w:r>
            <w:r w:rsidR="007607D9" w:rsidRPr="00DE4E4F">
              <w:rPr>
                <w:rFonts w:ascii="Times New Roman" w:hAnsi="Times New Roman"/>
                <w:noProof/>
                <w:sz w:val="18"/>
                <w:szCs w:val="18"/>
              </w:rPr>
              <w:t> </w:t>
            </w:r>
            <w:r w:rsidR="00C93841" w:rsidRPr="00DE4E4F">
              <w:rPr>
                <w:rFonts w:ascii="Times New Roman" w:hAnsi="Times New Roman"/>
                <w:noProof/>
                <w:sz w:val="18"/>
                <w:szCs w:val="18"/>
              </w:rPr>
              <w:t>029</w:t>
            </w:r>
          </w:p>
        </w:tc>
      </w:tr>
    </w:tbl>
    <w:p w14:paraId="3CEC817E" w14:textId="77777777" w:rsidR="001B186F" w:rsidRPr="00DE4E4F" w:rsidRDefault="0074517F">
      <w:pPr>
        <w:rPr>
          <w:rFonts w:ascii="Times New Roman" w:hAnsi="Times New Roman" w:cs="Times New Roman"/>
          <w:b/>
          <w:bCs/>
          <w:noProof/>
          <w:sz w:val="24"/>
        </w:rPr>
      </w:pPr>
      <w:r w:rsidRPr="00DE4E4F">
        <w:rPr>
          <w:noProof/>
        </w:rPr>
        <w:br w:type="page"/>
      </w:r>
    </w:p>
    <w:p w14:paraId="583081D5" w14:textId="77777777" w:rsidR="001B186F" w:rsidRPr="00DE4E4F" w:rsidRDefault="0074517F">
      <w:pPr>
        <w:keepNext/>
        <w:tabs>
          <w:tab w:val="num" w:pos="850"/>
        </w:tabs>
        <w:spacing w:before="120" w:after="120" w:line="259" w:lineRule="auto"/>
        <w:ind w:left="360"/>
        <w:jc w:val="both"/>
        <w:outlineLvl w:val="0"/>
        <w:rPr>
          <w:rFonts w:ascii="Times New Roman" w:eastAsia="Times New Roman" w:hAnsi="Times New Roman" w:cs="Times New Roman"/>
          <w:b/>
          <w:smallCaps/>
          <w:noProof/>
          <w:sz w:val="24"/>
        </w:rPr>
      </w:pPr>
      <w:r w:rsidRPr="00DE4E4F">
        <w:rPr>
          <w:rFonts w:ascii="Times New Roman" w:hAnsi="Times New Roman"/>
          <w:b/>
          <w:smallCaps/>
          <w:noProof/>
          <w:sz w:val="24"/>
        </w:rPr>
        <w:t xml:space="preserve">SECTION 3: ADDITIONAL ARRANGEMENTS </w:t>
      </w:r>
    </w:p>
    <w:p w14:paraId="57F1B805" w14:textId="77777777" w:rsidR="001B186F" w:rsidRPr="00DE4E4F" w:rsidRDefault="0074517F">
      <w:pPr>
        <w:numPr>
          <w:ilvl w:val="6"/>
          <w:numId w:val="0"/>
        </w:numPr>
        <w:spacing w:before="120" w:after="120" w:line="240" w:lineRule="auto"/>
        <w:jc w:val="both"/>
        <w:rPr>
          <w:rFonts w:ascii="Times New Roman" w:eastAsia="Times New Roman" w:hAnsi="Times New Roman" w:cs="Times New Roman"/>
          <w:b/>
          <w:noProof/>
          <w:sz w:val="24"/>
        </w:rPr>
      </w:pPr>
      <w:r w:rsidRPr="00DE4E4F">
        <w:rPr>
          <w:rFonts w:ascii="Times New Roman" w:hAnsi="Times New Roman"/>
          <w:b/>
          <w:noProof/>
          <w:sz w:val="24"/>
        </w:rPr>
        <w:t>Arrangements for monitoring and implementation of the recovery and resilience plan</w:t>
      </w:r>
    </w:p>
    <w:p w14:paraId="6F2D8A61"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monitoring and implementation of the recovery and resilience plan of Greece shall take place in accordance with the following arrangements. </w:t>
      </w:r>
    </w:p>
    <w:p w14:paraId="4122A107"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main body responsible for the coordination of the implementation and the monitoring of the recovery and resilience plan will be the Recovery and Resilience Facility Coordination Agency, an independent special public service of the Ministry of Finance, established with the law 4738/2020. The Recovery Resilience Facility Coordination Agency shall also be the responsible body to verify that the set milestones and targets of the recovery and resilience plan have been completed and shall also act as the (single) liaison between the European Commission and the Greek authorities. Specifically, its tasks entail the active monitoring of the progress of the projects, on the basis of the agreed milestones and targets, and the submission of the payment requests to the European Commission upon verification of their completion. The latter shall be accompanied by a management declaration that the funds were used for their intended purposes and in accordance with the principle of sound financial management, as well as by a summary of the audits carried out, including weaknesses identified and any corrective actions taken.</w:t>
      </w:r>
    </w:p>
    <w:p w14:paraId="688851B2"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The overall responsibility for the implementation of each specific measure falls under the competency of the relevant Ministry whose services will support the monitoring of the projects’ progress and maintain close cooperation with the Recovery and Resilience Facility Coordination Agency. </w:t>
      </w:r>
    </w:p>
    <w:p w14:paraId="50B316CB"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All measures in the plan shall be implemented by national bodies (“implementing bodies”) appointed by the competent Ministry and shall be responsible for the achievement of the agreed milestones and targets as well as the reporting of all data and documentation to the Recovery and Resilience Facility Coordination Agency through the management information system that shall be established. </w:t>
      </w:r>
    </w:p>
    <w:p w14:paraId="017E50A0"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Finally, the Financial Audit Committee (EDEL, which is part of the General Secretariat for Fiscal Policy (State General Accounting Office) of the Ministry of Finance, shall safeguard the observance of the principles of sound financial management.</w:t>
      </w:r>
    </w:p>
    <w:p w14:paraId="08A354A1" w14:textId="77777777" w:rsidR="001B186F" w:rsidRPr="00DE4E4F" w:rsidRDefault="0074517F">
      <w:pPr>
        <w:numPr>
          <w:ilvl w:val="6"/>
          <w:numId w:val="0"/>
        </w:numPr>
        <w:spacing w:before="120" w:after="120" w:line="240" w:lineRule="auto"/>
        <w:jc w:val="both"/>
        <w:rPr>
          <w:rFonts w:ascii="Times New Roman" w:hAnsi="Times New Roman" w:cs="Times New Roman"/>
          <w:noProof/>
          <w:sz w:val="24"/>
        </w:rPr>
      </w:pPr>
      <w:r w:rsidRPr="00DE4E4F">
        <w:rPr>
          <w:rFonts w:ascii="Times New Roman" w:hAnsi="Times New Roman"/>
          <w:b/>
          <w:noProof/>
          <w:sz w:val="24"/>
        </w:rPr>
        <w:t>Arrangements for providing full access by the Commission to the underlying data</w:t>
      </w:r>
    </w:p>
    <w:p w14:paraId="7CF24C46"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In order to provide full access to the Commission to the underlying relevant data, Greece shall have in place the following arrangements:</w:t>
      </w:r>
    </w:p>
    <w:p w14:paraId="76650493"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The Recovery and Resilience Facility Coordination Agency, as the central coordinating body for Greece’s recovery and resilience plan and its implementation, is responsible for the overall coordination and monitoring of the plan. In particular, it acts as a coordinating body for monitoring progress on milestones and targets, for monitoring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throughout implementing bodies, which are obliged to report the required data to the Recovery and Resilience Facility Coordination Agency through Management Information System.</w:t>
      </w:r>
    </w:p>
    <w:p w14:paraId="1C6D7204" w14:textId="77777777" w:rsidR="001B186F" w:rsidRPr="00DE4E4F" w:rsidRDefault="0074517F">
      <w:pPr>
        <w:spacing w:before="120" w:after="120" w:line="240" w:lineRule="auto"/>
        <w:jc w:val="both"/>
        <w:rPr>
          <w:rFonts w:ascii="Times New Roman" w:hAnsi="Times New Roman" w:cs="Times New Roman"/>
          <w:noProof/>
          <w:sz w:val="24"/>
        </w:rPr>
      </w:pPr>
      <w:r w:rsidRPr="00DE4E4F">
        <w:rPr>
          <w:rFonts w:ascii="Times New Roman" w:hAnsi="Times New Roman"/>
          <w:noProof/>
          <w:sz w:val="24"/>
        </w:rPr>
        <w:t xml:space="preserve">In accordance with Article 24(2) of Regulation (EU) 2021/241, upon completion of the relevant agreed milestones and targets in Section 2.1 of this Annex, Greece shall submit to the Commission a duly justified request for payment of the financial contribution and, where relevant, of the loan. Greece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 </w:t>
      </w:r>
    </w:p>
    <w:p w14:paraId="2DBBCB9C" w14:textId="77777777" w:rsidR="001B186F" w:rsidRPr="00DE4E4F" w:rsidRDefault="001B186F">
      <w:pPr>
        <w:rPr>
          <w:noProof/>
        </w:rPr>
      </w:pPr>
    </w:p>
    <w:p w14:paraId="187EF671" w14:textId="77777777" w:rsidR="001B186F" w:rsidRPr="00620A46" w:rsidRDefault="001B186F">
      <w:pPr>
        <w:rPr>
          <w:noProof/>
        </w:rPr>
      </w:pPr>
    </w:p>
    <w:sectPr w:rsidR="001B186F" w:rsidRPr="00620A46">
      <w:headerReference w:type="even" r:id="rId456"/>
      <w:headerReference w:type="default" r:id="rId457"/>
      <w:footerReference w:type="even" r:id="rId458"/>
      <w:footerReference w:type="default" r:id="rId459"/>
      <w:headerReference w:type="first" r:id="rId460"/>
      <w:footerReference w:type="first" r:id="rId461"/>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585A7" w14:textId="77777777" w:rsidR="00EC6DB3" w:rsidRPr="00DE4E4F" w:rsidRDefault="00EC6DB3" w:rsidP="00A43C50">
      <w:r w:rsidRPr="00DE4E4F">
        <w:separator/>
      </w:r>
    </w:p>
  </w:endnote>
  <w:endnote w:type="continuationSeparator" w:id="0">
    <w:p w14:paraId="57BED9A3" w14:textId="77777777" w:rsidR="00EC6DB3" w:rsidRPr="00DE4E4F" w:rsidRDefault="00EC6DB3" w:rsidP="00A43C50">
      <w:r w:rsidRPr="00DE4E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16747">
    <w:altName w:val="Times New Roman"/>
    <w:panose1 w:val="00000000000000000000"/>
    <w:charset w:val="00"/>
    <w:family w:val="roman"/>
    <w:notTrueType/>
    <w:pitch w:val="default"/>
  </w:font>
  <w:font w:name="card">
    <w:altName w:val="Times New Roman"/>
    <w:charset w:val="00"/>
    <w:family w:val="auto"/>
    <w:pitch w:val="default"/>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7F91E" w14:textId="4AC3A2B4" w:rsidR="00A92D67" w:rsidRPr="00A92D67" w:rsidRDefault="00A92D67" w:rsidP="00A92D67">
    <w:pPr>
      <w:pStyle w:val="FooterCoverPage"/>
      <w:rPr>
        <w:rFonts w:ascii="Arial" w:hAnsi="Arial" w:cs="Arial"/>
        <w:b/>
        <w:sz w:val="48"/>
      </w:rPr>
    </w:pPr>
    <w:r w:rsidRPr="00A92D67">
      <w:rPr>
        <w:rFonts w:ascii="Arial" w:hAnsi="Arial" w:cs="Arial"/>
        <w:b/>
        <w:sz w:val="48"/>
      </w:rPr>
      <w:t>EN</w:t>
    </w:r>
    <w:r w:rsidRPr="00A92D67">
      <w:rPr>
        <w:rFonts w:ascii="Arial" w:hAnsi="Arial" w:cs="Arial"/>
        <w:b/>
        <w:sz w:val="48"/>
      </w:rPr>
      <w:tab/>
    </w:r>
    <w:r w:rsidRPr="00A92D67">
      <w:rPr>
        <w:rFonts w:ascii="Arial" w:hAnsi="Arial" w:cs="Arial"/>
        <w:b/>
        <w:sz w:val="48"/>
      </w:rPr>
      <w:tab/>
    </w:r>
    <w:r w:rsidRPr="00A92D67">
      <w:tab/>
    </w:r>
    <w:r w:rsidRPr="00A92D6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C494E" w14:textId="033D5487" w:rsidR="00A92D67" w:rsidRPr="00A92D67" w:rsidRDefault="00A92D67" w:rsidP="00A92D67">
    <w:pPr>
      <w:pStyle w:val="FooterCoverPage"/>
      <w:rPr>
        <w:rFonts w:ascii="Arial" w:hAnsi="Arial" w:cs="Arial"/>
        <w:b/>
        <w:sz w:val="48"/>
      </w:rPr>
    </w:pPr>
    <w:r w:rsidRPr="00A92D67">
      <w:rPr>
        <w:rFonts w:ascii="Arial" w:hAnsi="Arial" w:cs="Arial"/>
        <w:b/>
        <w:sz w:val="48"/>
      </w:rPr>
      <w:t>EN</w:t>
    </w:r>
    <w:r w:rsidRPr="00A92D67">
      <w:rPr>
        <w:rFonts w:ascii="Arial" w:hAnsi="Arial" w:cs="Arial"/>
        <w:b/>
        <w:sz w:val="48"/>
      </w:rPr>
      <w:tab/>
    </w:r>
    <w:r w:rsidRPr="00A92D67">
      <w:rPr>
        <w:rFonts w:ascii="Arial" w:hAnsi="Arial" w:cs="Arial"/>
        <w:b/>
        <w:sz w:val="48"/>
      </w:rPr>
      <w:tab/>
    </w:r>
    <w:r w:rsidRPr="00A92D67">
      <w:tab/>
    </w:r>
    <w:r w:rsidRPr="00A92D6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AFD32" w14:textId="77777777" w:rsidR="00A92D67" w:rsidRPr="00A92D67" w:rsidRDefault="00A92D67" w:rsidP="00A92D6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81A1F" w14:textId="77777777" w:rsidR="0067105D" w:rsidRPr="00DE4E4F" w:rsidRDefault="0067105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8297074"/>
      <w:docPartObj>
        <w:docPartGallery w:val="Page Numbers (Bottom of Page)"/>
        <w:docPartUnique/>
      </w:docPartObj>
    </w:sdtPr>
    <w:sdtEndPr/>
    <w:sdtContent>
      <w:p w14:paraId="2D055BA0" w14:textId="3ACA1159" w:rsidR="0067105D" w:rsidRPr="00DE4E4F" w:rsidRDefault="0067105D">
        <w:pPr>
          <w:pStyle w:val="Footer"/>
          <w:jc w:val="center"/>
        </w:pPr>
        <w:r w:rsidRPr="00DE4E4F">
          <w:fldChar w:fldCharType="begin"/>
        </w:r>
        <w:r w:rsidRPr="00DE4E4F">
          <w:instrText xml:space="preserve"> PAGE   \* MERGEFORMAT </w:instrText>
        </w:r>
        <w:r w:rsidRPr="00DE4E4F">
          <w:fldChar w:fldCharType="separate"/>
        </w:r>
        <w:r w:rsidR="00A92D67">
          <w:rPr>
            <w:noProof/>
          </w:rPr>
          <w:t>4</w:t>
        </w:r>
        <w:r w:rsidRPr="00DE4E4F">
          <w:fldChar w:fldCharType="end"/>
        </w:r>
      </w:p>
    </w:sdtContent>
  </w:sdt>
  <w:p w14:paraId="4198C1D9" w14:textId="77777777" w:rsidR="0067105D" w:rsidRPr="00DE4E4F" w:rsidRDefault="0067105D" w:rsidP="00FB4822">
    <w:pPr>
      <w:pStyle w:val="FooterCouncil"/>
      <w:tabs>
        <w:tab w:val="left" w:pos="3330"/>
      </w:tabs>
      <w:rPr>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51F5" w14:textId="77777777" w:rsidR="0067105D" w:rsidRPr="00DE4E4F" w:rsidRDefault="0067105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C20D9" w14:textId="77777777" w:rsidR="001B186F" w:rsidRPr="00DE4E4F" w:rsidRDefault="001B18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134720"/>
      <w:docPartObj>
        <w:docPartGallery w:val="Page Numbers (Bottom of Page)"/>
        <w:docPartUnique/>
      </w:docPartObj>
    </w:sdtPr>
    <w:sdtEndPr/>
    <w:sdtContent>
      <w:p w14:paraId="680FD466" w14:textId="7E99B5BD"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00A92D67">
          <w:rPr>
            <w:noProof/>
          </w:rPr>
          <w:t>5</w:t>
        </w:r>
        <w:r w:rsidRPr="00DE4E4F">
          <w:fldChar w:fldCharType="end"/>
        </w:r>
      </w:p>
    </w:sdtContent>
  </w:sdt>
  <w:p w14:paraId="51669D3C" w14:textId="77777777" w:rsidR="009A0FF1" w:rsidRPr="00DE4E4F" w:rsidRDefault="009A0FF1">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C8BF3" w14:textId="77777777" w:rsidR="001B186F" w:rsidRPr="00DE4E4F" w:rsidRDefault="001B18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7773" w14:textId="77777777" w:rsidR="001B186F" w:rsidRPr="00DE4E4F" w:rsidRDefault="001B18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367563"/>
      <w:docPartObj>
        <w:docPartGallery w:val="Page Numbers (Bottom of Page)"/>
        <w:docPartUnique/>
      </w:docPartObj>
    </w:sdtPr>
    <w:sdtEndPr/>
    <w:sdtContent>
      <w:p w14:paraId="735838A2" w14:textId="4D14B69C"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4BC1ED6" w14:textId="77777777" w:rsidR="00FB4822" w:rsidRPr="00DE4E4F" w:rsidRDefault="00FB4822">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75EFA" w14:textId="77777777" w:rsidR="001B186F" w:rsidRPr="00DE4E4F" w:rsidRDefault="001B18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B816D" w14:textId="77777777" w:rsidR="001B186F" w:rsidRPr="00DE4E4F" w:rsidRDefault="001B18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447403"/>
      <w:docPartObj>
        <w:docPartGallery w:val="Page Numbers (Bottom of Page)"/>
        <w:docPartUnique/>
      </w:docPartObj>
    </w:sdtPr>
    <w:sdtEndPr/>
    <w:sdtContent>
      <w:p w14:paraId="5CDEAEFD" w14:textId="0B3CA652"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D78F809" w14:textId="77777777" w:rsidR="009A0FF1" w:rsidRPr="00DE4E4F" w:rsidRDefault="009A0FF1">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857EC" w14:textId="77777777" w:rsidR="001B186F" w:rsidRPr="00DE4E4F" w:rsidRDefault="001B18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88953" w14:textId="77777777" w:rsidR="001B186F" w:rsidRPr="00DE4E4F" w:rsidRDefault="001B18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501962"/>
      <w:docPartObj>
        <w:docPartGallery w:val="Page Numbers (Bottom of Page)"/>
        <w:docPartUnique/>
      </w:docPartObj>
    </w:sdtPr>
    <w:sdtEndPr/>
    <w:sdtContent>
      <w:p w14:paraId="64CE5A76" w14:textId="2A271939"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A136D01" w14:textId="77777777" w:rsidR="009A0FF1" w:rsidRPr="00DE4E4F" w:rsidRDefault="009A0FF1">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08A9C" w14:textId="77777777" w:rsidR="001B186F" w:rsidRPr="00DE4E4F" w:rsidRDefault="001B18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1ECD5" w14:textId="77777777" w:rsidR="001B186F" w:rsidRPr="00DE4E4F" w:rsidRDefault="001B18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322067"/>
      <w:docPartObj>
        <w:docPartGallery w:val="Page Numbers (Bottom of Page)"/>
        <w:docPartUnique/>
      </w:docPartObj>
    </w:sdtPr>
    <w:sdtEndPr/>
    <w:sdtContent>
      <w:p w14:paraId="3C3ABAB7" w14:textId="10BED6AA"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A8B4E5A" w14:textId="77777777" w:rsidR="00FB4822" w:rsidRPr="00DE4E4F" w:rsidRDefault="00FB4822">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DBA1" w14:textId="77777777" w:rsidR="001B186F" w:rsidRPr="00DE4E4F" w:rsidRDefault="001B18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D0A69" w14:textId="77777777" w:rsidR="001B186F" w:rsidRPr="00DE4E4F" w:rsidRDefault="001B18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0397501"/>
      <w:docPartObj>
        <w:docPartGallery w:val="Page Numbers (Bottom of Page)"/>
        <w:docPartUnique/>
      </w:docPartObj>
    </w:sdtPr>
    <w:sdtEndPr/>
    <w:sdtContent>
      <w:p w14:paraId="04572603" w14:textId="4C398CD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6182EA2" w14:textId="77777777" w:rsidR="00FB4822" w:rsidRPr="00DE4E4F" w:rsidRDefault="00FB4822">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8C89D" w14:textId="77777777" w:rsidR="001B186F" w:rsidRPr="00DE4E4F" w:rsidRDefault="001B18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C915" w14:textId="77777777" w:rsidR="001B186F" w:rsidRPr="00DE4E4F" w:rsidRDefault="001B18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8005923"/>
      <w:docPartObj>
        <w:docPartGallery w:val="Page Numbers (Bottom of Page)"/>
        <w:docPartUnique/>
      </w:docPartObj>
    </w:sdtPr>
    <w:sdtEndPr/>
    <w:sdtContent>
      <w:p w14:paraId="1FE7D94F" w14:textId="027387EB"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0F07804" w14:textId="77777777" w:rsidR="00FB4822" w:rsidRPr="00DE4E4F" w:rsidRDefault="00FB4822">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EE7C5" w14:textId="77777777" w:rsidR="001B186F" w:rsidRPr="00DE4E4F" w:rsidRDefault="001B18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DAAAF" w14:textId="77777777" w:rsidR="001B186F" w:rsidRPr="00DE4E4F" w:rsidRDefault="001B18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1527620"/>
      <w:docPartObj>
        <w:docPartGallery w:val="Page Numbers (Bottom of Page)"/>
        <w:docPartUnique/>
      </w:docPartObj>
    </w:sdtPr>
    <w:sdtEndPr/>
    <w:sdtContent>
      <w:p w14:paraId="02F58332" w14:textId="188C3D82"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5679BD5" w14:textId="77777777" w:rsidR="009A0FF1" w:rsidRPr="00DE4E4F" w:rsidRDefault="009A0FF1">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03009" w14:textId="77777777" w:rsidR="001B186F" w:rsidRPr="00DE4E4F" w:rsidRDefault="001B18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E54FF" w14:textId="77777777" w:rsidR="001B186F" w:rsidRPr="00DE4E4F" w:rsidRDefault="001B18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0641025"/>
      <w:docPartObj>
        <w:docPartGallery w:val="Page Numbers (Bottom of Page)"/>
        <w:docPartUnique/>
      </w:docPartObj>
    </w:sdtPr>
    <w:sdtEndPr/>
    <w:sdtContent>
      <w:p w14:paraId="0D9DB954" w14:textId="02EA439B"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1E24AFD" w14:textId="77777777" w:rsidR="009A0FF1" w:rsidRPr="00DE4E4F" w:rsidRDefault="009A0FF1">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9B9EA" w14:textId="77777777" w:rsidR="001B186F" w:rsidRPr="00DE4E4F" w:rsidRDefault="001B18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89D76" w14:textId="77777777" w:rsidR="001B186F" w:rsidRPr="00DE4E4F" w:rsidRDefault="001B18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734456"/>
      <w:docPartObj>
        <w:docPartGallery w:val="Page Numbers (Bottom of Page)"/>
        <w:docPartUnique/>
      </w:docPartObj>
    </w:sdtPr>
    <w:sdtEndPr/>
    <w:sdtContent>
      <w:p w14:paraId="6ADB3366" w14:textId="2B84C3CD"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BBE6EE2" w14:textId="77777777" w:rsidR="009A0FF1" w:rsidRPr="00DE4E4F" w:rsidRDefault="009A0FF1">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466C7" w14:textId="77777777" w:rsidR="001B186F" w:rsidRPr="00DE4E4F" w:rsidRDefault="001B18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A6048" w14:textId="77777777" w:rsidR="001B186F" w:rsidRPr="00DE4E4F" w:rsidRDefault="001B18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9007064"/>
      <w:docPartObj>
        <w:docPartGallery w:val="Page Numbers (Bottom of Page)"/>
        <w:docPartUnique/>
      </w:docPartObj>
    </w:sdtPr>
    <w:sdtEndPr/>
    <w:sdtContent>
      <w:p w14:paraId="51A94CCB" w14:textId="57D64EF7"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52B89D8" w14:textId="77777777" w:rsidR="009A0FF1" w:rsidRPr="00DE4E4F" w:rsidRDefault="009A0FF1">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E15E7" w14:textId="77777777" w:rsidR="001B186F" w:rsidRPr="00DE4E4F" w:rsidRDefault="001B18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2EF1E" w14:textId="77777777" w:rsidR="001B186F" w:rsidRPr="00DE4E4F" w:rsidRDefault="001B18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853508"/>
      <w:docPartObj>
        <w:docPartGallery w:val="Page Numbers (Bottom of Page)"/>
        <w:docPartUnique/>
      </w:docPartObj>
    </w:sdtPr>
    <w:sdtEndPr/>
    <w:sdtContent>
      <w:p w14:paraId="0074E392" w14:textId="7AC3E37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5910CAF" w14:textId="77777777" w:rsidR="00FB4822" w:rsidRPr="00DE4E4F" w:rsidRDefault="00FB4822">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71B53" w14:textId="77777777" w:rsidR="001B186F" w:rsidRPr="00DE4E4F" w:rsidRDefault="001B18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B494F" w14:textId="77777777" w:rsidR="001B186F" w:rsidRPr="00DE4E4F" w:rsidRDefault="001B18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418590"/>
      <w:docPartObj>
        <w:docPartGallery w:val="Page Numbers (Bottom of Page)"/>
        <w:docPartUnique/>
      </w:docPartObj>
    </w:sdtPr>
    <w:sdtEndPr/>
    <w:sdtContent>
      <w:p w14:paraId="72262868" w14:textId="048427D3"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305F531" w14:textId="77777777" w:rsidR="009A0FF1" w:rsidRPr="00DE4E4F" w:rsidRDefault="009A0FF1">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60D15" w14:textId="77777777" w:rsidR="001B186F" w:rsidRPr="00DE4E4F" w:rsidRDefault="001B18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1BB9A" w14:textId="77777777" w:rsidR="001B186F" w:rsidRPr="00DE4E4F" w:rsidRDefault="001B18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31307"/>
      <w:docPartObj>
        <w:docPartGallery w:val="Page Numbers (Bottom of Page)"/>
        <w:docPartUnique/>
      </w:docPartObj>
    </w:sdtPr>
    <w:sdtEndPr/>
    <w:sdtContent>
      <w:p w14:paraId="226FFA3A" w14:textId="5F3B25A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25323CB" w14:textId="77777777" w:rsidR="009A0FF1" w:rsidRPr="00DE4E4F" w:rsidRDefault="009A0FF1">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A7FE" w14:textId="77777777" w:rsidR="001B186F" w:rsidRPr="00DE4E4F" w:rsidRDefault="001B18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3073" w14:textId="77777777" w:rsidR="001B186F" w:rsidRPr="00DE4E4F" w:rsidRDefault="001B18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863880"/>
      <w:docPartObj>
        <w:docPartGallery w:val="Page Numbers (Bottom of Page)"/>
        <w:docPartUnique/>
      </w:docPartObj>
    </w:sdtPr>
    <w:sdtEndPr/>
    <w:sdtContent>
      <w:p w14:paraId="246CA240" w14:textId="02735EE9"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9BDDA92" w14:textId="77777777" w:rsidR="00FB4822" w:rsidRPr="00DE4E4F" w:rsidRDefault="00FB4822">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02E0" w14:textId="77777777" w:rsidR="001B186F" w:rsidRPr="00DE4E4F" w:rsidRDefault="001B18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7C624" w14:textId="77777777" w:rsidR="001B186F" w:rsidRPr="00DE4E4F" w:rsidRDefault="001B18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966269"/>
      <w:docPartObj>
        <w:docPartGallery w:val="Page Numbers (Bottom of Page)"/>
        <w:docPartUnique/>
      </w:docPartObj>
    </w:sdtPr>
    <w:sdtEndPr/>
    <w:sdtContent>
      <w:p w14:paraId="13500FF7" w14:textId="7A9CE4BB"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CC0994C" w14:textId="77777777" w:rsidR="00FB4822" w:rsidRPr="00DE4E4F" w:rsidRDefault="00FB4822">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C9480" w14:textId="77777777" w:rsidR="001B186F" w:rsidRPr="00DE4E4F" w:rsidRDefault="001B18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29353" w14:textId="77777777" w:rsidR="001B186F" w:rsidRPr="00DE4E4F" w:rsidRDefault="001B18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384964"/>
      <w:docPartObj>
        <w:docPartGallery w:val="Page Numbers (Bottom of Page)"/>
        <w:docPartUnique/>
      </w:docPartObj>
    </w:sdtPr>
    <w:sdtEndPr/>
    <w:sdtContent>
      <w:p w14:paraId="3E3C9995" w14:textId="105F3EA3"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1FE4650" w14:textId="77777777" w:rsidR="009A0FF1" w:rsidRPr="00DE4E4F" w:rsidRDefault="009A0FF1">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BDF85" w14:textId="77777777" w:rsidR="001B186F" w:rsidRPr="00DE4E4F" w:rsidRDefault="001B18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53C88" w14:textId="77777777" w:rsidR="001B186F" w:rsidRPr="00DE4E4F" w:rsidRDefault="001B18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315493"/>
      <w:docPartObj>
        <w:docPartGallery w:val="Page Numbers (Bottom of Page)"/>
        <w:docPartUnique/>
      </w:docPartObj>
    </w:sdtPr>
    <w:sdtEndPr/>
    <w:sdtContent>
      <w:p w14:paraId="38AB52B8" w14:textId="74B65CDD"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111610D" w14:textId="77777777" w:rsidR="009A0FF1" w:rsidRPr="00DE4E4F" w:rsidRDefault="009A0FF1">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F71DD" w14:textId="77777777" w:rsidR="001B186F" w:rsidRPr="00DE4E4F" w:rsidRDefault="001B18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F61E7" w14:textId="77777777" w:rsidR="001B186F" w:rsidRPr="00DE4E4F" w:rsidRDefault="001B18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366794"/>
      <w:docPartObj>
        <w:docPartGallery w:val="Page Numbers (Bottom of Page)"/>
        <w:docPartUnique/>
      </w:docPartObj>
    </w:sdtPr>
    <w:sdtEndPr/>
    <w:sdtContent>
      <w:p w14:paraId="179360FC" w14:textId="7F3C2F3A"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78A2168" w14:textId="77777777" w:rsidR="009A0FF1" w:rsidRPr="00DE4E4F" w:rsidRDefault="009A0FF1">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344FE" w14:textId="77777777" w:rsidR="001B186F" w:rsidRPr="00DE4E4F" w:rsidRDefault="001B18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C1603" w14:textId="77777777" w:rsidR="001B186F" w:rsidRPr="00DE4E4F" w:rsidRDefault="001B18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1014227"/>
      <w:docPartObj>
        <w:docPartGallery w:val="Page Numbers (Bottom of Page)"/>
        <w:docPartUnique/>
      </w:docPartObj>
    </w:sdtPr>
    <w:sdtEndPr/>
    <w:sdtContent>
      <w:p w14:paraId="25D9D265" w14:textId="2472F9F1"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50A4624" w14:textId="77777777" w:rsidR="009A0FF1" w:rsidRPr="00DE4E4F" w:rsidRDefault="009A0FF1">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12DA1" w14:textId="77777777" w:rsidR="001B186F" w:rsidRPr="00DE4E4F" w:rsidRDefault="001B18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0D072" w14:textId="77777777" w:rsidR="001B186F" w:rsidRPr="00DE4E4F" w:rsidRDefault="001B18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369466"/>
      <w:docPartObj>
        <w:docPartGallery w:val="Page Numbers (Bottom of Page)"/>
        <w:docPartUnique/>
      </w:docPartObj>
    </w:sdtPr>
    <w:sdtEndPr/>
    <w:sdtContent>
      <w:p w14:paraId="6CFB84CF" w14:textId="3E8DCBD3"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6C2B0B8" w14:textId="77777777" w:rsidR="00FB4822" w:rsidRPr="00DE4E4F" w:rsidRDefault="00FB4822">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407E7" w14:textId="77777777" w:rsidR="001B186F" w:rsidRPr="00DE4E4F" w:rsidRDefault="001B18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A7DA" w14:textId="77777777" w:rsidR="001B186F" w:rsidRPr="00DE4E4F" w:rsidRDefault="001B18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711512"/>
      <w:docPartObj>
        <w:docPartGallery w:val="Page Numbers (Bottom of Page)"/>
        <w:docPartUnique/>
      </w:docPartObj>
    </w:sdtPr>
    <w:sdtEndPr/>
    <w:sdtContent>
      <w:p w14:paraId="0799F76B" w14:textId="18259B7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DE8FC0D" w14:textId="77777777" w:rsidR="00FB4822" w:rsidRPr="00DE4E4F" w:rsidRDefault="00FB4822">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E0F56" w14:textId="77777777" w:rsidR="001B186F" w:rsidRPr="00DE4E4F" w:rsidRDefault="001B18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B7BF2" w14:textId="77777777" w:rsidR="001B186F" w:rsidRPr="00DE4E4F" w:rsidRDefault="001B18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234994"/>
      <w:docPartObj>
        <w:docPartGallery w:val="Page Numbers (Bottom of Page)"/>
        <w:docPartUnique/>
      </w:docPartObj>
    </w:sdtPr>
    <w:sdtEndPr/>
    <w:sdtContent>
      <w:p w14:paraId="5235068C" w14:textId="57D218EF"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D846F04" w14:textId="77777777" w:rsidR="009A0FF1" w:rsidRPr="00DE4E4F" w:rsidRDefault="009A0FF1">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7A616" w14:textId="77777777" w:rsidR="001B186F" w:rsidRPr="00DE4E4F" w:rsidRDefault="001B186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9683D" w14:textId="77777777" w:rsidR="001B186F" w:rsidRPr="00DE4E4F" w:rsidRDefault="001B186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815131"/>
      <w:docPartObj>
        <w:docPartGallery w:val="Page Numbers (Bottom of Page)"/>
        <w:docPartUnique/>
      </w:docPartObj>
    </w:sdtPr>
    <w:sdtEndPr/>
    <w:sdtContent>
      <w:p w14:paraId="7181360D" w14:textId="46DC2DFB"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129A28A" w14:textId="77777777" w:rsidR="009A0FF1" w:rsidRPr="00DE4E4F" w:rsidRDefault="009A0FF1">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CD927" w14:textId="77777777" w:rsidR="001B186F" w:rsidRPr="00DE4E4F" w:rsidRDefault="001B186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68E6" w14:textId="77777777" w:rsidR="001B186F" w:rsidRPr="00DE4E4F" w:rsidRDefault="001B186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7901587"/>
      <w:docPartObj>
        <w:docPartGallery w:val="Page Numbers (Bottom of Page)"/>
        <w:docPartUnique/>
      </w:docPartObj>
    </w:sdtPr>
    <w:sdtEndPr/>
    <w:sdtContent>
      <w:p w14:paraId="77AC9160" w14:textId="338F3DDA"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ACEE205" w14:textId="77777777" w:rsidR="009A0FF1" w:rsidRPr="00DE4E4F" w:rsidRDefault="009A0FF1">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20A1A" w14:textId="77777777" w:rsidR="001B186F" w:rsidRPr="00DE4E4F" w:rsidRDefault="001B186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06E8" w14:textId="77777777" w:rsidR="001B186F" w:rsidRPr="00DE4E4F" w:rsidRDefault="001B186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514754"/>
      <w:docPartObj>
        <w:docPartGallery w:val="Page Numbers (Bottom of Page)"/>
        <w:docPartUnique/>
      </w:docPartObj>
    </w:sdtPr>
    <w:sdtEndPr/>
    <w:sdtContent>
      <w:p w14:paraId="57605F1C" w14:textId="58167832"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F25A2CB" w14:textId="77777777" w:rsidR="009A0FF1" w:rsidRPr="00DE4E4F" w:rsidRDefault="009A0FF1">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9DA87" w14:textId="77777777" w:rsidR="001B186F" w:rsidRPr="00DE4E4F" w:rsidRDefault="001B186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355F2" w14:textId="77777777" w:rsidR="001B186F" w:rsidRPr="00DE4E4F" w:rsidRDefault="001B186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9020662"/>
      <w:docPartObj>
        <w:docPartGallery w:val="Page Numbers (Bottom of Page)"/>
        <w:docPartUnique/>
      </w:docPartObj>
    </w:sdtPr>
    <w:sdtEndPr/>
    <w:sdtContent>
      <w:p w14:paraId="62093E38" w14:textId="0F80604E"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6CC20A2" w14:textId="77777777" w:rsidR="00FB4822" w:rsidRPr="00DE4E4F" w:rsidRDefault="00FB4822">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0ED01" w14:textId="77777777" w:rsidR="001B186F" w:rsidRPr="00DE4E4F" w:rsidRDefault="001B186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E2F3F" w14:textId="77777777" w:rsidR="001B186F" w:rsidRPr="00DE4E4F" w:rsidRDefault="001B186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352682"/>
      <w:docPartObj>
        <w:docPartGallery w:val="Page Numbers (Bottom of Page)"/>
        <w:docPartUnique/>
      </w:docPartObj>
    </w:sdtPr>
    <w:sdtEndPr/>
    <w:sdtContent>
      <w:p w14:paraId="4E4C6EED" w14:textId="255BE8AE"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F8CC571" w14:textId="77777777" w:rsidR="009A0FF1" w:rsidRPr="00DE4E4F" w:rsidRDefault="009A0FF1">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FDA96" w14:textId="77777777" w:rsidR="001B186F" w:rsidRPr="00DE4E4F" w:rsidRDefault="001B186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F1148" w14:textId="77777777" w:rsidR="001B186F" w:rsidRPr="00DE4E4F" w:rsidRDefault="001B186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283935"/>
      <w:docPartObj>
        <w:docPartGallery w:val="Page Numbers (Bottom of Page)"/>
        <w:docPartUnique/>
      </w:docPartObj>
    </w:sdtPr>
    <w:sdtEndPr/>
    <w:sdtContent>
      <w:p w14:paraId="4631CF6C" w14:textId="27CE2AE1"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FA49991" w14:textId="77777777" w:rsidR="009A0FF1" w:rsidRPr="00DE4E4F" w:rsidRDefault="009A0FF1">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4105" w14:textId="77777777" w:rsidR="001B186F" w:rsidRPr="00DE4E4F" w:rsidRDefault="001B186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3F7CB" w14:textId="77777777" w:rsidR="001B186F" w:rsidRPr="00DE4E4F" w:rsidRDefault="001B186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9592647"/>
      <w:docPartObj>
        <w:docPartGallery w:val="Page Numbers (Bottom of Page)"/>
        <w:docPartUnique/>
      </w:docPartObj>
    </w:sdtPr>
    <w:sdtEndPr/>
    <w:sdtContent>
      <w:p w14:paraId="2C1791E5" w14:textId="34E4349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2767D4E" w14:textId="77777777" w:rsidR="00FB4822" w:rsidRPr="00DE4E4F" w:rsidRDefault="00FB4822">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A4DA" w14:textId="77777777" w:rsidR="001B186F" w:rsidRPr="00DE4E4F" w:rsidRDefault="001B186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9F3F9" w14:textId="77777777" w:rsidR="001B186F" w:rsidRPr="00DE4E4F" w:rsidRDefault="001B186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4603754"/>
      <w:docPartObj>
        <w:docPartGallery w:val="Page Numbers (Bottom of Page)"/>
        <w:docPartUnique/>
      </w:docPartObj>
    </w:sdtPr>
    <w:sdtEndPr/>
    <w:sdtContent>
      <w:p w14:paraId="3D9E3AD2" w14:textId="56A5C65B"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623B81A" w14:textId="77777777" w:rsidR="009A0FF1" w:rsidRPr="00DE4E4F" w:rsidRDefault="009A0FF1">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D7307" w14:textId="77777777" w:rsidR="001B186F" w:rsidRPr="00DE4E4F" w:rsidRDefault="001B186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5BBF" w14:textId="77777777" w:rsidR="001B186F" w:rsidRPr="00DE4E4F" w:rsidRDefault="001B186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005655"/>
      <w:docPartObj>
        <w:docPartGallery w:val="Page Numbers (Bottom of Page)"/>
        <w:docPartUnique/>
      </w:docPartObj>
    </w:sdtPr>
    <w:sdtEndPr/>
    <w:sdtContent>
      <w:p w14:paraId="7A1F9ADF" w14:textId="58373D10"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02A3EDB" w14:textId="77777777" w:rsidR="009A0FF1" w:rsidRPr="00DE4E4F" w:rsidRDefault="009A0FF1">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2F2D1" w14:textId="77777777" w:rsidR="001B186F" w:rsidRPr="00DE4E4F" w:rsidRDefault="001B186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ABEA0" w14:textId="77777777" w:rsidR="001B186F" w:rsidRPr="00DE4E4F" w:rsidRDefault="001B186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400024"/>
      <w:docPartObj>
        <w:docPartGallery w:val="Page Numbers (Bottom of Page)"/>
        <w:docPartUnique/>
      </w:docPartObj>
    </w:sdtPr>
    <w:sdtEndPr/>
    <w:sdtContent>
      <w:p w14:paraId="7060E016" w14:textId="0602C56C"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EF382B9" w14:textId="77777777" w:rsidR="00FB4822" w:rsidRPr="00DE4E4F" w:rsidRDefault="00FB4822">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1927A" w14:textId="77777777" w:rsidR="001B186F" w:rsidRPr="00DE4E4F" w:rsidRDefault="001B186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EA531" w14:textId="77777777" w:rsidR="001B186F" w:rsidRPr="00DE4E4F" w:rsidRDefault="001B186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58713"/>
      <w:docPartObj>
        <w:docPartGallery w:val="Page Numbers (Bottom of Page)"/>
        <w:docPartUnique/>
      </w:docPartObj>
    </w:sdtPr>
    <w:sdtEndPr/>
    <w:sdtContent>
      <w:p w14:paraId="25C63EE5" w14:textId="5E6FD349"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9A23C02" w14:textId="77777777" w:rsidR="00FB4822" w:rsidRPr="00DE4E4F" w:rsidRDefault="00FB4822">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9F5F7" w14:textId="77777777" w:rsidR="001B186F" w:rsidRPr="00DE4E4F" w:rsidRDefault="001B186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52961" w14:textId="77777777" w:rsidR="001B186F" w:rsidRPr="00DE4E4F" w:rsidRDefault="001B186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724545"/>
      <w:docPartObj>
        <w:docPartGallery w:val="Page Numbers (Bottom of Page)"/>
        <w:docPartUnique/>
      </w:docPartObj>
    </w:sdtPr>
    <w:sdtEndPr/>
    <w:sdtContent>
      <w:p w14:paraId="31A34DD7" w14:textId="727289FA"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CD0DA69" w14:textId="77777777" w:rsidR="009A0FF1" w:rsidRPr="00DE4E4F" w:rsidRDefault="009A0FF1">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C4015" w14:textId="77777777" w:rsidR="001B186F" w:rsidRPr="00DE4E4F" w:rsidRDefault="001B186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53B7C" w14:textId="77777777" w:rsidR="001B186F" w:rsidRPr="00DE4E4F" w:rsidRDefault="001B186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9884809"/>
      <w:docPartObj>
        <w:docPartGallery w:val="Page Numbers (Bottom of Page)"/>
        <w:docPartUnique/>
      </w:docPartObj>
    </w:sdtPr>
    <w:sdtEndPr/>
    <w:sdtContent>
      <w:p w14:paraId="1C08D4A8" w14:textId="2A570615" w:rsidR="00FB4822" w:rsidRPr="00DE4E4F" w:rsidRDefault="00FB4822">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053197D" w14:textId="77777777" w:rsidR="009A0FF1" w:rsidRPr="00DE4E4F" w:rsidRDefault="009A0FF1">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1188C" w14:textId="77777777" w:rsidR="001B186F" w:rsidRPr="00DE4E4F" w:rsidRDefault="001B186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99A2" w14:textId="77777777" w:rsidR="001B186F" w:rsidRPr="00DE4E4F" w:rsidRDefault="001B186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7002516"/>
      <w:docPartObj>
        <w:docPartGallery w:val="Page Numbers (Bottom of Page)"/>
        <w:docPartUnique/>
      </w:docPartObj>
    </w:sdtPr>
    <w:sdtEndPr/>
    <w:sdtContent>
      <w:p w14:paraId="733272DB" w14:textId="20A75C0D"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3B5BB98" w14:textId="77777777" w:rsidR="009A0FF1" w:rsidRPr="00DE4E4F" w:rsidRDefault="009A0FF1">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26366" w14:textId="77777777" w:rsidR="001B186F" w:rsidRPr="00DE4E4F" w:rsidRDefault="001B186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87B44" w14:textId="77777777" w:rsidR="001B186F" w:rsidRPr="00DE4E4F" w:rsidRDefault="001B186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952940"/>
      <w:docPartObj>
        <w:docPartGallery w:val="Page Numbers (Bottom of Page)"/>
        <w:docPartUnique/>
      </w:docPartObj>
    </w:sdtPr>
    <w:sdtEndPr/>
    <w:sdtContent>
      <w:p w14:paraId="156A00E9" w14:textId="43329BDA"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63B6AAF" w14:textId="77777777" w:rsidR="009A0FF1" w:rsidRPr="00DE4E4F" w:rsidRDefault="009A0FF1">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434CA" w14:textId="77777777" w:rsidR="001B186F" w:rsidRPr="00DE4E4F" w:rsidRDefault="001B186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AEF38" w14:textId="77777777" w:rsidR="001B186F" w:rsidRPr="00DE4E4F" w:rsidRDefault="001B186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46001"/>
      <w:docPartObj>
        <w:docPartGallery w:val="Page Numbers (Bottom of Page)"/>
        <w:docPartUnique/>
      </w:docPartObj>
    </w:sdtPr>
    <w:sdtEndPr/>
    <w:sdtContent>
      <w:p w14:paraId="6BDC4441" w14:textId="579E74C8"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68AA17D" w14:textId="77777777" w:rsidR="009A0FF1" w:rsidRPr="00DE4E4F" w:rsidRDefault="009A0FF1">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A33F1" w14:textId="77777777" w:rsidR="001B186F" w:rsidRPr="00DE4E4F" w:rsidRDefault="001B186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3C618" w14:textId="77777777" w:rsidR="001B186F" w:rsidRPr="00DE4E4F" w:rsidRDefault="001B186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758049"/>
      <w:docPartObj>
        <w:docPartGallery w:val="Page Numbers (Bottom of Page)"/>
        <w:docPartUnique/>
      </w:docPartObj>
    </w:sdtPr>
    <w:sdtEndPr/>
    <w:sdtContent>
      <w:p w14:paraId="5225E7A0" w14:textId="0147E13C"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7E430D4" w14:textId="77777777" w:rsidR="009A0FF1" w:rsidRPr="00DE4E4F" w:rsidRDefault="009A0FF1">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88E7C" w14:textId="77777777" w:rsidR="001B186F" w:rsidRPr="00DE4E4F" w:rsidRDefault="001B186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2BB3C" w14:textId="77777777" w:rsidR="001B186F" w:rsidRPr="00DE4E4F" w:rsidRDefault="001B186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6242112"/>
      <w:docPartObj>
        <w:docPartGallery w:val="Page Numbers (Bottom of Page)"/>
        <w:docPartUnique/>
      </w:docPartObj>
    </w:sdtPr>
    <w:sdtEndPr/>
    <w:sdtContent>
      <w:p w14:paraId="132E7F5A" w14:textId="22C0D7ED"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100A804" w14:textId="77777777" w:rsidR="00FB4822" w:rsidRPr="00DE4E4F" w:rsidRDefault="00FB4822">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6AB30" w14:textId="77777777" w:rsidR="001B186F" w:rsidRPr="00DE4E4F" w:rsidRDefault="001B186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12A34" w14:textId="77777777" w:rsidR="001B186F" w:rsidRPr="00DE4E4F" w:rsidRDefault="001B186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3157980"/>
      <w:docPartObj>
        <w:docPartGallery w:val="Page Numbers (Bottom of Page)"/>
        <w:docPartUnique/>
      </w:docPartObj>
    </w:sdtPr>
    <w:sdtEndPr/>
    <w:sdtContent>
      <w:p w14:paraId="04122B8B" w14:textId="2748C4C6"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30DBDF3" w14:textId="77777777" w:rsidR="009A0FF1" w:rsidRPr="00DE4E4F" w:rsidRDefault="009A0FF1">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61C14" w14:textId="77777777" w:rsidR="001B186F" w:rsidRPr="00DE4E4F" w:rsidRDefault="001B186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E6DDB" w14:textId="77777777" w:rsidR="001B186F" w:rsidRPr="00DE4E4F" w:rsidRDefault="001B186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79909"/>
      <w:docPartObj>
        <w:docPartGallery w:val="Page Numbers (Bottom of Page)"/>
        <w:docPartUnique/>
      </w:docPartObj>
    </w:sdtPr>
    <w:sdtEndPr/>
    <w:sdtContent>
      <w:p w14:paraId="40D45E50" w14:textId="6446956E"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710205A" w14:textId="77777777" w:rsidR="009A0FF1" w:rsidRPr="00DE4E4F" w:rsidRDefault="009A0FF1">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5D871" w14:textId="77777777" w:rsidR="001B186F" w:rsidRPr="00DE4E4F" w:rsidRDefault="001B186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F3BE" w14:textId="77777777" w:rsidR="001B186F" w:rsidRPr="00DE4E4F" w:rsidRDefault="001B186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454655"/>
      <w:docPartObj>
        <w:docPartGallery w:val="Page Numbers (Bottom of Page)"/>
        <w:docPartUnique/>
      </w:docPartObj>
    </w:sdtPr>
    <w:sdtEndPr/>
    <w:sdtContent>
      <w:p w14:paraId="52F705B5" w14:textId="2478F625"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7B6E8BA" w14:textId="77777777" w:rsidR="00FB4822" w:rsidRPr="00DE4E4F" w:rsidRDefault="00FB4822">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A28DC" w14:textId="77777777" w:rsidR="001B186F" w:rsidRPr="00DE4E4F" w:rsidRDefault="001B186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21EEB" w14:textId="77777777" w:rsidR="001B186F" w:rsidRPr="00DE4E4F" w:rsidRDefault="001B186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0989253"/>
      <w:docPartObj>
        <w:docPartGallery w:val="Page Numbers (Bottom of Page)"/>
        <w:docPartUnique/>
      </w:docPartObj>
    </w:sdtPr>
    <w:sdtEndPr/>
    <w:sdtContent>
      <w:p w14:paraId="57064180" w14:textId="0293005E"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6938E32" w14:textId="77777777" w:rsidR="00FB4822" w:rsidRPr="00DE4E4F" w:rsidRDefault="00FB4822">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A8138" w14:textId="77777777" w:rsidR="001B186F" w:rsidRPr="00DE4E4F" w:rsidRDefault="001B186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B482D" w14:textId="77777777" w:rsidR="001B186F" w:rsidRPr="00DE4E4F" w:rsidRDefault="001B186F">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961394"/>
      <w:docPartObj>
        <w:docPartGallery w:val="Page Numbers (Bottom of Page)"/>
        <w:docPartUnique/>
      </w:docPartObj>
    </w:sdtPr>
    <w:sdtEndPr/>
    <w:sdtContent>
      <w:p w14:paraId="1335D858" w14:textId="515BE7CD"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F1EC55B" w14:textId="77777777" w:rsidR="009A0FF1" w:rsidRPr="00DE4E4F" w:rsidRDefault="009A0FF1">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425D9" w14:textId="77777777" w:rsidR="001B186F" w:rsidRPr="00DE4E4F" w:rsidRDefault="001B186F">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98CB4" w14:textId="77777777" w:rsidR="001B186F" w:rsidRPr="00DE4E4F" w:rsidRDefault="001B186F">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9641045"/>
      <w:docPartObj>
        <w:docPartGallery w:val="Page Numbers (Bottom of Page)"/>
        <w:docPartUnique/>
      </w:docPartObj>
    </w:sdtPr>
    <w:sdtEndPr/>
    <w:sdtContent>
      <w:p w14:paraId="57E3E394" w14:textId="3FDE9A97"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1F5224B" w14:textId="77777777" w:rsidR="009A0FF1" w:rsidRPr="00DE4E4F" w:rsidRDefault="009A0FF1">
    <w:pPr>
      <w:pStyle w:val="FooterCouncil"/>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E3E0" w14:textId="77777777" w:rsidR="001B186F" w:rsidRPr="00DE4E4F" w:rsidRDefault="001B186F">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BAFBD" w14:textId="77777777" w:rsidR="001B186F" w:rsidRPr="00DE4E4F" w:rsidRDefault="001B186F">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316271"/>
      <w:docPartObj>
        <w:docPartGallery w:val="Page Numbers (Bottom of Page)"/>
        <w:docPartUnique/>
      </w:docPartObj>
    </w:sdtPr>
    <w:sdtEndPr/>
    <w:sdtContent>
      <w:p w14:paraId="6D0DA39C" w14:textId="03536A89"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723F118" w14:textId="77777777" w:rsidR="009A0FF1" w:rsidRPr="00DE4E4F" w:rsidRDefault="009A0FF1">
    <w:pPr>
      <w:pStyle w:val="FooterCouncil"/>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5590F" w14:textId="77777777" w:rsidR="001B186F" w:rsidRPr="00DE4E4F" w:rsidRDefault="001B186F">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A03D1" w14:textId="77777777" w:rsidR="001B186F" w:rsidRPr="00DE4E4F" w:rsidRDefault="001B186F">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031677"/>
      <w:docPartObj>
        <w:docPartGallery w:val="Page Numbers (Bottom of Page)"/>
        <w:docPartUnique/>
      </w:docPartObj>
    </w:sdtPr>
    <w:sdtEndPr/>
    <w:sdtContent>
      <w:p w14:paraId="3F8515BA" w14:textId="7844FEB6"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02C2667" w14:textId="77777777" w:rsidR="009A0FF1" w:rsidRPr="00DE4E4F" w:rsidRDefault="009A0FF1">
    <w:pPr>
      <w:pStyle w:val="FooterCouncil"/>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D82FAB" w14:textId="77777777" w:rsidR="001B186F" w:rsidRPr="00DE4E4F" w:rsidRDefault="001B186F">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0F9F2" w14:textId="77777777" w:rsidR="001B186F" w:rsidRPr="00DE4E4F" w:rsidRDefault="001B186F">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3460206"/>
      <w:docPartObj>
        <w:docPartGallery w:val="Page Numbers (Bottom of Page)"/>
        <w:docPartUnique/>
      </w:docPartObj>
    </w:sdtPr>
    <w:sdtEndPr/>
    <w:sdtContent>
      <w:p w14:paraId="0010FB3B" w14:textId="2049A8F5"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96D3F70" w14:textId="77777777" w:rsidR="009A0FF1" w:rsidRPr="00DE4E4F" w:rsidRDefault="009A0FF1">
    <w:pPr>
      <w:pStyle w:val="FooterCouncil"/>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2AE00" w14:textId="77777777" w:rsidR="001B186F" w:rsidRPr="00DE4E4F" w:rsidRDefault="001B186F">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4CB30" w14:textId="77777777" w:rsidR="001B186F" w:rsidRPr="00DE4E4F" w:rsidRDefault="001B186F">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392381"/>
      <w:docPartObj>
        <w:docPartGallery w:val="Page Numbers (Bottom of Page)"/>
        <w:docPartUnique/>
      </w:docPartObj>
    </w:sdtPr>
    <w:sdtEndPr/>
    <w:sdtContent>
      <w:p w14:paraId="304ECEB4" w14:textId="12DC8C79" w:rsidR="001F7350" w:rsidRPr="00DE4E4F" w:rsidRDefault="001F7350">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2E046D6" w14:textId="77777777" w:rsidR="009A0FF1" w:rsidRPr="00DE4E4F" w:rsidRDefault="009A0FF1">
    <w:pPr>
      <w:pStyle w:val="FooterCouncil"/>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5850A" w14:textId="77777777" w:rsidR="001B186F" w:rsidRPr="00DE4E4F" w:rsidRDefault="001B186F">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AFF45" w14:textId="77777777" w:rsidR="001B186F" w:rsidRPr="00DE4E4F" w:rsidRDefault="001B186F">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664215"/>
      <w:docPartObj>
        <w:docPartGallery w:val="Page Numbers (Bottom of Page)"/>
        <w:docPartUnique/>
      </w:docPartObj>
    </w:sdtPr>
    <w:sdtEndPr/>
    <w:sdtContent>
      <w:p w14:paraId="0F8921C1" w14:textId="0184465B"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57B941C" w14:textId="77777777" w:rsidR="009A0FF1" w:rsidRPr="00DE4E4F" w:rsidRDefault="009A0FF1">
    <w:pPr>
      <w:pStyle w:val="FooterCouncil"/>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24DBA" w14:textId="77777777" w:rsidR="001B186F" w:rsidRPr="00DE4E4F" w:rsidRDefault="001B186F">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9A28" w14:textId="77777777" w:rsidR="001B186F" w:rsidRPr="00DE4E4F" w:rsidRDefault="001B186F">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957615"/>
      <w:docPartObj>
        <w:docPartGallery w:val="Page Numbers (Bottom of Page)"/>
        <w:docPartUnique/>
      </w:docPartObj>
    </w:sdtPr>
    <w:sdtEndPr/>
    <w:sdtContent>
      <w:p w14:paraId="3AC12A2A" w14:textId="15AF9C25"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EAD849A" w14:textId="77777777" w:rsidR="00FB4822" w:rsidRPr="00DE4E4F" w:rsidRDefault="00FB4822">
    <w:pPr>
      <w:pStyle w:val="FooterCouncil"/>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92ECC" w14:textId="77777777" w:rsidR="001B186F" w:rsidRPr="00DE4E4F" w:rsidRDefault="001B186F">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CDB7A" w14:textId="77777777" w:rsidR="001B186F" w:rsidRPr="00DE4E4F" w:rsidRDefault="001B186F">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994643"/>
      <w:docPartObj>
        <w:docPartGallery w:val="Page Numbers (Bottom of Page)"/>
        <w:docPartUnique/>
      </w:docPartObj>
    </w:sdtPr>
    <w:sdtEndPr/>
    <w:sdtContent>
      <w:p w14:paraId="435DCF2C" w14:textId="4B0C299A"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1CA83BF" w14:textId="77777777" w:rsidR="00FB4822" w:rsidRPr="00DE4E4F" w:rsidRDefault="00FB4822">
    <w:pPr>
      <w:pStyle w:val="FooterCouncil"/>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95026" w14:textId="77777777" w:rsidR="001B186F" w:rsidRPr="00DE4E4F" w:rsidRDefault="001B186F">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71E1" w14:textId="77777777" w:rsidR="001B186F" w:rsidRPr="00DE4E4F" w:rsidRDefault="001B186F">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2035440"/>
      <w:docPartObj>
        <w:docPartGallery w:val="Page Numbers (Bottom of Page)"/>
        <w:docPartUnique/>
      </w:docPartObj>
    </w:sdtPr>
    <w:sdtEndPr/>
    <w:sdtContent>
      <w:p w14:paraId="3BDA8A1D" w14:textId="292D8516"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0C4CA8B" w14:textId="77777777" w:rsidR="00FB4822" w:rsidRPr="00DE4E4F" w:rsidRDefault="00FB4822">
    <w:pPr>
      <w:pStyle w:val="FooterCouncil"/>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5F67" w14:textId="77777777" w:rsidR="001B186F" w:rsidRPr="00DE4E4F" w:rsidRDefault="001B186F">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2DB82" w14:textId="77777777" w:rsidR="001B186F" w:rsidRPr="00DE4E4F" w:rsidRDefault="001B186F">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453540"/>
      <w:docPartObj>
        <w:docPartGallery w:val="Page Numbers (Bottom of Page)"/>
        <w:docPartUnique/>
      </w:docPartObj>
    </w:sdtPr>
    <w:sdtEndPr/>
    <w:sdtContent>
      <w:p w14:paraId="395140C9" w14:textId="4C1F738F"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502F42A" w14:textId="77777777" w:rsidR="00FB4822" w:rsidRPr="00DE4E4F" w:rsidRDefault="00FB4822">
    <w:pPr>
      <w:pStyle w:val="FooterCouncil"/>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C17B7" w14:textId="77777777" w:rsidR="001B186F" w:rsidRPr="00DE4E4F" w:rsidRDefault="001B186F">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CF61D" w14:textId="77777777" w:rsidR="001B186F" w:rsidRPr="00DE4E4F" w:rsidRDefault="001B186F">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2517200"/>
      <w:docPartObj>
        <w:docPartGallery w:val="Page Numbers (Bottom of Page)"/>
        <w:docPartUnique/>
      </w:docPartObj>
    </w:sdtPr>
    <w:sdtEndPr/>
    <w:sdtContent>
      <w:p w14:paraId="7D6862EE" w14:textId="75BB2839"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79C7A98" w14:textId="77777777" w:rsidR="009A0FF1" w:rsidRPr="00DE4E4F" w:rsidRDefault="009A0FF1">
    <w:pPr>
      <w:pStyle w:val="FooterCouncil"/>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AC68" w14:textId="77777777" w:rsidR="001B186F" w:rsidRPr="00DE4E4F" w:rsidRDefault="001B186F">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2C5A8" w14:textId="77777777" w:rsidR="001B186F" w:rsidRPr="00DE4E4F" w:rsidRDefault="001B186F">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448594"/>
      <w:docPartObj>
        <w:docPartGallery w:val="Page Numbers (Bottom of Page)"/>
        <w:docPartUnique/>
      </w:docPartObj>
    </w:sdtPr>
    <w:sdtEndPr/>
    <w:sdtContent>
      <w:p w14:paraId="41EA1F34" w14:textId="20A5C70B"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B8CF7A5" w14:textId="77777777" w:rsidR="009A0FF1" w:rsidRPr="00DE4E4F" w:rsidRDefault="009A0FF1">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CCE80" w14:textId="77777777" w:rsidR="001B186F" w:rsidRPr="00DE4E4F" w:rsidRDefault="001B186F">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E3489" w14:textId="77777777" w:rsidR="001B186F" w:rsidRPr="00DE4E4F" w:rsidRDefault="001B186F">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184781"/>
      <w:docPartObj>
        <w:docPartGallery w:val="Page Numbers (Bottom of Page)"/>
        <w:docPartUnique/>
      </w:docPartObj>
    </w:sdtPr>
    <w:sdtEndPr/>
    <w:sdtContent>
      <w:p w14:paraId="1345F360" w14:textId="5C093746"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1FE40FB5" w14:textId="77777777" w:rsidR="009A0FF1" w:rsidRPr="00DE4E4F" w:rsidRDefault="009A0FF1">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7C989" w14:textId="77777777" w:rsidR="001B186F" w:rsidRPr="00DE4E4F" w:rsidRDefault="001B186F">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83DF" w14:textId="77777777" w:rsidR="001B186F" w:rsidRPr="00DE4E4F" w:rsidRDefault="001B186F">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2079073"/>
      <w:docPartObj>
        <w:docPartGallery w:val="Page Numbers (Bottom of Page)"/>
        <w:docPartUnique/>
      </w:docPartObj>
    </w:sdtPr>
    <w:sdtEndPr/>
    <w:sdtContent>
      <w:p w14:paraId="1C2B13B6" w14:textId="451C47E1"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0EC0C15A" w14:textId="77777777" w:rsidR="00FB4822" w:rsidRPr="00DE4E4F" w:rsidRDefault="00FB4822">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0B0E1" w14:textId="77777777" w:rsidR="001B186F" w:rsidRPr="00DE4E4F" w:rsidRDefault="001B186F">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0C9FE" w14:textId="77777777" w:rsidR="001B186F" w:rsidRPr="00DE4E4F" w:rsidRDefault="001B186F">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85425"/>
      <w:docPartObj>
        <w:docPartGallery w:val="Page Numbers (Bottom of Page)"/>
        <w:docPartUnique/>
      </w:docPartObj>
    </w:sdtPr>
    <w:sdtEndPr/>
    <w:sdtContent>
      <w:p w14:paraId="5B038A63" w14:textId="3059C109"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304F473" w14:textId="77777777" w:rsidR="009A0FF1" w:rsidRPr="00DE4E4F" w:rsidRDefault="009A0FF1">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29433" w14:textId="77777777" w:rsidR="001B186F" w:rsidRPr="00DE4E4F" w:rsidRDefault="001B186F">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538A9" w14:textId="77777777" w:rsidR="001B186F" w:rsidRPr="00DE4E4F" w:rsidRDefault="001B186F">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311859"/>
      <w:docPartObj>
        <w:docPartGallery w:val="Page Numbers (Bottom of Page)"/>
        <w:docPartUnique/>
      </w:docPartObj>
    </w:sdtPr>
    <w:sdtEndPr/>
    <w:sdtContent>
      <w:p w14:paraId="39E22A83" w14:textId="491334DC"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1C99793" w14:textId="77777777" w:rsidR="009A0FF1" w:rsidRPr="00DE4E4F" w:rsidRDefault="009A0FF1">
    <w:pPr>
      <w:pStyle w:val="FooterCouncil"/>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9262" w14:textId="77777777" w:rsidR="001B186F" w:rsidRPr="00DE4E4F" w:rsidRDefault="001B186F">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D3629" w14:textId="77777777" w:rsidR="001B186F" w:rsidRPr="00DE4E4F" w:rsidRDefault="001B186F">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473922"/>
      <w:docPartObj>
        <w:docPartGallery w:val="Page Numbers (Bottom of Page)"/>
        <w:docPartUnique/>
      </w:docPartObj>
    </w:sdtPr>
    <w:sdtEndPr/>
    <w:sdtContent>
      <w:p w14:paraId="789BF1D3" w14:textId="2F84BB53"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A027D1A" w14:textId="77777777" w:rsidR="00FB4822" w:rsidRPr="00DE4E4F" w:rsidRDefault="00FB4822">
    <w:pPr>
      <w:pStyle w:val="FooterCouncil"/>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8FC5" w14:textId="77777777" w:rsidR="001B186F" w:rsidRPr="00DE4E4F" w:rsidRDefault="001B186F">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562BB" w14:textId="77777777" w:rsidR="001B186F" w:rsidRPr="00DE4E4F" w:rsidRDefault="001B186F">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329199"/>
      <w:docPartObj>
        <w:docPartGallery w:val="Page Numbers (Bottom of Page)"/>
        <w:docPartUnique/>
      </w:docPartObj>
    </w:sdtPr>
    <w:sdtEndPr/>
    <w:sdtContent>
      <w:p w14:paraId="3B3C7FAB" w14:textId="6868D396"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DC08F5D" w14:textId="77777777" w:rsidR="00FB4822" w:rsidRPr="00DE4E4F" w:rsidRDefault="00FB4822">
    <w:pPr>
      <w:pStyle w:val="FooterCouncil"/>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56172" w14:textId="77777777" w:rsidR="001B186F" w:rsidRPr="00DE4E4F" w:rsidRDefault="001B186F">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0D275" w14:textId="77777777" w:rsidR="001B186F" w:rsidRPr="00DE4E4F" w:rsidRDefault="001B186F">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367176"/>
      <w:docPartObj>
        <w:docPartGallery w:val="Page Numbers (Bottom of Page)"/>
        <w:docPartUnique/>
      </w:docPartObj>
    </w:sdtPr>
    <w:sdtEndPr/>
    <w:sdtContent>
      <w:p w14:paraId="6EF0E01C" w14:textId="7919A1F3"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3A3DF935" w14:textId="77777777" w:rsidR="009A0FF1" w:rsidRPr="00DE4E4F" w:rsidRDefault="009A0FF1">
    <w:pPr>
      <w:pStyle w:val="FooterCouncil"/>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DBF5" w14:textId="77777777" w:rsidR="001B186F" w:rsidRPr="00DE4E4F" w:rsidRDefault="001B186F">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4749" w14:textId="77777777" w:rsidR="001B186F" w:rsidRPr="00DE4E4F" w:rsidRDefault="001B186F">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7359217"/>
      <w:docPartObj>
        <w:docPartGallery w:val="Page Numbers (Bottom of Page)"/>
        <w:docPartUnique/>
      </w:docPartObj>
    </w:sdtPr>
    <w:sdtEndPr/>
    <w:sdtContent>
      <w:p w14:paraId="4968BA22" w14:textId="0D27C9A7"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8339AC0" w14:textId="77777777" w:rsidR="009A0FF1" w:rsidRPr="00DE4E4F" w:rsidRDefault="009A0FF1">
    <w:pPr>
      <w:pStyle w:val="FooterCouncil"/>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6A371" w14:textId="77777777" w:rsidR="001B186F" w:rsidRPr="00DE4E4F" w:rsidRDefault="001B186F">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A0277" w14:textId="77777777" w:rsidR="001B186F" w:rsidRPr="00DE4E4F" w:rsidRDefault="001B186F">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8473672"/>
      <w:docPartObj>
        <w:docPartGallery w:val="Page Numbers (Bottom of Page)"/>
        <w:docPartUnique/>
      </w:docPartObj>
    </w:sdtPr>
    <w:sdtEndPr/>
    <w:sdtContent>
      <w:p w14:paraId="67FF127D" w14:textId="59B833FA"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7038D40E" w14:textId="77777777" w:rsidR="009A0FF1" w:rsidRPr="00DE4E4F" w:rsidRDefault="009A0FF1">
    <w:pPr>
      <w:pStyle w:val="FooterCouncil"/>
    </w:pPr>
  </w:p>
</w:ftr>
</file>

<file path=word/footer2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A6F4" w14:textId="77777777" w:rsidR="001B186F" w:rsidRPr="00DE4E4F" w:rsidRDefault="001B186F">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98C31" w14:textId="77777777" w:rsidR="001B186F" w:rsidRPr="00DE4E4F" w:rsidRDefault="001B186F">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276639"/>
      <w:docPartObj>
        <w:docPartGallery w:val="Page Numbers (Bottom of Page)"/>
        <w:docPartUnique/>
      </w:docPartObj>
    </w:sdtPr>
    <w:sdtEndPr/>
    <w:sdtContent>
      <w:p w14:paraId="3BA36A3C" w14:textId="7F8ED69E"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62B60BCF" w14:textId="77777777" w:rsidR="009A0FF1" w:rsidRPr="00DE4E4F" w:rsidRDefault="009A0FF1">
    <w:pPr>
      <w:pStyle w:val="FooterCouncil"/>
    </w:pPr>
  </w:p>
</w:ftr>
</file>

<file path=word/footer2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939A" w14:textId="77777777" w:rsidR="001B186F" w:rsidRPr="00DE4E4F" w:rsidRDefault="001B186F">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4261B" w14:textId="77777777" w:rsidR="001B186F" w:rsidRPr="00DE4E4F" w:rsidRDefault="001B186F">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277674"/>
      <w:docPartObj>
        <w:docPartGallery w:val="Page Numbers (Bottom of Page)"/>
        <w:docPartUnique/>
      </w:docPartObj>
    </w:sdtPr>
    <w:sdtEndPr/>
    <w:sdtContent>
      <w:p w14:paraId="779EEB63" w14:textId="72BBEC03"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58694830" w14:textId="77777777" w:rsidR="009A0FF1" w:rsidRPr="00DE4E4F" w:rsidRDefault="009A0FF1">
    <w:pPr>
      <w:pStyle w:val="FooterCouncil"/>
    </w:pPr>
  </w:p>
</w:ftr>
</file>

<file path=word/footer2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90F94" w14:textId="77777777" w:rsidR="001B186F" w:rsidRPr="00DE4E4F" w:rsidRDefault="001B186F">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D597B" w14:textId="77777777" w:rsidR="001B186F" w:rsidRPr="00DE4E4F" w:rsidRDefault="001B186F">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9946171"/>
      <w:docPartObj>
        <w:docPartGallery w:val="Page Numbers (Bottom of Page)"/>
        <w:docPartUnique/>
      </w:docPartObj>
    </w:sdtPr>
    <w:sdtEndPr/>
    <w:sdtContent>
      <w:p w14:paraId="50AFB7AE" w14:textId="6FB10828"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304A0B5" w14:textId="77777777" w:rsidR="00FB4822" w:rsidRPr="00DE4E4F" w:rsidRDefault="00FB4822">
    <w:pPr>
      <w:pStyle w:val="FooterCouncil"/>
    </w:pPr>
  </w:p>
</w:ftr>
</file>

<file path=word/footer2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9D22" w14:textId="77777777" w:rsidR="001B186F" w:rsidRPr="00DE4E4F" w:rsidRDefault="001B186F">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701B7" w14:textId="77777777" w:rsidR="001B186F" w:rsidRPr="00DE4E4F" w:rsidRDefault="001B186F">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599252"/>
      <w:docPartObj>
        <w:docPartGallery w:val="Page Numbers (Bottom of Page)"/>
        <w:docPartUnique/>
      </w:docPartObj>
    </w:sdtPr>
    <w:sdtEndPr/>
    <w:sdtContent>
      <w:p w14:paraId="27EDEB09" w14:textId="7F84E488"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9FF2943" w14:textId="77777777" w:rsidR="00FB4822" w:rsidRPr="00DE4E4F" w:rsidRDefault="00FB4822">
    <w:pPr>
      <w:pStyle w:val="FooterCouncil"/>
    </w:pPr>
  </w:p>
</w:ftr>
</file>

<file path=word/footer2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C2F63" w14:textId="77777777" w:rsidR="001B186F" w:rsidRPr="00DE4E4F" w:rsidRDefault="001B186F">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BA0AA" w14:textId="77777777" w:rsidR="001B186F" w:rsidRPr="00DE4E4F" w:rsidRDefault="001B186F">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5142383"/>
      <w:docPartObj>
        <w:docPartGallery w:val="Page Numbers (Bottom of Page)"/>
        <w:docPartUnique/>
      </w:docPartObj>
    </w:sdtPr>
    <w:sdtEndPr/>
    <w:sdtContent>
      <w:p w14:paraId="169EAB9A" w14:textId="63EB1B19"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AA51132" w14:textId="77777777" w:rsidR="00FB4822" w:rsidRPr="00DE4E4F" w:rsidRDefault="00FB4822">
    <w:pPr>
      <w:pStyle w:val="FooterCouncil"/>
    </w:pPr>
  </w:p>
</w:ftr>
</file>

<file path=word/footer2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C96BA" w14:textId="77777777" w:rsidR="001B186F" w:rsidRPr="00DE4E4F" w:rsidRDefault="001B186F">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A7F2" w14:textId="77777777" w:rsidR="001B186F" w:rsidRPr="00DE4E4F" w:rsidRDefault="001B186F">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079900"/>
      <w:docPartObj>
        <w:docPartGallery w:val="Page Numbers (Bottom of Page)"/>
        <w:docPartUnique/>
      </w:docPartObj>
    </w:sdtPr>
    <w:sdtEndPr/>
    <w:sdtContent>
      <w:p w14:paraId="46528524" w14:textId="640FC69B" w:rsidR="00616D05" w:rsidRPr="00DE4E4F" w:rsidRDefault="00616D05">
        <w:pPr>
          <w:pStyle w:val="Foot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2ABCF28B" w14:textId="77777777" w:rsidR="00FB4822" w:rsidRPr="00DE4E4F" w:rsidRDefault="00FB4822">
    <w:pPr>
      <w:pStyle w:val="FooterCouncil"/>
    </w:pPr>
  </w:p>
</w:ftr>
</file>

<file path=word/footer2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0B284" w14:textId="77777777" w:rsidR="001B186F" w:rsidRPr="00DE4E4F" w:rsidRDefault="001B1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4CBA4" w14:textId="77777777" w:rsidR="00EC6DB3" w:rsidRPr="00DE4E4F" w:rsidRDefault="00EC6DB3">
      <w:pPr>
        <w:spacing w:after="0" w:line="240" w:lineRule="auto"/>
      </w:pPr>
      <w:r w:rsidRPr="00DE4E4F">
        <w:separator/>
      </w:r>
    </w:p>
  </w:footnote>
  <w:footnote w:type="continuationSeparator" w:id="0">
    <w:p w14:paraId="1E996EDC" w14:textId="77777777" w:rsidR="00EC6DB3" w:rsidRPr="00DE4E4F" w:rsidRDefault="00EC6DB3">
      <w:pPr>
        <w:spacing w:after="0" w:line="240" w:lineRule="auto"/>
      </w:pPr>
      <w:r w:rsidRPr="00DE4E4F">
        <w:continuationSeparator/>
      </w:r>
    </w:p>
  </w:footnote>
  <w:footnote w:type="continuationNotice" w:id="1">
    <w:p w14:paraId="21D0CB92" w14:textId="77777777" w:rsidR="00EC6DB3" w:rsidRPr="00DE4E4F" w:rsidRDefault="00EC6DB3">
      <w:pPr>
        <w:spacing w:after="0" w:line="240" w:lineRule="auto"/>
      </w:pPr>
    </w:p>
  </w:footnote>
  <w:footnote w:id="2">
    <w:p w14:paraId="1F83925F" w14:textId="77777777" w:rsidR="001B186F" w:rsidRPr="00DE4E4F" w:rsidRDefault="0074517F">
      <w:pPr>
        <w:pStyle w:val="FootnoteText"/>
        <w:ind w:left="0" w:firstLine="0"/>
      </w:pPr>
      <w:r w:rsidRPr="00DE4E4F">
        <w:rPr>
          <w:rStyle w:val="FootnoteReference"/>
        </w:rPr>
        <w:footnoteRef/>
      </w:r>
      <w:r w:rsidRPr="00DE4E4F">
        <w:t xml:space="preserve"> Financial intermediaries </w:t>
      </w:r>
      <w:r w:rsidRPr="00DE4E4F">
        <w:rPr>
          <w:rFonts w:eastAsia="Times New Roman"/>
        </w:rPr>
        <w:t>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DE4E4F">
        <w:t>.</w:t>
      </w:r>
    </w:p>
  </w:footnote>
  <w:footnote w:id="3">
    <w:p w14:paraId="1592FB6A" w14:textId="77777777" w:rsidR="001B186F" w:rsidRPr="00DE4E4F" w:rsidRDefault="0074517F">
      <w:pPr>
        <w:pStyle w:val="FootnoteText"/>
        <w:ind w:left="0" w:firstLine="0"/>
      </w:pPr>
      <w:r w:rsidRPr="00DE4E4F">
        <w:rPr>
          <w:rStyle w:val="FootnoteReference"/>
        </w:rPr>
        <w:footnoteRef/>
      </w:r>
      <w:r w:rsidRPr="00DE4E4F">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4">
    <w:p w14:paraId="42C3CE20" w14:textId="77777777" w:rsidR="001B186F" w:rsidRPr="00DE4E4F" w:rsidRDefault="0074517F">
      <w:pPr>
        <w:pStyle w:val="FootnoteText"/>
        <w:ind w:left="0" w:firstLine="0"/>
      </w:pPr>
      <w:r w:rsidRPr="00DE4E4F">
        <w:rPr>
          <w:rStyle w:val="FootnoteReference"/>
        </w:rPr>
        <w:footnoteRef/>
      </w:r>
      <w:r w:rsidRPr="00DE4E4F">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5">
    <w:p w14:paraId="6CC77970" w14:textId="77777777" w:rsidR="001B186F" w:rsidRPr="00DE4E4F" w:rsidRDefault="0074517F">
      <w:pPr>
        <w:spacing w:after="0" w:line="240" w:lineRule="auto"/>
        <w:jc w:val="both"/>
        <w:rPr>
          <w:rFonts w:ascii="Times New Roman" w:hAnsi="Times New Roman" w:cs="Times New Roman"/>
        </w:rPr>
      </w:pPr>
      <w:r w:rsidRPr="00DE4E4F">
        <w:rPr>
          <w:rStyle w:val="FootnoteReference"/>
          <w:rFonts w:ascii="Times New Roman" w:hAnsi="Times New Roman" w:cs="Times New Roman"/>
          <w:sz w:val="20"/>
          <w:szCs w:val="20"/>
        </w:rPr>
        <w:footnoteRef/>
      </w:r>
      <w:r w:rsidRPr="00DE4E4F">
        <w:rPr>
          <w:rFonts w:ascii="Times New Roman" w:hAnsi="Times New Roman"/>
          <w:sz w:val="20"/>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
    <w:p w14:paraId="3B8AB965" w14:textId="77777777" w:rsidR="001B186F" w:rsidRPr="00DE4E4F" w:rsidRDefault="0074517F">
      <w:pPr>
        <w:pStyle w:val="FootnoteText"/>
        <w:ind w:left="0" w:firstLine="0"/>
      </w:pPr>
      <w:r w:rsidRPr="00DE4E4F">
        <w:rPr>
          <w:rStyle w:val="FootnoteReference"/>
        </w:rPr>
        <w:footnoteRef/>
      </w:r>
      <w:r w:rsidRPr="00DE4E4F">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7">
    <w:p w14:paraId="53F72D55" w14:textId="77777777" w:rsidR="001B186F" w:rsidRPr="00DE4E4F" w:rsidRDefault="0074517F">
      <w:pPr>
        <w:spacing w:after="0" w:line="240" w:lineRule="auto"/>
        <w:jc w:val="both"/>
        <w:rPr>
          <w:rFonts w:ascii="Times New Roman" w:eastAsia="Times New Roman" w:hAnsi="Times New Roman" w:cs="Times New Roman"/>
        </w:rPr>
      </w:pPr>
      <w:r w:rsidRPr="00DE4E4F">
        <w:rPr>
          <w:rStyle w:val="FootnoteReference"/>
          <w:rFonts w:ascii="Times New Roman" w:hAnsi="Times New Roman" w:cs="Times New Roman"/>
        </w:rPr>
        <w:footnoteRef/>
      </w:r>
      <w:r w:rsidRPr="00DE4E4F">
        <w:rPr>
          <w:rFonts w:ascii="Times New Roman" w:hAnsi="Times New Roman" w:cs="Times New Roman"/>
        </w:rPr>
        <w:t xml:space="preserve"> </w:t>
      </w:r>
      <w:r w:rsidRPr="00DE4E4F">
        <w:rPr>
          <w:rFonts w:ascii="Times New Roman" w:hAnsi="Times New Roman" w:cs="Times New Roman"/>
          <w:sz w:val="20"/>
          <w:szCs w:val="20"/>
        </w:rPr>
        <w:t xml:space="preserve">Except for (a) assets and activities in power and/or heat generation, as well as related transmission and distribution infrastructure, using natural gas, that are compliant with the conditions set out in Annex III of the ‘Do no significant harm’ </w:t>
      </w:r>
      <w:r w:rsidRPr="00DE4E4F">
        <w:rPr>
          <w:rFonts w:ascii="Times New Roman" w:eastAsia="Times New Roman" w:hAnsi="Times New Roman" w:cs="Times New Roman"/>
          <w:sz w:val="20"/>
          <w:szCs w:val="20"/>
        </w:rPr>
        <w:t>Technical</w:t>
      </w:r>
      <w:r w:rsidRPr="00DE4E4F">
        <w:rPr>
          <w:rFonts w:ascii="Times New Roman" w:hAnsi="Times New Roman" w:cs="Times New Roman"/>
          <w:sz w:val="20"/>
          <w:szCs w:val="20"/>
        </w:rPr>
        <w:t xml:space="preserve"> Guidance (2021/C58/01) and (b) activities and assets under point (ii) for which the use of fossil fuels is temporary and technically unavoidable for the timely transition towards a fossil fuel free operation.</w:t>
      </w:r>
    </w:p>
  </w:footnote>
  <w:footnote w:id="8">
    <w:p w14:paraId="4C930752" w14:textId="77777777" w:rsidR="001B186F" w:rsidRPr="00DE4E4F" w:rsidRDefault="0074517F">
      <w:pPr>
        <w:spacing w:after="0" w:line="240" w:lineRule="auto"/>
        <w:jc w:val="both"/>
        <w:rPr>
          <w:rFonts w:ascii="Times New Roman" w:eastAsia="EC Square Sans Pro" w:hAnsi="Times New Roman" w:cs="Times New Roman"/>
        </w:rPr>
      </w:pPr>
      <w:r w:rsidRPr="00DE4E4F">
        <w:rPr>
          <w:rStyle w:val="FootnoteReference"/>
          <w:rFonts w:ascii="Times New Roman" w:hAnsi="Times New Roman" w:cs="Times New Roman"/>
        </w:rPr>
        <w:footnoteRef/>
      </w:r>
      <w:r w:rsidRPr="00DE4E4F">
        <w:rPr>
          <w:rFonts w:ascii="Times New Roman" w:hAnsi="Times New Roman" w:cs="Times New Roman"/>
        </w:rPr>
        <w:t xml:space="preserve"> </w:t>
      </w:r>
      <w:r w:rsidRPr="00DE4E4F">
        <w:rPr>
          <w:rFonts w:ascii="Times New Roman" w:eastAsia="EC Square Sans Pro" w:hAnsi="Times New Roman" w:cs="Times New Roman"/>
          <w:sz w:val="20"/>
          <w:szCs w:val="20"/>
        </w:rPr>
        <w:t xml:space="preserve">Where the activity supported achieves projected greenhouse gas emissions that are not significantly lower than the relevant benchmarks, an explanation of the reasons why this is not possible shall be provided. Benchmarks </w:t>
      </w:r>
      <w:r w:rsidRPr="00DE4E4F">
        <w:rPr>
          <w:rFonts w:ascii="Times New Roman" w:eastAsia="Times New Roman" w:hAnsi="Times New Roman" w:cs="Times New Roman"/>
          <w:sz w:val="20"/>
          <w:szCs w:val="20"/>
        </w:rPr>
        <w:t>established</w:t>
      </w:r>
      <w:r w:rsidRPr="00DE4E4F">
        <w:rPr>
          <w:rFonts w:ascii="Times New Roman" w:eastAsia="EC Square Sans Pro" w:hAnsi="Times New Roman" w:cs="Times New Roman"/>
          <w:sz w:val="20"/>
          <w:szCs w:val="20"/>
        </w:rPr>
        <w:t xml:space="preserve"> for free allocation for activities falling within the scope of the Emissions Trading System, as set out in the Commission Implementing Regulation (EU) 2021/447.</w:t>
      </w:r>
      <w:r w:rsidRPr="00DE4E4F">
        <w:rPr>
          <w:rFonts w:ascii="Times New Roman" w:eastAsia="EC Square Sans Pro" w:hAnsi="Times New Roman" w:cs="Times New Roman"/>
        </w:rPr>
        <w:t> </w:t>
      </w:r>
    </w:p>
  </w:footnote>
  <w:footnote w:id="9">
    <w:p w14:paraId="3F8CAEC7" w14:textId="77777777" w:rsidR="001B186F" w:rsidRPr="00DE4E4F" w:rsidRDefault="0074517F">
      <w:pPr>
        <w:spacing w:after="0" w:line="240" w:lineRule="auto"/>
        <w:jc w:val="both"/>
        <w:rPr>
          <w:rFonts w:ascii="Times New Roman" w:hAnsi="Times New Roman" w:cs="Times New Roman"/>
        </w:rPr>
      </w:pPr>
      <w:r w:rsidRPr="00DE4E4F">
        <w:rPr>
          <w:rStyle w:val="FootnoteReference"/>
          <w:rFonts w:ascii="Times New Roman" w:hAnsi="Times New Roman" w:cs="Times New Roman"/>
        </w:rPr>
        <w:footnoteRef/>
      </w:r>
      <w:r w:rsidRPr="00DE4E4F">
        <w:rPr>
          <w:rFonts w:ascii="Times New Roman" w:hAnsi="Times New Roman" w:cs="Times New Roman"/>
        </w:rPr>
        <w:t xml:space="preserve"> </w:t>
      </w:r>
      <w:r w:rsidRPr="00DE4E4F">
        <w:rPr>
          <w:rFonts w:ascii="Times New Roman" w:hAnsi="Times New Roman" w:cs="Times New Roman"/>
          <w:sz w:val="20"/>
          <w:szCs w:val="20"/>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0">
    <w:p w14:paraId="1319E7E8" w14:textId="77777777" w:rsidR="001B186F" w:rsidRPr="00DE4E4F" w:rsidRDefault="0074517F">
      <w:pPr>
        <w:spacing w:after="0" w:line="240" w:lineRule="auto"/>
        <w:jc w:val="both"/>
      </w:pPr>
      <w:r w:rsidRPr="00DE4E4F">
        <w:rPr>
          <w:rStyle w:val="FootnoteReference"/>
          <w:rFonts w:ascii="Times New Roman" w:hAnsi="Times New Roman" w:cs="Times New Roman"/>
        </w:rPr>
        <w:footnoteRef/>
      </w:r>
      <w:r w:rsidRPr="00DE4E4F">
        <w:rPr>
          <w:rFonts w:ascii="Times New Roman" w:hAnsi="Times New Roman" w:cs="Times New Roman"/>
        </w:rPr>
        <w:t xml:space="preserve"> </w:t>
      </w:r>
      <w:r w:rsidRPr="00DE4E4F">
        <w:rPr>
          <w:rFonts w:ascii="Times New Roman" w:hAnsi="Times New Roman" w:cs="Times New Roman"/>
          <w:sz w:val="20"/>
          <w:szCs w:val="20"/>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1">
    <w:p w14:paraId="63E25A10" w14:textId="77777777" w:rsidR="001B186F" w:rsidRPr="00DE4E4F" w:rsidRDefault="0074517F">
      <w:pPr>
        <w:spacing w:after="0" w:line="240" w:lineRule="auto"/>
        <w:jc w:val="both"/>
        <w:rPr>
          <w:rFonts w:eastAsia="Times New Roman"/>
        </w:rPr>
      </w:pPr>
      <w:r w:rsidRPr="00DE4E4F">
        <w:rPr>
          <w:rStyle w:val="FootnoteReference"/>
        </w:rPr>
        <w:footnoteRef/>
      </w:r>
      <w:r w:rsidRPr="00DE4E4F">
        <w:t xml:space="preserve"> </w:t>
      </w:r>
      <w:r w:rsidRPr="00DE4E4F">
        <w:rPr>
          <w:rFonts w:ascii="Times New Roman" w:eastAsia="Times New Roman" w:hAnsi="Times New Roman" w:cs="Times New Roman"/>
          <w:sz w:val="20"/>
          <w:szCs w:val="20"/>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2">
    <w:p w14:paraId="7DA60D26" w14:textId="77777777" w:rsidR="001B186F" w:rsidRPr="00DE4E4F" w:rsidRDefault="0074517F">
      <w:pPr>
        <w:spacing w:after="0" w:line="240" w:lineRule="auto"/>
        <w:jc w:val="both"/>
        <w:rPr>
          <w:rFonts w:ascii="Times New Roman" w:eastAsia="Times New Roman" w:hAnsi="Times New Roman" w:cs="Times New Roman"/>
          <w:sz w:val="20"/>
          <w:szCs w:val="20"/>
        </w:rPr>
      </w:pPr>
      <w:r w:rsidRPr="00DE4E4F">
        <w:rPr>
          <w:rStyle w:val="FootnoteReference"/>
          <w:rFonts w:ascii="Times New Roman" w:hAnsi="Times New Roman" w:cs="Times New Roman"/>
          <w:sz w:val="20"/>
          <w:szCs w:val="20"/>
        </w:rPr>
        <w:footnoteRef/>
      </w:r>
      <w:r w:rsidRPr="00DE4E4F">
        <w:rPr>
          <w:rFonts w:ascii="Times New Roman" w:hAnsi="Times New Roman" w:cs="Times New Roman"/>
          <w:sz w:val="20"/>
          <w:szCs w:val="20"/>
        </w:rPr>
        <w:t xml:space="preserve"> </w:t>
      </w:r>
      <w:r w:rsidRPr="00DE4E4F">
        <w:rPr>
          <w:rFonts w:ascii="Times New Roman" w:eastAsia="Times New Roman" w:hAnsi="Times New Roman" w:cs="Times New Roman"/>
          <w:sz w:val="20"/>
          <w:szCs w:val="20"/>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3">
    <w:p w14:paraId="665355E0" w14:textId="77777777" w:rsidR="001B186F" w:rsidRPr="00DE4E4F" w:rsidRDefault="0074517F">
      <w:pPr>
        <w:spacing w:after="0" w:line="240" w:lineRule="auto"/>
        <w:jc w:val="both"/>
        <w:rPr>
          <w:rFonts w:eastAsia="EC Square Sans Pro"/>
        </w:rPr>
      </w:pPr>
      <w:r w:rsidRPr="00DE4E4F">
        <w:rPr>
          <w:rStyle w:val="FootnoteReference"/>
          <w:rFonts w:ascii="Times New Roman" w:hAnsi="Times New Roman" w:cs="Times New Roman"/>
        </w:rPr>
        <w:footnoteRef/>
      </w:r>
      <w:r w:rsidRPr="00DE4E4F">
        <w:rPr>
          <w:rFonts w:ascii="Times New Roman" w:hAnsi="Times New Roman" w:cs="Times New Roman"/>
        </w:rPr>
        <w:t xml:space="preserve"> </w:t>
      </w:r>
      <w:r w:rsidRPr="00DE4E4F">
        <w:rPr>
          <w:rFonts w:ascii="Times New Roman" w:eastAsia="EC Square Sans Pro" w:hAnsi="Times New Roman" w:cs="Times New Roman"/>
          <w:sz w:val="20"/>
          <w:szCs w:val="20"/>
        </w:rPr>
        <w:t xml:space="preserve">Including activities and assets under the EU Emission Trading System (ETS) achieving projected greenhouse gas </w:t>
      </w:r>
      <w:r w:rsidRPr="00DE4E4F">
        <w:rPr>
          <w:rFonts w:ascii="Times New Roman" w:eastAsia="Times New Roman" w:hAnsi="Times New Roman" w:cs="Times New Roman"/>
          <w:sz w:val="20"/>
          <w:szCs w:val="20"/>
        </w:rPr>
        <w:t>emissions</w:t>
      </w:r>
      <w:r w:rsidRPr="00DE4E4F">
        <w:rPr>
          <w:rFonts w:ascii="Times New Roman" w:eastAsia="EC Square Sans Pro" w:hAnsi="Times New Roman" w:cs="Times New Roman"/>
          <w:sz w:val="20"/>
          <w:szCs w:val="20"/>
        </w:rPr>
        <w:t xml:space="preserve">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4">
    <w:p w14:paraId="261261F2" w14:textId="77777777" w:rsidR="001B186F" w:rsidRPr="00DE4E4F" w:rsidRDefault="0074517F">
      <w:pPr>
        <w:spacing w:after="0" w:line="240" w:lineRule="auto"/>
        <w:jc w:val="both"/>
        <w:rPr>
          <w:rFonts w:ascii="Times New Roman" w:eastAsia="Times New Roman" w:hAnsi="Times New Roman" w:cs="Times New Roman"/>
        </w:rPr>
      </w:pPr>
      <w:r w:rsidRPr="00DE4E4F">
        <w:rPr>
          <w:rStyle w:val="FootnoteReference"/>
        </w:rPr>
        <w:footnoteRef/>
      </w:r>
      <w:r w:rsidRPr="00DE4E4F">
        <w:rPr>
          <w:rStyle w:val="FootnoteReference"/>
        </w:rPr>
        <w:t xml:space="preserve"> </w:t>
      </w:r>
      <w:r w:rsidRPr="00DE4E4F">
        <w:rPr>
          <w:rFonts w:ascii="Times New Roman" w:eastAsia="EC Square Sans Pro" w:hAnsi="Times New Roman" w:cs="Times New Roman"/>
          <w:sz w:val="20"/>
          <w:szCs w:val="20"/>
        </w:rPr>
        <w:t xml:space="preserve">Polluting vehicles </w:t>
      </w:r>
      <w:r w:rsidRPr="00DE4E4F">
        <w:rPr>
          <w:rFonts w:ascii="Times New Roman" w:eastAsia="Times New Roman" w:hAnsi="Times New Roman" w:cs="Times New Roman"/>
          <w:sz w:val="20"/>
          <w:szCs w:val="20"/>
        </w:rPr>
        <w:t>are</w:t>
      </w:r>
      <w:r w:rsidRPr="00DE4E4F">
        <w:rPr>
          <w:rFonts w:ascii="Times New Roman" w:eastAsia="EC Square Sans Pro" w:hAnsi="Times New Roman" w:cs="Times New Roman"/>
          <w:sz w:val="20"/>
          <w:szCs w:val="20"/>
        </w:rPr>
        <w:t xml:space="preserve"> defined as non-zero-emission vehicles.</w:t>
      </w:r>
    </w:p>
  </w:footnote>
  <w:footnote w:id="15">
    <w:p w14:paraId="2A444626" w14:textId="77777777" w:rsidR="001B186F" w:rsidRPr="00A7125E" w:rsidRDefault="0074517F">
      <w:pPr>
        <w:spacing w:after="0" w:line="240" w:lineRule="auto"/>
        <w:jc w:val="both"/>
        <w:rPr>
          <w:rFonts w:eastAsia="Times New Roman"/>
          <w:lang w:val="en-IE"/>
        </w:rPr>
      </w:pPr>
      <w:r w:rsidRPr="00DE4E4F">
        <w:rPr>
          <w:rStyle w:val="FootnoteReference"/>
        </w:rPr>
        <w:footnoteRef/>
      </w:r>
      <w:r w:rsidRPr="00DE4E4F">
        <w:t xml:space="preserve"> </w:t>
      </w:r>
      <w:r w:rsidRPr="00DE4E4F">
        <w:rPr>
          <w:rFonts w:ascii="Times New Roman" w:eastAsia="Times New Roman" w:hAnsi="Times New Roman" w:cs="Times New Roman"/>
          <w:sz w:val="20"/>
          <w:szCs w:val="20"/>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1F866" w14:textId="77777777" w:rsidR="00A92D67" w:rsidRPr="00A92D67" w:rsidRDefault="00A92D67" w:rsidP="00A92D6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216DD" w14:textId="77777777" w:rsidR="00A92D67" w:rsidRPr="00A92D67" w:rsidRDefault="00A92D67" w:rsidP="00A92D6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B2318" w14:textId="77777777" w:rsidR="00A92D67" w:rsidRPr="00A92D67" w:rsidRDefault="00A92D67" w:rsidP="00A92D6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D4779" w14:textId="77777777" w:rsidR="0067105D" w:rsidRPr="00DE4E4F" w:rsidRDefault="0067105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D0AF9" w14:textId="77777777" w:rsidR="0067105D" w:rsidRPr="00DE4E4F" w:rsidRDefault="0067105D">
    <w:r w:rsidRPr="00DE4E4F">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8591"/>
      <w:docPartObj>
        <w:docPartGallery w:val="Page Numbers (Top of Page)"/>
        <w:docPartUnique/>
      </w:docPartObj>
    </w:sdtPr>
    <w:sdtEndPr/>
    <w:sdtContent>
      <w:p w14:paraId="12D34C5D" w14:textId="77777777" w:rsidR="0067105D" w:rsidRPr="00DE4E4F" w:rsidRDefault="0067105D">
        <w:pPr>
          <w:pStyle w:val="Header"/>
          <w:jc w:val="center"/>
        </w:pPr>
        <w:r w:rsidRPr="00DE4E4F">
          <w:fldChar w:fldCharType="begin"/>
        </w:r>
        <w:r w:rsidRPr="00DE4E4F">
          <w:instrText xml:space="preserve"> PAGE   \* MERGEFORMAT </w:instrText>
        </w:r>
        <w:r w:rsidRPr="00DE4E4F">
          <w:fldChar w:fldCharType="separate"/>
        </w:r>
        <w:r w:rsidRPr="00DE4E4F">
          <w:t>2</w:t>
        </w:r>
        <w:r w:rsidRPr="00DE4E4F">
          <w:fldChar w:fldCharType="end"/>
        </w:r>
      </w:p>
    </w:sdtContent>
  </w:sdt>
  <w:p w14:paraId="4F253CCA" w14:textId="77777777" w:rsidR="0067105D" w:rsidRPr="00DE4E4F" w:rsidRDefault="006710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1CF1" w14:textId="77777777" w:rsidR="001B186F" w:rsidRPr="00DE4E4F" w:rsidRDefault="001B18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D0DD9" w14:textId="77777777" w:rsidR="009A0FF1" w:rsidRPr="00DE4E4F" w:rsidRDefault="0074517F">
    <w:r w:rsidRPr="00DE4E4F">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3916F" w14:textId="77777777" w:rsidR="001B186F" w:rsidRPr="00DE4E4F" w:rsidRDefault="001B18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13812" w14:textId="77777777" w:rsidR="001B186F" w:rsidRPr="00DE4E4F" w:rsidRDefault="001B18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1F00E" w14:textId="77777777" w:rsidR="00FB4822" w:rsidRPr="00DE4E4F" w:rsidRDefault="00FB4822">
    <w:r w:rsidRPr="00DE4E4F">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CC1D" w14:textId="77777777" w:rsidR="001B186F" w:rsidRPr="00DE4E4F" w:rsidRDefault="001B18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24370" w14:textId="77777777" w:rsidR="001B186F" w:rsidRPr="00DE4E4F" w:rsidRDefault="001B18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7B8A9" w14:textId="77777777" w:rsidR="009A0FF1" w:rsidRPr="00DE4E4F" w:rsidRDefault="0074517F">
    <w:r w:rsidRPr="00DE4E4F">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D2D4" w14:textId="77777777" w:rsidR="001B186F" w:rsidRPr="00DE4E4F" w:rsidRDefault="001B18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18FEF" w14:textId="77777777" w:rsidR="001B186F" w:rsidRPr="00DE4E4F" w:rsidRDefault="001B186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08E7A" w14:textId="77777777" w:rsidR="009A0FF1" w:rsidRPr="00DE4E4F" w:rsidRDefault="0074517F">
    <w:r w:rsidRPr="00DE4E4F">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834DF" w14:textId="77777777" w:rsidR="001B186F" w:rsidRPr="00DE4E4F" w:rsidRDefault="001B18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F105" w14:textId="77777777" w:rsidR="001B186F" w:rsidRPr="00DE4E4F" w:rsidRDefault="001B186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3EB6" w14:textId="77777777" w:rsidR="00FB4822" w:rsidRPr="00DE4E4F" w:rsidRDefault="00FB4822">
    <w:r w:rsidRPr="00DE4E4F">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1ECAF" w14:textId="77777777" w:rsidR="001B186F" w:rsidRPr="00DE4E4F" w:rsidRDefault="001B186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C060" w14:textId="77777777" w:rsidR="001B186F" w:rsidRPr="00DE4E4F" w:rsidRDefault="001B18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99975" w14:textId="77777777" w:rsidR="00FB4822" w:rsidRPr="00DE4E4F" w:rsidRDefault="00FB4822">
    <w:r w:rsidRPr="00DE4E4F">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C82C5" w14:textId="77777777" w:rsidR="001B186F" w:rsidRPr="00DE4E4F" w:rsidRDefault="001B18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10793" w14:textId="77777777" w:rsidR="001B186F" w:rsidRPr="00DE4E4F" w:rsidRDefault="001B18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B74C0" w14:textId="77777777" w:rsidR="00FB4822" w:rsidRPr="00DE4E4F" w:rsidRDefault="00FB4822">
    <w:r w:rsidRPr="00DE4E4F">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75C2A" w14:textId="77777777" w:rsidR="001B186F" w:rsidRPr="00DE4E4F" w:rsidRDefault="001B186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6DB8E" w14:textId="77777777" w:rsidR="001B186F" w:rsidRPr="00DE4E4F" w:rsidRDefault="001B186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7D30F" w14:textId="77777777" w:rsidR="009A0FF1" w:rsidRPr="00DE4E4F" w:rsidRDefault="0074517F">
    <w:r w:rsidRPr="00DE4E4F">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C990E" w14:textId="77777777" w:rsidR="001B186F" w:rsidRPr="00DE4E4F" w:rsidRDefault="001B186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1ECE" w14:textId="77777777" w:rsidR="001B186F" w:rsidRPr="00DE4E4F" w:rsidRDefault="001B186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F7EAD" w14:textId="77777777" w:rsidR="009A0FF1" w:rsidRPr="00DE4E4F" w:rsidRDefault="0074517F">
    <w:r w:rsidRPr="00DE4E4F">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4609" w14:textId="77777777" w:rsidR="001B186F" w:rsidRPr="00DE4E4F" w:rsidRDefault="001B186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6E0C" w14:textId="77777777" w:rsidR="001B186F" w:rsidRPr="00DE4E4F" w:rsidRDefault="001B186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9A6F8" w14:textId="77777777" w:rsidR="009A0FF1" w:rsidRPr="00DE4E4F" w:rsidRDefault="0074517F">
    <w:r w:rsidRPr="00DE4E4F">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DCDC" w14:textId="77777777" w:rsidR="001B186F" w:rsidRPr="00DE4E4F" w:rsidRDefault="001B186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67A24" w14:textId="77777777" w:rsidR="001B186F" w:rsidRPr="00DE4E4F" w:rsidRDefault="001B186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29F90" w14:textId="77777777" w:rsidR="009A0FF1" w:rsidRPr="00DE4E4F" w:rsidRDefault="0074517F">
    <w:r w:rsidRPr="00DE4E4F">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085EF" w14:textId="77777777" w:rsidR="001B186F" w:rsidRPr="00DE4E4F" w:rsidRDefault="001B186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1ED04" w14:textId="77777777" w:rsidR="001B186F" w:rsidRPr="00DE4E4F" w:rsidRDefault="001B186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849C9" w14:textId="77777777" w:rsidR="00FB4822" w:rsidRPr="00DE4E4F" w:rsidRDefault="00FB4822">
    <w:r w:rsidRPr="00DE4E4F">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8ECA9" w14:textId="77777777" w:rsidR="001B186F" w:rsidRPr="00DE4E4F" w:rsidRDefault="001B186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9EEE6" w14:textId="77777777" w:rsidR="001B186F" w:rsidRPr="00DE4E4F" w:rsidRDefault="001B186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367B8" w14:textId="77777777" w:rsidR="009A0FF1" w:rsidRPr="00DE4E4F" w:rsidRDefault="0074517F">
    <w:r w:rsidRPr="00DE4E4F">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8F23" w14:textId="77777777" w:rsidR="001B186F" w:rsidRPr="00DE4E4F" w:rsidRDefault="001B186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B2D15" w14:textId="77777777" w:rsidR="001B186F" w:rsidRPr="00DE4E4F" w:rsidRDefault="001B186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2BDD" w14:textId="77777777" w:rsidR="009A0FF1" w:rsidRPr="00DE4E4F" w:rsidRDefault="0074517F">
    <w:r w:rsidRPr="00DE4E4F">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8644E" w14:textId="77777777" w:rsidR="001B186F" w:rsidRPr="00DE4E4F" w:rsidRDefault="001B186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82E72" w14:textId="77777777" w:rsidR="001B186F" w:rsidRPr="00DE4E4F" w:rsidRDefault="001B186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9422F" w14:textId="77777777" w:rsidR="00FB4822" w:rsidRPr="00DE4E4F" w:rsidRDefault="00FB4822">
    <w:r w:rsidRPr="00DE4E4F">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D1486" w14:textId="77777777" w:rsidR="001B186F" w:rsidRPr="00DE4E4F" w:rsidRDefault="001B186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75B59" w14:textId="77777777" w:rsidR="001B186F" w:rsidRPr="00DE4E4F" w:rsidRDefault="001B186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3C735" w14:textId="77777777" w:rsidR="00FB4822" w:rsidRPr="00DE4E4F" w:rsidRDefault="00FB4822">
    <w:r w:rsidRPr="00DE4E4F">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357DF" w14:textId="77777777" w:rsidR="001B186F" w:rsidRPr="00DE4E4F" w:rsidRDefault="001B186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4687B" w14:textId="77777777" w:rsidR="001B186F" w:rsidRPr="00DE4E4F" w:rsidRDefault="001B186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9BEAF" w14:textId="77777777" w:rsidR="009A0FF1" w:rsidRPr="00DE4E4F" w:rsidRDefault="0074517F">
    <w:r w:rsidRPr="00DE4E4F">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6D5D3" w14:textId="77777777" w:rsidR="001B186F" w:rsidRPr="00DE4E4F" w:rsidRDefault="001B186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890D" w14:textId="77777777" w:rsidR="001B186F" w:rsidRPr="00DE4E4F" w:rsidRDefault="001B186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5BF25" w14:textId="77777777" w:rsidR="009A0FF1" w:rsidRPr="00DE4E4F" w:rsidRDefault="0074517F">
    <w:r w:rsidRPr="00DE4E4F">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27B47" w14:textId="77777777" w:rsidR="001B186F" w:rsidRPr="00DE4E4F" w:rsidRDefault="001B186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60D9" w14:textId="77777777" w:rsidR="001B186F" w:rsidRPr="00DE4E4F" w:rsidRDefault="001B186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EEA50" w14:textId="77777777" w:rsidR="009A0FF1" w:rsidRPr="00DE4E4F" w:rsidRDefault="0074517F">
    <w:r w:rsidRPr="00DE4E4F">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06A3A" w14:textId="77777777" w:rsidR="001B186F" w:rsidRPr="00DE4E4F" w:rsidRDefault="001B186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3EC75" w14:textId="77777777" w:rsidR="001B186F" w:rsidRPr="00DE4E4F" w:rsidRDefault="001B186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5100C" w14:textId="77777777" w:rsidR="009A0FF1" w:rsidRPr="00DE4E4F" w:rsidRDefault="0074517F">
    <w:r w:rsidRPr="00DE4E4F">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B320D" w14:textId="77777777" w:rsidR="001B186F" w:rsidRPr="00DE4E4F" w:rsidRDefault="001B186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CAB1F" w14:textId="77777777" w:rsidR="001B186F" w:rsidRPr="00DE4E4F" w:rsidRDefault="001B186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FD320" w14:textId="77777777" w:rsidR="00FB4822" w:rsidRPr="00DE4E4F" w:rsidRDefault="00FB4822">
    <w:r w:rsidRPr="00DE4E4F">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A55FB" w14:textId="77777777" w:rsidR="001B186F" w:rsidRPr="00DE4E4F" w:rsidRDefault="001B186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5E14" w14:textId="77777777" w:rsidR="001B186F" w:rsidRPr="00DE4E4F" w:rsidRDefault="001B186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4086" w14:textId="77777777" w:rsidR="00FB4822" w:rsidRPr="00DE4E4F" w:rsidRDefault="00FB4822">
    <w:r w:rsidRPr="00DE4E4F">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37392" w14:textId="77777777" w:rsidR="001B186F" w:rsidRPr="00DE4E4F" w:rsidRDefault="001B186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1EF00" w14:textId="77777777" w:rsidR="001B186F" w:rsidRPr="00DE4E4F" w:rsidRDefault="001B186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465EA" w14:textId="77777777" w:rsidR="009A0FF1" w:rsidRPr="00DE4E4F" w:rsidRDefault="0074517F">
    <w:r w:rsidRPr="00DE4E4F">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30532" w14:textId="77777777" w:rsidR="001B186F" w:rsidRPr="00DE4E4F" w:rsidRDefault="001B186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2E280" w14:textId="77777777" w:rsidR="001B186F" w:rsidRPr="00DE4E4F" w:rsidRDefault="001B186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BC560" w14:textId="77777777" w:rsidR="009A0FF1" w:rsidRPr="00DE4E4F" w:rsidRDefault="0074517F">
    <w:r w:rsidRPr="00DE4E4F">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EC080" w14:textId="77777777" w:rsidR="001B186F" w:rsidRPr="00DE4E4F" w:rsidRDefault="001B186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116AB" w14:textId="77777777" w:rsidR="001B186F" w:rsidRPr="00DE4E4F" w:rsidRDefault="001B186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8C7AC" w14:textId="77777777" w:rsidR="009A0FF1" w:rsidRPr="00DE4E4F" w:rsidRDefault="0074517F">
    <w:r w:rsidRPr="00DE4E4F">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BBF4C" w14:textId="77777777" w:rsidR="001B186F" w:rsidRPr="00DE4E4F" w:rsidRDefault="001B186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246BF" w14:textId="77777777" w:rsidR="001B186F" w:rsidRPr="00DE4E4F" w:rsidRDefault="001B186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46059" w14:textId="77777777" w:rsidR="009A0FF1" w:rsidRPr="00DE4E4F" w:rsidRDefault="0074517F">
    <w:r w:rsidRPr="00DE4E4F">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8199" w14:textId="77777777" w:rsidR="001B186F" w:rsidRPr="00DE4E4F" w:rsidRDefault="001B186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2D741" w14:textId="77777777" w:rsidR="001B186F" w:rsidRPr="00DE4E4F" w:rsidRDefault="001B186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1220" w14:textId="77777777" w:rsidR="00FB4822" w:rsidRPr="00DE4E4F" w:rsidRDefault="00FB4822">
    <w:r w:rsidRPr="00DE4E4F">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F5FDE" w14:textId="77777777" w:rsidR="001B186F" w:rsidRPr="00DE4E4F" w:rsidRDefault="001B186F">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5744B" w14:textId="77777777" w:rsidR="001B186F" w:rsidRPr="00DE4E4F" w:rsidRDefault="001B186F">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983B" w14:textId="77777777" w:rsidR="009A0FF1" w:rsidRPr="00DE4E4F" w:rsidRDefault="0074517F">
    <w:r w:rsidRPr="00DE4E4F">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5059" w14:textId="77777777" w:rsidR="001B186F" w:rsidRPr="00DE4E4F" w:rsidRDefault="001B186F">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10273" w14:textId="77777777" w:rsidR="001B186F" w:rsidRPr="00DE4E4F" w:rsidRDefault="001B186F">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E77DA" w14:textId="77777777" w:rsidR="009A0FF1" w:rsidRPr="00DE4E4F" w:rsidRDefault="0074517F">
    <w:r w:rsidRPr="00DE4E4F">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662C3" w14:textId="77777777" w:rsidR="001B186F" w:rsidRPr="00DE4E4F" w:rsidRDefault="001B186F">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45304" w14:textId="77777777" w:rsidR="001B186F" w:rsidRPr="00DE4E4F" w:rsidRDefault="001B186F">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34882" w14:textId="77777777" w:rsidR="00FB4822" w:rsidRPr="00DE4E4F" w:rsidRDefault="00FB4822">
    <w:r w:rsidRPr="00DE4E4F">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093BA" w14:textId="77777777" w:rsidR="001B186F" w:rsidRPr="00DE4E4F" w:rsidRDefault="001B186F">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C0D30" w14:textId="77777777" w:rsidR="001B186F" w:rsidRPr="00DE4E4F" w:rsidRDefault="001B186F">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20E0D" w14:textId="77777777" w:rsidR="009A0FF1" w:rsidRPr="00DE4E4F" w:rsidRDefault="0074517F">
    <w:r w:rsidRPr="00DE4E4F">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007D0" w14:textId="77777777" w:rsidR="001B186F" w:rsidRPr="00DE4E4F" w:rsidRDefault="001B186F">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4D2B8" w14:textId="77777777" w:rsidR="001B186F" w:rsidRPr="00DE4E4F" w:rsidRDefault="001B186F">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308C" w14:textId="77777777" w:rsidR="009A0FF1" w:rsidRPr="00DE4E4F" w:rsidRDefault="0074517F">
    <w:r w:rsidRPr="00DE4E4F">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BDD62" w14:textId="77777777" w:rsidR="001B186F" w:rsidRPr="00DE4E4F" w:rsidRDefault="001B186F">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B80F3" w14:textId="77777777" w:rsidR="001B186F" w:rsidRPr="00DE4E4F" w:rsidRDefault="001B186F">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C79F1" w14:textId="77777777" w:rsidR="00FB4822" w:rsidRPr="00DE4E4F" w:rsidRDefault="00FB4822">
    <w:r w:rsidRPr="00DE4E4F">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E984" w14:textId="77777777" w:rsidR="001B186F" w:rsidRPr="00DE4E4F" w:rsidRDefault="001B186F">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C9855" w14:textId="77777777" w:rsidR="001B186F" w:rsidRPr="00DE4E4F" w:rsidRDefault="001B186F">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A3E7B" w14:textId="77777777" w:rsidR="00FB4822" w:rsidRPr="00DE4E4F" w:rsidRDefault="00FB4822">
    <w:r w:rsidRPr="00DE4E4F">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65A249" w14:textId="77777777" w:rsidR="001B186F" w:rsidRPr="00DE4E4F" w:rsidRDefault="001B186F">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BB949" w14:textId="77777777" w:rsidR="001B186F" w:rsidRPr="00DE4E4F" w:rsidRDefault="001B186F">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C71E2" w14:textId="77777777" w:rsidR="009A0FF1" w:rsidRPr="00DE4E4F" w:rsidRDefault="0074517F">
    <w:r w:rsidRPr="00DE4E4F">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93892" w14:textId="77777777" w:rsidR="001B186F" w:rsidRPr="00DE4E4F" w:rsidRDefault="001B186F">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A4D" w14:textId="77777777" w:rsidR="001B186F" w:rsidRPr="00DE4E4F" w:rsidRDefault="001B186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B6A4" w14:textId="77777777" w:rsidR="009A0FF1" w:rsidRPr="00DE4E4F" w:rsidRDefault="0074517F">
    <w:r w:rsidRPr="00DE4E4F">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4F926" w14:textId="77777777" w:rsidR="001B186F" w:rsidRPr="00DE4E4F" w:rsidRDefault="001B186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D28C" w14:textId="77777777" w:rsidR="001B186F" w:rsidRPr="00DE4E4F" w:rsidRDefault="001B186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BFCE" w14:textId="00177FCE" w:rsidR="001F7350" w:rsidRPr="00DE4E4F" w:rsidRDefault="001F7350">
    <w:pPr>
      <w:pStyle w:val="Header"/>
      <w:jc w:val="center"/>
    </w:pPr>
  </w:p>
  <w:p w14:paraId="4434971D" w14:textId="74E03FE2" w:rsidR="009A0FF1" w:rsidRPr="00DE4E4F" w:rsidRDefault="009A0FF1"/>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03476" w14:textId="77777777" w:rsidR="001B186F" w:rsidRPr="00DE4E4F" w:rsidRDefault="001B186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A9508" w14:textId="77777777" w:rsidR="001B186F" w:rsidRPr="00DE4E4F" w:rsidRDefault="001B186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3752A" w14:textId="77777777" w:rsidR="009A0FF1" w:rsidRPr="00DE4E4F" w:rsidRDefault="0074517F">
    <w:r w:rsidRPr="00DE4E4F">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1D636" w14:textId="77777777" w:rsidR="001B186F" w:rsidRPr="00DE4E4F" w:rsidRDefault="001B186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AA94B" w14:textId="77777777" w:rsidR="001B186F" w:rsidRPr="00DE4E4F" w:rsidRDefault="001B186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F4388" w14:textId="77777777" w:rsidR="009A0FF1" w:rsidRPr="00DE4E4F" w:rsidRDefault="0074517F">
    <w:r w:rsidRPr="00DE4E4F">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E5D9A" w14:textId="77777777" w:rsidR="001B186F" w:rsidRPr="00DE4E4F" w:rsidRDefault="001B186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B9B20" w14:textId="77777777" w:rsidR="001B186F" w:rsidRPr="00DE4E4F" w:rsidRDefault="001B186F">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88FA4" w14:textId="77777777" w:rsidR="009A0FF1" w:rsidRPr="00DE4E4F" w:rsidRDefault="0074517F">
    <w:r w:rsidRPr="00DE4E4F">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958D7" w14:textId="77777777" w:rsidR="001B186F" w:rsidRPr="00DE4E4F" w:rsidRDefault="001B186F">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C326B" w14:textId="77777777" w:rsidR="001B186F" w:rsidRPr="00DE4E4F" w:rsidRDefault="001B186F">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7E94" w14:textId="77777777" w:rsidR="00FB4822" w:rsidRPr="00DE4E4F" w:rsidRDefault="00FB4822">
    <w:r w:rsidRPr="00DE4E4F">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1D4F" w14:textId="77777777" w:rsidR="001B186F" w:rsidRPr="00DE4E4F" w:rsidRDefault="001B186F">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03091" w14:textId="77777777" w:rsidR="001B186F" w:rsidRPr="00DE4E4F" w:rsidRDefault="001B186F">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0AB47" w14:textId="77777777" w:rsidR="009A0FF1" w:rsidRPr="00DE4E4F" w:rsidRDefault="0074517F">
    <w:r w:rsidRPr="00DE4E4F">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935C8" w14:textId="77777777" w:rsidR="001B186F" w:rsidRPr="00DE4E4F" w:rsidRDefault="001B186F">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CEBF" w14:textId="77777777" w:rsidR="001B186F" w:rsidRPr="00DE4E4F" w:rsidRDefault="001B186F">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9C8C5" w14:textId="77777777" w:rsidR="009A0FF1" w:rsidRPr="00DE4E4F" w:rsidRDefault="0074517F">
    <w:r w:rsidRPr="00DE4E4F">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83C18" w14:textId="77777777" w:rsidR="001B186F" w:rsidRPr="00DE4E4F" w:rsidRDefault="001B186F">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FAE7A" w14:textId="77777777" w:rsidR="001B186F" w:rsidRPr="00DE4E4F" w:rsidRDefault="001B186F">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CB45" w14:textId="77777777" w:rsidR="00FB4822" w:rsidRPr="00DE4E4F" w:rsidRDefault="00FB4822">
    <w:r w:rsidRPr="00DE4E4F">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7FCB" w14:textId="77777777" w:rsidR="001B186F" w:rsidRPr="00DE4E4F" w:rsidRDefault="001B186F">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95616" w14:textId="77777777" w:rsidR="001B186F" w:rsidRPr="00DE4E4F" w:rsidRDefault="001B186F">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8C83D" w14:textId="77777777" w:rsidR="00FB4822" w:rsidRPr="00DE4E4F" w:rsidRDefault="00FB4822">
    <w:r w:rsidRPr="00DE4E4F">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61E7" w14:textId="77777777" w:rsidR="001B186F" w:rsidRPr="00DE4E4F" w:rsidRDefault="001B186F">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EA06B" w14:textId="77777777" w:rsidR="001B186F" w:rsidRPr="00DE4E4F" w:rsidRDefault="001B186F">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06F72" w14:textId="77777777" w:rsidR="009A0FF1" w:rsidRPr="00DE4E4F" w:rsidRDefault="0074517F">
    <w:r w:rsidRPr="00DE4E4F">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18C2B" w14:textId="77777777" w:rsidR="001B186F" w:rsidRPr="00DE4E4F" w:rsidRDefault="001B186F">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8F9D4" w14:textId="77777777" w:rsidR="001B186F" w:rsidRPr="00DE4E4F" w:rsidRDefault="001B186F">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1A521" w14:textId="77777777" w:rsidR="009A0FF1" w:rsidRPr="00DE4E4F" w:rsidRDefault="0074517F">
    <w:r w:rsidRPr="00DE4E4F">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A2298" w14:textId="77777777" w:rsidR="001B186F" w:rsidRPr="00DE4E4F" w:rsidRDefault="001B186F">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EC503" w14:textId="77777777" w:rsidR="001B186F" w:rsidRPr="00DE4E4F" w:rsidRDefault="001B186F">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8D19C" w14:textId="77777777" w:rsidR="009A0FF1" w:rsidRPr="00DE4E4F" w:rsidRDefault="0074517F">
    <w:r w:rsidRPr="00DE4E4F">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3F225" w14:textId="77777777" w:rsidR="001B186F" w:rsidRPr="00DE4E4F" w:rsidRDefault="001B186F">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C33B2" w14:textId="77777777" w:rsidR="001B186F" w:rsidRPr="00DE4E4F" w:rsidRDefault="001B186F">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3A041" w14:textId="77777777" w:rsidR="009A0FF1" w:rsidRPr="00DE4E4F" w:rsidRDefault="0074517F">
    <w:r w:rsidRPr="00DE4E4F">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51AFF" w14:textId="77777777" w:rsidR="001B186F" w:rsidRPr="00DE4E4F" w:rsidRDefault="001B186F">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F0C98" w14:textId="77777777" w:rsidR="001B186F" w:rsidRPr="00DE4E4F" w:rsidRDefault="001B186F">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B69F8" w14:textId="77777777" w:rsidR="009A0FF1" w:rsidRPr="00DE4E4F" w:rsidRDefault="0074517F">
    <w:r w:rsidRPr="00DE4E4F">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08B6" w14:textId="77777777" w:rsidR="001B186F" w:rsidRPr="00DE4E4F" w:rsidRDefault="001B186F">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F7FEF" w14:textId="77777777" w:rsidR="001B186F" w:rsidRPr="00DE4E4F" w:rsidRDefault="001B186F">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E6004" w14:textId="77777777" w:rsidR="009A0FF1" w:rsidRPr="00DE4E4F" w:rsidRDefault="0074517F">
    <w:r w:rsidRPr="00DE4E4F">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047F0" w14:textId="77777777" w:rsidR="001B186F" w:rsidRPr="00DE4E4F" w:rsidRDefault="001B186F">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B47ED" w14:textId="77777777" w:rsidR="001B186F" w:rsidRPr="00DE4E4F" w:rsidRDefault="001B186F">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869A2" w14:textId="77777777" w:rsidR="009A0FF1" w:rsidRPr="00DE4E4F" w:rsidRDefault="0074517F">
    <w:r w:rsidRPr="00DE4E4F">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5372A" w14:textId="77777777" w:rsidR="001B186F" w:rsidRPr="00DE4E4F" w:rsidRDefault="001B186F">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2F3C1" w14:textId="77777777" w:rsidR="001B186F" w:rsidRPr="00DE4E4F" w:rsidRDefault="001B186F">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DB6BC" w14:textId="77777777" w:rsidR="00FB4822" w:rsidRPr="00DE4E4F" w:rsidRDefault="00FB4822">
    <w:r w:rsidRPr="00DE4E4F">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A1718" w14:textId="77777777" w:rsidR="001B186F" w:rsidRPr="00DE4E4F" w:rsidRDefault="001B186F">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5A22" w14:textId="77777777" w:rsidR="001B186F" w:rsidRPr="00DE4E4F" w:rsidRDefault="001B186F">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7CD28" w14:textId="77777777" w:rsidR="00FB4822" w:rsidRPr="00DE4E4F" w:rsidRDefault="00FB4822">
    <w:r w:rsidRPr="00DE4E4F">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10983" w14:textId="77777777" w:rsidR="001B186F" w:rsidRPr="00DE4E4F" w:rsidRDefault="001B186F">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D5806" w14:textId="77777777" w:rsidR="001B186F" w:rsidRPr="00DE4E4F" w:rsidRDefault="001B186F">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9788B" w14:textId="77777777" w:rsidR="00FB4822" w:rsidRPr="00DE4E4F" w:rsidRDefault="00FB4822">
    <w:r w:rsidRPr="00DE4E4F">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72E3" w14:textId="77777777" w:rsidR="001B186F" w:rsidRPr="00DE4E4F" w:rsidRDefault="001B186F">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FE3B9" w14:textId="77777777" w:rsidR="001B186F" w:rsidRPr="00DE4E4F" w:rsidRDefault="001B186F">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0B359" w14:textId="77777777" w:rsidR="00FB4822" w:rsidRPr="00DE4E4F" w:rsidRDefault="00FB4822">
    <w:r w:rsidRPr="00DE4E4F">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C4EE" w14:textId="77777777" w:rsidR="001B186F" w:rsidRPr="00DE4E4F" w:rsidRDefault="001B186F">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BA8E7" w14:textId="77777777" w:rsidR="001B186F" w:rsidRPr="00DE4E4F" w:rsidRDefault="001B186F">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19415" w14:textId="77777777" w:rsidR="009A0FF1" w:rsidRPr="00DE4E4F" w:rsidRDefault="0074517F">
    <w:r w:rsidRPr="00DE4E4F">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C0520" w14:textId="77777777" w:rsidR="001B186F" w:rsidRPr="00DE4E4F" w:rsidRDefault="001B186F">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7457" w14:textId="77777777" w:rsidR="001B186F" w:rsidRPr="00DE4E4F" w:rsidRDefault="001B186F">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64A2" w14:textId="77777777" w:rsidR="009A0FF1" w:rsidRPr="00DE4E4F" w:rsidRDefault="0074517F">
    <w:r w:rsidRPr="00DE4E4F">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6F1C5" w14:textId="77777777" w:rsidR="001B186F" w:rsidRPr="00DE4E4F" w:rsidRDefault="001B186F">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EDA7A" w14:textId="77777777" w:rsidR="001B186F" w:rsidRPr="00DE4E4F" w:rsidRDefault="001B186F">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93BF" w14:textId="77777777" w:rsidR="009A0FF1" w:rsidRPr="00DE4E4F" w:rsidRDefault="0074517F">
    <w:r w:rsidRPr="00DE4E4F">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4089E" w14:textId="77777777" w:rsidR="001B186F" w:rsidRPr="00DE4E4F" w:rsidRDefault="001B186F">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CFD0A" w14:textId="77777777" w:rsidR="001B186F" w:rsidRPr="00DE4E4F" w:rsidRDefault="001B186F">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E1EB" w14:textId="77777777" w:rsidR="00FB4822" w:rsidRPr="00DE4E4F" w:rsidRDefault="00FB4822">
    <w:r w:rsidRPr="00DE4E4F">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62D29" w14:textId="77777777" w:rsidR="001B186F" w:rsidRPr="00DE4E4F" w:rsidRDefault="001B186F">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1F121" w14:textId="77777777" w:rsidR="001B186F" w:rsidRPr="00DE4E4F" w:rsidRDefault="001B186F">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430D" w14:textId="77777777" w:rsidR="009A0FF1" w:rsidRPr="00DE4E4F" w:rsidRDefault="0074517F">
    <w:r w:rsidRPr="00DE4E4F">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58166" w14:textId="77777777" w:rsidR="001B186F" w:rsidRPr="00DE4E4F" w:rsidRDefault="001B186F">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970F0" w14:textId="77777777" w:rsidR="001B186F" w:rsidRPr="00DE4E4F" w:rsidRDefault="001B186F">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C6415" w14:textId="77777777" w:rsidR="009A0FF1" w:rsidRPr="00DE4E4F" w:rsidRDefault="0074517F">
    <w:r w:rsidRPr="00DE4E4F">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7ADAF" w14:textId="77777777" w:rsidR="001B186F" w:rsidRPr="00DE4E4F" w:rsidRDefault="001B186F">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76D3A" w14:textId="77777777" w:rsidR="001B186F" w:rsidRPr="00DE4E4F" w:rsidRDefault="001B186F">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ED35" w14:textId="77777777" w:rsidR="00FB4822" w:rsidRPr="00DE4E4F" w:rsidRDefault="00FB4822">
    <w:r w:rsidRPr="00DE4E4F">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612B1" w14:textId="77777777" w:rsidR="001B186F" w:rsidRPr="00DE4E4F" w:rsidRDefault="001B186F">
    <w:pPr>
      <w:pStyle w:val="Heade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D2A37" w14:textId="77777777" w:rsidR="001B186F" w:rsidRPr="00DE4E4F" w:rsidRDefault="001B186F">
    <w:pPr>
      <w:pStyle w:val="Heade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4879A" w14:textId="77777777" w:rsidR="00FB4822" w:rsidRPr="00DE4E4F" w:rsidRDefault="00FB4822">
    <w:r w:rsidRPr="00DE4E4F">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9E274" w14:textId="77777777" w:rsidR="001B186F" w:rsidRPr="00DE4E4F" w:rsidRDefault="001B186F">
    <w:pPr>
      <w:pStyle w:val="Heade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65EE" w14:textId="77777777" w:rsidR="001B186F" w:rsidRPr="00DE4E4F" w:rsidRDefault="001B186F">
    <w:pPr>
      <w:pStyle w:val="Heade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571A" w14:textId="77777777" w:rsidR="009A0FF1" w:rsidRPr="00DE4E4F" w:rsidRDefault="0074517F">
    <w:r w:rsidRPr="00DE4E4F">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C02C" w14:textId="77777777" w:rsidR="001B186F" w:rsidRPr="00DE4E4F" w:rsidRDefault="001B186F">
    <w:pPr>
      <w:pStyle w:val="Heade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9E10A" w14:textId="77777777" w:rsidR="001B186F" w:rsidRPr="00DE4E4F" w:rsidRDefault="001B186F">
    <w:pPr>
      <w:pStyle w:val="Heade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536F2" w14:textId="77777777" w:rsidR="009A0FF1" w:rsidRPr="00DE4E4F" w:rsidRDefault="0074517F">
    <w:r w:rsidRPr="00DE4E4F">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4BD30" w14:textId="77777777" w:rsidR="001B186F" w:rsidRPr="00DE4E4F" w:rsidRDefault="001B186F">
    <w:pPr>
      <w:pStyle w:val="Header"/>
    </w:pPr>
  </w:p>
</w:hdr>
</file>

<file path=word/header2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1C4BF" w14:textId="77777777" w:rsidR="001B186F" w:rsidRPr="00DE4E4F" w:rsidRDefault="001B186F">
    <w:pPr>
      <w:pStyle w:val="Header"/>
    </w:pPr>
  </w:p>
</w:hdr>
</file>

<file path=word/header2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37A9" w14:textId="77777777" w:rsidR="009A0FF1" w:rsidRPr="00DE4E4F" w:rsidRDefault="0074517F">
    <w:r w:rsidRPr="00DE4E4F">
      <w:t> </w:t>
    </w:r>
  </w:p>
</w:hdr>
</file>

<file path=word/header2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D614" w14:textId="77777777" w:rsidR="001B186F" w:rsidRPr="00DE4E4F" w:rsidRDefault="001B186F">
    <w:pPr>
      <w:pStyle w:val="Header"/>
    </w:pPr>
  </w:p>
</w:hdr>
</file>

<file path=word/header2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644C9" w14:textId="77777777" w:rsidR="001B186F" w:rsidRPr="00DE4E4F" w:rsidRDefault="001B186F">
    <w:pPr>
      <w:pStyle w:val="Header"/>
    </w:pPr>
  </w:p>
</w:hdr>
</file>

<file path=word/header2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B9262" w14:textId="77777777" w:rsidR="009A0FF1" w:rsidRPr="00DE4E4F" w:rsidRDefault="0074517F">
    <w:r w:rsidRPr="00DE4E4F">
      <w:t> </w:t>
    </w:r>
  </w:p>
</w:hdr>
</file>

<file path=word/header2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258D8" w14:textId="77777777" w:rsidR="001B186F" w:rsidRPr="00DE4E4F" w:rsidRDefault="001B186F">
    <w:pPr>
      <w:pStyle w:val="Header"/>
    </w:pPr>
  </w:p>
</w:hdr>
</file>

<file path=word/header2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6847" w14:textId="77777777" w:rsidR="001B186F" w:rsidRPr="00DE4E4F" w:rsidRDefault="001B186F">
    <w:pPr>
      <w:pStyle w:val="Header"/>
    </w:pPr>
  </w:p>
</w:hdr>
</file>

<file path=word/header2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BFEFE" w14:textId="77777777" w:rsidR="009A0FF1" w:rsidRPr="00DE4E4F" w:rsidRDefault="0074517F">
    <w:r w:rsidRPr="00DE4E4F">
      <w:t> </w:t>
    </w:r>
  </w:p>
</w:hdr>
</file>

<file path=word/header2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D00A9" w14:textId="77777777" w:rsidR="001B186F" w:rsidRPr="00DE4E4F" w:rsidRDefault="001B186F">
    <w:pPr>
      <w:pStyle w:val="Header"/>
    </w:pPr>
  </w:p>
</w:hdr>
</file>

<file path=word/header2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EC2C5" w14:textId="77777777" w:rsidR="001B186F" w:rsidRPr="00DE4E4F" w:rsidRDefault="001B186F">
    <w:pPr>
      <w:pStyle w:val="Header"/>
    </w:pPr>
  </w:p>
</w:hdr>
</file>

<file path=word/header2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2DB0F" w14:textId="77777777" w:rsidR="00FB4822" w:rsidRPr="00DE4E4F" w:rsidRDefault="00FB4822">
    <w:r w:rsidRPr="00DE4E4F">
      <w:t> </w:t>
    </w:r>
  </w:p>
</w:hdr>
</file>

<file path=word/header2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7EF4C" w14:textId="77777777" w:rsidR="001B186F" w:rsidRPr="00DE4E4F" w:rsidRDefault="001B186F">
    <w:pPr>
      <w:pStyle w:val="Header"/>
    </w:pPr>
  </w:p>
</w:hdr>
</file>

<file path=word/header2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BB3F" w14:textId="77777777" w:rsidR="001B186F" w:rsidRPr="00DE4E4F" w:rsidRDefault="001B186F">
    <w:pPr>
      <w:pStyle w:val="Header"/>
    </w:pPr>
  </w:p>
</w:hdr>
</file>

<file path=word/header2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97A5A" w14:textId="77777777" w:rsidR="00FB4822" w:rsidRPr="00DE4E4F" w:rsidRDefault="00FB4822">
    <w:r w:rsidRPr="00DE4E4F">
      <w:t> </w:t>
    </w:r>
  </w:p>
</w:hdr>
</file>

<file path=word/header2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BA354" w14:textId="77777777" w:rsidR="001B186F" w:rsidRPr="00DE4E4F" w:rsidRDefault="001B186F">
    <w:pPr>
      <w:pStyle w:val="Header"/>
    </w:pPr>
  </w:p>
</w:hdr>
</file>

<file path=word/header2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63D3E" w14:textId="77777777" w:rsidR="001B186F" w:rsidRPr="00DE4E4F" w:rsidRDefault="001B186F">
    <w:pPr>
      <w:pStyle w:val="Header"/>
    </w:pPr>
  </w:p>
</w:hdr>
</file>

<file path=word/header2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B470" w14:textId="77777777" w:rsidR="00FB4822" w:rsidRPr="00DE4E4F" w:rsidRDefault="00FB4822">
    <w:r w:rsidRPr="00DE4E4F">
      <w:t> </w:t>
    </w:r>
  </w:p>
</w:hdr>
</file>

<file path=word/header2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658CE" w14:textId="77777777" w:rsidR="001B186F" w:rsidRPr="00DE4E4F" w:rsidRDefault="001B186F">
    <w:pPr>
      <w:pStyle w:val="Header"/>
    </w:pPr>
  </w:p>
</w:hdr>
</file>

<file path=word/header2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57C4A" w14:textId="77777777" w:rsidR="001B186F" w:rsidRPr="00DE4E4F" w:rsidRDefault="001B186F">
    <w:pPr>
      <w:pStyle w:val="Header"/>
    </w:pPr>
  </w:p>
</w:hdr>
</file>

<file path=word/header2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5A068" w14:textId="77777777" w:rsidR="00FB4822" w:rsidRPr="00DE4E4F" w:rsidRDefault="00FB4822">
    <w:r w:rsidRPr="00DE4E4F">
      <w:t> </w:t>
    </w:r>
  </w:p>
</w:hdr>
</file>

<file path=word/header2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55887" w14:textId="77777777" w:rsidR="001B186F" w:rsidRPr="00DE4E4F" w:rsidRDefault="001B1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628"/>
        </w:tabs>
        <w:ind w:left="1628"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003F54"/>
    <w:multiLevelType w:val="hybridMultilevel"/>
    <w:tmpl w:val="99862E8E"/>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0732442"/>
    <w:multiLevelType w:val="hybridMultilevel"/>
    <w:tmpl w:val="E3C0D34E"/>
    <w:lvl w:ilvl="0" w:tplc="0AB29A70">
      <w:start w:val="1"/>
      <w:numFmt w:val="bullet"/>
      <w:lvlText w:val="-"/>
      <w:lvlJc w:val="left"/>
      <w:pPr>
        <w:ind w:left="720" w:hanging="360"/>
      </w:pPr>
      <w:rPr>
        <w:rFonts w:ascii="Aptos" w:hAnsi="Aptos" w:hint="default"/>
      </w:rPr>
    </w:lvl>
    <w:lvl w:ilvl="1" w:tplc="29BEBDFA">
      <w:start w:val="1"/>
      <w:numFmt w:val="bullet"/>
      <w:lvlText w:val="o"/>
      <w:lvlJc w:val="left"/>
      <w:pPr>
        <w:ind w:left="1440" w:hanging="360"/>
      </w:pPr>
      <w:rPr>
        <w:rFonts w:ascii="Courier New" w:hAnsi="Courier New" w:hint="default"/>
      </w:rPr>
    </w:lvl>
    <w:lvl w:ilvl="2" w:tplc="C2826F78">
      <w:start w:val="1"/>
      <w:numFmt w:val="bullet"/>
      <w:lvlText w:val=""/>
      <w:lvlJc w:val="left"/>
      <w:pPr>
        <w:ind w:left="2160" w:hanging="360"/>
      </w:pPr>
      <w:rPr>
        <w:rFonts w:ascii="Wingdings" w:hAnsi="Wingdings" w:hint="default"/>
      </w:rPr>
    </w:lvl>
    <w:lvl w:ilvl="3" w:tplc="A8D46660">
      <w:start w:val="1"/>
      <w:numFmt w:val="bullet"/>
      <w:lvlText w:val=""/>
      <w:lvlJc w:val="left"/>
      <w:pPr>
        <w:ind w:left="2880" w:hanging="360"/>
      </w:pPr>
      <w:rPr>
        <w:rFonts w:ascii="Symbol" w:hAnsi="Symbol" w:hint="default"/>
      </w:rPr>
    </w:lvl>
    <w:lvl w:ilvl="4" w:tplc="C5C834B2">
      <w:start w:val="1"/>
      <w:numFmt w:val="bullet"/>
      <w:lvlText w:val="o"/>
      <w:lvlJc w:val="left"/>
      <w:pPr>
        <w:ind w:left="3600" w:hanging="360"/>
      </w:pPr>
      <w:rPr>
        <w:rFonts w:ascii="Courier New" w:hAnsi="Courier New" w:hint="default"/>
      </w:rPr>
    </w:lvl>
    <w:lvl w:ilvl="5" w:tplc="0A7C94C6">
      <w:start w:val="1"/>
      <w:numFmt w:val="bullet"/>
      <w:lvlText w:val=""/>
      <w:lvlJc w:val="left"/>
      <w:pPr>
        <w:ind w:left="4320" w:hanging="360"/>
      </w:pPr>
      <w:rPr>
        <w:rFonts w:ascii="Wingdings" w:hAnsi="Wingdings" w:hint="default"/>
      </w:rPr>
    </w:lvl>
    <w:lvl w:ilvl="6" w:tplc="F61E8150">
      <w:start w:val="1"/>
      <w:numFmt w:val="bullet"/>
      <w:lvlText w:val=""/>
      <w:lvlJc w:val="left"/>
      <w:pPr>
        <w:ind w:left="5040" w:hanging="360"/>
      </w:pPr>
      <w:rPr>
        <w:rFonts w:ascii="Symbol" w:hAnsi="Symbol" w:hint="default"/>
      </w:rPr>
    </w:lvl>
    <w:lvl w:ilvl="7" w:tplc="594C1818">
      <w:start w:val="1"/>
      <w:numFmt w:val="bullet"/>
      <w:lvlText w:val="o"/>
      <w:lvlJc w:val="left"/>
      <w:pPr>
        <w:ind w:left="5760" w:hanging="360"/>
      </w:pPr>
      <w:rPr>
        <w:rFonts w:ascii="Courier New" w:hAnsi="Courier New" w:hint="default"/>
      </w:rPr>
    </w:lvl>
    <w:lvl w:ilvl="8" w:tplc="918AD63C">
      <w:start w:val="1"/>
      <w:numFmt w:val="bullet"/>
      <w:lvlText w:val=""/>
      <w:lvlJc w:val="left"/>
      <w:pPr>
        <w:ind w:left="6480" w:hanging="360"/>
      </w:pPr>
      <w:rPr>
        <w:rFonts w:ascii="Wingdings" w:hAnsi="Wingdings" w:hint="default"/>
      </w:rPr>
    </w:lvl>
  </w:abstractNum>
  <w:abstractNum w:abstractNumId="6" w15:restartNumberingAfterBreak="0">
    <w:nsid w:val="0128B611"/>
    <w:multiLevelType w:val="hybridMultilevel"/>
    <w:tmpl w:val="FFFFFFFF"/>
    <w:lvl w:ilvl="0" w:tplc="7220A7B8">
      <w:start w:val="1"/>
      <w:numFmt w:val="lowerLetter"/>
      <w:lvlText w:val="%1)"/>
      <w:lvlJc w:val="left"/>
      <w:pPr>
        <w:ind w:left="720" w:hanging="360"/>
      </w:pPr>
    </w:lvl>
    <w:lvl w:ilvl="1" w:tplc="CBB698D8">
      <w:start w:val="1"/>
      <w:numFmt w:val="lowerLetter"/>
      <w:lvlText w:val="%2."/>
      <w:lvlJc w:val="left"/>
      <w:pPr>
        <w:ind w:left="1440" w:hanging="360"/>
      </w:pPr>
    </w:lvl>
    <w:lvl w:ilvl="2" w:tplc="09F8B0FC">
      <w:start w:val="1"/>
      <w:numFmt w:val="lowerRoman"/>
      <w:lvlText w:val="%3."/>
      <w:lvlJc w:val="right"/>
      <w:pPr>
        <w:ind w:left="2160" w:hanging="180"/>
      </w:pPr>
    </w:lvl>
    <w:lvl w:ilvl="3" w:tplc="6656899C">
      <w:start w:val="1"/>
      <w:numFmt w:val="decimal"/>
      <w:lvlText w:val="%4."/>
      <w:lvlJc w:val="left"/>
      <w:pPr>
        <w:ind w:left="2880" w:hanging="360"/>
      </w:pPr>
    </w:lvl>
    <w:lvl w:ilvl="4" w:tplc="B3622BD6">
      <w:start w:val="1"/>
      <w:numFmt w:val="lowerLetter"/>
      <w:lvlText w:val="%5."/>
      <w:lvlJc w:val="left"/>
      <w:pPr>
        <w:ind w:left="3600" w:hanging="360"/>
      </w:pPr>
    </w:lvl>
    <w:lvl w:ilvl="5" w:tplc="FA7C2F20">
      <w:start w:val="1"/>
      <w:numFmt w:val="lowerRoman"/>
      <w:lvlText w:val="%6."/>
      <w:lvlJc w:val="right"/>
      <w:pPr>
        <w:ind w:left="4320" w:hanging="180"/>
      </w:pPr>
    </w:lvl>
    <w:lvl w:ilvl="6" w:tplc="2BE0BC62">
      <w:start w:val="1"/>
      <w:numFmt w:val="decimal"/>
      <w:lvlText w:val="%7."/>
      <w:lvlJc w:val="left"/>
      <w:pPr>
        <w:ind w:left="5040" w:hanging="360"/>
      </w:pPr>
    </w:lvl>
    <w:lvl w:ilvl="7" w:tplc="95E85040">
      <w:start w:val="1"/>
      <w:numFmt w:val="lowerLetter"/>
      <w:lvlText w:val="%8."/>
      <w:lvlJc w:val="left"/>
      <w:pPr>
        <w:ind w:left="5760" w:hanging="360"/>
      </w:pPr>
    </w:lvl>
    <w:lvl w:ilvl="8" w:tplc="41AA8054">
      <w:start w:val="1"/>
      <w:numFmt w:val="lowerRoman"/>
      <w:lvlText w:val="%9."/>
      <w:lvlJc w:val="right"/>
      <w:pPr>
        <w:ind w:left="6480" w:hanging="180"/>
      </w:pPr>
    </w:lvl>
  </w:abstractNum>
  <w:abstractNum w:abstractNumId="7" w15:restartNumberingAfterBreak="0">
    <w:nsid w:val="01321A28"/>
    <w:multiLevelType w:val="multilevel"/>
    <w:tmpl w:val="7174EE0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02A22527"/>
    <w:multiLevelType w:val="multilevel"/>
    <w:tmpl w:val="F6327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5D84DF0"/>
    <w:multiLevelType w:val="hybridMultilevel"/>
    <w:tmpl w:val="7A020E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6730FBE"/>
    <w:multiLevelType w:val="hybridMultilevel"/>
    <w:tmpl w:val="9318A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64457B"/>
    <w:multiLevelType w:val="multilevel"/>
    <w:tmpl w:val="905ED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7F6236F"/>
    <w:multiLevelType w:val="multilevel"/>
    <w:tmpl w:val="1F7410D2"/>
    <w:lvl w:ilvl="0">
      <w:start w:val="1"/>
      <w:numFmt w:val="decimal"/>
      <w:lvlText w:val="%1."/>
      <w:lvlJc w:val="left"/>
      <w:pPr>
        <w:ind w:left="476" w:hanging="476"/>
      </w:pPr>
      <w:rPr>
        <w:rFonts w:hint="default"/>
        <w:b/>
        <w:bCs/>
        <w:lang w:val="de-DE"/>
      </w:rPr>
    </w:lvl>
    <w:lvl w:ilvl="1">
      <w:start w:val="1"/>
      <w:numFmt w:val="bullet"/>
      <w:lvlText w:val=""/>
      <w:lvlJc w:val="left"/>
      <w:pPr>
        <w:ind w:left="644" w:hanging="360"/>
      </w:pPr>
      <w:rPr>
        <w:rFonts w:ascii="Symbol" w:hAnsi="Symbol"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B22FCB"/>
    <w:multiLevelType w:val="multilevel"/>
    <w:tmpl w:val="5A1C7EA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0DA77D5B"/>
    <w:multiLevelType w:val="multilevel"/>
    <w:tmpl w:val="BDC84AC2"/>
    <w:lvl w:ilvl="0">
      <w:start w:val="1"/>
      <w:numFmt w:val="decimal"/>
      <w:lvlText w:val="%1."/>
      <w:lvlJc w:val="left"/>
      <w:pPr>
        <w:ind w:left="720" w:hanging="360"/>
      </w:pPr>
      <w:rPr>
        <w:color w:val="00602B"/>
      </w:rPr>
    </w:lvl>
    <w:lvl w:ilvl="1">
      <w:start w:val="7"/>
      <w:numFmt w:val="decimal"/>
      <w:isLgl/>
      <w:lvlText w:val="%1.%2"/>
      <w:lvlJc w:val="left"/>
      <w:pPr>
        <w:ind w:left="720" w:hanging="360"/>
      </w:pPr>
      <w:rPr>
        <w:rFonts w:eastAsia="Calibri" w:cs="Myanmar Text" w:hint="default"/>
      </w:rPr>
    </w:lvl>
    <w:lvl w:ilvl="2">
      <w:start w:val="1"/>
      <w:numFmt w:val="decimal"/>
      <w:isLgl/>
      <w:lvlText w:val="%1.%2.%3"/>
      <w:lvlJc w:val="left"/>
      <w:pPr>
        <w:ind w:left="1080" w:hanging="720"/>
      </w:pPr>
      <w:rPr>
        <w:rFonts w:eastAsia="Calibri" w:cs="Myanmar Text" w:hint="default"/>
      </w:rPr>
    </w:lvl>
    <w:lvl w:ilvl="3">
      <w:start w:val="1"/>
      <w:numFmt w:val="decimal"/>
      <w:isLgl/>
      <w:lvlText w:val="%1.%2.%3.%4"/>
      <w:lvlJc w:val="left"/>
      <w:pPr>
        <w:ind w:left="1080" w:hanging="720"/>
      </w:pPr>
      <w:rPr>
        <w:rFonts w:eastAsia="Calibri" w:cs="Myanmar Text" w:hint="default"/>
      </w:rPr>
    </w:lvl>
    <w:lvl w:ilvl="4">
      <w:start w:val="1"/>
      <w:numFmt w:val="decimal"/>
      <w:isLgl/>
      <w:lvlText w:val="%1.%2.%3.%4.%5"/>
      <w:lvlJc w:val="left"/>
      <w:pPr>
        <w:ind w:left="1440" w:hanging="1080"/>
      </w:pPr>
      <w:rPr>
        <w:rFonts w:eastAsia="Calibri" w:cs="Myanmar Text" w:hint="default"/>
      </w:rPr>
    </w:lvl>
    <w:lvl w:ilvl="5">
      <w:start w:val="1"/>
      <w:numFmt w:val="decimal"/>
      <w:isLgl/>
      <w:lvlText w:val="%1.%2.%3.%4.%5.%6"/>
      <w:lvlJc w:val="left"/>
      <w:pPr>
        <w:ind w:left="1440" w:hanging="1080"/>
      </w:pPr>
      <w:rPr>
        <w:rFonts w:eastAsia="Calibri" w:cs="Myanmar Text" w:hint="default"/>
      </w:rPr>
    </w:lvl>
    <w:lvl w:ilvl="6">
      <w:start w:val="1"/>
      <w:numFmt w:val="decimal"/>
      <w:isLgl/>
      <w:lvlText w:val="%1.%2.%3.%4.%5.%6.%7"/>
      <w:lvlJc w:val="left"/>
      <w:pPr>
        <w:ind w:left="1800" w:hanging="1440"/>
      </w:pPr>
      <w:rPr>
        <w:rFonts w:eastAsia="Calibri" w:cs="Myanmar Text" w:hint="default"/>
      </w:rPr>
    </w:lvl>
    <w:lvl w:ilvl="7">
      <w:start w:val="1"/>
      <w:numFmt w:val="decimal"/>
      <w:isLgl/>
      <w:lvlText w:val="%1.%2.%3.%4.%5.%6.%7.%8"/>
      <w:lvlJc w:val="left"/>
      <w:pPr>
        <w:ind w:left="1800" w:hanging="1440"/>
      </w:pPr>
      <w:rPr>
        <w:rFonts w:eastAsia="Calibri" w:cs="Myanmar Text" w:hint="default"/>
      </w:rPr>
    </w:lvl>
    <w:lvl w:ilvl="8">
      <w:start w:val="1"/>
      <w:numFmt w:val="decimal"/>
      <w:isLgl/>
      <w:lvlText w:val="%1.%2.%3.%4.%5.%6.%7.%8.%9"/>
      <w:lvlJc w:val="left"/>
      <w:pPr>
        <w:ind w:left="2160" w:hanging="1800"/>
      </w:pPr>
      <w:rPr>
        <w:rFonts w:eastAsia="Calibri" w:cs="Myanmar Text" w:hint="default"/>
      </w:rPr>
    </w:lvl>
  </w:abstractNum>
  <w:abstractNum w:abstractNumId="15" w15:restartNumberingAfterBreak="0">
    <w:nsid w:val="0DC866E5"/>
    <w:multiLevelType w:val="hybridMultilevel"/>
    <w:tmpl w:val="3EB87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666A71"/>
    <w:multiLevelType w:val="hybridMultilevel"/>
    <w:tmpl w:val="99862E8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9A2932"/>
    <w:multiLevelType w:val="hybridMultilevel"/>
    <w:tmpl w:val="271E17A2"/>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10175DC"/>
    <w:multiLevelType w:val="multilevel"/>
    <w:tmpl w:val="7FF44A7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12976F17"/>
    <w:multiLevelType w:val="hybridMultilevel"/>
    <w:tmpl w:val="2B7C8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2EE5687"/>
    <w:multiLevelType w:val="multilevel"/>
    <w:tmpl w:val="A3A219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39A3C8B"/>
    <w:multiLevelType w:val="hybridMultilevel"/>
    <w:tmpl w:val="CCF20416"/>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55D3EF1"/>
    <w:multiLevelType w:val="multilevel"/>
    <w:tmpl w:val="DBAE268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16F01D6B"/>
    <w:multiLevelType w:val="hybridMultilevel"/>
    <w:tmpl w:val="7BDC30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81AE706"/>
    <w:multiLevelType w:val="hybridMultilevel"/>
    <w:tmpl w:val="FFFFFFFF"/>
    <w:lvl w:ilvl="0" w:tplc="0C28948E">
      <w:start w:val="1"/>
      <w:numFmt w:val="bullet"/>
      <w:lvlText w:val=""/>
      <w:lvlJc w:val="left"/>
      <w:pPr>
        <w:ind w:left="360" w:hanging="360"/>
      </w:pPr>
      <w:rPr>
        <w:rFonts w:ascii="Symbol" w:hAnsi="Symbol" w:hint="default"/>
      </w:rPr>
    </w:lvl>
    <w:lvl w:ilvl="1" w:tplc="976EBBCE">
      <w:start w:val="1"/>
      <w:numFmt w:val="bullet"/>
      <w:lvlText w:val="o"/>
      <w:lvlJc w:val="left"/>
      <w:pPr>
        <w:ind w:left="1080" w:hanging="360"/>
      </w:pPr>
      <w:rPr>
        <w:rFonts w:ascii="Courier New" w:hAnsi="Courier New" w:hint="default"/>
      </w:rPr>
    </w:lvl>
    <w:lvl w:ilvl="2" w:tplc="64CEB02E">
      <w:start w:val="1"/>
      <w:numFmt w:val="bullet"/>
      <w:lvlText w:val=""/>
      <w:lvlJc w:val="left"/>
      <w:pPr>
        <w:ind w:left="1800" w:hanging="360"/>
      </w:pPr>
      <w:rPr>
        <w:rFonts w:ascii="Wingdings" w:hAnsi="Wingdings" w:hint="default"/>
      </w:rPr>
    </w:lvl>
    <w:lvl w:ilvl="3" w:tplc="88F245AC">
      <w:start w:val="1"/>
      <w:numFmt w:val="bullet"/>
      <w:lvlText w:val=""/>
      <w:lvlJc w:val="left"/>
      <w:pPr>
        <w:ind w:left="2520" w:hanging="360"/>
      </w:pPr>
      <w:rPr>
        <w:rFonts w:ascii="Symbol" w:hAnsi="Symbol" w:hint="default"/>
      </w:rPr>
    </w:lvl>
    <w:lvl w:ilvl="4" w:tplc="67DA6BD4">
      <w:start w:val="1"/>
      <w:numFmt w:val="bullet"/>
      <w:lvlText w:val="o"/>
      <w:lvlJc w:val="left"/>
      <w:pPr>
        <w:ind w:left="3240" w:hanging="360"/>
      </w:pPr>
      <w:rPr>
        <w:rFonts w:ascii="Courier New" w:hAnsi="Courier New" w:hint="default"/>
      </w:rPr>
    </w:lvl>
    <w:lvl w:ilvl="5" w:tplc="00C048B2">
      <w:start w:val="1"/>
      <w:numFmt w:val="bullet"/>
      <w:lvlText w:val=""/>
      <w:lvlJc w:val="left"/>
      <w:pPr>
        <w:ind w:left="3960" w:hanging="360"/>
      </w:pPr>
      <w:rPr>
        <w:rFonts w:ascii="Wingdings" w:hAnsi="Wingdings" w:hint="default"/>
      </w:rPr>
    </w:lvl>
    <w:lvl w:ilvl="6" w:tplc="24A63EC8">
      <w:start w:val="1"/>
      <w:numFmt w:val="bullet"/>
      <w:lvlText w:val=""/>
      <w:lvlJc w:val="left"/>
      <w:pPr>
        <w:ind w:left="4680" w:hanging="360"/>
      </w:pPr>
      <w:rPr>
        <w:rFonts w:ascii="Symbol" w:hAnsi="Symbol" w:hint="default"/>
      </w:rPr>
    </w:lvl>
    <w:lvl w:ilvl="7" w:tplc="13BEDF68">
      <w:start w:val="1"/>
      <w:numFmt w:val="bullet"/>
      <w:lvlText w:val="o"/>
      <w:lvlJc w:val="left"/>
      <w:pPr>
        <w:ind w:left="5400" w:hanging="360"/>
      </w:pPr>
      <w:rPr>
        <w:rFonts w:ascii="Courier New" w:hAnsi="Courier New" w:hint="default"/>
      </w:rPr>
    </w:lvl>
    <w:lvl w:ilvl="8" w:tplc="33A00E56">
      <w:start w:val="1"/>
      <w:numFmt w:val="bullet"/>
      <w:lvlText w:val=""/>
      <w:lvlJc w:val="left"/>
      <w:pPr>
        <w:ind w:left="6120" w:hanging="360"/>
      </w:pPr>
      <w:rPr>
        <w:rFonts w:ascii="Wingdings" w:hAnsi="Wingdings" w:hint="default"/>
      </w:rPr>
    </w:lvl>
  </w:abstractNum>
  <w:abstractNum w:abstractNumId="25" w15:restartNumberingAfterBreak="0">
    <w:nsid w:val="190205AA"/>
    <w:multiLevelType w:val="multilevel"/>
    <w:tmpl w:val="98B8582E"/>
    <w:lvl w:ilvl="0">
      <w:start w:val="1"/>
      <w:numFmt w:val="decimal"/>
      <w:lvlText w:val="%1."/>
      <w:lvlJc w:val="left"/>
      <w:pPr>
        <w:ind w:left="476" w:hanging="476"/>
      </w:pPr>
      <w:rPr>
        <w:rFonts w:hint="default"/>
        <w:b/>
        <w:bCs/>
        <w:lang w:val="de-DE"/>
      </w:rPr>
    </w:lvl>
    <w:lvl w:ilvl="1">
      <w:start w:val="1"/>
      <w:numFmt w:val="bullet"/>
      <w:lvlText w:val=""/>
      <w:lvlJc w:val="left"/>
      <w:pPr>
        <w:ind w:left="836" w:hanging="360"/>
      </w:pPr>
      <w:rPr>
        <w:rFonts w:ascii="Symbol" w:hAnsi="Symbol" w:hint="default"/>
      </w:rPr>
    </w:lvl>
    <w:lvl w:ilvl="2">
      <w:start w:val="1"/>
      <w:numFmt w:val="bullet"/>
      <w:lvlText w:val="o"/>
      <w:lvlJc w:val="left"/>
      <w:pPr>
        <w:ind w:left="1069"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197853E9"/>
    <w:multiLevelType w:val="hybridMultilevel"/>
    <w:tmpl w:val="17A42E3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19921D6B"/>
    <w:multiLevelType w:val="multilevel"/>
    <w:tmpl w:val="9BAEDC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9E64B66"/>
    <w:multiLevelType w:val="multilevel"/>
    <w:tmpl w:val="A90805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0" w15:restartNumberingAfterBreak="0">
    <w:nsid w:val="2028C3AD"/>
    <w:multiLevelType w:val="hybridMultilevel"/>
    <w:tmpl w:val="FFFFFFFF"/>
    <w:lvl w:ilvl="0" w:tplc="E4342D88">
      <w:start w:val="1"/>
      <w:numFmt w:val="decimal"/>
      <w:lvlText w:val="%1)"/>
      <w:lvlJc w:val="left"/>
      <w:pPr>
        <w:ind w:left="720" w:hanging="360"/>
      </w:pPr>
    </w:lvl>
    <w:lvl w:ilvl="1" w:tplc="039CF8D4">
      <w:start w:val="1"/>
      <w:numFmt w:val="lowerLetter"/>
      <w:lvlText w:val="%2."/>
      <w:lvlJc w:val="left"/>
      <w:pPr>
        <w:ind w:left="1440" w:hanging="360"/>
      </w:pPr>
    </w:lvl>
    <w:lvl w:ilvl="2" w:tplc="A240114C">
      <w:start w:val="1"/>
      <w:numFmt w:val="lowerRoman"/>
      <w:lvlText w:val="%3."/>
      <w:lvlJc w:val="right"/>
      <w:pPr>
        <w:ind w:left="2160" w:hanging="180"/>
      </w:pPr>
    </w:lvl>
    <w:lvl w:ilvl="3" w:tplc="CF16114C">
      <w:start w:val="1"/>
      <w:numFmt w:val="decimal"/>
      <w:lvlText w:val="%4."/>
      <w:lvlJc w:val="left"/>
      <w:pPr>
        <w:ind w:left="2880" w:hanging="360"/>
      </w:pPr>
    </w:lvl>
    <w:lvl w:ilvl="4" w:tplc="0B80930E">
      <w:start w:val="1"/>
      <w:numFmt w:val="lowerLetter"/>
      <w:lvlText w:val="%5."/>
      <w:lvlJc w:val="left"/>
      <w:pPr>
        <w:ind w:left="3600" w:hanging="360"/>
      </w:pPr>
    </w:lvl>
    <w:lvl w:ilvl="5" w:tplc="2BAE23B6">
      <w:start w:val="1"/>
      <w:numFmt w:val="lowerRoman"/>
      <w:lvlText w:val="%6."/>
      <w:lvlJc w:val="right"/>
      <w:pPr>
        <w:ind w:left="4320" w:hanging="180"/>
      </w:pPr>
    </w:lvl>
    <w:lvl w:ilvl="6" w:tplc="3F588A18">
      <w:start w:val="1"/>
      <w:numFmt w:val="decimal"/>
      <w:lvlText w:val="%7."/>
      <w:lvlJc w:val="left"/>
      <w:pPr>
        <w:ind w:left="5040" w:hanging="360"/>
      </w:pPr>
    </w:lvl>
    <w:lvl w:ilvl="7" w:tplc="530A252E">
      <w:start w:val="1"/>
      <w:numFmt w:val="lowerLetter"/>
      <w:lvlText w:val="%8."/>
      <w:lvlJc w:val="left"/>
      <w:pPr>
        <w:ind w:left="5760" w:hanging="360"/>
      </w:pPr>
    </w:lvl>
    <w:lvl w:ilvl="8" w:tplc="AA1C9F64">
      <w:start w:val="1"/>
      <w:numFmt w:val="lowerRoman"/>
      <w:lvlText w:val="%9."/>
      <w:lvlJc w:val="right"/>
      <w:pPr>
        <w:ind w:left="6480" w:hanging="180"/>
      </w:pPr>
    </w:lvl>
  </w:abstractNum>
  <w:abstractNum w:abstractNumId="3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49404C2"/>
    <w:multiLevelType w:val="hybridMultilevel"/>
    <w:tmpl w:val="4888F43E"/>
    <w:lvl w:ilvl="0" w:tplc="C8283302">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24EC33D5"/>
    <w:multiLevelType w:val="hybridMultilevel"/>
    <w:tmpl w:val="40A8DE26"/>
    <w:lvl w:ilvl="0" w:tplc="62B05020">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15:restartNumberingAfterBreak="0">
    <w:nsid w:val="2CD05BB1"/>
    <w:multiLevelType w:val="hybridMultilevel"/>
    <w:tmpl w:val="DF902CD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2CD116E7"/>
    <w:multiLevelType w:val="multilevel"/>
    <w:tmpl w:val="C2607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38" w15:restartNumberingAfterBreak="0">
    <w:nsid w:val="300D3194"/>
    <w:multiLevelType w:val="multilevel"/>
    <w:tmpl w:val="8368AE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20E078C"/>
    <w:multiLevelType w:val="hybridMultilevel"/>
    <w:tmpl w:val="976809DE"/>
    <w:lvl w:ilvl="0" w:tplc="A3568C5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32360600"/>
    <w:multiLevelType w:val="hybridMultilevel"/>
    <w:tmpl w:val="5364B536"/>
    <w:lvl w:ilvl="0" w:tplc="1A78EA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37A0803"/>
    <w:multiLevelType w:val="hybridMultilevel"/>
    <w:tmpl w:val="7EDE79A4"/>
    <w:lvl w:ilvl="0" w:tplc="98E2A84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3BC47C87"/>
    <w:multiLevelType w:val="hybridMultilevel"/>
    <w:tmpl w:val="4F62CC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3F5F175A"/>
    <w:multiLevelType w:val="hybridMultilevel"/>
    <w:tmpl w:val="FFFFFFFF"/>
    <w:lvl w:ilvl="0" w:tplc="F2EE4638">
      <w:start w:val="1"/>
      <w:numFmt w:val="decimal"/>
      <w:lvlText w:val="%1-"/>
      <w:lvlJc w:val="left"/>
      <w:pPr>
        <w:ind w:left="720" w:hanging="360"/>
      </w:pPr>
    </w:lvl>
    <w:lvl w:ilvl="1" w:tplc="40D6CE1C">
      <w:start w:val="1"/>
      <w:numFmt w:val="lowerLetter"/>
      <w:lvlText w:val="%2."/>
      <w:lvlJc w:val="left"/>
      <w:pPr>
        <w:ind w:left="1440" w:hanging="360"/>
      </w:pPr>
    </w:lvl>
    <w:lvl w:ilvl="2" w:tplc="A1D85650">
      <w:start w:val="1"/>
      <w:numFmt w:val="lowerRoman"/>
      <w:lvlText w:val="%3."/>
      <w:lvlJc w:val="right"/>
      <w:pPr>
        <w:ind w:left="2160" w:hanging="180"/>
      </w:pPr>
    </w:lvl>
    <w:lvl w:ilvl="3" w:tplc="97FC4DFE">
      <w:start w:val="1"/>
      <w:numFmt w:val="decimal"/>
      <w:lvlText w:val="%4."/>
      <w:lvlJc w:val="left"/>
      <w:pPr>
        <w:ind w:left="2880" w:hanging="360"/>
      </w:pPr>
    </w:lvl>
    <w:lvl w:ilvl="4" w:tplc="5F026EB2">
      <w:start w:val="1"/>
      <w:numFmt w:val="lowerLetter"/>
      <w:lvlText w:val="%5."/>
      <w:lvlJc w:val="left"/>
      <w:pPr>
        <w:ind w:left="3600" w:hanging="360"/>
      </w:pPr>
    </w:lvl>
    <w:lvl w:ilvl="5" w:tplc="FB30F0EE">
      <w:start w:val="1"/>
      <w:numFmt w:val="lowerRoman"/>
      <w:lvlText w:val="%6."/>
      <w:lvlJc w:val="right"/>
      <w:pPr>
        <w:ind w:left="4320" w:hanging="180"/>
      </w:pPr>
    </w:lvl>
    <w:lvl w:ilvl="6" w:tplc="77AC69B0">
      <w:start w:val="1"/>
      <w:numFmt w:val="decimal"/>
      <w:lvlText w:val="%7."/>
      <w:lvlJc w:val="left"/>
      <w:pPr>
        <w:ind w:left="5040" w:hanging="360"/>
      </w:pPr>
    </w:lvl>
    <w:lvl w:ilvl="7" w:tplc="F864DE14">
      <w:start w:val="1"/>
      <w:numFmt w:val="lowerLetter"/>
      <w:lvlText w:val="%8."/>
      <w:lvlJc w:val="left"/>
      <w:pPr>
        <w:ind w:left="5760" w:hanging="360"/>
      </w:pPr>
    </w:lvl>
    <w:lvl w:ilvl="8" w:tplc="35869EEC">
      <w:start w:val="1"/>
      <w:numFmt w:val="lowerRoman"/>
      <w:lvlText w:val="%9."/>
      <w:lvlJc w:val="right"/>
      <w:pPr>
        <w:ind w:left="6480" w:hanging="180"/>
      </w:pPr>
    </w:lvl>
  </w:abstractNum>
  <w:abstractNum w:abstractNumId="44" w15:restartNumberingAfterBreak="0">
    <w:nsid w:val="3FFC6422"/>
    <w:multiLevelType w:val="hybridMultilevel"/>
    <w:tmpl w:val="519A150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5" w15:restartNumberingAfterBreak="0">
    <w:nsid w:val="400A7B18"/>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8" w15:restartNumberingAfterBreak="0">
    <w:nsid w:val="436B27B9"/>
    <w:multiLevelType w:val="hybridMultilevel"/>
    <w:tmpl w:val="4DB6C90E"/>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467723A"/>
    <w:multiLevelType w:val="hybridMultilevel"/>
    <w:tmpl w:val="C966C76A"/>
    <w:lvl w:ilvl="0" w:tplc="E4BC8A30">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51" w15:restartNumberingAfterBreak="0">
    <w:nsid w:val="4A0D2350"/>
    <w:multiLevelType w:val="hybridMultilevel"/>
    <w:tmpl w:val="E018BCA6"/>
    <w:lvl w:ilvl="0" w:tplc="E3583C7A">
      <w:start w:val="1"/>
      <w:numFmt w:val="decimal"/>
      <w:lvlText w:val="%1."/>
      <w:lvlJc w:val="left"/>
      <w:pPr>
        <w:ind w:left="1020" w:hanging="360"/>
      </w:pPr>
    </w:lvl>
    <w:lvl w:ilvl="1" w:tplc="685604A4">
      <w:start w:val="1"/>
      <w:numFmt w:val="decimal"/>
      <w:lvlText w:val="%2."/>
      <w:lvlJc w:val="left"/>
      <w:pPr>
        <w:ind w:left="1020" w:hanging="360"/>
      </w:pPr>
    </w:lvl>
    <w:lvl w:ilvl="2" w:tplc="62B65808">
      <w:start w:val="1"/>
      <w:numFmt w:val="decimal"/>
      <w:lvlText w:val="%3."/>
      <w:lvlJc w:val="left"/>
      <w:pPr>
        <w:ind w:left="1020" w:hanging="360"/>
      </w:pPr>
    </w:lvl>
    <w:lvl w:ilvl="3" w:tplc="BA58342C">
      <w:start w:val="1"/>
      <w:numFmt w:val="decimal"/>
      <w:lvlText w:val="%4."/>
      <w:lvlJc w:val="left"/>
      <w:pPr>
        <w:ind w:left="1020" w:hanging="360"/>
      </w:pPr>
    </w:lvl>
    <w:lvl w:ilvl="4" w:tplc="08BA1722">
      <w:start w:val="1"/>
      <w:numFmt w:val="decimal"/>
      <w:lvlText w:val="%5."/>
      <w:lvlJc w:val="left"/>
      <w:pPr>
        <w:ind w:left="1020" w:hanging="360"/>
      </w:pPr>
    </w:lvl>
    <w:lvl w:ilvl="5" w:tplc="B332FE60">
      <w:start w:val="1"/>
      <w:numFmt w:val="decimal"/>
      <w:lvlText w:val="%6."/>
      <w:lvlJc w:val="left"/>
      <w:pPr>
        <w:ind w:left="1020" w:hanging="360"/>
      </w:pPr>
    </w:lvl>
    <w:lvl w:ilvl="6" w:tplc="71A68456">
      <w:start w:val="1"/>
      <w:numFmt w:val="decimal"/>
      <w:lvlText w:val="%7."/>
      <w:lvlJc w:val="left"/>
      <w:pPr>
        <w:ind w:left="1020" w:hanging="360"/>
      </w:pPr>
    </w:lvl>
    <w:lvl w:ilvl="7" w:tplc="7E364594">
      <w:start w:val="1"/>
      <w:numFmt w:val="decimal"/>
      <w:lvlText w:val="%8."/>
      <w:lvlJc w:val="left"/>
      <w:pPr>
        <w:ind w:left="1020" w:hanging="360"/>
      </w:pPr>
    </w:lvl>
    <w:lvl w:ilvl="8" w:tplc="A7A4BB24">
      <w:start w:val="1"/>
      <w:numFmt w:val="decimal"/>
      <w:lvlText w:val="%9."/>
      <w:lvlJc w:val="left"/>
      <w:pPr>
        <w:ind w:left="1020" w:hanging="360"/>
      </w:pPr>
    </w:lvl>
  </w:abstractNum>
  <w:abstractNum w:abstractNumId="52" w15:restartNumberingAfterBreak="0">
    <w:nsid w:val="4B218ABF"/>
    <w:multiLevelType w:val="hybridMultilevel"/>
    <w:tmpl w:val="D23E1AAA"/>
    <w:lvl w:ilvl="0" w:tplc="46E8C500">
      <w:start w:val="1"/>
      <w:numFmt w:val="bullet"/>
      <w:lvlText w:val="-"/>
      <w:lvlJc w:val="left"/>
      <w:pPr>
        <w:ind w:left="720" w:hanging="360"/>
      </w:pPr>
      <w:rPr>
        <w:rFonts w:ascii="Aptos" w:hAnsi="Aptos" w:hint="default"/>
      </w:rPr>
    </w:lvl>
    <w:lvl w:ilvl="1" w:tplc="4C2A65DC">
      <w:start w:val="1"/>
      <w:numFmt w:val="bullet"/>
      <w:lvlText w:val="o"/>
      <w:lvlJc w:val="left"/>
      <w:pPr>
        <w:ind w:left="1440" w:hanging="360"/>
      </w:pPr>
      <w:rPr>
        <w:rFonts w:ascii="Courier New" w:hAnsi="Courier New" w:hint="default"/>
      </w:rPr>
    </w:lvl>
    <w:lvl w:ilvl="2" w:tplc="01E87196">
      <w:start w:val="1"/>
      <w:numFmt w:val="bullet"/>
      <w:lvlText w:val=""/>
      <w:lvlJc w:val="left"/>
      <w:pPr>
        <w:ind w:left="2160" w:hanging="360"/>
      </w:pPr>
      <w:rPr>
        <w:rFonts w:ascii="Wingdings" w:hAnsi="Wingdings" w:hint="default"/>
      </w:rPr>
    </w:lvl>
    <w:lvl w:ilvl="3" w:tplc="FD346BEA">
      <w:start w:val="1"/>
      <w:numFmt w:val="bullet"/>
      <w:lvlText w:val=""/>
      <w:lvlJc w:val="left"/>
      <w:pPr>
        <w:ind w:left="2880" w:hanging="360"/>
      </w:pPr>
      <w:rPr>
        <w:rFonts w:ascii="Symbol" w:hAnsi="Symbol" w:hint="default"/>
      </w:rPr>
    </w:lvl>
    <w:lvl w:ilvl="4" w:tplc="63F2C132">
      <w:start w:val="1"/>
      <w:numFmt w:val="bullet"/>
      <w:lvlText w:val="o"/>
      <w:lvlJc w:val="left"/>
      <w:pPr>
        <w:ind w:left="3600" w:hanging="360"/>
      </w:pPr>
      <w:rPr>
        <w:rFonts w:ascii="Courier New" w:hAnsi="Courier New" w:hint="default"/>
      </w:rPr>
    </w:lvl>
    <w:lvl w:ilvl="5" w:tplc="48A67136">
      <w:start w:val="1"/>
      <w:numFmt w:val="bullet"/>
      <w:lvlText w:val=""/>
      <w:lvlJc w:val="left"/>
      <w:pPr>
        <w:ind w:left="4320" w:hanging="360"/>
      </w:pPr>
      <w:rPr>
        <w:rFonts w:ascii="Wingdings" w:hAnsi="Wingdings" w:hint="default"/>
      </w:rPr>
    </w:lvl>
    <w:lvl w:ilvl="6" w:tplc="BD54F20A">
      <w:start w:val="1"/>
      <w:numFmt w:val="bullet"/>
      <w:lvlText w:val=""/>
      <w:lvlJc w:val="left"/>
      <w:pPr>
        <w:ind w:left="5040" w:hanging="360"/>
      </w:pPr>
      <w:rPr>
        <w:rFonts w:ascii="Symbol" w:hAnsi="Symbol" w:hint="default"/>
      </w:rPr>
    </w:lvl>
    <w:lvl w:ilvl="7" w:tplc="29E6B384">
      <w:start w:val="1"/>
      <w:numFmt w:val="bullet"/>
      <w:lvlText w:val="o"/>
      <w:lvlJc w:val="left"/>
      <w:pPr>
        <w:ind w:left="5760" w:hanging="360"/>
      </w:pPr>
      <w:rPr>
        <w:rFonts w:ascii="Courier New" w:hAnsi="Courier New" w:hint="default"/>
      </w:rPr>
    </w:lvl>
    <w:lvl w:ilvl="8" w:tplc="49D87BB0">
      <w:start w:val="1"/>
      <w:numFmt w:val="bullet"/>
      <w:lvlText w:val=""/>
      <w:lvlJc w:val="left"/>
      <w:pPr>
        <w:ind w:left="6480" w:hanging="360"/>
      </w:pPr>
      <w:rPr>
        <w:rFonts w:ascii="Wingdings" w:hAnsi="Wingdings" w:hint="default"/>
      </w:rPr>
    </w:lvl>
  </w:abstractNum>
  <w:abstractNum w:abstractNumId="53" w15:restartNumberingAfterBreak="0">
    <w:nsid w:val="4BE2717E"/>
    <w:multiLevelType w:val="hybridMultilevel"/>
    <w:tmpl w:val="4FB0A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C3B34F7"/>
    <w:multiLevelType w:val="multilevel"/>
    <w:tmpl w:val="50DED88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5" w15:restartNumberingAfterBreak="0">
    <w:nsid w:val="4F4F6024"/>
    <w:multiLevelType w:val="hybridMultilevel"/>
    <w:tmpl w:val="2B2817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0284D54"/>
    <w:multiLevelType w:val="hybridMultilevel"/>
    <w:tmpl w:val="CC58E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26B06BC"/>
    <w:multiLevelType w:val="hybridMultilevel"/>
    <w:tmpl w:val="DA907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2F96387"/>
    <w:multiLevelType w:val="hybridMultilevel"/>
    <w:tmpl w:val="D74E642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9" w15:restartNumberingAfterBreak="0">
    <w:nsid w:val="532B6C49"/>
    <w:multiLevelType w:val="hybridMultilevel"/>
    <w:tmpl w:val="108AE942"/>
    <w:lvl w:ilvl="0" w:tplc="1616BC1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EE1BB8"/>
    <w:multiLevelType w:val="hybridMultilevel"/>
    <w:tmpl w:val="04604954"/>
    <w:lvl w:ilvl="0" w:tplc="E87431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54F104CB"/>
    <w:multiLevelType w:val="hybridMultilevel"/>
    <w:tmpl w:val="FFFFFFFF"/>
    <w:lvl w:ilvl="0" w:tplc="E15658D8">
      <w:start w:val="1"/>
      <w:numFmt w:val="bullet"/>
      <w:lvlText w:val=""/>
      <w:lvlJc w:val="left"/>
      <w:pPr>
        <w:ind w:left="360" w:hanging="360"/>
      </w:pPr>
      <w:rPr>
        <w:rFonts w:ascii="Symbol" w:hAnsi="Symbol" w:hint="default"/>
      </w:rPr>
    </w:lvl>
    <w:lvl w:ilvl="1" w:tplc="B6A2FC1A">
      <w:start w:val="1"/>
      <w:numFmt w:val="bullet"/>
      <w:lvlText w:val="o"/>
      <w:lvlJc w:val="left"/>
      <w:pPr>
        <w:ind w:left="1080" w:hanging="360"/>
      </w:pPr>
      <w:rPr>
        <w:rFonts w:ascii="Courier New" w:hAnsi="Courier New" w:hint="default"/>
      </w:rPr>
    </w:lvl>
    <w:lvl w:ilvl="2" w:tplc="01325BA2">
      <w:start w:val="1"/>
      <w:numFmt w:val="bullet"/>
      <w:lvlText w:val=""/>
      <w:lvlJc w:val="left"/>
      <w:pPr>
        <w:ind w:left="1800" w:hanging="360"/>
      </w:pPr>
      <w:rPr>
        <w:rFonts w:ascii="Wingdings" w:hAnsi="Wingdings" w:hint="default"/>
      </w:rPr>
    </w:lvl>
    <w:lvl w:ilvl="3" w:tplc="AA2CD7B4">
      <w:start w:val="1"/>
      <w:numFmt w:val="bullet"/>
      <w:lvlText w:val=""/>
      <w:lvlJc w:val="left"/>
      <w:pPr>
        <w:ind w:left="2520" w:hanging="360"/>
      </w:pPr>
      <w:rPr>
        <w:rFonts w:ascii="Symbol" w:hAnsi="Symbol" w:hint="default"/>
      </w:rPr>
    </w:lvl>
    <w:lvl w:ilvl="4" w:tplc="AC0E1A56">
      <w:start w:val="1"/>
      <w:numFmt w:val="bullet"/>
      <w:lvlText w:val="o"/>
      <w:lvlJc w:val="left"/>
      <w:pPr>
        <w:ind w:left="3240" w:hanging="360"/>
      </w:pPr>
      <w:rPr>
        <w:rFonts w:ascii="Courier New" w:hAnsi="Courier New" w:hint="default"/>
      </w:rPr>
    </w:lvl>
    <w:lvl w:ilvl="5" w:tplc="9CDE5962">
      <w:start w:val="1"/>
      <w:numFmt w:val="bullet"/>
      <w:lvlText w:val=""/>
      <w:lvlJc w:val="left"/>
      <w:pPr>
        <w:ind w:left="3960" w:hanging="360"/>
      </w:pPr>
      <w:rPr>
        <w:rFonts w:ascii="Wingdings" w:hAnsi="Wingdings" w:hint="default"/>
      </w:rPr>
    </w:lvl>
    <w:lvl w:ilvl="6" w:tplc="96187D40">
      <w:start w:val="1"/>
      <w:numFmt w:val="bullet"/>
      <w:lvlText w:val=""/>
      <w:lvlJc w:val="left"/>
      <w:pPr>
        <w:ind w:left="4680" w:hanging="360"/>
      </w:pPr>
      <w:rPr>
        <w:rFonts w:ascii="Symbol" w:hAnsi="Symbol" w:hint="default"/>
      </w:rPr>
    </w:lvl>
    <w:lvl w:ilvl="7" w:tplc="6C72D076">
      <w:start w:val="1"/>
      <w:numFmt w:val="bullet"/>
      <w:lvlText w:val="o"/>
      <w:lvlJc w:val="left"/>
      <w:pPr>
        <w:ind w:left="5400" w:hanging="360"/>
      </w:pPr>
      <w:rPr>
        <w:rFonts w:ascii="Courier New" w:hAnsi="Courier New" w:hint="default"/>
      </w:rPr>
    </w:lvl>
    <w:lvl w:ilvl="8" w:tplc="FF74B83A">
      <w:start w:val="1"/>
      <w:numFmt w:val="bullet"/>
      <w:lvlText w:val=""/>
      <w:lvlJc w:val="left"/>
      <w:pPr>
        <w:ind w:left="6120" w:hanging="360"/>
      </w:pPr>
      <w:rPr>
        <w:rFonts w:ascii="Wingdings" w:hAnsi="Wingdings" w:hint="default"/>
      </w:rPr>
    </w:lvl>
  </w:abstractNum>
  <w:abstractNum w:abstractNumId="6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63" w15:restartNumberingAfterBreak="0">
    <w:nsid w:val="55B679E1"/>
    <w:multiLevelType w:val="hybridMultilevel"/>
    <w:tmpl w:val="1F22A3BC"/>
    <w:lvl w:ilvl="0" w:tplc="78D0560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55C10E65"/>
    <w:multiLevelType w:val="multilevel"/>
    <w:tmpl w:val="466AA280"/>
    <w:lvl w:ilvl="0">
      <w:start w:val="1"/>
      <w:numFmt w:val="decimal"/>
      <w:pStyle w:val="LegalNumPar"/>
      <w:lvlText w:val="%1."/>
      <w:lvlJc w:val="left"/>
      <w:pPr>
        <w:ind w:left="476" w:hanging="476"/>
      </w:pPr>
      <w:rPr>
        <w:rFonts w:hint="default"/>
        <w:b/>
        <w:bCs/>
        <w:lang w:val="de-DE"/>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5" w15:restartNumberingAfterBreak="0">
    <w:nsid w:val="56B10038"/>
    <w:multiLevelType w:val="hybridMultilevel"/>
    <w:tmpl w:val="94E2346C"/>
    <w:lvl w:ilvl="0" w:tplc="0E1A799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5700728D"/>
    <w:multiLevelType w:val="multilevel"/>
    <w:tmpl w:val="2DB03C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BC7E99"/>
    <w:multiLevelType w:val="hybridMultilevel"/>
    <w:tmpl w:val="7F52DF7A"/>
    <w:lvl w:ilvl="0" w:tplc="01E2743C">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59F422D7"/>
    <w:multiLevelType w:val="multilevel"/>
    <w:tmpl w:val="7618F6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9" w15:restartNumberingAfterBreak="0">
    <w:nsid w:val="5A0E05EF"/>
    <w:multiLevelType w:val="hybridMultilevel"/>
    <w:tmpl w:val="08D065F8"/>
    <w:lvl w:ilvl="0" w:tplc="45FAF8F2">
      <w:start w:val="1"/>
      <w:numFmt w:val="bullet"/>
      <w:lvlText w:val="-"/>
      <w:lvlJc w:val="left"/>
      <w:pPr>
        <w:ind w:left="720" w:hanging="360"/>
      </w:pPr>
      <w:rPr>
        <w:rFonts w:ascii="Aptos" w:hAnsi="Aptos" w:hint="default"/>
      </w:rPr>
    </w:lvl>
    <w:lvl w:ilvl="1" w:tplc="EEE423F2">
      <w:start w:val="1"/>
      <w:numFmt w:val="bullet"/>
      <w:lvlText w:val="o"/>
      <w:lvlJc w:val="left"/>
      <w:pPr>
        <w:ind w:left="1440" w:hanging="360"/>
      </w:pPr>
      <w:rPr>
        <w:rFonts w:ascii="Courier New" w:hAnsi="Courier New" w:hint="default"/>
      </w:rPr>
    </w:lvl>
    <w:lvl w:ilvl="2" w:tplc="6A6C0A9E">
      <w:start w:val="1"/>
      <w:numFmt w:val="bullet"/>
      <w:lvlText w:val=""/>
      <w:lvlJc w:val="left"/>
      <w:pPr>
        <w:ind w:left="2160" w:hanging="360"/>
      </w:pPr>
      <w:rPr>
        <w:rFonts w:ascii="Wingdings" w:hAnsi="Wingdings" w:hint="default"/>
      </w:rPr>
    </w:lvl>
    <w:lvl w:ilvl="3" w:tplc="BBA06638">
      <w:start w:val="1"/>
      <w:numFmt w:val="bullet"/>
      <w:lvlText w:val=""/>
      <w:lvlJc w:val="left"/>
      <w:pPr>
        <w:ind w:left="2880" w:hanging="360"/>
      </w:pPr>
      <w:rPr>
        <w:rFonts w:ascii="Symbol" w:hAnsi="Symbol" w:hint="default"/>
      </w:rPr>
    </w:lvl>
    <w:lvl w:ilvl="4" w:tplc="D430D5BC">
      <w:start w:val="1"/>
      <w:numFmt w:val="bullet"/>
      <w:lvlText w:val="o"/>
      <w:lvlJc w:val="left"/>
      <w:pPr>
        <w:ind w:left="3600" w:hanging="360"/>
      </w:pPr>
      <w:rPr>
        <w:rFonts w:ascii="Courier New" w:hAnsi="Courier New" w:hint="default"/>
      </w:rPr>
    </w:lvl>
    <w:lvl w:ilvl="5" w:tplc="2CF87B8A">
      <w:start w:val="1"/>
      <w:numFmt w:val="bullet"/>
      <w:lvlText w:val=""/>
      <w:lvlJc w:val="left"/>
      <w:pPr>
        <w:ind w:left="4320" w:hanging="360"/>
      </w:pPr>
      <w:rPr>
        <w:rFonts w:ascii="Wingdings" w:hAnsi="Wingdings" w:hint="default"/>
      </w:rPr>
    </w:lvl>
    <w:lvl w:ilvl="6" w:tplc="F5AC9392">
      <w:start w:val="1"/>
      <w:numFmt w:val="bullet"/>
      <w:lvlText w:val=""/>
      <w:lvlJc w:val="left"/>
      <w:pPr>
        <w:ind w:left="5040" w:hanging="360"/>
      </w:pPr>
      <w:rPr>
        <w:rFonts w:ascii="Symbol" w:hAnsi="Symbol" w:hint="default"/>
      </w:rPr>
    </w:lvl>
    <w:lvl w:ilvl="7" w:tplc="F6CC8566">
      <w:start w:val="1"/>
      <w:numFmt w:val="bullet"/>
      <w:lvlText w:val="o"/>
      <w:lvlJc w:val="left"/>
      <w:pPr>
        <w:ind w:left="5760" w:hanging="360"/>
      </w:pPr>
      <w:rPr>
        <w:rFonts w:ascii="Courier New" w:hAnsi="Courier New" w:hint="default"/>
      </w:rPr>
    </w:lvl>
    <w:lvl w:ilvl="8" w:tplc="05D8B292">
      <w:start w:val="1"/>
      <w:numFmt w:val="bullet"/>
      <w:lvlText w:val=""/>
      <w:lvlJc w:val="left"/>
      <w:pPr>
        <w:ind w:left="6480" w:hanging="360"/>
      </w:pPr>
      <w:rPr>
        <w:rFonts w:ascii="Wingdings" w:hAnsi="Wingdings" w:hint="default"/>
      </w:rPr>
    </w:lvl>
  </w:abstractNum>
  <w:abstractNum w:abstractNumId="7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72" w15:restartNumberingAfterBreak="0">
    <w:nsid w:val="5C184A6A"/>
    <w:multiLevelType w:val="hybridMultilevel"/>
    <w:tmpl w:val="20F8182E"/>
    <w:lvl w:ilvl="0" w:tplc="782E153C">
      <w:start w:val="1"/>
      <w:numFmt w:val="upperLetter"/>
      <w:lvlText w:val="%1."/>
      <w:lvlJc w:val="left"/>
      <w:pPr>
        <w:ind w:left="366" w:hanging="360"/>
      </w:pPr>
      <w:rPr>
        <w:rFonts w:hint="default"/>
      </w:rPr>
    </w:lvl>
    <w:lvl w:ilvl="1" w:tplc="08090019" w:tentative="1">
      <w:start w:val="1"/>
      <w:numFmt w:val="lowerLetter"/>
      <w:lvlText w:val="%2."/>
      <w:lvlJc w:val="left"/>
      <w:pPr>
        <w:ind w:left="1086" w:hanging="360"/>
      </w:pPr>
    </w:lvl>
    <w:lvl w:ilvl="2" w:tplc="0809001B" w:tentative="1">
      <w:start w:val="1"/>
      <w:numFmt w:val="lowerRoman"/>
      <w:lvlText w:val="%3."/>
      <w:lvlJc w:val="right"/>
      <w:pPr>
        <w:ind w:left="1806" w:hanging="180"/>
      </w:pPr>
    </w:lvl>
    <w:lvl w:ilvl="3" w:tplc="0809000F" w:tentative="1">
      <w:start w:val="1"/>
      <w:numFmt w:val="decimal"/>
      <w:lvlText w:val="%4."/>
      <w:lvlJc w:val="left"/>
      <w:pPr>
        <w:ind w:left="2526" w:hanging="360"/>
      </w:pPr>
    </w:lvl>
    <w:lvl w:ilvl="4" w:tplc="08090019" w:tentative="1">
      <w:start w:val="1"/>
      <w:numFmt w:val="lowerLetter"/>
      <w:lvlText w:val="%5."/>
      <w:lvlJc w:val="left"/>
      <w:pPr>
        <w:ind w:left="3246" w:hanging="360"/>
      </w:pPr>
    </w:lvl>
    <w:lvl w:ilvl="5" w:tplc="0809001B" w:tentative="1">
      <w:start w:val="1"/>
      <w:numFmt w:val="lowerRoman"/>
      <w:lvlText w:val="%6."/>
      <w:lvlJc w:val="right"/>
      <w:pPr>
        <w:ind w:left="3966" w:hanging="180"/>
      </w:pPr>
    </w:lvl>
    <w:lvl w:ilvl="6" w:tplc="0809000F" w:tentative="1">
      <w:start w:val="1"/>
      <w:numFmt w:val="decimal"/>
      <w:lvlText w:val="%7."/>
      <w:lvlJc w:val="left"/>
      <w:pPr>
        <w:ind w:left="4686" w:hanging="360"/>
      </w:pPr>
    </w:lvl>
    <w:lvl w:ilvl="7" w:tplc="08090019" w:tentative="1">
      <w:start w:val="1"/>
      <w:numFmt w:val="lowerLetter"/>
      <w:lvlText w:val="%8."/>
      <w:lvlJc w:val="left"/>
      <w:pPr>
        <w:ind w:left="5406" w:hanging="360"/>
      </w:pPr>
    </w:lvl>
    <w:lvl w:ilvl="8" w:tplc="0809001B" w:tentative="1">
      <w:start w:val="1"/>
      <w:numFmt w:val="lowerRoman"/>
      <w:lvlText w:val="%9."/>
      <w:lvlJc w:val="right"/>
      <w:pPr>
        <w:ind w:left="6126" w:hanging="180"/>
      </w:pPr>
    </w:lvl>
  </w:abstractNum>
  <w:abstractNum w:abstractNumId="73" w15:restartNumberingAfterBreak="0">
    <w:nsid w:val="5C7C46E5"/>
    <w:multiLevelType w:val="hybridMultilevel"/>
    <w:tmpl w:val="AAB43224"/>
    <w:lvl w:ilvl="0" w:tplc="FD9268C4">
      <w:start w:val="1"/>
      <w:numFmt w:val="lowerRoman"/>
      <w:lvlText w:val="(%1)"/>
      <w:lvlJc w:val="left"/>
      <w:pPr>
        <w:ind w:left="1080" w:hanging="720"/>
      </w:pPr>
      <w:rPr>
        <w:rFonts w:eastAsia="Calibri" w:cs="Myanmar Text"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5" w15:restartNumberingAfterBreak="0">
    <w:nsid w:val="5D111E8D"/>
    <w:multiLevelType w:val="hybridMultilevel"/>
    <w:tmpl w:val="AA2E595C"/>
    <w:lvl w:ilvl="0" w:tplc="8CF2C182">
      <w:start w:val="5"/>
      <w:numFmt w:val="upperLetter"/>
      <w:lvlText w:val="%1."/>
      <w:lvlJc w:val="left"/>
      <w:pPr>
        <w:ind w:left="366" w:hanging="360"/>
      </w:pPr>
      <w:rPr>
        <w:rFonts w:hint="default"/>
        <w:u w:val="none"/>
      </w:rPr>
    </w:lvl>
    <w:lvl w:ilvl="1" w:tplc="18090019" w:tentative="1">
      <w:start w:val="1"/>
      <w:numFmt w:val="lowerLetter"/>
      <w:lvlText w:val="%2."/>
      <w:lvlJc w:val="left"/>
      <w:pPr>
        <w:ind w:left="1086" w:hanging="360"/>
      </w:pPr>
    </w:lvl>
    <w:lvl w:ilvl="2" w:tplc="1809001B" w:tentative="1">
      <w:start w:val="1"/>
      <w:numFmt w:val="lowerRoman"/>
      <w:lvlText w:val="%3."/>
      <w:lvlJc w:val="right"/>
      <w:pPr>
        <w:ind w:left="1806" w:hanging="180"/>
      </w:pPr>
    </w:lvl>
    <w:lvl w:ilvl="3" w:tplc="1809000F" w:tentative="1">
      <w:start w:val="1"/>
      <w:numFmt w:val="decimal"/>
      <w:lvlText w:val="%4."/>
      <w:lvlJc w:val="left"/>
      <w:pPr>
        <w:ind w:left="2526" w:hanging="360"/>
      </w:pPr>
    </w:lvl>
    <w:lvl w:ilvl="4" w:tplc="18090019" w:tentative="1">
      <w:start w:val="1"/>
      <w:numFmt w:val="lowerLetter"/>
      <w:lvlText w:val="%5."/>
      <w:lvlJc w:val="left"/>
      <w:pPr>
        <w:ind w:left="3246" w:hanging="360"/>
      </w:pPr>
    </w:lvl>
    <w:lvl w:ilvl="5" w:tplc="1809001B" w:tentative="1">
      <w:start w:val="1"/>
      <w:numFmt w:val="lowerRoman"/>
      <w:lvlText w:val="%6."/>
      <w:lvlJc w:val="right"/>
      <w:pPr>
        <w:ind w:left="3966" w:hanging="180"/>
      </w:pPr>
    </w:lvl>
    <w:lvl w:ilvl="6" w:tplc="1809000F" w:tentative="1">
      <w:start w:val="1"/>
      <w:numFmt w:val="decimal"/>
      <w:lvlText w:val="%7."/>
      <w:lvlJc w:val="left"/>
      <w:pPr>
        <w:ind w:left="4686" w:hanging="360"/>
      </w:pPr>
    </w:lvl>
    <w:lvl w:ilvl="7" w:tplc="18090019" w:tentative="1">
      <w:start w:val="1"/>
      <w:numFmt w:val="lowerLetter"/>
      <w:lvlText w:val="%8."/>
      <w:lvlJc w:val="left"/>
      <w:pPr>
        <w:ind w:left="5406" w:hanging="360"/>
      </w:pPr>
    </w:lvl>
    <w:lvl w:ilvl="8" w:tplc="1809001B" w:tentative="1">
      <w:start w:val="1"/>
      <w:numFmt w:val="lowerRoman"/>
      <w:lvlText w:val="%9."/>
      <w:lvlJc w:val="right"/>
      <w:pPr>
        <w:ind w:left="6126" w:hanging="180"/>
      </w:pPr>
    </w:lvl>
  </w:abstractNum>
  <w:abstractNum w:abstractNumId="76" w15:restartNumberingAfterBreak="0">
    <w:nsid w:val="5DCC1A5E"/>
    <w:multiLevelType w:val="multilevel"/>
    <w:tmpl w:val="64044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F1446F8"/>
    <w:multiLevelType w:val="hybridMultilevel"/>
    <w:tmpl w:val="CBCA9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F4A65B4"/>
    <w:multiLevelType w:val="hybridMultilevel"/>
    <w:tmpl w:val="FD7AD938"/>
    <w:lvl w:ilvl="0" w:tplc="D186C28E">
      <w:start w:val="1"/>
      <w:numFmt w:val="bullet"/>
      <w:lvlText w:val=""/>
      <w:lvlJc w:val="left"/>
      <w:pPr>
        <w:ind w:left="1020" w:hanging="360"/>
      </w:pPr>
      <w:rPr>
        <w:rFonts w:ascii="Symbol" w:hAnsi="Symbol"/>
      </w:rPr>
    </w:lvl>
    <w:lvl w:ilvl="1" w:tplc="4BC676AE">
      <w:start w:val="1"/>
      <w:numFmt w:val="bullet"/>
      <w:lvlText w:val=""/>
      <w:lvlJc w:val="left"/>
      <w:pPr>
        <w:ind w:left="1020" w:hanging="360"/>
      </w:pPr>
      <w:rPr>
        <w:rFonts w:ascii="Symbol" w:hAnsi="Symbol"/>
      </w:rPr>
    </w:lvl>
    <w:lvl w:ilvl="2" w:tplc="5AFCC78E">
      <w:start w:val="1"/>
      <w:numFmt w:val="bullet"/>
      <w:lvlText w:val=""/>
      <w:lvlJc w:val="left"/>
      <w:pPr>
        <w:ind w:left="1020" w:hanging="360"/>
      </w:pPr>
      <w:rPr>
        <w:rFonts w:ascii="Symbol" w:hAnsi="Symbol"/>
      </w:rPr>
    </w:lvl>
    <w:lvl w:ilvl="3" w:tplc="0BF88CC4">
      <w:start w:val="1"/>
      <w:numFmt w:val="bullet"/>
      <w:lvlText w:val=""/>
      <w:lvlJc w:val="left"/>
      <w:pPr>
        <w:ind w:left="1020" w:hanging="360"/>
      </w:pPr>
      <w:rPr>
        <w:rFonts w:ascii="Symbol" w:hAnsi="Symbol"/>
      </w:rPr>
    </w:lvl>
    <w:lvl w:ilvl="4" w:tplc="A650DC6C">
      <w:start w:val="1"/>
      <w:numFmt w:val="bullet"/>
      <w:lvlText w:val=""/>
      <w:lvlJc w:val="left"/>
      <w:pPr>
        <w:ind w:left="1020" w:hanging="360"/>
      </w:pPr>
      <w:rPr>
        <w:rFonts w:ascii="Symbol" w:hAnsi="Symbol"/>
      </w:rPr>
    </w:lvl>
    <w:lvl w:ilvl="5" w:tplc="DBEEDA7C">
      <w:start w:val="1"/>
      <w:numFmt w:val="bullet"/>
      <w:lvlText w:val=""/>
      <w:lvlJc w:val="left"/>
      <w:pPr>
        <w:ind w:left="1020" w:hanging="360"/>
      </w:pPr>
      <w:rPr>
        <w:rFonts w:ascii="Symbol" w:hAnsi="Symbol"/>
      </w:rPr>
    </w:lvl>
    <w:lvl w:ilvl="6" w:tplc="442838B6">
      <w:start w:val="1"/>
      <w:numFmt w:val="bullet"/>
      <w:lvlText w:val=""/>
      <w:lvlJc w:val="left"/>
      <w:pPr>
        <w:ind w:left="1020" w:hanging="360"/>
      </w:pPr>
      <w:rPr>
        <w:rFonts w:ascii="Symbol" w:hAnsi="Symbol"/>
      </w:rPr>
    </w:lvl>
    <w:lvl w:ilvl="7" w:tplc="0D027F96">
      <w:start w:val="1"/>
      <w:numFmt w:val="bullet"/>
      <w:lvlText w:val=""/>
      <w:lvlJc w:val="left"/>
      <w:pPr>
        <w:ind w:left="1020" w:hanging="360"/>
      </w:pPr>
      <w:rPr>
        <w:rFonts w:ascii="Symbol" w:hAnsi="Symbol"/>
      </w:rPr>
    </w:lvl>
    <w:lvl w:ilvl="8" w:tplc="431CD60A">
      <w:start w:val="1"/>
      <w:numFmt w:val="bullet"/>
      <w:lvlText w:val=""/>
      <w:lvlJc w:val="left"/>
      <w:pPr>
        <w:ind w:left="1020" w:hanging="360"/>
      </w:pPr>
      <w:rPr>
        <w:rFonts w:ascii="Symbol" w:hAnsi="Symbol"/>
      </w:rPr>
    </w:lvl>
  </w:abstractNum>
  <w:abstractNum w:abstractNumId="79" w15:restartNumberingAfterBreak="0">
    <w:nsid w:val="63C14204"/>
    <w:multiLevelType w:val="hybridMultilevel"/>
    <w:tmpl w:val="FD265596"/>
    <w:lvl w:ilvl="0" w:tplc="8EB40B82">
      <w:start w:val="1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0" w15:restartNumberingAfterBreak="0">
    <w:nsid w:val="63C42873"/>
    <w:multiLevelType w:val="multilevel"/>
    <w:tmpl w:val="17462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3FC14C9"/>
    <w:multiLevelType w:val="hybridMultilevel"/>
    <w:tmpl w:val="593CB2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3" w15:restartNumberingAfterBreak="0">
    <w:nsid w:val="6CA4FBD0"/>
    <w:multiLevelType w:val="hybridMultilevel"/>
    <w:tmpl w:val="FFFFFFFF"/>
    <w:lvl w:ilvl="0" w:tplc="79DEB380">
      <w:start w:val="1"/>
      <w:numFmt w:val="bullet"/>
      <w:lvlText w:val="-"/>
      <w:lvlJc w:val="left"/>
      <w:pPr>
        <w:ind w:left="720" w:hanging="360"/>
      </w:pPr>
      <w:rPr>
        <w:rFonts w:ascii="&quot;Times New Roman&quot;,serif" w:hAnsi="&quot;Times New Roman&quot;,serif" w:hint="default"/>
      </w:rPr>
    </w:lvl>
    <w:lvl w:ilvl="1" w:tplc="B22A73C8">
      <w:start w:val="1"/>
      <w:numFmt w:val="bullet"/>
      <w:lvlText w:val="o"/>
      <w:lvlJc w:val="left"/>
      <w:pPr>
        <w:ind w:left="1440" w:hanging="360"/>
      </w:pPr>
      <w:rPr>
        <w:rFonts w:ascii="Courier New" w:hAnsi="Courier New" w:hint="default"/>
      </w:rPr>
    </w:lvl>
    <w:lvl w:ilvl="2" w:tplc="4F6EBAE8">
      <w:start w:val="1"/>
      <w:numFmt w:val="bullet"/>
      <w:lvlText w:val=""/>
      <w:lvlJc w:val="left"/>
      <w:pPr>
        <w:ind w:left="2160" w:hanging="360"/>
      </w:pPr>
      <w:rPr>
        <w:rFonts w:ascii="Wingdings" w:hAnsi="Wingdings" w:hint="default"/>
      </w:rPr>
    </w:lvl>
    <w:lvl w:ilvl="3" w:tplc="CC3EF7E4">
      <w:start w:val="1"/>
      <w:numFmt w:val="bullet"/>
      <w:lvlText w:val=""/>
      <w:lvlJc w:val="left"/>
      <w:pPr>
        <w:ind w:left="2880" w:hanging="360"/>
      </w:pPr>
      <w:rPr>
        <w:rFonts w:ascii="Symbol" w:hAnsi="Symbol" w:hint="default"/>
      </w:rPr>
    </w:lvl>
    <w:lvl w:ilvl="4" w:tplc="741483C2">
      <w:start w:val="1"/>
      <w:numFmt w:val="bullet"/>
      <w:lvlText w:val="o"/>
      <w:lvlJc w:val="left"/>
      <w:pPr>
        <w:ind w:left="3600" w:hanging="360"/>
      </w:pPr>
      <w:rPr>
        <w:rFonts w:ascii="Courier New" w:hAnsi="Courier New" w:hint="default"/>
      </w:rPr>
    </w:lvl>
    <w:lvl w:ilvl="5" w:tplc="23106D50">
      <w:start w:val="1"/>
      <w:numFmt w:val="bullet"/>
      <w:lvlText w:val=""/>
      <w:lvlJc w:val="left"/>
      <w:pPr>
        <w:ind w:left="4320" w:hanging="360"/>
      </w:pPr>
      <w:rPr>
        <w:rFonts w:ascii="Wingdings" w:hAnsi="Wingdings" w:hint="default"/>
      </w:rPr>
    </w:lvl>
    <w:lvl w:ilvl="6" w:tplc="189A4F28">
      <w:start w:val="1"/>
      <w:numFmt w:val="bullet"/>
      <w:lvlText w:val=""/>
      <w:lvlJc w:val="left"/>
      <w:pPr>
        <w:ind w:left="5040" w:hanging="360"/>
      </w:pPr>
      <w:rPr>
        <w:rFonts w:ascii="Symbol" w:hAnsi="Symbol" w:hint="default"/>
      </w:rPr>
    </w:lvl>
    <w:lvl w:ilvl="7" w:tplc="16D0AAAA">
      <w:start w:val="1"/>
      <w:numFmt w:val="bullet"/>
      <w:lvlText w:val="o"/>
      <w:lvlJc w:val="left"/>
      <w:pPr>
        <w:ind w:left="5760" w:hanging="360"/>
      </w:pPr>
      <w:rPr>
        <w:rFonts w:ascii="Courier New" w:hAnsi="Courier New" w:hint="default"/>
      </w:rPr>
    </w:lvl>
    <w:lvl w:ilvl="8" w:tplc="D2E42798">
      <w:start w:val="1"/>
      <w:numFmt w:val="bullet"/>
      <w:lvlText w:val=""/>
      <w:lvlJc w:val="left"/>
      <w:pPr>
        <w:ind w:left="6480" w:hanging="360"/>
      </w:pPr>
      <w:rPr>
        <w:rFonts w:ascii="Wingdings" w:hAnsi="Wingdings" w:hint="default"/>
      </w:rPr>
    </w:lvl>
  </w:abstractNum>
  <w:abstractNum w:abstractNumId="84" w15:restartNumberingAfterBreak="0">
    <w:nsid w:val="6DA10BBB"/>
    <w:multiLevelType w:val="hybridMultilevel"/>
    <w:tmpl w:val="4CE8CEB4"/>
    <w:lvl w:ilvl="0" w:tplc="F96681D0">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E184B22"/>
    <w:multiLevelType w:val="multilevel"/>
    <w:tmpl w:val="1A34B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F1848E5"/>
    <w:multiLevelType w:val="hybridMultilevel"/>
    <w:tmpl w:val="0D48F38A"/>
    <w:lvl w:ilvl="0" w:tplc="201A0AA0">
      <w:start w:val="1"/>
      <w:numFmt w:val="lowerRoman"/>
      <w:lvlText w:val="%1)"/>
      <w:lvlJc w:val="left"/>
      <w:pPr>
        <w:ind w:left="720" w:hanging="720"/>
      </w:pPr>
      <w:rPr>
        <w:rFonts w:eastAsia="Calibri" w:cs="Myanmar Text"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6FCC309F"/>
    <w:multiLevelType w:val="hybridMultilevel"/>
    <w:tmpl w:val="889C2A7E"/>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88" w15:restartNumberingAfterBreak="0">
    <w:nsid w:val="70140041"/>
    <w:multiLevelType w:val="multilevel"/>
    <w:tmpl w:val="817E2E62"/>
    <w:lvl w:ilvl="0">
      <w:start w:val="3"/>
      <w:numFmt w:val="decimal"/>
      <w:lvlText w:val="%1."/>
      <w:lvlJc w:val="left"/>
      <w:pPr>
        <w:ind w:left="720" w:hanging="360"/>
      </w:pPr>
      <w:rPr>
        <w:rFonts w:hint="default"/>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89" w15:restartNumberingAfterBreak="0">
    <w:nsid w:val="702E54AB"/>
    <w:multiLevelType w:val="hybridMultilevel"/>
    <w:tmpl w:val="99862E8E"/>
    <w:lvl w:ilvl="0" w:tplc="0809001B">
      <w:start w:val="1"/>
      <w:numFmt w:val="lowerRoman"/>
      <w:lvlText w:val="%1."/>
      <w:lvlJc w:val="right"/>
      <w:pPr>
        <w:ind w:left="719"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4041A25"/>
    <w:multiLevelType w:val="hybridMultilevel"/>
    <w:tmpl w:val="7A84A6D0"/>
    <w:lvl w:ilvl="0" w:tplc="BA98E70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1" w15:restartNumberingAfterBreak="0">
    <w:nsid w:val="76A3747F"/>
    <w:multiLevelType w:val="hybridMultilevel"/>
    <w:tmpl w:val="FFFFFFFF"/>
    <w:lvl w:ilvl="0" w:tplc="9F422C9E">
      <w:start w:val="1"/>
      <w:numFmt w:val="bullet"/>
      <w:lvlText w:val="-"/>
      <w:lvlJc w:val="left"/>
      <w:pPr>
        <w:ind w:left="720" w:hanging="360"/>
      </w:pPr>
      <w:rPr>
        <w:rFonts w:ascii="Aptos" w:hAnsi="Aptos" w:hint="default"/>
      </w:rPr>
    </w:lvl>
    <w:lvl w:ilvl="1" w:tplc="30661080">
      <w:start w:val="1"/>
      <w:numFmt w:val="bullet"/>
      <w:lvlText w:val="o"/>
      <w:lvlJc w:val="left"/>
      <w:pPr>
        <w:ind w:left="1440" w:hanging="360"/>
      </w:pPr>
      <w:rPr>
        <w:rFonts w:ascii="Courier New" w:hAnsi="Courier New" w:hint="default"/>
      </w:rPr>
    </w:lvl>
    <w:lvl w:ilvl="2" w:tplc="727222BA">
      <w:start w:val="1"/>
      <w:numFmt w:val="bullet"/>
      <w:lvlText w:val=""/>
      <w:lvlJc w:val="left"/>
      <w:pPr>
        <w:ind w:left="2160" w:hanging="360"/>
      </w:pPr>
      <w:rPr>
        <w:rFonts w:ascii="Wingdings" w:hAnsi="Wingdings" w:hint="default"/>
      </w:rPr>
    </w:lvl>
    <w:lvl w:ilvl="3" w:tplc="9A067F2C">
      <w:start w:val="1"/>
      <w:numFmt w:val="bullet"/>
      <w:lvlText w:val=""/>
      <w:lvlJc w:val="left"/>
      <w:pPr>
        <w:ind w:left="2880" w:hanging="360"/>
      </w:pPr>
      <w:rPr>
        <w:rFonts w:ascii="Symbol" w:hAnsi="Symbol" w:hint="default"/>
      </w:rPr>
    </w:lvl>
    <w:lvl w:ilvl="4" w:tplc="1D6866CC">
      <w:start w:val="1"/>
      <w:numFmt w:val="bullet"/>
      <w:lvlText w:val="o"/>
      <w:lvlJc w:val="left"/>
      <w:pPr>
        <w:ind w:left="3600" w:hanging="360"/>
      </w:pPr>
      <w:rPr>
        <w:rFonts w:ascii="Courier New" w:hAnsi="Courier New" w:hint="default"/>
      </w:rPr>
    </w:lvl>
    <w:lvl w:ilvl="5" w:tplc="FD98348A">
      <w:start w:val="1"/>
      <w:numFmt w:val="bullet"/>
      <w:lvlText w:val=""/>
      <w:lvlJc w:val="left"/>
      <w:pPr>
        <w:ind w:left="4320" w:hanging="360"/>
      </w:pPr>
      <w:rPr>
        <w:rFonts w:ascii="Wingdings" w:hAnsi="Wingdings" w:hint="default"/>
      </w:rPr>
    </w:lvl>
    <w:lvl w:ilvl="6" w:tplc="00B0B6E0">
      <w:start w:val="1"/>
      <w:numFmt w:val="bullet"/>
      <w:lvlText w:val=""/>
      <w:lvlJc w:val="left"/>
      <w:pPr>
        <w:ind w:left="5040" w:hanging="360"/>
      </w:pPr>
      <w:rPr>
        <w:rFonts w:ascii="Symbol" w:hAnsi="Symbol" w:hint="default"/>
      </w:rPr>
    </w:lvl>
    <w:lvl w:ilvl="7" w:tplc="387C3744">
      <w:start w:val="1"/>
      <w:numFmt w:val="bullet"/>
      <w:lvlText w:val="o"/>
      <w:lvlJc w:val="left"/>
      <w:pPr>
        <w:ind w:left="5760" w:hanging="360"/>
      </w:pPr>
      <w:rPr>
        <w:rFonts w:ascii="Courier New" w:hAnsi="Courier New" w:hint="default"/>
      </w:rPr>
    </w:lvl>
    <w:lvl w:ilvl="8" w:tplc="8968D69C">
      <w:start w:val="1"/>
      <w:numFmt w:val="bullet"/>
      <w:lvlText w:val=""/>
      <w:lvlJc w:val="left"/>
      <w:pPr>
        <w:ind w:left="6480" w:hanging="360"/>
      </w:pPr>
      <w:rPr>
        <w:rFonts w:ascii="Wingdings" w:hAnsi="Wingdings" w:hint="default"/>
      </w:rPr>
    </w:lvl>
  </w:abstractNum>
  <w:abstractNum w:abstractNumId="92"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3" w15:restartNumberingAfterBreak="0">
    <w:nsid w:val="77566D51"/>
    <w:multiLevelType w:val="hybridMultilevel"/>
    <w:tmpl w:val="334A2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816483B"/>
    <w:multiLevelType w:val="hybridMultilevel"/>
    <w:tmpl w:val="14569A86"/>
    <w:lvl w:ilvl="0" w:tplc="B22E0E3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79EFD594"/>
    <w:multiLevelType w:val="hybridMultilevel"/>
    <w:tmpl w:val="29BA2D90"/>
    <w:lvl w:ilvl="0" w:tplc="68DE7F80">
      <w:start w:val="1"/>
      <w:numFmt w:val="bullet"/>
      <w:lvlText w:val="-"/>
      <w:lvlJc w:val="left"/>
      <w:pPr>
        <w:ind w:left="720" w:hanging="360"/>
      </w:pPr>
      <w:rPr>
        <w:rFonts w:ascii="Aptos" w:hAnsi="Aptos" w:hint="default"/>
      </w:rPr>
    </w:lvl>
    <w:lvl w:ilvl="1" w:tplc="DFA8AC82">
      <w:start w:val="1"/>
      <w:numFmt w:val="bullet"/>
      <w:lvlText w:val="o"/>
      <w:lvlJc w:val="left"/>
      <w:pPr>
        <w:ind w:left="1440" w:hanging="360"/>
      </w:pPr>
      <w:rPr>
        <w:rFonts w:ascii="Courier New" w:hAnsi="Courier New" w:hint="default"/>
      </w:rPr>
    </w:lvl>
    <w:lvl w:ilvl="2" w:tplc="80ACE3EC">
      <w:start w:val="1"/>
      <w:numFmt w:val="bullet"/>
      <w:lvlText w:val=""/>
      <w:lvlJc w:val="left"/>
      <w:pPr>
        <w:ind w:left="2160" w:hanging="360"/>
      </w:pPr>
      <w:rPr>
        <w:rFonts w:ascii="Wingdings" w:hAnsi="Wingdings" w:hint="default"/>
      </w:rPr>
    </w:lvl>
    <w:lvl w:ilvl="3" w:tplc="9A4E138A">
      <w:start w:val="1"/>
      <w:numFmt w:val="bullet"/>
      <w:lvlText w:val=""/>
      <w:lvlJc w:val="left"/>
      <w:pPr>
        <w:ind w:left="2880" w:hanging="360"/>
      </w:pPr>
      <w:rPr>
        <w:rFonts w:ascii="Symbol" w:hAnsi="Symbol" w:hint="default"/>
      </w:rPr>
    </w:lvl>
    <w:lvl w:ilvl="4" w:tplc="E682B9AA">
      <w:start w:val="1"/>
      <w:numFmt w:val="bullet"/>
      <w:lvlText w:val="o"/>
      <w:lvlJc w:val="left"/>
      <w:pPr>
        <w:ind w:left="3600" w:hanging="360"/>
      </w:pPr>
      <w:rPr>
        <w:rFonts w:ascii="Courier New" w:hAnsi="Courier New" w:hint="default"/>
      </w:rPr>
    </w:lvl>
    <w:lvl w:ilvl="5" w:tplc="212CE970">
      <w:start w:val="1"/>
      <w:numFmt w:val="bullet"/>
      <w:lvlText w:val=""/>
      <w:lvlJc w:val="left"/>
      <w:pPr>
        <w:ind w:left="4320" w:hanging="360"/>
      </w:pPr>
      <w:rPr>
        <w:rFonts w:ascii="Wingdings" w:hAnsi="Wingdings" w:hint="default"/>
      </w:rPr>
    </w:lvl>
    <w:lvl w:ilvl="6" w:tplc="0364771A">
      <w:start w:val="1"/>
      <w:numFmt w:val="bullet"/>
      <w:lvlText w:val=""/>
      <w:lvlJc w:val="left"/>
      <w:pPr>
        <w:ind w:left="5040" w:hanging="360"/>
      </w:pPr>
      <w:rPr>
        <w:rFonts w:ascii="Symbol" w:hAnsi="Symbol" w:hint="default"/>
      </w:rPr>
    </w:lvl>
    <w:lvl w:ilvl="7" w:tplc="BCA6CD9A">
      <w:start w:val="1"/>
      <w:numFmt w:val="bullet"/>
      <w:lvlText w:val="o"/>
      <w:lvlJc w:val="left"/>
      <w:pPr>
        <w:ind w:left="5760" w:hanging="360"/>
      </w:pPr>
      <w:rPr>
        <w:rFonts w:ascii="Courier New" w:hAnsi="Courier New" w:hint="default"/>
      </w:rPr>
    </w:lvl>
    <w:lvl w:ilvl="8" w:tplc="1A00ED24">
      <w:start w:val="1"/>
      <w:numFmt w:val="bullet"/>
      <w:lvlText w:val=""/>
      <w:lvlJc w:val="left"/>
      <w:pPr>
        <w:ind w:left="6480" w:hanging="360"/>
      </w:pPr>
      <w:rPr>
        <w:rFonts w:ascii="Wingdings" w:hAnsi="Wingdings" w:hint="default"/>
      </w:rPr>
    </w:lvl>
  </w:abstractNum>
  <w:abstractNum w:abstractNumId="96" w15:restartNumberingAfterBreak="0">
    <w:nsid w:val="7BF94956"/>
    <w:multiLevelType w:val="hybridMultilevel"/>
    <w:tmpl w:val="26F28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080B6C"/>
    <w:multiLevelType w:val="hybridMultilevel"/>
    <w:tmpl w:val="4B28B65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99" w15:restartNumberingAfterBreak="0">
    <w:nsid w:val="7CD26665"/>
    <w:multiLevelType w:val="multilevel"/>
    <w:tmpl w:val="13DA11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F010CB7"/>
    <w:multiLevelType w:val="multilevel"/>
    <w:tmpl w:val="08ECA51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1" w15:restartNumberingAfterBreak="0">
    <w:nsid w:val="7F332538"/>
    <w:multiLevelType w:val="multilevel"/>
    <w:tmpl w:val="209439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02" w15:restartNumberingAfterBreak="0">
    <w:nsid w:val="7F830756"/>
    <w:multiLevelType w:val="hybridMultilevel"/>
    <w:tmpl w:val="8A4CF84E"/>
    <w:lvl w:ilvl="0" w:tplc="F96681D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74"/>
  </w:num>
  <w:num w:numId="3">
    <w:abstractNumId w:val="46"/>
  </w:num>
  <w:num w:numId="4">
    <w:abstractNumId w:val="82"/>
  </w:num>
  <w:num w:numId="5">
    <w:abstractNumId w:val="37"/>
  </w:num>
  <w:num w:numId="6">
    <w:abstractNumId w:val="47"/>
  </w:num>
  <w:num w:numId="7">
    <w:abstractNumId w:val="31"/>
  </w:num>
  <w:num w:numId="8">
    <w:abstractNumId w:val="29"/>
  </w:num>
  <w:num w:numId="9">
    <w:abstractNumId w:val="50"/>
  </w:num>
  <w:num w:numId="10">
    <w:abstractNumId w:val="70"/>
  </w:num>
  <w:num w:numId="11">
    <w:abstractNumId w:val="71"/>
  </w:num>
  <w:num w:numId="12">
    <w:abstractNumId w:val="34"/>
  </w:num>
  <w:num w:numId="13">
    <w:abstractNumId w:val="62"/>
  </w:num>
  <w:num w:numId="14">
    <w:abstractNumId w:val="98"/>
  </w:num>
  <w:num w:numId="15">
    <w:abstractNumId w:val="3"/>
  </w:num>
  <w:num w:numId="16">
    <w:abstractNumId w:val="2"/>
  </w:num>
  <w:num w:numId="17">
    <w:abstractNumId w:val="1"/>
  </w:num>
  <w:num w:numId="18">
    <w:abstractNumId w:val="0"/>
  </w:num>
  <w:num w:numId="19">
    <w:abstractNumId w:val="10"/>
  </w:num>
  <w:num w:numId="20">
    <w:abstractNumId w:val="72"/>
  </w:num>
  <w:num w:numId="21">
    <w:abstractNumId w:val="55"/>
  </w:num>
  <w:num w:numId="22">
    <w:abstractNumId w:val="44"/>
  </w:num>
  <w:num w:numId="23">
    <w:abstractNumId w:val="42"/>
  </w:num>
  <w:num w:numId="24">
    <w:abstractNumId w:val="12"/>
  </w:num>
  <w:num w:numId="2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102"/>
  </w:num>
  <w:num w:numId="28">
    <w:abstractNumId w:val="21"/>
  </w:num>
  <w:num w:numId="29">
    <w:abstractNumId w:val="17"/>
  </w:num>
  <w:num w:numId="30">
    <w:abstractNumId w:val="52"/>
  </w:num>
  <w:num w:numId="31">
    <w:abstractNumId w:val="5"/>
  </w:num>
  <w:num w:numId="32">
    <w:abstractNumId w:val="69"/>
  </w:num>
  <w:num w:numId="33">
    <w:abstractNumId w:val="56"/>
  </w:num>
  <w:num w:numId="34">
    <w:abstractNumId w:val="57"/>
  </w:num>
  <w:num w:numId="35">
    <w:abstractNumId w:val="53"/>
  </w:num>
  <w:num w:numId="36">
    <w:abstractNumId w:val="96"/>
  </w:num>
  <w:num w:numId="37">
    <w:abstractNumId w:val="75"/>
  </w:num>
  <w:num w:numId="38">
    <w:abstractNumId w:val="15"/>
  </w:num>
  <w:num w:numId="39">
    <w:abstractNumId w:val="67"/>
  </w:num>
  <w:num w:numId="40">
    <w:abstractNumId w:val="33"/>
  </w:num>
  <w:num w:numId="41">
    <w:abstractNumId w:val="100"/>
  </w:num>
  <w:num w:numId="42">
    <w:abstractNumId w:val="14"/>
  </w:num>
  <w:num w:numId="43">
    <w:abstractNumId w:val="68"/>
  </w:num>
  <w:num w:numId="44">
    <w:abstractNumId w:val="22"/>
  </w:num>
  <w:num w:numId="45">
    <w:abstractNumId w:val="19"/>
  </w:num>
  <w:num w:numId="46">
    <w:abstractNumId w:val="13"/>
  </w:num>
  <w:num w:numId="47">
    <w:abstractNumId w:val="86"/>
  </w:num>
  <w:num w:numId="48">
    <w:abstractNumId w:val="49"/>
  </w:num>
  <w:num w:numId="49">
    <w:abstractNumId w:val="18"/>
  </w:num>
  <w:num w:numId="50">
    <w:abstractNumId w:val="6"/>
  </w:num>
  <w:num w:numId="51">
    <w:abstractNumId w:val="101"/>
  </w:num>
  <w:num w:numId="52">
    <w:abstractNumId w:val="79"/>
  </w:num>
  <w:num w:numId="53">
    <w:abstractNumId w:val="28"/>
  </w:num>
  <w:num w:numId="5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1"/>
  </w:num>
  <w:num w:numId="56">
    <w:abstractNumId w:val="54"/>
  </w:num>
  <w:num w:numId="57">
    <w:abstractNumId w:val="94"/>
  </w:num>
  <w:num w:numId="58">
    <w:abstractNumId w:val="23"/>
  </w:num>
  <w:num w:numId="59">
    <w:abstractNumId w:val="7"/>
  </w:num>
  <w:num w:numId="60">
    <w:abstractNumId w:val="59"/>
  </w:num>
  <w:num w:numId="61">
    <w:abstractNumId w:val="27"/>
  </w:num>
  <w:num w:numId="62">
    <w:abstractNumId w:val="73"/>
  </w:num>
  <w:num w:numId="63">
    <w:abstractNumId w:val="40"/>
  </w:num>
  <w:num w:numId="64">
    <w:abstractNumId w:val="80"/>
  </w:num>
  <w:num w:numId="65">
    <w:abstractNumId w:val="77"/>
  </w:num>
  <w:num w:numId="66">
    <w:abstractNumId w:val="20"/>
  </w:num>
  <w:num w:numId="67">
    <w:abstractNumId w:val="88"/>
  </w:num>
  <w:num w:numId="68">
    <w:abstractNumId w:val="90"/>
  </w:num>
  <w:num w:numId="69">
    <w:abstractNumId w:val="39"/>
  </w:num>
  <w:num w:numId="70">
    <w:abstractNumId w:val="35"/>
  </w:num>
  <w:num w:numId="71">
    <w:abstractNumId w:val="85"/>
  </w:num>
  <w:num w:numId="72">
    <w:abstractNumId w:val="60"/>
  </w:num>
  <w:num w:numId="73">
    <w:abstractNumId w:val="63"/>
  </w:num>
  <w:num w:numId="74">
    <w:abstractNumId w:val="32"/>
  </w:num>
  <w:num w:numId="75">
    <w:abstractNumId w:val="76"/>
  </w:num>
  <w:num w:numId="76">
    <w:abstractNumId w:val="58"/>
  </w:num>
  <w:num w:numId="77">
    <w:abstractNumId w:val="38"/>
  </w:num>
  <w:num w:numId="78">
    <w:abstractNumId w:val="11"/>
  </w:num>
  <w:num w:numId="79">
    <w:abstractNumId w:val="95"/>
  </w:num>
  <w:num w:numId="80">
    <w:abstractNumId w:val="8"/>
  </w:num>
  <w:num w:numId="81">
    <w:abstractNumId w:val="84"/>
  </w:num>
  <w:num w:numId="82">
    <w:abstractNumId w:val="99"/>
  </w:num>
  <w:num w:numId="83">
    <w:abstractNumId w:val="36"/>
  </w:num>
  <w:num w:numId="84">
    <w:abstractNumId w:val="16"/>
  </w:num>
  <w:num w:numId="85">
    <w:abstractNumId w:val="4"/>
  </w:num>
  <w:num w:numId="86">
    <w:abstractNumId w:val="89"/>
  </w:num>
  <w:num w:numId="87">
    <w:abstractNumId w:val="24"/>
  </w:num>
  <w:num w:numId="88">
    <w:abstractNumId w:val="61"/>
  </w:num>
  <w:num w:numId="89">
    <w:abstractNumId w:val="93"/>
  </w:num>
  <w:num w:numId="90">
    <w:abstractNumId w:val="65"/>
  </w:num>
  <w:num w:numId="91">
    <w:abstractNumId w:val="26"/>
  </w:num>
  <w:num w:numId="92">
    <w:abstractNumId w:val="92"/>
  </w:num>
  <w:num w:numId="93">
    <w:abstractNumId w:val="45"/>
  </w:num>
  <w:num w:numId="94">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7"/>
  </w:num>
  <w:num w:numId="97">
    <w:abstractNumId w:val="91"/>
  </w:num>
  <w:num w:numId="98">
    <w:abstractNumId w:val="30"/>
  </w:num>
  <w:num w:numId="9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num>
  <w:num w:numId="101">
    <w:abstractNumId w:val="43"/>
  </w:num>
  <w:num w:numId="102">
    <w:abstractNumId w:val="83"/>
  </w:num>
  <w:num w:numId="103">
    <w:abstractNumId w:val="51"/>
  </w:num>
  <w:num w:numId="10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78"/>
  </w:num>
  <w:num w:numId="106">
    <w:abstractNumId w:val="6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splitPgBreakAndParaMark/>
    <w:compatSetting w:name="compatibilityMode" w:uri="http://schemas.microsoft.com/office/word" w:val="12"/>
  </w:compat>
  <w:docVars>
    <w:docVar w:name="Council" w:val="tru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2-09&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575&lt;/text&gt;_x000d__x000a_      &lt;text&gt;UEM 573&lt;/text&gt;_x000d__x000a_      &lt;text&gt;FIN 1428&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37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Implementing Decision of 13 July 2021 on the approval of the assessment of the recovery and resilience plan for Greece&quot;&gt;&amp;lt;FlowDocument xmlns=&quot;http://schemas.microsoft.com/winfx/2006/xaml/presentation&quot;&amp;gt;&amp;lt;Paragraph&amp;gt;ANNEX to the COUNCIL IMPLEMENTING DECISION amending Implementing Decision of 13 July 2021 on the approval of the assessment of the recovery and resilience plan for Greece&amp;lt;/Paragraph&amp;gt;&amp;lt;/FlowDocument&amp;gt;&lt;/xaml&gt;_x000d__x000a_  &lt;/metadata&gt;_x000d__x000a_  &lt;metadata key=&quot;md_SubjectFootnote&quot;&gt;_x000d__x000a_    &lt;text&gt;&lt;/text&gt;_x000d__x000a_  &lt;/metadata&gt;_x000d__x000a_  &lt;metadata key=&quot;md_DG&quot;&gt;_x000d__x000a_    &lt;text&gt;ECOIF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22FBD151-5F98-4E1A-B891-859DD5D2CC47"/>
    <w:docVar w:name="LW_COVERPAGE_TYPE" w:val="1"/>
    <w:docVar w:name="LW_CROSSREFERENCE" w:val="{SWD(2026) 252 final}"/>
    <w:docVar w:name="LW_DocType" w:val="DW_COUNCIL"/>
    <w:docVar w:name="LW_EMISSION" w:val="23.7.2026"/>
    <w:docVar w:name="LW_EMISSION_ISODATE" w:val="2026-07-23"/>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Greece"/>
    <w:docVar w:name="LW_PART_NBR" w:val="1"/>
    <w:docVar w:name="LW_PART_NBR_TOTAL" w:val="1"/>
    <w:docVar w:name="LW_REF.INST.NEW" w:val="COM"/>
    <w:docVar w:name="LW_REF.INST.NEW_ADOPTED" w:val="final"/>
    <w:docVar w:name="LW_REF.INST.NEW_TEXT" w:val="(2026) 4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017"/>
    <w:rsid w:val="00000112"/>
    <w:rsid w:val="00000150"/>
    <w:rsid w:val="000002AC"/>
    <w:rsid w:val="0000032E"/>
    <w:rsid w:val="000004EF"/>
    <w:rsid w:val="00000625"/>
    <w:rsid w:val="00000680"/>
    <w:rsid w:val="00000832"/>
    <w:rsid w:val="000009AE"/>
    <w:rsid w:val="00000ABF"/>
    <w:rsid w:val="00000E9B"/>
    <w:rsid w:val="000012B7"/>
    <w:rsid w:val="00001342"/>
    <w:rsid w:val="000015A8"/>
    <w:rsid w:val="00001605"/>
    <w:rsid w:val="00001A17"/>
    <w:rsid w:val="00001A1D"/>
    <w:rsid w:val="00001CA7"/>
    <w:rsid w:val="00001D51"/>
    <w:rsid w:val="00001E55"/>
    <w:rsid w:val="00001F1C"/>
    <w:rsid w:val="000021C8"/>
    <w:rsid w:val="00002413"/>
    <w:rsid w:val="0000242E"/>
    <w:rsid w:val="00002520"/>
    <w:rsid w:val="000025A6"/>
    <w:rsid w:val="00002734"/>
    <w:rsid w:val="00002B2E"/>
    <w:rsid w:val="00002E58"/>
    <w:rsid w:val="00002F60"/>
    <w:rsid w:val="00003174"/>
    <w:rsid w:val="000033B9"/>
    <w:rsid w:val="00003541"/>
    <w:rsid w:val="000035C6"/>
    <w:rsid w:val="000036F5"/>
    <w:rsid w:val="00003731"/>
    <w:rsid w:val="00003A2C"/>
    <w:rsid w:val="00003D89"/>
    <w:rsid w:val="00003DBB"/>
    <w:rsid w:val="00003EA2"/>
    <w:rsid w:val="00003F15"/>
    <w:rsid w:val="0000432F"/>
    <w:rsid w:val="00004465"/>
    <w:rsid w:val="000045A1"/>
    <w:rsid w:val="00004849"/>
    <w:rsid w:val="00005003"/>
    <w:rsid w:val="000054F3"/>
    <w:rsid w:val="000054FA"/>
    <w:rsid w:val="00005598"/>
    <w:rsid w:val="00005924"/>
    <w:rsid w:val="00005C33"/>
    <w:rsid w:val="00005D58"/>
    <w:rsid w:val="00005D83"/>
    <w:rsid w:val="00005DFB"/>
    <w:rsid w:val="00005EE7"/>
    <w:rsid w:val="00005F39"/>
    <w:rsid w:val="000065BB"/>
    <w:rsid w:val="00006722"/>
    <w:rsid w:val="00006790"/>
    <w:rsid w:val="00006859"/>
    <w:rsid w:val="00006A0D"/>
    <w:rsid w:val="00006DA3"/>
    <w:rsid w:val="00006F88"/>
    <w:rsid w:val="0000700F"/>
    <w:rsid w:val="00007292"/>
    <w:rsid w:val="00007302"/>
    <w:rsid w:val="000073AB"/>
    <w:rsid w:val="0000743F"/>
    <w:rsid w:val="0000746C"/>
    <w:rsid w:val="000077B4"/>
    <w:rsid w:val="000077EB"/>
    <w:rsid w:val="00007975"/>
    <w:rsid w:val="00007AB6"/>
    <w:rsid w:val="00007ACA"/>
    <w:rsid w:val="00007E61"/>
    <w:rsid w:val="000102AF"/>
    <w:rsid w:val="00010484"/>
    <w:rsid w:val="00010568"/>
    <w:rsid w:val="00010976"/>
    <w:rsid w:val="0001115B"/>
    <w:rsid w:val="0001132C"/>
    <w:rsid w:val="0001186F"/>
    <w:rsid w:val="000119DE"/>
    <w:rsid w:val="00011D19"/>
    <w:rsid w:val="00011E37"/>
    <w:rsid w:val="00011E4D"/>
    <w:rsid w:val="0001211E"/>
    <w:rsid w:val="000126FE"/>
    <w:rsid w:val="000128B2"/>
    <w:rsid w:val="00012BBE"/>
    <w:rsid w:val="00012C51"/>
    <w:rsid w:val="00012C5A"/>
    <w:rsid w:val="00012FEC"/>
    <w:rsid w:val="000132A6"/>
    <w:rsid w:val="000132E1"/>
    <w:rsid w:val="00013354"/>
    <w:rsid w:val="00013509"/>
    <w:rsid w:val="0001356B"/>
    <w:rsid w:val="000135A6"/>
    <w:rsid w:val="000135DF"/>
    <w:rsid w:val="00013689"/>
    <w:rsid w:val="0001384A"/>
    <w:rsid w:val="0001389B"/>
    <w:rsid w:val="00013AA5"/>
    <w:rsid w:val="00013AC3"/>
    <w:rsid w:val="00013B0F"/>
    <w:rsid w:val="00013EDC"/>
    <w:rsid w:val="000142C1"/>
    <w:rsid w:val="000145F5"/>
    <w:rsid w:val="00014805"/>
    <w:rsid w:val="00014816"/>
    <w:rsid w:val="0001491E"/>
    <w:rsid w:val="0001494D"/>
    <w:rsid w:val="000149B4"/>
    <w:rsid w:val="000149C8"/>
    <w:rsid w:val="00014D62"/>
    <w:rsid w:val="00014FDB"/>
    <w:rsid w:val="000151FE"/>
    <w:rsid w:val="00015484"/>
    <w:rsid w:val="0001578F"/>
    <w:rsid w:val="00015939"/>
    <w:rsid w:val="0001595B"/>
    <w:rsid w:val="00015AFB"/>
    <w:rsid w:val="00015F1D"/>
    <w:rsid w:val="00015FB9"/>
    <w:rsid w:val="000161F6"/>
    <w:rsid w:val="000162DD"/>
    <w:rsid w:val="000163BE"/>
    <w:rsid w:val="0001648C"/>
    <w:rsid w:val="0001659F"/>
    <w:rsid w:val="00016721"/>
    <w:rsid w:val="00016797"/>
    <w:rsid w:val="000167D6"/>
    <w:rsid w:val="00016951"/>
    <w:rsid w:val="00016A84"/>
    <w:rsid w:val="00016BF1"/>
    <w:rsid w:val="00017317"/>
    <w:rsid w:val="00017688"/>
    <w:rsid w:val="000176B2"/>
    <w:rsid w:val="000178DE"/>
    <w:rsid w:val="00017B2E"/>
    <w:rsid w:val="00017BA1"/>
    <w:rsid w:val="00017CF8"/>
    <w:rsid w:val="00017F86"/>
    <w:rsid w:val="00020025"/>
    <w:rsid w:val="0002002B"/>
    <w:rsid w:val="00020269"/>
    <w:rsid w:val="00020326"/>
    <w:rsid w:val="00020348"/>
    <w:rsid w:val="0002067D"/>
    <w:rsid w:val="0002071C"/>
    <w:rsid w:val="00020732"/>
    <w:rsid w:val="00020761"/>
    <w:rsid w:val="000208E8"/>
    <w:rsid w:val="00020AC5"/>
    <w:rsid w:val="00020B63"/>
    <w:rsid w:val="00020C48"/>
    <w:rsid w:val="00020CAF"/>
    <w:rsid w:val="00020F1E"/>
    <w:rsid w:val="00020F4A"/>
    <w:rsid w:val="000213FC"/>
    <w:rsid w:val="00021446"/>
    <w:rsid w:val="00021699"/>
    <w:rsid w:val="00021763"/>
    <w:rsid w:val="00021971"/>
    <w:rsid w:val="00021BF1"/>
    <w:rsid w:val="00021D23"/>
    <w:rsid w:val="000220F1"/>
    <w:rsid w:val="0002227B"/>
    <w:rsid w:val="00022375"/>
    <w:rsid w:val="0002243B"/>
    <w:rsid w:val="000226D8"/>
    <w:rsid w:val="00022A58"/>
    <w:rsid w:val="000232E0"/>
    <w:rsid w:val="00023338"/>
    <w:rsid w:val="0002363F"/>
    <w:rsid w:val="0002367C"/>
    <w:rsid w:val="000237A1"/>
    <w:rsid w:val="00023AD4"/>
    <w:rsid w:val="00023BD1"/>
    <w:rsid w:val="00023D2B"/>
    <w:rsid w:val="00023DB5"/>
    <w:rsid w:val="00023DCF"/>
    <w:rsid w:val="00024021"/>
    <w:rsid w:val="000240B8"/>
    <w:rsid w:val="000244F0"/>
    <w:rsid w:val="000247CD"/>
    <w:rsid w:val="000248F4"/>
    <w:rsid w:val="0002495F"/>
    <w:rsid w:val="00024B29"/>
    <w:rsid w:val="000251B8"/>
    <w:rsid w:val="000254D1"/>
    <w:rsid w:val="00025511"/>
    <w:rsid w:val="000256B2"/>
    <w:rsid w:val="00025A39"/>
    <w:rsid w:val="00025A43"/>
    <w:rsid w:val="00025A4E"/>
    <w:rsid w:val="00025A97"/>
    <w:rsid w:val="00025B8E"/>
    <w:rsid w:val="00025D80"/>
    <w:rsid w:val="00025DDE"/>
    <w:rsid w:val="00026017"/>
    <w:rsid w:val="000260BF"/>
    <w:rsid w:val="0002613D"/>
    <w:rsid w:val="00026360"/>
    <w:rsid w:val="00026372"/>
    <w:rsid w:val="00026688"/>
    <w:rsid w:val="000269F4"/>
    <w:rsid w:val="00026A5C"/>
    <w:rsid w:val="00026A9D"/>
    <w:rsid w:val="00026AB9"/>
    <w:rsid w:val="00026C48"/>
    <w:rsid w:val="00027018"/>
    <w:rsid w:val="000274C4"/>
    <w:rsid w:val="0002777C"/>
    <w:rsid w:val="0002780C"/>
    <w:rsid w:val="000278D8"/>
    <w:rsid w:val="000279E8"/>
    <w:rsid w:val="00027D57"/>
    <w:rsid w:val="00027E15"/>
    <w:rsid w:val="00030059"/>
    <w:rsid w:val="0003035A"/>
    <w:rsid w:val="00030390"/>
    <w:rsid w:val="0003054D"/>
    <w:rsid w:val="000305B3"/>
    <w:rsid w:val="00030BB4"/>
    <w:rsid w:val="00030CD8"/>
    <w:rsid w:val="00030D14"/>
    <w:rsid w:val="00030F79"/>
    <w:rsid w:val="00030FBD"/>
    <w:rsid w:val="000310C0"/>
    <w:rsid w:val="0003153C"/>
    <w:rsid w:val="0003177F"/>
    <w:rsid w:val="000319D7"/>
    <w:rsid w:val="00031A78"/>
    <w:rsid w:val="00031B77"/>
    <w:rsid w:val="00031B9A"/>
    <w:rsid w:val="00031CE9"/>
    <w:rsid w:val="00031D9D"/>
    <w:rsid w:val="00031FA3"/>
    <w:rsid w:val="00032000"/>
    <w:rsid w:val="0003214E"/>
    <w:rsid w:val="00032187"/>
    <w:rsid w:val="000324FF"/>
    <w:rsid w:val="00032713"/>
    <w:rsid w:val="000329AA"/>
    <w:rsid w:val="00032BAF"/>
    <w:rsid w:val="00032BC5"/>
    <w:rsid w:val="00032F4D"/>
    <w:rsid w:val="0003326E"/>
    <w:rsid w:val="000332A0"/>
    <w:rsid w:val="0003356C"/>
    <w:rsid w:val="000338D9"/>
    <w:rsid w:val="00033A8A"/>
    <w:rsid w:val="00033EC5"/>
    <w:rsid w:val="00034154"/>
    <w:rsid w:val="000342F8"/>
    <w:rsid w:val="00034481"/>
    <w:rsid w:val="000344F6"/>
    <w:rsid w:val="00034627"/>
    <w:rsid w:val="000346CF"/>
    <w:rsid w:val="000347EB"/>
    <w:rsid w:val="00034817"/>
    <w:rsid w:val="00034915"/>
    <w:rsid w:val="000349D7"/>
    <w:rsid w:val="00034ACA"/>
    <w:rsid w:val="00034B83"/>
    <w:rsid w:val="00034B85"/>
    <w:rsid w:val="00034E14"/>
    <w:rsid w:val="00034E64"/>
    <w:rsid w:val="0003518B"/>
    <w:rsid w:val="000351DB"/>
    <w:rsid w:val="0003566F"/>
    <w:rsid w:val="000356D8"/>
    <w:rsid w:val="000357B9"/>
    <w:rsid w:val="00035D40"/>
    <w:rsid w:val="00035DF8"/>
    <w:rsid w:val="00036073"/>
    <w:rsid w:val="00036080"/>
    <w:rsid w:val="000360C5"/>
    <w:rsid w:val="000361A5"/>
    <w:rsid w:val="000361F7"/>
    <w:rsid w:val="0003628C"/>
    <w:rsid w:val="00036320"/>
    <w:rsid w:val="0003665A"/>
    <w:rsid w:val="0003673C"/>
    <w:rsid w:val="00036799"/>
    <w:rsid w:val="00036BAB"/>
    <w:rsid w:val="00036DC6"/>
    <w:rsid w:val="00037004"/>
    <w:rsid w:val="000371E4"/>
    <w:rsid w:val="00037975"/>
    <w:rsid w:val="000379C4"/>
    <w:rsid w:val="00037AD1"/>
    <w:rsid w:val="00037F44"/>
    <w:rsid w:val="00037FC1"/>
    <w:rsid w:val="0004017A"/>
    <w:rsid w:val="00040200"/>
    <w:rsid w:val="0004024F"/>
    <w:rsid w:val="000402AA"/>
    <w:rsid w:val="000405D4"/>
    <w:rsid w:val="000406AC"/>
    <w:rsid w:val="000408D6"/>
    <w:rsid w:val="00040CFE"/>
    <w:rsid w:val="00040DF9"/>
    <w:rsid w:val="00040F07"/>
    <w:rsid w:val="00041022"/>
    <w:rsid w:val="000410F4"/>
    <w:rsid w:val="00041205"/>
    <w:rsid w:val="00041643"/>
    <w:rsid w:val="00041946"/>
    <w:rsid w:val="00041ECD"/>
    <w:rsid w:val="00042392"/>
    <w:rsid w:val="000427B1"/>
    <w:rsid w:val="00042881"/>
    <w:rsid w:val="00042AB2"/>
    <w:rsid w:val="00042AD2"/>
    <w:rsid w:val="00042ED3"/>
    <w:rsid w:val="00043545"/>
    <w:rsid w:val="000435E4"/>
    <w:rsid w:val="00043662"/>
    <w:rsid w:val="000438E6"/>
    <w:rsid w:val="00043B76"/>
    <w:rsid w:val="00043C43"/>
    <w:rsid w:val="00043DBE"/>
    <w:rsid w:val="00043F44"/>
    <w:rsid w:val="000440F7"/>
    <w:rsid w:val="000443C5"/>
    <w:rsid w:val="00044A23"/>
    <w:rsid w:val="00044B7E"/>
    <w:rsid w:val="00044CA7"/>
    <w:rsid w:val="00044CB1"/>
    <w:rsid w:val="00044EC2"/>
    <w:rsid w:val="000451C1"/>
    <w:rsid w:val="0004533A"/>
    <w:rsid w:val="0004534C"/>
    <w:rsid w:val="00045424"/>
    <w:rsid w:val="00045451"/>
    <w:rsid w:val="00045697"/>
    <w:rsid w:val="000459FD"/>
    <w:rsid w:val="00045C5A"/>
    <w:rsid w:val="00045E45"/>
    <w:rsid w:val="00045EEE"/>
    <w:rsid w:val="000460E1"/>
    <w:rsid w:val="00046229"/>
    <w:rsid w:val="000462EC"/>
    <w:rsid w:val="00046338"/>
    <w:rsid w:val="0004633C"/>
    <w:rsid w:val="000464E6"/>
    <w:rsid w:val="00046510"/>
    <w:rsid w:val="00046587"/>
    <w:rsid w:val="0004667B"/>
    <w:rsid w:val="000466A8"/>
    <w:rsid w:val="000468A5"/>
    <w:rsid w:val="00046D12"/>
    <w:rsid w:val="00046F56"/>
    <w:rsid w:val="000470FD"/>
    <w:rsid w:val="00047107"/>
    <w:rsid w:val="000471D7"/>
    <w:rsid w:val="00047282"/>
    <w:rsid w:val="000476B5"/>
    <w:rsid w:val="000478F8"/>
    <w:rsid w:val="00047AC5"/>
    <w:rsid w:val="00047BD4"/>
    <w:rsid w:val="00047E10"/>
    <w:rsid w:val="00047F01"/>
    <w:rsid w:val="0005032D"/>
    <w:rsid w:val="00050416"/>
    <w:rsid w:val="00050422"/>
    <w:rsid w:val="0005055A"/>
    <w:rsid w:val="00050634"/>
    <w:rsid w:val="000506A7"/>
    <w:rsid w:val="00050770"/>
    <w:rsid w:val="00050776"/>
    <w:rsid w:val="000507EF"/>
    <w:rsid w:val="00050855"/>
    <w:rsid w:val="0005098F"/>
    <w:rsid w:val="00050A11"/>
    <w:rsid w:val="00050BE2"/>
    <w:rsid w:val="00050C80"/>
    <w:rsid w:val="00050D0D"/>
    <w:rsid w:val="00050E97"/>
    <w:rsid w:val="00050FC2"/>
    <w:rsid w:val="00051072"/>
    <w:rsid w:val="00051329"/>
    <w:rsid w:val="0005139A"/>
    <w:rsid w:val="000513EE"/>
    <w:rsid w:val="000515A7"/>
    <w:rsid w:val="00051677"/>
    <w:rsid w:val="0005172D"/>
    <w:rsid w:val="000517F2"/>
    <w:rsid w:val="00051B68"/>
    <w:rsid w:val="00051FB7"/>
    <w:rsid w:val="00051FCE"/>
    <w:rsid w:val="000520DB"/>
    <w:rsid w:val="0005248B"/>
    <w:rsid w:val="0005257A"/>
    <w:rsid w:val="0005262B"/>
    <w:rsid w:val="000526D1"/>
    <w:rsid w:val="00052AA1"/>
    <w:rsid w:val="00052B68"/>
    <w:rsid w:val="00052D7C"/>
    <w:rsid w:val="00052DD4"/>
    <w:rsid w:val="00053316"/>
    <w:rsid w:val="000533F8"/>
    <w:rsid w:val="00053538"/>
    <w:rsid w:val="00053886"/>
    <w:rsid w:val="00053CB5"/>
    <w:rsid w:val="00053D1F"/>
    <w:rsid w:val="00053E0C"/>
    <w:rsid w:val="0005402A"/>
    <w:rsid w:val="000543AE"/>
    <w:rsid w:val="0005454A"/>
    <w:rsid w:val="0005471E"/>
    <w:rsid w:val="000548F3"/>
    <w:rsid w:val="0005494D"/>
    <w:rsid w:val="00054AF6"/>
    <w:rsid w:val="00054B57"/>
    <w:rsid w:val="00054D56"/>
    <w:rsid w:val="00054D6D"/>
    <w:rsid w:val="00054EF3"/>
    <w:rsid w:val="00054FE8"/>
    <w:rsid w:val="0005507C"/>
    <w:rsid w:val="0005508E"/>
    <w:rsid w:val="00055226"/>
    <w:rsid w:val="000553A8"/>
    <w:rsid w:val="000553EF"/>
    <w:rsid w:val="00055402"/>
    <w:rsid w:val="00055543"/>
    <w:rsid w:val="00055711"/>
    <w:rsid w:val="000559B0"/>
    <w:rsid w:val="00055D22"/>
    <w:rsid w:val="00055FDA"/>
    <w:rsid w:val="00056111"/>
    <w:rsid w:val="00056457"/>
    <w:rsid w:val="00056594"/>
    <w:rsid w:val="00056743"/>
    <w:rsid w:val="000569CA"/>
    <w:rsid w:val="00056B55"/>
    <w:rsid w:val="00056DD0"/>
    <w:rsid w:val="00056DD2"/>
    <w:rsid w:val="00056ECA"/>
    <w:rsid w:val="00056F4B"/>
    <w:rsid w:val="00057000"/>
    <w:rsid w:val="00057036"/>
    <w:rsid w:val="000572F0"/>
    <w:rsid w:val="0005732D"/>
    <w:rsid w:val="0005747A"/>
    <w:rsid w:val="000574B2"/>
    <w:rsid w:val="00057813"/>
    <w:rsid w:val="00057924"/>
    <w:rsid w:val="00057DE5"/>
    <w:rsid w:val="00057EE8"/>
    <w:rsid w:val="00057FFD"/>
    <w:rsid w:val="00060057"/>
    <w:rsid w:val="00060420"/>
    <w:rsid w:val="00060458"/>
    <w:rsid w:val="000609E1"/>
    <w:rsid w:val="00060BA2"/>
    <w:rsid w:val="00060BE9"/>
    <w:rsid w:val="00060C22"/>
    <w:rsid w:val="00061302"/>
    <w:rsid w:val="000613E3"/>
    <w:rsid w:val="00061521"/>
    <w:rsid w:val="0006177F"/>
    <w:rsid w:val="000617D4"/>
    <w:rsid w:val="00061AF0"/>
    <w:rsid w:val="00061C11"/>
    <w:rsid w:val="00061CFC"/>
    <w:rsid w:val="00061FFD"/>
    <w:rsid w:val="00062141"/>
    <w:rsid w:val="0006215E"/>
    <w:rsid w:val="0006240D"/>
    <w:rsid w:val="0006245E"/>
    <w:rsid w:val="00062544"/>
    <w:rsid w:val="000626AD"/>
    <w:rsid w:val="000627B8"/>
    <w:rsid w:val="000629CB"/>
    <w:rsid w:val="00062B70"/>
    <w:rsid w:val="00062DAA"/>
    <w:rsid w:val="000630EF"/>
    <w:rsid w:val="00063145"/>
    <w:rsid w:val="00063459"/>
    <w:rsid w:val="0006348E"/>
    <w:rsid w:val="00063699"/>
    <w:rsid w:val="0006375B"/>
    <w:rsid w:val="00063B41"/>
    <w:rsid w:val="00063C77"/>
    <w:rsid w:val="00063E2E"/>
    <w:rsid w:val="00063EF6"/>
    <w:rsid w:val="00064284"/>
    <w:rsid w:val="000648C9"/>
    <w:rsid w:val="00064AD8"/>
    <w:rsid w:val="00064B22"/>
    <w:rsid w:val="00064F30"/>
    <w:rsid w:val="00065020"/>
    <w:rsid w:val="00065035"/>
    <w:rsid w:val="0006506B"/>
    <w:rsid w:val="0006516D"/>
    <w:rsid w:val="00065603"/>
    <w:rsid w:val="00065928"/>
    <w:rsid w:val="0006592A"/>
    <w:rsid w:val="00065D68"/>
    <w:rsid w:val="00065DFB"/>
    <w:rsid w:val="00065E0A"/>
    <w:rsid w:val="0006604E"/>
    <w:rsid w:val="00066247"/>
    <w:rsid w:val="0006659D"/>
    <w:rsid w:val="000665A2"/>
    <w:rsid w:val="00066655"/>
    <w:rsid w:val="00066656"/>
    <w:rsid w:val="000666BE"/>
    <w:rsid w:val="000668D5"/>
    <w:rsid w:val="000669FD"/>
    <w:rsid w:val="00066C10"/>
    <w:rsid w:val="00066D92"/>
    <w:rsid w:val="000672E6"/>
    <w:rsid w:val="0006738C"/>
    <w:rsid w:val="000673C7"/>
    <w:rsid w:val="0007003A"/>
    <w:rsid w:val="00070304"/>
    <w:rsid w:val="00070668"/>
    <w:rsid w:val="000706EA"/>
    <w:rsid w:val="000709FC"/>
    <w:rsid w:val="00070A13"/>
    <w:rsid w:val="00070A4A"/>
    <w:rsid w:val="000710FD"/>
    <w:rsid w:val="0007111F"/>
    <w:rsid w:val="000711E2"/>
    <w:rsid w:val="000712CA"/>
    <w:rsid w:val="000713BC"/>
    <w:rsid w:val="000714DD"/>
    <w:rsid w:val="0007154D"/>
    <w:rsid w:val="000715A2"/>
    <w:rsid w:val="00071733"/>
    <w:rsid w:val="00071910"/>
    <w:rsid w:val="0007199A"/>
    <w:rsid w:val="00071C53"/>
    <w:rsid w:val="00071FD7"/>
    <w:rsid w:val="00072103"/>
    <w:rsid w:val="0007219C"/>
    <w:rsid w:val="000721D0"/>
    <w:rsid w:val="0007228A"/>
    <w:rsid w:val="000722C4"/>
    <w:rsid w:val="00072376"/>
    <w:rsid w:val="00072515"/>
    <w:rsid w:val="00072542"/>
    <w:rsid w:val="00072602"/>
    <w:rsid w:val="000728E0"/>
    <w:rsid w:val="0007297D"/>
    <w:rsid w:val="000729F8"/>
    <w:rsid w:val="00072A56"/>
    <w:rsid w:val="00072C60"/>
    <w:rsid w:val="00072CCA"/>
    <w:rsid w:val="00072F6F"/>
    <w:rsid w:val="000733C7"/>
    <w:rsid w:val="000734DA"/>
    <w:rsid w:val="00073544"/>
    <w:rsid w:val="0007386F"/>
    <w:rsid w:val="000739CC"/>
    <w:rsid w:val="00073C0F"/>
    <w:rsid w:val="00073E62"/>
    <w:rsid w:val="00074476"/>
    <w:rsid w:val="00074657"/>
    <w:rsid w:val="00074BA6"/>
    <w:rsid w:val="00074CEA"/>
    <w:rsid w:val="00074DD9"/>
    <w:rsid w:val="000753B0"/>
    <w:rsid w:val="000753F1"/>
    <w:rsid w:val="00075417"/>
    <w:rsid w:val="0007548D"/>
    <w:rsid w:val="000755E7"/>
    <w:rsid w:val="00075884"/>
    <w:rsid w:val="0007588F"/>
    <w:rsid w:val="000759C3"/>
    <w:rsid w:val="00075B72"/>
    <w:rsid w:val="00075CA0"/>
    <w:rsid w:val="00075CEB"/>
    <w:rsid w:val="00075E94"/>
    <w:rsid w:val="00075FB5"/>
    <w:rsid w:val="00076038"/>
    <w:rsid w:val="000764C9"/>
    <w:rsid w:val="000767ED"/>
    <w:rsid w:val="000768E4"/>
    <w:rsid w:val="00076B06"/>
    <w:rsid w:val="00076DE9"/>
    <w:rsid w:val="00076EAC"/>
    <w:rsid w:val="0007713A"/>
    <w:rsid w:val="000771AD"/>
    <w:rsid w:val="00077225"/>
    <w:rsid w:val="000772BF"/>
    <w:rsid w:val="0007749E"/>
    <w:rsid w:val="00077519"/>
    <w:rsid w:val="00077698"/>
    <w:rsid w:val="00077E98"/>
    <w:rsid w:val="00077EAF"/>
    <w:rsid w:val="00077F91"/>
    <w:rsid w:val="00077FA7"/>
    <w:rsid w:val="00077FD9"/>
    <w:rsid w:val="00080063"/>
    <w:rsid w:val="00080307"/>
    <w:rsid w:val="000804DD"/>
    <w:rsid w:val="00080579"/>
    <w:rsid w:val="000806C4"/>
    <w:rsid w:val="00080850"/>
    <w:rsid w:val="000809DA"/>
    <w:rsid w:val="00080B83"/>
    <w:rsid w:val="00080EBF"/>
    <w:rsid w:val="00080F26"/>
    <w:rsid w:val="000812EB"/>
    <w:rsid w:val="00081311"/>
    <w:rsid w:val="000815B3"/>
    <w:rsid w:val="00081B28"/>
    <w:rsid w:val="00081FEE"/>
    <w:rsid w:val="00082329"/>
    <w:rsid w:val="00082453"/>
    <w:rsid w:val="00082589"/>
    <w:rsid w:val="00082756"/>
    <w:rsid w:val="000829E7"/>
    <w:rsid w:val="00082A77"/>
    <w:rsid w:val="00082B87"/>
    <w:rsid w:val="00082E14"/>
    <w:rsid w:val="00082E5A"/>
    <w:rsid w:val="00082E76"/>
    <w:rsid w:val="00082F1A"/>
    <w:rsid w:val="00082F51"/>
    <w:rsid w:val="000831D3"/>
    <w:rsid w:val="00083214"/>
    <w:rsid w:val="00083234"/>
    <w:rsid w:val="00083B7B"/>
    <w:rsid w:val="00083E44"/>
    <w:rsid w:val="00083E91"/>
    <w:rsid w:val="00083F66"/>
    <w:rsid w:val="000844BD"/>
    <w:rsid w:val="00084642"/>
    <w:rsid w:val="000846A3"/>
    <w:rsid w:val="00084771"/>
    <w:rsid w:val="0008482F"/>
    <w:rsid w:val="0008498A"/>
    <w:rsid w:val="00084ADB"/>
    <w:rsid w:val="00084D46"/>
    <w:rsid w:val="0008526E"/>
    <w:rsid w:val="000853D9"/>
    <w:rsid w:val="00085658"/>
    <w:rsid w:val="000857FC"/>
    <w:rsid w:val="000859A8"/>
    <w:rsid w:val="00085A99"/>
    <w:rsid w:val="00085B18"/>
    <w:rsid w:val="00085B99"/>
    <w:rsid w:val="00085F89"/>
    <w:rsid w:val="0008621D"/>
    <w:rsid w:val="00086384"/>
    <w:rsid w:val="000863CC"/>
    <w:rsid w:val="000863D3"/>
    <w:rsid w:val="00086498"/>
    <w:rsid w:val="000865D6"/>
    <w:rsid w:val="00086723"/>
    <w:rsid w:val="00086739"/>
    <w:rsid w:val="000868F5"/>
    <w:rsid w:val="000869EF"/>
    <w:rsid w:val="00086AA6"/>
    <w:rsid w:val="00086B57"/>
    <w:rsid w:val="00086DA5"/>
    <w:rsid w:val="00086E56"/>
    <w:rsid w:val="00087015"/>
    <w:rsid w:val="000873E7"/>
    <w:rsid w:val="000875CB"/>
    <w:rsid w:val="00087B79"/>
    <w:rsid w:val="00087E51"/>
    <w:rsid w:val="00087FB0"/>
    <w:rsid w:val="00090017"/>
    <w:rsid w:val="000901C5"/>
    <w:rsid w:val="0009048E"/>
    <w:rsid w:val="00090559"/>
    <w:rsid w:val="000906C2"/>
    <w:rsid w:val="000906EA"/>
    <w:rsid w:val="000908C9"/>
    <w:rsid w:val="00090D76"/>
    <w:rsid w:val="00090DC9"/>
    <w:rsid w:val="00090E42"/>
    <w:rsid w:val="000911C8"/>
    <w:rsid w:val="000911EE"/>
    <w:rsid w:val="000912B2"/>
    <w:rsid w:val="00091385"/>
    <w:rsid w:val="000914CC"/>
    <w:rsid w:val="000915AA"/>
    <w:rsid w:val="000916EC"/>
    <w:rsid w:val="00091742"/>
    <w:rsid w:val="000917C1"/>
    <w:rsid w:val="000919B7"/>
    <w:rsid w:val="00091A41"/>
    <w:rsid w:val="00091B44"/>
    <w:rsid w:val="00091CE3"/>
    <w:rsid w:val="00091D75"/>
    <w:rsid w:val="00091E02"/>
    <w:rsid w:val="00092058"/>
    <w:rsid w:val="000920B6"/>
    <w:rsid w:val="0009214D"/>
    <w:rsid w:val="000923A3"/>
    <w:rsid w:val="000923D9"/>
    <w:rsid w:val="000923EE"/>
    <w:rsid w:val="000926C4"/>
    <w:rsid w:val="00092799"/>
    <w:rsid w:val="00092C75"/>
    <w:rsid w:val="00092DEE"/>
    <w:rsid w:val="00092FCF"/>
    <w:rsid w:val="00093260"/>
    <w:rsid w:val="00093403"/>
    <w:rsid w:val="000936D7"/>
    <w:rsid w:val="00093B05"/>
    <w:rsid w:val="00093C49"/>
    <w:rsid w:val="00093D51"/>
    <w:rsid w:val="00093E2A"/>
    <w:rsid w:val="00093F32"/>
    <w:rsid w:val="000944F9"/>
    <w:rsid w:val="0009483A"/>
    <w:rsid w:val="0009497A"/>
    <w:rsid w:val="00094AAA"/>
    <w:rsid w:val="00094F6F"/>
    <w:rsid w:val="00094FE5"/>
    <w:rsid w:val="000952B4"/>
    <w:rsid w:val="000954D6"/>
    <w:rsid w:val="00095556"/>
    <w:rsid w:val="000957C7"/>
    <w:rsid w:val="00095836"/>
    <w:rsid w:val="0009585D"/>
    <w:rsid w:val="0009594F"/>
    <w:rsid w:val="00095B0A"/>
    <w:rsid w:val="0009644C"/>
    <w:rsid w:val="000965EF"/>
    <w:rsid w:val="00096951"/>
    <w:rsid w:val="00096E78"/>
    <w:rsid w:val="0009752D"/>
    <w:rsid w:val="00097806"/>
    <w:rsid w:val="00097874"/>
    <w:rsid w:val="00097B63"/>
    <w:rsid w:val="00097B77"/>
    <w:rsid w:val="00097D92"/>
    <w:rsid w:val="00097DB3"/>
    <w:rsid w:val="00097DCD"/>
    <w:rsid w:val="00097FF9"/>
    <w:rsid w:val="000A0138"/>
    <w:rsid w:val="000A050F"/>
    <w:rsid w:val="000A0752"/>
    <w:rsid w:val="000A08D5"/>
    <w:rsid w:val="000A13E3"/>
    <w:rsid w:val="000A14CE"/>
    <w:rsid w:val="000A1702"/>
    <w:rsid w:val="000A1710"/>
    <w:rsid w:val="000A17EA"/>
    <w:rsid w:val="000A1851"/>
    <w:rsid w:val="000A190B"/>
    <w:rsid w:val="000A1B67"/>
    <w:rsid w:val="000A1BC6"/>
    <w:rsid w:val="000A1D21"/>
    <w:rsid w:val="000A1D7B"/>
    <w:rsid w:val="000A1F0E"/>
    <w:rsid w:val="000A21BE"/>
    <w:rsid w:val="000A228E"/>
    <w:rsid w:val="000A234E"/>
    <w:rsid w:val="000A2490"/>
    <w:rsid w:val="000A24D6"/>
    <w:rsid w:val="000A2552"/>
    <w:rsid w:val="000A2778"/>
    <w:rsid w:val="000A27F4"/>
    <w:rsid w:val="000A289D"/>
    <w:rsid w:val="000A2AB8"/>
    <w:rsid w:val="000A2CD0"/>
    <w:rsid w:val="000A2DC0"/>
    <w:rsid w:val="000A2DDB"/>
    <w:rsid w:val="000A2EFF"/>
    <w:rsid w:val="000A3047"/>
    <w:rsid w:val="000A3050"/>
    <w:rsid w:val="000A311E"/>
    <w:rsid w:val="000A31C2"/>
    <w:rsid w:val="000A33C9"/>
    <w:rsid w:val="000A34FA"/>
    <w:rsid w:val="000A361B"/>
    <w:rsid w:val="000A394C"/>
    <w:rsid w:val="000A3A21"/>
    <w:rsid w:val="000A3B53"/>
    <w:rsid w:val="000A3B8E"/>
    <w:rsid w:val="000A3F8E"/>
    <w:rsid w:val="000A41D2"/>
    <w:rsid w:val="000A426C"/>
    <w:rsid w:val="000A42E5"/>
    <w:rsid w:val="000A46E2"/>
    <w:rsid w:val="000A46EE"/>
    <w:rsid w:val="000A4798"/>
    <w:rsid w:val="000A498E"/>
    <w:rsid w:val="000A4A2F"/>
    <w:rsid w:val="000A4C56"/>
    <w:rsid w:val="000A4CB6"/>
    <w:rsid w:val="000A4D9A"/>
    <w:rsid w:val="000A4E9B"/>
    <w:rsid w:val="000A4ECC"/>
    <w:rsid w:val="000A4EF2"/>
    <w:rsid w:val="000A4F2E"/>
    <w:rsid w:val="000A501E"/>
    <w:rsid w:val="000A5314"/>
    <w:rsid w:val="000A54CF"/>
    <w:rsid w:val="000A564B"/>
    <w:rsid w:val="000A58B2"/>
    <w:rsid w:val="000A59BD"/>
    <w:rsid w:val="000A59DF"/>
    <w:rsid w:val="000A5C73"/>
    <w:rsid w:val="000A5C8A"/>
    <w:rsid w:val="000A5EBF"/>
    <w:rsid w:val="000A5FE1"/>
    <w:rsid w:val="000A60E8"/>
    <w:rsid w:val="000A6513"/>
    <w:rsid w:val="000A6591"/>
    <w:rsid w:val="000A6B38"/>
    <w:rsid w:val="000A6B7E"/>
    <w:rsid w:val="000A71B3"/>
    <w:rsid w:val="000A72D1"/>
    <w:rsid w:val="000A75E1"/>
    <w:rsid w:val="000A7604"/>
    <w:rsid w:val="000A7A7F"/>
    <w:rsid w:val="000A7CAA"/>
    <w:rsid w:val="000A7E11"/>
    <w:rsid w:val="000B0031"/>
    <w:rsid w:val="000B01D4"/>
    <w:rsid w:val="000B02A4"/>
    <w:rsid w:val="000B0311"/>
    <w:rsid w:val="000B06C4"/>
    <w:rsid w:val="000B0884"/>
    <w:rsid w:val="000B0A3A"/>
    <w:rsid w:val="000B0B73"/>
    <w:rsid w:val="000B0B7D"/>
    <w:rsid w:val="000B0C83"/>
    <w:rsid w:val="000B0C88"/>
    <w:rsid w:val="000B0C8A"/>
    <w:rsid w:val="000B0CBD"/>
    <w:rsid w:val="000B0D00"/>
    <w:rsid w:val="000B0E33"/>
    <w:rsid w:val="000B0E92"/>
    <w:rsid w:val="000B1035"/>
    <w:rsid w:val="000B10C1"/>
    <w:rsid w:val="000B125D"/>
    <w:rsid w:val="000B1321"/>
    <w:rsid w:val="000B164B"/>
    <w:rsid w:val="000B1B31"/>
    <w:rsid w:val="000B1C41"/>
    <w:rsid w:val="000B1DD3"/>
    <w:rsid w:val="000B202E"/>
    <w:rsid w:val="000B2127"/>
    <w:rsid w:val="000B2148"/>
    <w:rsid w:val="000B231D"/>
    <w:rsid w:val="000B2333"/>
    <w:rsid w:val="000B2686"/>
    <w:rsid w:val="000B26B9"/>
    <w:rsid w:val="000B26EA"/>
    <w:rsid w:val="000B28F5"/>
    <w:rsid w:val="000B2AF4"/>
    <w:rsid w:val="000B2B81"/>
    <w:rsid w:val="000B2D4A"/>
    <w:rsid w:val="000B303B"/>
    <w:rsid w:val="000B31BA"/>
    <w:rsid w:val="000B338E"/>
    <w:rsid w:val="000B33D0"/>
    <w:rsid w:val="000B3455"/>
    <w:rsid w:val="000B35EB"/>
    <w:rsid w:val="000B3729"/>
    <w:rsid w:val="000B3747"/>
    <w:rsid w:val="000B39D9"/>
    <w:rsid w:val="000B3A06"/>
    <w:rsid w:val="000B3A65"/>
    <w:rsid w:val="000B3B33"/>
    <w:rsid w:val="000B3BA8"/>
    <w:rsid w:val="000B3D9E"/>
    <w:rsid w:val="000B40BF"/>
    <w:rsid w:val="000B421D"/>
    <w:rsid w:val="000B46D9"/>
    <w:rsid w:val="000B46E1"/>
    <w:rsid w:val="000B47F7"/>
    <w:rsid w:val="000B484B"/>
    <w:rsid w:val="000B49C0"/>
    <w:rsid w:val="000B4B39"/>
    <w:rsid w:val="000B4CD2"/>
    <w:rsid w:val="000B4D7E"/>
    <w:rsid w:val="000B4F8C"/>
    <w:rsid w:val="000B4FE4"/>
    <w:rsid w:val="000B5092"/>
    <w:rsid w:val="000B51F3"/>
    <w:rsid w:val="000B52D6"/>
    <w:rsid w:val="000B5394"/>
    <w:rsid w:val="000B53B0"/>
    <w:rsid w:val="000B57E9"/>
    <w:rsid w:val="000B5B49"/>
    <w:rsid w:val="000B5B4B"/>
    <w:rsid w:val="000B5BC4"/>
    <w:rsid w:val="000B5D9C"/>
    <w:rsid w:val="000B5DF6"/>
    <w:rsid w:val="000B6024"/>
    <w:rsid w:val="000B641A"/>
    <w:rsid w:val="000B6741"/>
    <w:rsid w:val="000B6A23"/>
    <w:rsid w:val="000B6C36"/>
    <w:rsid w:val="000B709E"/>
    <w:rsid w:val="000B70C9"/>
    <w:rsid w:val="000B7238"/>
    <w:rsid w:val="000B753F"/>
    <w:rsid w:val="000B777B"/>
    <w:rsid w:val="000B7836"/>
    <w:rsid w:val="000B78CD"/>
    <w:rsid w:val="000B792E"/>
    <w:rsid w:val="000B79B1"/>
    <w:rsid w:val="000B7A48"/>
    <w:rsid w:val="000B7A6C"/>
    <w:rsid w:val="000B7C3B"/>
    <w:rsid w:val="000C0278"/>
    <w:rsid w:val="000C04A7"/>
    <w:rsid w:val="000C0A08"/>
    <w:rsid w:val="000C0BC9"/>
    <w:rsid w:val="000C0F7E"/>
    <w:rsid w:val="000C11FD"/>
    <w:rsid w:val="000C15A8"/>
    <w:rsid w:val="000C16DD"/>
    <w:rsid w:val="000C181C"/>
    <w:rsid w:val="000C1C23"/>
    <w:rsid w:val="000C1C49"/>
    <w:rsid w:val="000C1DC8"/>
    <w:rsid w:val="000C1EAF"/>
    <w:rsid w:val="000C2132"/>
    <w:rsid w:val="000C21B5"/>
    <w:rsid w:val="000C2607"/>
    <w:rsid w:val="000C2894"/>
    <w:rsid w:val="000C2CC0"/>
    <w:rsid w:val="000C2D08"/>
    <w:rsid w:val="000C2D53"/>
    <w:rsid w:val="000C2E66"/>
    <w:rsid w:val="000C2F3C"/>
    <w:rsid w:val="000C3000"/>
    <w:rsid w:val="000C343D"/>
    <w:rsid w:val="000C3465"/>
    <w:rsid w:val="000C3747"/>
    <w:rsid w:val="000C389E"/>
    <w:rsid w:val="000C3A12"/>
    <w:rsid w:val="000C3A53"/>
    <w:rsid w:val="000C3BCE"/>
    <w:rsid w:val="000C3BE2"/>
    <w:rsid w:val="000C3F53"/>
    <w:rsid w:val="000C441F"/>
    <w:rsid w:val="000C47D1"/>
    <w:rsid w:val="000C47DF"/>
    <w:rsid w:val="000C48BE"/>
    <w:rsid w:val="000C48CF"/>
    <w:rsid w:val="000C4AFA"/>
    <w:rsid w:val="000C4B45"/>
    <w:rsid w:val="000C4C03"/>
    <w:rsid w:val="000C4C5E"/>
    <w:rsid w:val="000C4D71"/>
    <w:rsid w:val="000C4DA8"/>
    <w:rsid w:val="000C4ED3"/>
    <w:rsid w:val="000C533A"/>
    <w:rsid w:val="000C5349"/>
    <w:rsid w:val="000C53DB"/>
    <w:rsid w:val="000C556C"/>
    <w:rsid w:val="000C59F5"/>
    <w:rsid w:val="000C5A33"/>
    <w:rsid w:val="000C5A4C"/>
    <w:rsid w:val="000C5ABA"/>
    <w:rsid w:val="000C5B63"/>
    <w:rsid w:val="000C5D1C"/>
    <w:rsid w:val="000C5DB9"/>
    <w:rsid w:val="000C5ECF"/>
    <w:rsid w:val="000C5FB9"/>
    <w:rsid w:val="000C6024"/>
    <w:rsid w:val="000C61B8"/>
    <w:rsid w:val="000C6304"/>
    <w:rsid w:val="000C63CC"/>
    <w:rsid w:val="000C644F"/>
    <w:rsid w:val="000C6462"/>
    <w:rsid w:val="000C6513"/>
    <w:rsid w:val="000C6A98"/>
    <w:rsid w:val="000C6AF8"/>
    <w:rsid w:val="000C6E14"/>
    <w:rsid w:val="000C7098"/>
    <w:rsid w:val="000C7116"/>
    <w:rsid w:val="000C74A7"/>
    <w:rsid w:val="000C75A1"/>
    <w:rsid w:val="000C76C3"/>
    <w:rsid w:val="000C77A2"/>
    <w:rsid w:val="000C77B5"/>
    <w:rsid w:val="000C77F8"/>
    <w:rsid w:val="000C79BD"/>
    <w:rsid w:val="000C79F7"/>
    <w:rsid w:val="000C7A6D"/>
    <w:rsid w:val="000C7A95"/>
    <w:rsid w:val="000C7A9A"/>
    <w:rsid w:val="000C7EBB"/>
    <w:rsid w:val="000C7EF7"/>
    <w:rsid w:val="000D01D3"/>
    <w:rsid w:val="000D0556"/>
    <w:rsid w:val="000D0666"/>
    <w:rsid w:val="000D0718"/>
    <w:rsid w:val="000D0AEF"/>
    <w:rsid w:val="000D0C17"/>
    <w:rsid w:val="000D0C44"/>
    <w:rsid w:val="000D0DB8"/>
    <w:rsid w:val="000D0E4C"/>
    <w:rsid w:val="000D1290"/>
    <w:rsid w:val="000D139D"/>
    <w:rsid w:val="000D16B2"/>
    <w:rsid w:val="000D1AB8"/>
    <w:rsid w:val="000D1CDD"/>
    <w:rsid w:val="000D1CF8"/>
    <w:rsid w:val="000D1D70"/>
    <w:rsid w:val="000D1EB3"/>
    <w:rsid w:val="000D1F75"/>
    <w:rsid w:val="000D20FF"/>
    <w:rsid w:val="000D2163"/>
    <w:rsid w:val="000D21F6"/>
    <w:rsid w:val="000D22C4"/>
    <w:rsid w:val="000D248E"/>
    <w:rsid w:val="000D2534"/>
    <w:rsid w:val="000D276C"/>
    <w:rsid w:val="000D285B"/>
    <w:rsid w:val="000D287F"/>
    <w:rsid w:val="000D2907"/>
    <w:rsid w:val="000D2B4E"/>
    <w:rsid w:val="000D2DFF"/>
    <w:rsid w:val="000D3040"/>
    <w:rsid w:val="000D3129"/>
    <w:rsid w:val="000D345D"/>
    <w:rsid w:val="000D3641"/>
    <w:rsid w:val="000D365B"/>
    <w:rsid w:val="000D37FA"/>
    <w:rsid w:val="000D3819"/>
    <w:rsid w:val="000D381D"/>
    <w:rsid w:val="000D3BDC"/>
    <w:rsid w:val="000D3DB2"/>
    <w:rsid w:val="000D3F2D"/>
    <w:rsid w:val="000D4204"/>
    <w:rsid w:val="000D4241"/>
    <w:rsid w:val="000D4263"/>
    <w:rsid w:val="000D46C6"/>
    <w:rsid w:val="000D474D"/>
    <w:rsid w:val="000D4B2F"/>
    <w:rsid w:val="000D4D87"/>
    <w:rsid w:val="000D514A"/>
    <w:rsid w:val="000D5605"/>
    <w:rsid w:val="000D58FB"/>
    <w:rsid w:val="000D5A34"/>
    <w:rsid w:val="000D5A8A"/>
    <w:rsid w:val="000D5AFF"/>
    <w:rsid w:val="000D5EA3"/>
    <w:rsid w:val="000D5ECE"/>
    <w:rsid w:val="000D5EEB"/>
    <w:rsid w:val="000D5FF6"/>
    <w:rsid w:val="000D608F"/>
    <w:rsid w:val="000D6522"/>
    <w:rsid w:val="000D6530"/>
    <w:rsid w:val="000D6537"/>
    <w:rsid w:val="000D67DD"/>
    <w:rsid w:val="000D68F2"/>
    <w:rsid w:val="000D6999"/>
    <w:rsid w:val="000D6A93"/>
    <w:rsid w:val="000D6CA9"/>
    <w:rsid w:val="000D6ECD"/>
    <w:rsid w:val="000D6F62"/>
    <w:rsid w:val="000D6F68"/>
    <w:rsid w:val="000D6FD8"/>
    <w:rsid w:val="000D70AF"/>
    <w:rsid w:val="000D70C1"/>
    <w:rsid w:val="000D72DC"/>
    <w:rsid w:val="000D72F0"/>
    <w:rsid w:val="000D738B"/>
    <w:rsid w:val="000D740F"/>
    <w:rsid w:val="000D74B9"/>
    <w:rsid w:val="000D751E"/>
    <w:rsid w:val="000D75BA"/>
    <w:rsid w:val="000D76A7"/>
    <w:rsid w:val="000D77BA"/>
    <w:rsid w:val="000D77C5"/>
    <w:rsid w:val="000D78E7"/>
    <w:rsid w:val="000D7C13"/>
    <w:rsid w:val="000D7C90"/>
    <w:rsid w:val="000D7CAD"/>
    <w:rsid w:val="000D7D43"/>
    <w:rsid w:val="000D7D4A"/>
    <w:rsid w:val="000D7DC6"/>
    <w:rsid w:val="000E0230"/>
    <w:rsid w:val="000E06DF"/>
    <w:rsid w:val="000E07F6"/>
    <w:rsid w:val="000E0879"/>
    <w:rsid w:val="000E0897"/>
    <w:rsid w:val="000E09A2"/>
    <w:rsid w:val="000E0A6F"/>
    <w:rsid w:val="000E0EA2"/>
    <w:rsid w:val="000E1010"/>
    <w:rsid w:val="000E1552"/>
    <w:rsid w:val="000E161E"/>
    <w:rsid w:val="000E1744"/>
    <w:rsid w:val="000E1C60"/>
    <w:rsid w:val="000E1D3B"/>
    <w:rsid w:val="000E215D"/>
    <w:rsid w:val="000E2267"/>
    <w:rsid w:val="000E2519"/>
    <w:rsid w:val="000E2AE8"/>
    <w:rsid w:val="000E2B58"/>
    <w:rsid w:val="000E2CC7"/>
    <w:rsid w:val="000E2E7A"/>
    <w:rsid w:val="000E3396"/>
    <w:rsid w:val="000E33C2"/>
    <w:rsid w:val="000E35EC"/>
    <w:rsid w:val="000E3715"/>
    <w:rsid w:val="000E39C0"/>
    <w:rsid w:val="000E3AB8"/>
    <w:rsid w:val="000E3E1E"/>
    <w:rsid w:val="000E3EA7"/>
    <w:rsid w:val="000E41AC"/>
    <w:rsid w:val="000E448E"/>
    <w:rsid w:val="000E46E6"/>
    <w:rsid w:val="000E4882"/>
    <w:rsid w:val="000E4A17"/>
    <w:rsid w:val="000E4B0D"/>
    <w:rsid w:val="000E4E5B"/>
    <w:rsid w:val="000E4EBC"/>
    <w:rsid w:val="000E4EBD"/>
    <w:rsid w:val="000E4EC6"/>
    <w:rsid w:val="000E5010"/>
    <w:rsid w:val="000E5035"/>
    <w:rsid w:val="000E593C"/>
    <w:rsid w:val="000E5B3F"/>
    <w:rsid w:val="000E5CFA"/>
    <w:rsid w:val="000E5F5E"/>
    <w:rsid w:val="000E607C"/>
    <w:rsid w:val="000E60A8"/>
    <w:rsid w:val="000E6497"/>
    <w:rsid w:val="000E681E"/>
    <w:rsid w:val="000E6E2A"/>
    <w:rsid w:val="000E6F60"/>
    <w:rsid w:val="000E7316"/>
    <w:rsid w:val="000E7317"/>
    <w:rsid w:val="000E7414"/>
    <w:rsid w:val="000E7769"/>
    <w:rsid w:val="000E77F8"/>
    <w:rsid w:val="000E7D83"/>
    <w:rsid w:val="000E7E55"/>
    <w:rsid w:val="000E7F7C"/>
    <w:rsid w:val="000E7F95"/>
    <w:rsid w:val="000E7FFC"/>
    <w:rsid w:val="000F00FC"/>
    <w:rsid w:val="000F0748"/>
    <w:rsid w:val="000F077B"/>
    <w:rsid w:val="000F07BA"/>
    <w:rsid w:val="000F0A32"/>
    <w:rsid w:val="000F0CA3"/>
    <w:rsid w:val="000F0D0D"/>
    <w:rsid w:val="000F0E55"/>
    <w:rsid w:val="000F0F2B"/>
    <w:rsid w:val="000F13EC"/>
    <w:rsid w:val="000F1432"/>
    <w:rsid w:val="000F15A8"/>
    <w:rsid w:val="000F192C"/>
    <w:rsid w:val="000F1A3D"/>
    <w:rsid w:val="000F1BD7"/>
    <w:rsid w:val="000F1C3B"/>
    <w:rsid w:val="000F1D7C"/>
    <w:rsid w:val="000F212B"/>
    <w:rsid w:val="000F2234"/>
    <w:rsid w:val="000F2248"/>
    <w:rsid w:val="000F2278"/>
    <w:rsid w:val="000F255E"/>
    <w:rsid w:val="000F2A3C"/>
    <w:rsid w:val="000F2B24"/>
    <w:rsid w:val="000F2C46"/>
    <w:rsid w:val="000F2F10"/>
    <w:rsid w:val="000F3080"/>
    <w:rsid w:val="000F3192"/>
    <w:rsid w:val="000F31F5"/>
    <w:rsid w:val="000F32AA"/>
    <w:rsid w:val="000F373D"/>
    <w:rsid w:val="000F38DA"/>
    <w:rsid w:val="000F3A72"/>
    <w:rsid w:val="000F3D68"/>
    <w:rsid w:val="000F3EA5"/>
    <w:rsid w:val="000F3ED0"/>
    <w:rsid w:val="000F3F94"/>
    <w:rsid w:val="000F40F9"/>
    <w:rsid w:val="000F4495"/>
    <w:rsid w:val="000F45CB"/>
    <w:rsid w:val="000F45E3"/>
    <w:rsid w:val="000F4603"/>
    <w:rsid w:val="000F48AE"/>
    <w:rsid w:val="000F49F8"/>
    <w:rsid w:val="000F4A87"/>
    <w:rsid w:val="000F4C00"/>
    <w:rsid w:val="000F4DA2"/>
    <w:rsid w:val="000F4ECD"/>
    <w:rsid w:val="000F554F"/>
    <w:rsid w:val="000F561C"/>
    <w:rsid w:val="000F56B4"/>
    <w:rsid w:val="000F5985"/>
    <w:rsid w:val="000F5995"/>
    <w:rsid w:val="000F5AC2"/>
    <w:rsid w:val="000F5B82"/>
    <w:rsid w:val="000F5CD3"/>
    <w:rsid w:val="000F5E33"/>
    <w:rsid w:val="000F5F83"/>
    <w:rsid w:val="000F602B"/>
    <w:rsid w:val="000F608C"/>
    <w:rsid w:val="000F6099"/>
    <w:rsid w:val="000F61E0"/>
    <w:rsid w:val="000F6278"/>
    <w:rsid w:val="000F62A9"/>
    <w:rsid w:val="000F6388"/>
    <w:rsid w:val="000F63B6"/>
    <w:rsid w:val="000F6448"/>
    <w:rsid w:val="000F6484"/>
    <w:rsid w:val="000F6592"/>
    <w:rsid w:val="000F663B"/>
    <w:rsid w:val="000F67F2"/>
    <w:rsid w:val="000F685E"/>
    <w:rsid w:val="000F68A4"/>
    <w:rsid w:val="000F6940"/>
    <w:rsid w:val="000F6956"/>
    <w:rsid w:val="000F6ABE"/>
    <w:rsid w:val="000F6BA7"/>
    <w:rsid w:val="000F6C01"/>
    <w:rsid w:val="000F6C51"/>
    <w:rsid w:val="000F6D68"/>
    <w:rsid w:val="000F6E1B"/>
    <w:rsid w:val="000F708D"/>
    <w:rsid w:val="000F75A8"/>
    <w:rsid w:val="000F7DF1"/>
    <w:rsid w:val="000F7F43"/>
    <w:rsid w:val="00100225"/>
    <w:rsid w:val="001003F1"/>
    <w:rsid w:val="001004A7"/>
    <w:rsid w:val="00100563"/>
    <w:rsid w:val="0010063E"/>
    <w:rsid w:val="00100917"/>
    <w:rsid w:val="00100C76"/>
    <w:rsid w:val="001010F9"/>
    <w:rsid w:val="00101565"/>
    <w:rsid w:val="001017E2"/>
    <w:rsid w:val="0010184D"/>
    <w:rsid w:val="00101D12"/>
    <w:rsid w:val="001020DE"/>
    <w:rsid w:val="00102573"/>
    <w:rsid w:val="001025E1"/>
    <w:rsid w:val="00102608"/>
    <w:rsid w:val="001026F7"/>
    <w:rsid w:val="00102889"/>
    <w:rsid w:val="00102941"/>
    <w:rsid w:val="00102A24"/>
    <w:rsid w:val="00102CD1"/>
    <w:rsid w:val="00102D44"/>
    <w:rsid w:val="00102EFA"/>
    <w:rsid w:val="00102FB0"/>
    <w:rsid w:val="001030D1"/>
    <w:rsid w:val="00103209"/>
    <w:rsid w:val="0010323E"/>
    <w:rsid w:val="00103327"/>
    <w:rsid w:val="001033A4"/>
    <w:rsid w:val="001034F6"/>
    <w:rsid w:val="00103518"/>
    <w:rsid w:val="00103634"/>
    <w:rsid w:val="0010368E"/>
    <w:rsid w:val="00103903"/>
    <w:rsid w:val="00103AA3"/>
    <w:rsid w:val="00103AE3"/>
    <w:rsid w:val="00103C9C"/>
    <w:rsid w:val="00103E4A"/>
    <w:rsid w:val="00103E81"/>
    <w:rsid w:val="001040AB"/>
    <w:rsid w:val="001041CB"/>
    <w:rsid w:val="0010423C"/>
    <w:rsid w:val="00104563"/>
    <w:rsid w:val="001045C2"/>
    <w:rsid w:val="00104736"/>
    <w:rsid w:val="00104896"/>
    <w:rsid w:val="00104A8B"/>
    <w:rsid w:val="00104E7A"/>
    <w:rsid w:val="00104F7F"/>
    <w:rsid w:val="00105015"/>
    <w:rsid w:val="001050EA"/>
    <w:rsid w:val="00105240"/>
    <w:rsid w:val="001052F1"/>
    <w:rsid w:val="00105539"/>
    <w:rsid w:val="001058D9"/>
    <w:rsid w:val="00105902"/>
    <w:rsid w:val="00105964"/>
    <w:rsid w:val="00105974"/>
    <w:rsid w:val="001059B2"/>
    <w:rsid w:val="00105B4F"/>
    <w:rsid w:val="00105F23"/>
    <w:rsid w:val="00106021"/>
    <w:rsid w:val="00106270"/>
    <w:rsid w:val="0010632C"/>
    <w:rsid w:val="00106344"/>
    <w:rsid w:val="00106767"/>
    <w:rsid w:val="0010690B"/>
    <w:rsid w:val="0010697D"/>
    <w:rsid w:val="00107177"/>
    <w:rsid w:val="001071CE"/>
    <w:rsid w:val="001072C7"/>
    <w:rsid w:val="001073CD"/>
    <w:rsid w:val="00107566"/>
    <w:rsid w:val="0010774C"/>
    <w:rsid w:val="00107852"/>
    <w:rsid w:val="001079EA"/>
    <w:rsid w:val="00107A30"/>
    <w:rsid w:val="00107BB5"/>
    <w:rsid w:val="00110031"/>
    <w:rsid w:val="0011018A"/>
    <w:rsid w:val="0011024F"/>
    <w:rsid w:val="00110669"/>
    <w:rsid w:val="00110C2D"/>
    <w:rsid w:val="00110FA3"/>
    <w:rsid w:val="001114AF"/>
    <w:rsid w:val="00111637"/>
    <w:rsid w:val="00111AB1"/>
    <w:rsid w:val="00111B26"/>
    <w:rsid w:val="00111C7D"/>
    <w:rsid w:val="00111D1A"/>
    <w:rsid w:val="00111E15"/>
    <w:rsid w:val="00111F2C"/>
    <w:rsid w:val="0011233F"/>
    <w:rsid w:val="00112496"/>
    <w:rsid w:val="00112606"/>
    <w:rsid w:val="001126CA"/>
    <w:rsid w:val="001126FF"/>
    <w:rsid w:val="001128E3"/>
    <w:rsid w:val="00112972"/>
    <w:rsid w:val="00112A2C"/>
    <w:rsid w:val="00112AA6"/>
    <w:rsid w:val="00112D1E"/>
    <w:rsid w:val="001130A6"/>
    <w:rsid w:val="001130C9"/>
    <w:rsid w:val="00113251"/>
    <w:rsid w:val="001132F3"/>
    <w:rsid w:val="001137C5"/>
    <w:rsid w:val="00113A13"/>
    <w:rsid w:val="00113D50"/>
    <w:rsid w:val="00113D51"/>
    <w:rsid w:val="00113DB4"/>
    <w:rsid w:val="00113E04"/>
    <w:rsid w:val="00113F84"/>
    <w:rsid w:val="00114122"/>
    <w:rsid w:val="00114AC9"/>
    <w:rsid w:val="00114B21"/>
    <w:rsid w:val="00114B54"/>
    <w:rsid w:val="00114C2A"/>
    <w:rsid w:val="00114C43"/>
    <w:rsid w:val="00114FA4"/>
    <w:rsid w:val="00115077"/>
    <w:rsid w:val="00115115"/>
    <w:rsid w:val="001153A4"/>
    <w:rsid w:val="001154B6"/>
    <w:rsid w:val="001155B2"/>
    <w:rsid w:val="001157B3"/>
    <w:rsid w:val="00115923"/>
    <w:rsid w:val="00115A94"/>
    <w:rsid w:val="00115B61"/>
    <w:rsid w:val="00115BFE"/>
    <w:rsid w:val="00115E40"/>
    <w:rsid w:val="00115E5A"/>
    <w:rsid w:val="00115F61"/>
    <w:rsid w:val="0011622F"/>
    <w:rsid w:val="001164E8"/>
    <w:rsid w:val="00116775"/>
    <w:rsid w:val="0011677E"/>
    <w:rsid w:val="00116864"/>
    <w:rsid w:val="00116CE7"/>
    <w:rsid w:val="00117179"/>
    <w:rsid w:val="001172BE"/>
    <w:rsid w:val="0011738E"/>
    <w:rsid w:val="0011788E"/>
    <w:rsid w:val="001178FE"/>
    <w:rsid w:val="00117C8A"/>
    <w:rsid w:val="00117EAF"/>
    <w:rsid w:val="00117F9E"/>
    <w:rsid w:val="001201F7"/>
    <w:rsid w:val="001202B6"/>
    <w:rsid w:val="001204B4"/>
    <w:rsid w:val="00120C69"/>
    <w:rsid w:val="00120F47"/>
    <w:rsid w:val="00120FCD"/>
    <w:rsid w:val="00121002"/>
    <w:rsid w:val="00121198"/>
    <w:rsid w:val="00121630"/>
    <w:rsid w:val="00121967"/>
    <w:rsid w:val="00121C19"/>
    <w:rsid w:val="00121C47"/>
    <w:rsid w:val="00121C48"/>
    <w:rsid w:val="00121EAF"/>
    <w:rsid w:val="00121EB2"/>
    <w:rsid w:val="001225D4"/>
    <w:rsid w:val="0012269A"/>
    <w:rsid w:val="001226CD"/>
    <w:rsid w:val="0012281A"/>
    <w:rsid w:val="00122920"/>
    <w:rsid w:val="00122AF6"/>
    <w:rsid w:val="00122DA6"/>
    <w:rsid w:val="00122E30"/>
    <w:rsid w:val="0012331D"/>
    <w:rsid w:val="0012345B"/>
    <w:rsid w:val="001235C2"/>
    <w:rsid w:val="00123881"/>
    <w:rsid w:val="00123C96"/>
    <w:rsid w:val="00123E9C"/>
    <w:rsid w:val="001240DE"/>
    <w:rsid w:val="00124152"/>
    <w:rsid w:val="001244A1"/>
    <w:rsid w:val="00124649"/>
    <w:rsid w:val="00124776"/>
    <w:rsid w:val="00124E00"/>
    <w:rsid w:val="00124E01"/>
    <w:rsid w:val="00124F23"/>
    <w:rsid w:val="001251B9"/>
    <w:rsid w:val="00125348"/>
    <w:rsid w:val="00125412"/>
    <w:rsid w:val="00125788"/>
    <w:rsid w:val="001259C3"/>
    <w:rsid w:val="00125A92"/>
    <w:rsid w:val="00125B3E"/>
    <w:rsid w:val="00125BB6"/>
    <w:rsid w:val="00125D73"/>
    <w:rsid w:val="00125DFD"/>
    <w:rsid w:val="00125EB2"/>
    <w:rsid w:val="00126026"/>
    <w:rsid w:val="00126264"/>
    <w:rsid w:val="001263EF"/>
    <w:rsid w:val="00126459"/>
    <w:rsid w:val="00126548"/>
    <w:rsid w:val="00126566"/>
    <w:rsid w:val="001265AC"/>
    <w:rsid w:val="001265AD"/>
    <w:rsid w:val="001265DC"/>
    <w:rsid w:val="00126705"/>
    <w:rsid w:val="00126989"/>
    <w:rsid w:val="00126A62"/>
    <w:rsid w:val="00126D66"/>
    <w:rsid w:val="00126D83"/>
    <w:rsid w:val="00126DF1"/>
    <w:rsid w:val="001270CB"/>
    <w:rsid w:val="001271A4"/>
    <w:rsid w:val="001274DF"/>
    <w:rsid w:val="00127967"/>
    <w:rsid w:val="00127B78"/>
    <w:rsid w:val="00127C10"/>
    <w:rsid w:val="00127E6B"/>
    <w:rsid w:val="00130058"/>
    <w:rsid w:val="001300DC"/>
    <w:rsid w:val="001301A3"/>
    <w:rsid w:val="00130393"/>
    <w:rsid w:val="001306CE"/>
    <w:rsid w:val="001307A7"/>
    <w:rsid w:val="001309AB"/>
    <w:rsid w:val="001309D8"/>
    <w:rsid w:val="00130CCA"/>
    <w:rsid w:val="00130E24"/>
    <w:rsid w:val="00131160"/>
    <w:rsid w:val="001314B3"/>
    <w:rsid w:val="0013161D"/>
    <w:rsid w:val="001318E8"/>
    <w:rsid w:val="00131A45"/>
    <w:rsid w:val="00131A8D"/>
    <w:rsid w:val="00131B0D"/>
    <w:rsid w:val="00131B49"/>
    <w:rsid w:val="00131BEF"/>
    <w:rsid w:val="00131BFD"/>
    <w:rsid w:val="00131F1D"/>
    <w:rsid w:val="00131FEC"/>
    <w:rsid w:val="001320F3"/>
    <w:rsid w:val="00132456"/>
    <w:rsid w:val="0013257B"/>
    <w:rsid w:val="001328A3"/>
    <w:rsid w:val="00132AC3"/>
    <w:rsid w:val="0013326E"/>
    <w:rsid w:val="00133340"/>
    <w:rsid w:val="00133389"/>
    <w:rsid w:val="00133616"/>
    <w:rsid w:val="00133BAC"/>
    <w:rsid w:val="00133C69"/>
    <w:rsid w:val="00133C76"/>
    <w:rsid w:val="00133CC5"/>
    <w:rsid w:val="00133CC7"/>
    <w:rsid w:val="00133D95"/>
    <w:rsid w:val="00134013"/>
    <w:rsid w:val="00134294"/>
    <w:rsid w:val="001342ED"/>
    <w:rsid w:val="001347E9"/>
    <w:rsid w:val="00134A2A"/>
    <w:rsid w:val="00134D56"/>
    <w:rsid w:val="00135005"/>
    <w:rsid w:val="001350BF"/>
    <w:rsid w:val="0013514F"/>
    <w:rsid w:val="00135380"/>
    <w:rsid w:val="0013538E"/>
    <w:rsid w:val="00135463"/>
    <w:rsid w:val="00135521"/>
    <w:rsid w:val="001355A0"/>
    <w:rsid w:val="001355D5"/>
    <w:rsid w:val="001355FA"/>
    <w:rsid w:val="00135961"/>
    <w:rsid w:val="00135E97"/>
    <w:rsid w:val="00136073"/>
    <w:rsid w:val="0013614F"/>
    <w:rsid w:val="00136794"/>
    <w:rsid w:val="00136809"/>
    <w:rsid w:val="00136824"/>
    <w:rsid w:val="00136ACD"/>
    <w:rsid w:val="00136B39"/>
    <w:rsid w:val="00136B3A"/>
    <w:rsid w:val="00136B7D"/>
    <w:rsid w:val="00136C64"/>
    <w:rsid w:val="00136F46"/>
    <w:rsid w:val="00136F95"/>
    <w:rsid w:val="00136FCA"/>
    <w:rsid w:val="00137178"/>
    <w:rsid w:val="00137205"/>
    <w:rsid w:val="0013724D"/>
    <w:rsid w:val="0013741D"/>
    <w:rsid w:val="00137561"/>
    <w:rsid w:val="00137578"/>
    <w:rsid w:val="0013775B"/>
    <w:rsid w:val="001377DF"/>
    <w:rsid w:val="001378AF"/>
    <w:rsid w:val="00137947"/>
    <w:rsid w:val="00137A46"/>
    <w:rsid w:val="00137BE2"/>
    <w:rsid w:val="00137C7E"/>
    <w:rsid w:val="00137D53"/>
    <w:rsid w:val="00140821"/>
    <w:rsid w:val="00140C6C"/>
    <w:rsid w:val="00140F08"/>
    <w:rsid w:val="00141015"/>
    <w:rsid w:val="0014102F"/>
    <w:rsid w:val="001410D7"/>
    <w:rsid w:val="00141F3B"/>
    <w:rsid w:val="00141FFC"/>
    <w:rsid w:val="00142037"/>
    <w:rsid w:val="00142209"/>
    <w:rsid w:val="0014247A"/>
    <w:rsid w:val="00142682"/>
    <w:rsid w:val="00142877"/>
    <w:rsid w:val="001429A1"/>
    <w:rsid w:val="00142A0F"/>
    <w:rsid w:val="00142E40"/>
    <w:rsid w:val="00142F4D"/>
    <w:rsid w:val="0014338B"/>
    <w:rsid w:val="00143719"/>
    <w:rsid w:val="00143793"/>
    <w:rsid w:val="00143840"/>
    <w:rsid w:val="00143A0D"/>
    <w:rsid w:val="00143C09"/>
    <w:rsid w:val="00143DAE"/>
    <w:rsid w:val="00143E88"/>
    <w:rsid w:val="00143F7B"/>
    <w:rsid w:val="00144043"/>
    <w:rsid w:val="001441ED"/>
    <w:rsid w:val="00144441"/>
    <w:rsid w:val="0014447D"/>
    <w:rsid w:val="00144511"/>
    <w:rsid w:val="0014451A"/>
    <w:rsid w:val="00144768"/>
    <w:rsid w:val="00144A49"/>
    <w:rsid w:val="00144A70"/>
    <w:rsid w:val="00144AB9"/>
    <w:rsid w:val="00144C73"/>
    <w:rsid w:val="00144CF2"/>
    <w:rsid w:val="00144DFE"/>
    <w:rsid w:val="00144E65"/>
    <w:rsid w:val="00144F3C"/>
    <w:rsid w:val="00144F9E"/>
    <w:rsid w:val="00144FF1"/>
    <w:rsid w:val="0014501C"/>
    <w:rsid w:val="00145110"/>
    <w:rsid w:val="0014515D"/>
    <w:rsid w:val="001457BB"/>
    <w:rsid w:val="00145838"/>
    <w:rsid w:val="00145870"/>
    <w:rsid w:val="00145952"/>
    <w:rsid w:val="00145B43"/>
    <w:rsid w:val="00145F59"/>
    <w:rsid w:val="00146138"/>
    <w:rsid w:val="00146166"/>
    <w:rsid w:val="00146346"/>
    <w:rsid w:val="001463C1"/>
    <w:rsid w:val="00146584"/>
    <w:rsid w:val="0014661F"/>
    <w:rsid w:val="00146AEE"/>
    <w:rsid w:val="00146B86"/>
    <w:rsid w:val="00146D40"/>
    <w:rsid w:val="00146FF7"/>
    <w:rsid w:val="001470FB"/>
    <w:rsid w:val="001472ED"/>
    <w:rsid w:val="00147304"/>
    <w:rsid w:val="0014761D"/>
    <w:rsid w:val="00147B8A"/>
    <w:rsid w:val="00147C80"/>
    <w:rsid w:val="00147F91"/>
    <w:rsid w:val="00147FA6"/>
    <w:rsid w:val="0015018F"/>
    <w:rsid w:val="001502FC"/>
    <w:rsid w:val="001506E9"/>
    <w:rsid w:val="00150A3C"/>
    <w:rsid w:val="00150B3D"/>
    <w:rsid w:val="00150B77"/>
    <w:rsid w:val="00150C42"/>
    <w:rsid w:val="00150E56"/>
    <w:rsid w:val="00150F72"/>
    <w:rsid w:val="00151149"/>
    <w:rsid w:val="0015144D"/>
    <w:rsid w:val="00151593"/>
    <w:rsid w:val="001515ED"/>
    <w:rsid w:val="00151780"/>
    <w:rsid w:val="001518BD"/>
    <w:rsid w:val="00151B2F"/>
    <w:rsid w:val="00151B37"/>
    <w:rsid w:val="001525AF"/>
    <w:rsid w:val="001526EA"/>
    <w:rsid w:val="001526F6"/>
    <w:rsid w:val="00152821"/>
    <w:rsid w:val="00152913"/>
    <w:rsid w:val="00152AC1"/>
    <w:rsid w:val="00152BCD"/>
    <w:rsid w:val="00152DC6"/>
    <w:rsid w:val="00152E89"/>
    <w:rsid w:val="00152FF0"/>
    <w:rsid w:val="00153080"/>
    <w:rsid w:val="001533CE"/>
    <w:rsid w:val="001534E8"/>
    <w:rsid w:val="00153553"/>
    <w:rsid w:val="0015362A"/>
    <w:rsid w:val="00153665"/>
    <w:rsid w:val="00153AC0"/>
    <w:rsid w:val="00153DB2"/>
    <w:rsid w:val="00154178"/>
    <w:rsid w:val="001541B7"/>
    <w:rsid w:val="001541D6"/>
    <w:rsid w:val="001541DC"/>
    <w:rsid w:val="00154361"/>
    <w:rsid w:val="0015447C"/>
    <w:rsid w:val="001544EB"/>
    <w:rsid w:val="00154540"/>
    <w:rsid w:val="00154611"/>
    <w:rsid w:val="0015492C"/>
    <w:rsid w:val="00154A6B"/>
    <w:rsid w:val="00154AA7"/>
    <w:rsid w:val="00154B64"/>
    <w:rsid w:val="00154B96"/>
    <w:rsid w:val="00154CA3"/>
    <w:rsid w:val="00154CF0"/>
    <w:rsid w:val="00154DC6"/>
    <w:rsid w:val="00154F74"/>
    <w:rsid w:val="00154FFD"/>
    <w:rsid w:val="0015510C"/>
    <w:rsid w:val="00155617"/>
    <w:rsid w:val="00155975"/>
    <w:rsid w:val="00155A46"/>
    <w:rsid w:val="00155C9E"/>
    <w:rsid w:val="00155D91"/>
    <w:rsid w:val="00155DD3"/>
    <w:rsid w:val="0015606A"/>
    <w:rsid w:val="001560C4"/>
    <w:rsid w:val="001561C9"/>
    <w:rsid w:val="0015649F"/>
    <w:rsid w:val="00156717"/>
    <w:rsid w:val="001567D7"/>
    <w:rsid w:val="0015698A"/>
    <w:rsid w:val="00156BBA"/>
    <w:rsid w:val="00156C06"/>
    <w:rsid w:val="00157187"/>
    <w:rsid w:val="0015731E"/>
    <w:rsid w:val="0015739D"/>
    <w:rsid w:val="001577AD"/>
    <w:rsid w:val="001577EE"/>
    <w:rsid w:val="00157A62"/>
    <w:rsid w:val="00157B15"/>
    <w:rsid w:val="00157BB3"/>
    <w:rsid w:val="00157E33"/>
    <w:rsid w:val="00157E52"/>
    <w:rsid w:val="0016005A"/>
    <w:rsid w:val="001600EC"/>
    <w:rsid w:val="00160253"/>
    <w:rsid w:val="00160293"/>
    <w:rsid w:val="00160417"/>
    <w:rsid w:val="00160A0E"/>
    <w:rsid w:val="00160BAA"/>
    <w:rsid w:val="0016119F"/>
    <w:rsid w:val="00161581"/>
    <w:rsid w:val="00161832"/>
    <w:rsid w:val="0016183E"/>
    <w:rsid w:val="001619A9"/>
    <w:rsid w:val="001619F2"/>
    <w:rsid w:val="00161B6E"/>
    <w:rsid w:val="00161E4E"/>
    <w:rsid w:val="001624E3"/>
    <w:rsid w:val="001624E8"/>
    <w:rsid w:val="001625C0"/>
    <w:rsid w:val="0016265A"/>
    <w:rsid w:val="00162D81"/>
    <w:rsid w:val="00162DCF"/>
    <w:rsid w:val="00162F70"/>
    <w:rsid w:val="001630B1"/>
    <w:rsid w:val="00163112"/>
    <w:rsid w:val="00163199"/>
    <w:rsid w:val="00163855"/>
    <w:rsid w:val="00163B1E"/>
    <w:rsid w:val="00163D37"/>
    <w:rsid w:val="00163F36"/>
    <w:rsid w:val="001641A2"/>
    <w:rsid w:val="0016446A"/>
    <w:rsid w:val="001644ED"/>
    <w:rsid w:val="00164750"/>
    <w:rsid w:val="00164915"/>
    <w:rsid w:val="00164A34"/>
    <w:rsid w:val="00164D78"/>
    <w:rsid w:val="00164DBF"/>
    <w:rsid w:val="00165167"/>
    <w:rsid w:val="001651BA"/>
    <w:rsid w:val="001652E4"/>
    <w:rsid w:val="001653A7"/>
    <w:rsid w:val="001654EF"/>
    <w:rsid w:val="00165681"/>
    <w:rsid w:val="00165752"/>
    <w:rsid w:val="001657F2"/>
    <w:rsid w:val="001658A5"/>
    <w:rsid w:val="00165A71"/>
    <w:rsid w:val="00165C78"/>
    <w:rsid w:val="00165EB1"/>
    <w:rsid w:val="00166168"/>
    <w:rsid w:val="0016636A"/>
    <w:rsid w:val="0016666B"/>
    <w:rsid w:val="001666FC"/>
    <w:rsid w:val="0016678C"/>
    <w:rsid w:val="00166909"/>
    <w:rsid w:val="00166B99"/>
    <w:rsid w:val="00166D9E"/>
    <w:rsid w:val="00166E62"/>
    <w:rsid w:val="0016710A"/>
    <w:rsid w:val="001679D9"/>
    <w:rsid w:val="00167A38"/>
    <w:rsid w:val="00167ACB"/>
    <w:rsid w:val="00167B1E"/>
    <w:rsid w:val="00167C7C"/>
    <w:rsid w:val="0017029B"/>
    <w:rsid w:val="001703F7"/>
    <w:rsid w:val="00170530"/>
    <w:rsid w:val="0017060F"/>
    <w:rsid w:val="001706A3"/>
    <w:rsid w:val="00170871"/>
    <w:rsid w:val="0017096A"/>
    <w:rsid w:val="00170B09"/>
    <w:rsid w:val="00170C64"/>
    <w:rsid w:val="00170E91"/>
    <w:rsid w:val="00170EEE"/>
    <w:rsid w:val="0017120D"/>
    <w:rsid w:val="0017121E"/>
    <w:rsid w:val="00171278"/>
    <w:rsid w:val="001712FE"/>
    <w:rsid w:val="00171777"/>
    <w:rsid w:val="00171A9F"/>
    <w:rsid w:val="00171B85"/>
    <w:rsid w:val="00171BE9"/>
    <w:rsid w:val="00171C62"/>
    <w:rsid w:val="00171DEB"/>
    <w:rsid w:val="00171FD9"/>
    <w:rsid w:val="00172729"/>
    <w:rsid w:val="00172BE0"/>
    <w:rsid w:val="00172D43"/>
    <w:rsid w:val="00172DBB"/>
    <w:rsid w:val="001731F2"/>
    <w:rsid w:val="00173554"/>
    <w:rsid w:val="00173594"/>
    <w:rsid w:val="001735C3"/>
    <w:rsid w:val="0017390B"/>
    <w:rsid w:val="00173E06"/>
    <w:rsid w:val="00173E3F"/>
    <w:rsid w:val="00173F16"/>
    <w:rsid w:val="00173F97"/>
    <w:rsid w:val="0017430B"/>
    <w:rsid w:val="00174861"/>
    <w:rsid w:val="00174871"/>
    <w:rsid w:val="00174C8C"/>
    <w:rsid w:val="00174DA8"/>
    <w:rsid w:val="00175052"/>
    <w:rsid w:val="0017506C"/>
    <w:rsid w:val="001750E2"/>
    <w:rsid w:val="0017515F"/>
    <w:rsid w:val="0017532F"/>
    <w:rsid w:val="0017556C"/>
    <w:rsid w:val="001756AF"/>
    <w:rsid w:val="00175967"/>
    <w:rsid w:val="001759E2"/>
    <w:rsid w:val="00175A35"/>
    <w:rsid w:val="00175BE0"/>
    <w:rsid w:val="00175CC5"/>
    <w:rsid w:val="0017629E"/>
    <w:rsid w:val="00176561"/>
    <w:rsid w:val="001767BB"/>
    <w:rsid w:val="00176840"/>
    <w:rsid w:val="001769C6"/>
    <w:rsid w:val="00176DC5"/>
    <w:rsid w:val="00176FCB"/>
    <w:rsid w:val="00177087"/>
    <w:rsid w:val="00177183"/>
    <w:rsid w:val="001773E6"/>
    <w:rsid w:val="00177710"/>
    <w:rsid w:val="0017771F"/>
    <w:rsid w:val="001777BE"/>
    <w:rsid w:val="001778BB"/>
    <w:rsid w:val="001779BE"/>
    <w:rsid w:val="00177A85"/>
    <w:rsid w:val="00177BBC"/>
    <w:rsid w:val="00177C3E"/>
    <w:rsid w:val="00177E3F"/>
    <w:rsid w:val="0018007C"/>
    <w:rsid w:val="001802E9"/>
    <w:rsid w:val="0018068E"/>
    <w:rsid w:val="001806E7"/>
    <w:rsid w:val="00180724"/>
    <w:rsid w:val="00180C93"/>
    <w:rsid w:val="00180D75"/>
    <w:rsid w:val="00180D90"/>
    <w:rsid w:val="00180F73"/>
    <w:rsid w:val="00181045"/>
    <w:rsid w:val="0018148D"/>
    <w:rsid w:val="00181501"/>
    <w:rsid w:val="001818DB"/>
    <w:rsid w:val="001818F1"/>
    <w:rsid w:val="00181D18"/>
    <w:rsid w:val="00181D1D"/>
    <w:rsid w:val="00181D3C"/>
    <w:rsid w:val="00181DFC"/>
    <w:rsid w:val="00181FD9"/>
    <w:rsid w:val="0018256E"/>
    <w:rsid w:val="001826B8"/>
    <w:rsid w:val="001827A8"/>
    <w:rsid w:val="00182860"/>
    <w:rsid w:val="00182A43"/>
    <w:rsid w:val="00182A54"/>
    <w:rsid w:val="00182AAF"/>
    <w:rsid w:val="00182ABD"/>
    <w:rsid w:val="00182B01"/>
    <w:rsid w:val="00182C6D"/>
    <w:rsid w:val="00182D8A"/>
    <w:rsid w:val="00182E57"/>
    <w:rsid w:val="0018312D"/>
    <w:rsid w:val="00183285"/>
    <w:rsid w:val="00183372"/>
    <w:rsid w:val="00183667"/>
    <w:rsid w:val="00183687"/>
    <w:rsid w:val="00183714"/>
    <w:rsid w:val="001837C0"/>
    <w:rsid w:val="001838C6"/>
    <w:rsid w:val="001838FC"/>
    <w:rsid w:val="00183A8C"/>
    <w:rsid w:val="00183DA0"/>
    <w:rsid w:val="00183EFE"/>
    <w:rsid w:val="00183F0F"/>
    <w:rsid w:val="00184081"/>
    <w:rsid w:val="001840FE"/>
    <w:rsid w:val="001842DD"/>
    <w:rsid w:val="0018449E"/>
    <w:rsid w:val="0018489F"/>
    <w:rsid w:val="001848A9"/>
    <w:rsid w:val="001848C4"/>
    <w:rsid w:val="00184A39"/>
    <w:rsid w:val="00184C99"/>
    <w:rsid w:val="00184CA0"/>
    <w:rsid w:val="00184CAA"/>
    <w:rsid w:val="00184D95"/>
    <w:rsid w:val="00184E02"/>
    <w:rsid w:val="00184E8C"/>
    <w:rsid w:val="00184E9A"/>
    <w:rsid w:val="00184EE5"/>
    <w:rsid w:val="0018529F"/>
    <w:rsid w:val="0018538C"/>
    <w:rsid w:val="001854DC"/>
    <w:rsid w:val="001857AA"/>
    <w:rsid w:val="001857CC"/>
    <w:rsid w:val="00185860"/>
    <w:rsid w:val="00185C76"/>
    <w:rsid w:val="00185E95"/>
    <w:rsid w:val="00185F06"/>
    <w:rsid w:val="00185FE9"/>
    <w:rsid w:val="00186349"/>
    <w:rsid w:val="001864B2"/>
    <w:rsid w:val="001864C4"/>
    <w:rsid w:val="0018661A"/>
    <w:rsid w:val="0018671E"/>
    <w:rsid w:val="00186877"/>
    <w:rsid w:val="00186925"/>
    <w:rsid w:val="00186ABD"/>
    <w:rsid w:val="00186F2D"/>
    <w:rsid w:val="00186FE8"/>
    <w:rsid w:val="0018731A"/>
    <w:rsid w:val="00187465"/>
    <w:rsid w:val="0018768B"/>
    <w:rsid w:val="001876D8"/>
    <w:rsid w:val="00187E6B"/>
    <w:rsid w:val="00187F34"/>
    <w:rsid w:val="0019033B"/>
    <w:rsid w:val="00190693"/>
    <w:rsid w:val="0019069F"/>
    <w:rsid w:val="00190BEE"/>
    <w:rsid w:val="00190CCA"/>
    <w:rsid w:val="00190FE2"/>
    <w:rsid w:val="00191733"/>
    <w:rsid w:val="00191AE8"/>
    <w:rsid w:val="00191B2D"/>
    <w:rsid w:val="0019210A"/>
    <w:rsid w:val="001921EE"/>
    <w:rsid w:val="00192262"/>
    <w:rsid w:val="00192348"/>
    <w:rsid w:val="00192779"/>
    <w:rsid w:val="0019279C"/>
    <w:rsid w:val="0019295A"/>
    <w:rsid w:val="001929FF"/>
    <w:rsid w:val="00192AE2"/>
    <w:rsid w:val="00192AFC"/>
    <w:rsid w:val="00192B35"/>
    <w:rsid w:val="00192BF0"/>
    <w:rsid w:val="00192D64"/>
    <w:rsid w:val="00192F3F"/>
    <w:rsid w:val="00193057"/>
    <w:rsid w:val="0019322A"/>
    <w:rsid w:val="0019327E"/>
    <w:rsid w:val="00193A1C"/>
    <w:rsid w:val="00193B54"/>
    <w:rsid w:val="00193CE3"/>
    <w:rsid w:val="00193D66"/>
    <w:rsid w:val="00194173"/>
    <w:rsid w:val="00194345"/>
    <w:rsid w:val="0019448E"/>
    <w:rsid w:val="001946D8"/>
    <w:rsid w:val="0019478D"/>
    <w:rsid w:val="00194984"/>
    <w:rsid w:val="00194B7F"/>
    <w:rsid w:val="00194D7E"/>
    <w:rsid w:val="00194DD5"/>
    <w:rsid w:val="00194EEB"/>
    <w:rsid w:val="00194F51"/>
    <w:rsid w:val="00194F6E"/>
    <w:rsid w:val="00194F9E"/>
    <w:rsid w:val="00195077"/>
    <w:rsid w:val="0019507D"/>
    <w:rsid w:val="001952F1"/>
    <w:rsid w:val="00195320"/>
    <w:rsid w:val="0019559C"/>
    <w:rsid w:val="00195651"/>
    <w:rsid w:val="0019597B"/>
    <w:rsid w:val="001959FA"/>
    <w:rsid w:val="00195C21"/>
    <w:rsid w:val="001960E2"/>
    <w:rsid w:val="001960F5"/>
    <w:rsid w:val="00196221"/>
    <w:rsid w:val="001962F3"/>
    <w:rsid w:val="00196360"/>
    <w:rsid w:val="00196624"/>
    <w:rsid w:val="001966FC"/>
    <w:rsid w:val="0019693E"/>
    <w:rsid w:val="001969E7"/>
    <w:rsid w:val="00197120"/>
    <w:rsid w:val="001971B3"/>
    <w:rsid w:val="00197441"/>
    <w:rsid w:val="001975CA"/>
    <w:rsid w:val="00197757"/>
    <w:rsid w:val="00197763"/>
    <w:rsid w:val="001977EB"/>
    <w:rsid w:val="00197834"/>
    <w:rsid w:val="001978FE"/>
    <w:rsid w:val="001979F1"/>
    <w:rsid w:val="00197BA6"/>
    <w:rsid w:val="00197C6E"/>
    <w:rsid w:val="001A00B1"/>
    <w:rsid w:val="001A013C"/>
    <w:rsid w:val="001A0151"/>
    <w:rsid w:val="001A01A0"/>
    <w:rsid w:val="001A041F"/>
    <w:rsid w:val="001A0420"/>
    <w:rsid w:val="001A0422"/>
    <w:rsid w:val="001A045B"/>
    <w:rsid w:val="001A08F5"/>
    <w:rsid w:val="001A0994"/>
    <w:rsid w:val="001A09FE"/>
    <w:rsid w:val="001A0B12"/>
    <w:rsid w:val="001A0C0C"/>
    <w:rsid w:val="001A0F4E"/>
    <w:rsid w:val="001A0F68"/>
    <w:rsid w:val="001A0FA2"/>
    <w:rsid w:val="001A1120"/>
    <w:rsid w:val="001A1783"/>
    <w:rsid w:val="001A17A3"/>
    <w:rsid w:val="001A192F"/>
    <w:rsid w:val="001A1AC3"/>
    <w:rsid w:val="001A1B12"/>
    <w:rsid w:val="001A1C1A"/>
    <w:rsid w:val="001A1E69"/>
    <w:rsid w:val="001A2144"/>
    <w:rsid w:val="001A2188"/>
    <w:rsid w:val="001A2217"/>
    <w:rsid w:val="001A2236"/>
    <w:rsid w:val="001A238B"/>
    <w:rsid w:val="001A241B"/>
    <w:rsid w:val="001A257A"/>
    <w:rsid w:val="001A2596"/>
    <w:rsid w:val="001A262C"/>
    <w:rsid w:val="001A2777"/>
    <w:rsid w:val="001A27B6"/>
    <w:rsid w:val="001A2800"/>
    <w:rsid w:val="001A2882"/>
    <w:rsid w:val="001A2920"/>
    <w:rsid w:val="001A2AB6"/>
    <w:rsid w:val="001A2CC5"/>
    <w:rsid w:val="001A2FF6"/>
    <w:rsid w:val="001A3063"/>
    <w:rsid w:val="001A3364"/>
    <w:rsid w:val="001A34E9"/>
    <w:rsid w:val="001A38D5"/>
    <w:rsid w:val="001A390A"/>
    <w:rsid w:val="001A39EA"/>
    <w:rsid w:val="001A3E0F"/>
    <w:rsid w:val="001A4068"/>
    <w:rsid w:val="001A40A5"/>
    <w:rsid w:val="001A42E4"/>
    <w:rsid w:val="001A4655"/>
    <w:rsid w:val="001A46E2"/>
    <w:rsid w:val="001A4815"/>
    <w:rsid w:val="001A4958"/>
    <w:rsid w:val="001A4BBC"/>
    <w:rsid w:val="001A4CA9"/>
    <w:rsid w:val="001A4F62"/>
    <w:rsid w:val="001A52BE"/>
    <w:rsid w:val="001A52FF"/>
    <w:rsid w:val="001A55A2"/>
    <w:rsid w:val="001A55D5"/>
    <w:rsid w:val="001A595A"/>
    <w:rsid w:val="001A5DAC"/>
    <w:rsid w:val="001A5FAC"/>
    <w:rsid w:val="001A5FE3"/>
    <w:rsid w:val="001A627D"/>
    <w:rsid w:val="001A6357"/>
    <w:rsid w:val="001A6446"/>
    <w:rsid w:val="001A65CB"/>
    <w:rsid w:val="001A693D"/>
    <w:rsid w:val="001A694E"/>
    <w:rsid w:val="001A6979"/>
    <w:rsid w:val="001A6B6A"/>
    <w:rsid w:val="001A6E27"/>
    <w:rsid w:val="001A6EBC"/>
    <w:rsid w:val="001A7039"/>
    <w:rsid w:val="001A7222"/>
    <w:rsid w:val="001A7419"/>
    <w:rsid w:val="001A762E"/>
    <w:rsid w:val="001A769A"/>
    <w:rsid w:val="001A76AF"/>
    <w:rsid w:val="001A7826"/>
    <w:rsid w:val="001A793E"/>
    <w:rsid w:val="001A7DC7"/>
    <w:rsid w:val="001A7E4A"/>
    <w:rsid w:val="001B0007"/>
    <w:rsid w:val="001B0135"/>
    <w:rsid w:val="001B01F7"/>
    <w:rsid w:val="001B031C"/>
    <w:rsid w:val="001B0765"/>
    <w:rsid w:val="001B0A5A"/>
    <w:rsid w:val="001B0AA9"/>
    <w:rsid w:val="001B0B1A"/>
    <w:rsid w:val="001B0C71"/>
    <w:rsid w:val="001B0F7E"/>
    <w:rsid w:val="001B103A"/>
    <w:rsid w:val="001B117B"/>
    <w:rsid w:val="001B11D5"/>
    <w:rsid w:val="001B15F4"/>
    <w:rsid w:val="001B15F8"/>
    <w:rsid w:val="001B1650"/>
    <w:rsid w:val="001B16C8"/>
    <w:rsid w:val="001B16E0"/>
    <w:rsid w:val="001B1762"/>
    <w:rsid w:val="001B186F"/>
    <w:rsid w:val="001B1B33"/>
    <w:rsid w:val="001B1E4C"/>
    <w:rsid w:val="001B1F27"/>
    <w:rsid w:val="001B1FA2"/>
    <w:rsid w:val="001B25A0"/>
    <w:rsid w:val="001B25A7"/>
    <w:rsid w:val="001B26B8"/>
    <w:rsid w:val="001B279F"/>
    <w:rsid w:val="001B2C06"/>
    <w:rsid w:val="001B2C22"/>
    <w:rsid w:val="001B2D24"/>
    <w:rsid w:val="001B2D45"/>
    <w:rsid w:val="001B2DE2"/>
    <w:rsid w:val="001B309C"/>
    <w:rsid w:val="001B30D4"/>
    <w:rsid w:val="001B3155"/>
    <w:rsid w:val="001B32EA"/>
    <w:rsid w:val="001B335F"/>
    <w:rsid w:val="001B350C"/>
    <w:rsid w:val="001B39FD"/>
    <w:rsid w:val="001B40AC"/>
    <w:rsid w:val="001B4105"/>
    <w:rsid w:val="001B41CE"/>
    <w:rsid w:val="001B4497"/>
    <w:rsid w:val="001B45CB"/>
    <w:rsid w:val="001B462D"/>
    <w:rsid w:val="001B46BC"/>
    <w:rsid w:val="001B4736"/>
    <w:rsid w:val="001B477C"/>
    <w:rsid w:val="001B47AF"/>
    <w:rsid w:val="001B480B"/>
    <w:rsid w:val="001B4A33"/>
    <w:rsid w:val="001B4B32"/>
    <w:rsid w:val="001B4B88"/>
    <w:rsid w:val="001B4D8B"/>
    <w:rsid w:val="001B4E81"/>
    <w:rsid w:val="001B4F57"/>
    <w:rsid w:val="001B5008"/>
    <w:rsid w:val="001B502C"/>
    <w:rsid w:val="001B503E"/>
    <w:rsid w:val="001B51BF"/>
    <w:rsid w:val="001B51EA"/>
    <w:rsid w:val="001B5326"/>
    <w:rsid w:val="001B5419"/>
    <w:rsid w:val="001B584A"/>
    <w:rsid w:val="001B5990"/>
    <w:rsid w:val="001B5A2B"/>
    <w:rsid w:val="001B5A90"/>
    <w:rsid w:val="001B5F78"/>
    <w:rsid w:val="001B61DD"/>
    <w:rsid w:val="001B664C"/>
    <w:rsid w:val="001B66FB"/>
    <w:rsid w:val="001B698F"/>
    <w:rsid w:val="001B6A3D"/>
    <w:rsid w:val="001B6C13"/>
    <w:rsid w:val="001B6C2F"/>
    <w:rsid w:val="001B6C38"/>
    <w:rsid w:val="001B6CC8"/>
    <w:rsid w:val="001B74A4"/>
    <w:rsid w:val="001B793E"/>
    <w:rsid w:val="001B79CA"/>
    <w:rsid w:val="001B7B03"/>
    <w:rsid w:val="001B7B63"/>
    <w:rsid w:val="001B7EB7"/>
    <w:rsid w:val="001B7F38"/>
    <w:rsid w:val="001C0089"/>
    <w:rsid w:val="001C045D"/>
    <w:rsid w:val="001C053D"/>
    <w:rsid w:val="001C05AD"/>
    <w:rsid w:val="001C05F7"/>
    <w:rsid w:val="001C063B"/>
    <w:rsid w:val="001C08D3"/>
    <w:rsid w:val="001C0B2C"/>
    <w:rsid w:val="001C0C54"/>
    <w:rsid w:val="001C0FE9"/>
    <w:rsid w:val="001C123E"/>
    <w:rsid w:val="001C156C"/>
    <w:rsid w:val="001C15EA"/>
    <w:rsid w:val="001C1699"/>
    <w:rsid w:val="001C16E9"/>
    <w:rsid w:val="001C17B9"/>
    <w:rsid w:val="001C1AF5"/>
    <w:rsid w:val="001C2168"/>
    <w:rsid w:val="001C2195"/>
    <w:rsid w:val="001C2342"/>
    <w:rsid w:val="001C2542"/>
    <w:rsid w:val="001C26B3"/>
    <w:rsid w:val="001C274E"/>
    <w:rsid w:val="001C27A8"/>
    <w:rsid w:val="001C2A34"/>
    <w:rsid w:val="001C2BC2"/>
    <w:rsid w:val="001C2BEF"/>
    <w:rsid w:val="001C2C66"/>
    <w:rsid w:val="001C2C77"/>
    <w:rsid w:val="001C2F7F"/>
    <w:rsid w:val="001C301E"/>
    <w:rsid w:val="001C30B1"/>
    <w:rsid w:val="001C3238"/>
    <w:rsid w:val="001C3341"/>
    <w:rsid w:val="001C3380"/>
    <w:rsid w:val="001C3423"/>
    <w:rsid w:val="001C34A5"/>
    <w:rsid w:val="001C36C0"/>
    <w:rsid w:val="001C3733"/>
    <w:rsid w:val="001C3743"/>
    <w:rsid w:val="001C3969"/>
    <w:rsid w:val="001C3AD5"/>
    <w:rsid w:val="001C3B5B"/>
    <w:rsid w:val="001C3E34"/>
    <w:rsid w:val="001C3E4F"/>
    <w:rsid w:val="001C3EBB"/>
    <w:rsid w:val="001C405F"/>
    <w:rsid w:val="001C41EB"/>
    <w:rsid w:val="001C43F3"/>
    <w:rsid w:val="001C46D0"/>
    <w:rsid w:val="001C4743"/>
    <w:rsid w:val="001C48EA"/>
    <w:rsid w:val="001C4E66"/>
    <w:rsid w:val="001C4F57"/>
    <w:rsid w:val="001C4F7A"/>
    <w:rsid w:val="001C50EC"/>
    <w:rsid w:val="001C55D3"/>
    <w:rsid w:val="001C5A48"/>
    <w:rsid w:val="001C5A7D"/>
    <w:rsid w:val="001C5C79"/>
    <w:rsid w:val="001C5C8F"/>
    <w:rsid w:val="001C5E3D"/>
    <w:rsid w:val="001C60BD"/>
    <w:rsid w:val="001C60CD"/>
    <w:rsid w:val="001C6189"/>
    <w:rsid w:val="001C6371"/>
    <w:rsid w:val="001C671C"/>
    <w:rsid w:val="001C67EC"/>
    <w:rsid w:val="001C6A3C"/>
    <w:rsid w:val="001C6B68"/>
    <w:rsid w:val="001C6BE2"/>
    <w:rsid w:val="001C6CAD"/>
    <w:rsid w:val="001C70A7"/>
    <w:rsid w:val="001C71D4"/>
    <w:rsid w:val="001C729F"/>
    <w:rsid w:val="001C732A"/>
    <w:rsid w:val="001C76BF"/>
    <w:rsid w:val="001C777F"/>
    <w:rsid w:val="001C77AD"/>
    <w:rsid w:val="001C7B20"/>
    <w:rsid w:val="001D012A"/>
    <w:rsid w:val="001D0499"/>
    <w:rsid w:val="001D06DF"/>
    <w:rsid w:val="001D0A3A"/>
    <w:rsid w:val="001D0C17"/>
    <w:rsid w:val="001D0DA3"/>
    <w:rsid w:val="001D11F8"/>
    <w:rsid w:val="001D12F1"/>
    <w:rsid w:val="001D1762"/>
    <w:rsid w:val="001D1C44"/>
    <w:rsid w:val="001D1CFB"/>
    <w:rsid w:val="001D2239"/>
    <w:rsid w:val="001D2296"/>
    <w:rsid w:val="001D234F"/>
    <w:rsid w:val="001D264A"/>
    <w:rsid w:val="001D26DA"/>
    <w:rsid w:val="001D28BC"/>
    <w:rsid w:val="001D2A02"/>
    <w:rsid w:val="001D2C2E"/>
    <w:rsid w:val="001D2CC2"/>
    <w:rsid w:val="001D2F34"/>
    <w:rsid w:val="001D30A7"/>
    <w:rsid w:val="001D31B2"/>
    <w:rsid w:val="001D335E"/>
    <w:rsid w:val="001D34F7"/>
    <w:rsid w:val="001D3647"/>
    <w:rsid w:val="001D37B1"/>
    <w:rsid w:val="001D3976"/>
    <w:rsid w:val="001D3A6F"/>
    <w:rsid w:val="001D3B22"/>
    <w:rsid w:val="001D3B7F"/>
    <w:rsid w:val="001D3D26"/>
    <w:rsid w:val="001D4061"/>
    <w:rsid w:val="001D40B3"/>
    <w:rsid w:val="001D446D"/>
    <w:rsid w:val="001D447C"/>
    <w:rsid w:val="001D4AFE"/>
    <w:rsid w:val="001D4C3A"/>
    <w:rsid w:val="001D4DCB"/>
    <w:rsid w:val="001D5239"/>
    <w:rsid w:val="001D532B"/>
    <w:rsid w:val="001D55D3"/>
    <w:rsid w:val="001D58EF"/>
    <w:rsid w:val="001D5AAC"/>
    <w:rsid w:val="001D5C21"/>
    <w:rsid w:val="001D5C4B"/>
    <w:rsid w:val="001D6231"/>
    <w:rsid w:val="001D640D"/>
    <w:rsid w:val="001D65AC"/>
    <w:rsid w:val="001D65B3"/>
    <w:rsid w:val="001D666F"/>
    <w:rsid w:val="001D6AAF"/>
    <w:rsid w:val="001D6BC1"/>
    <w:rsid w:val="001D6DC8"/>
    <w:rsid w:val="001D6F5C"/>
    <w:rsid w:val="001D6FCE"/>
    <w:rsid w:val="001D74AC"/>
    <w:rsid w:val="001D7652"/>
    <w:rsid w:val="001D7709"/>
    <w:rsid w:val="001D774F"/>
    <w:rsid w:val="001D78CC"/>
    <w:rsid w:val="001D7B6D"/>
    <w:rsid w:val="001D7C33"/>
    <w:rsid w:val="001D7D75"/>
    <w:rsid w:val="001D7EA4"/>
    <w:rsid w:val="001D7ECD"/>
    <w:rsid w:val="001E002A"/>
    <w:rsid w:val="001E00FE"/>
    <w:rsid w:val="001E0155"/>
    <w:rsid w:val="001E0169"/>
    <w:rsid w:val="001E01BB"/>
    <w:rsid w:val="001E02D0"/>
    <w:rsid w:val="001E030E"/>
    <w:rsid w:val="001E0311"/>
    <w:rsid w:val="001E0333"/>
    <w:rsid w:val="001E077B"/>
    <w:rsid w:val="001E091E"/>
    <w:rsid w:val="001E0A4A"/>
    <w:rsid w:val="001E0ACF"/>
    <w:rsid w:val="001E0B04"/>
    <w:rsid w:val="001E0F76"/>
    <w:rsid w:val="001E1237"/>
    <w:rsid w:val="001E14A5"/>
    <w:rsid w:val="001E16CB"/>
    <w:rsid w:val="001E1BC4"/>
    <w:rsid w:val="001E1BC8"/>
    <w:rsid w:val="001E1D4B"/>
    <w:rsid w:val="001E1DA1"/>
    <w:rsid w:val="001E1F41"/>
    <w:rsid w:val="001E21AB"/>
    <w:rsid w:val="001E21F4"/>
    <w:rsid w:val="001E23A0"/>
    <w:rsid w:val="001E24CA"/>
    <w:rsid w:val="001E257A"/>
    <w:rsid w:val="001E2721"/>
    <w:rsid w:val="001E279D"/>
    <w:rsid w:val="001E29A9"/>
    <w:rsid w:val="001E2E19"/>
    <w:rsid w:val="001E2EAE"/>
    <w:rsid w:val="001E311E"/>
    <w:rsid w:val="001E314D"/>
    <w:rsid w:val="001E3399"/>
    <w:rsid w:val="001E35BE"/>
    <w:rsid w:val="001E3AD4"/>
    <w:rsid w:val="001E3E99"/>
    <w:rsid w:val="001E3FC7"/>
    <w:rsid w:val="001E4113"/>
    <w:rsid w:val="001E4328"/>
    <w:rsid w:val="001E43CD"/>
    <w:rsid w:val="001E4515"/>
    <w:rsid w:val="001E45E7"/>
    <w:rsid w:val="001E48AB"/>
    <w:rsid w:val="001E4AAF"/>
    <w:rsid w:val="001E4AD6"/>
    <w:rsid w:val="001E4E75"/>
    <w:rsid w:val="001E526D"/>
    <w:rsid w:val="001E533D"/>
    <w:rsid w:val="001E564E"/>
    <w:rsid w:val="001E5702"/>
    <w:rsid w:val="001E5912"/>
    <w:rsid w:val="001E5923"/>
    <w:rsid w:val="001E5AC6"/>
    <w:rsid w:val="001E5AEB"/>
    <w:rsid w:val="001E5C6E"/>
    <w:rsid w:val="001E5CA1"/>
    <w:rsid w:val="001E5E03"/>
    <w:rsid w:val="001E5E76"/>
    <w:rsid w:val="001E5FB2"/>
    <w:rsid w:val="001E60BA"/>
    <w:rsid w:val="001E6212"/>
    <w:rsid w:val="001E63BE"/>
    <w:rsid w:val="001E66D2"/>
    <w:rsid w:val="001E671C"/>
    <w:rsid w:val="001E6947"/>
    <w:rsid w:val="001E6FC5"/>
    <w:rsid w:val="001E71C8"/>
    <w:rsid w:val="001E72ED"/>
    <w:rsid w:val="001E743E"/>
    <w:rsid w:val="001E7556"/>
    <w:rsid w:val="001E75FF"/>
    <w:rsid w:val="001E7A05"/>
    <w:rsid w:val="001E7BBF"/>
    <w:rsid w:val="001E7CDA"/>
    <w:rsid w:val="001E7DA0"/>
    <w:rsid w:val="001F00CA"/>
    <w:rsid w:val="001F04F1"/>
    <w:rsid w:val="001F082B"/>
    <w:rsid w:val="001F0890"/>
    <w:rsid w:val="001F0B0E"/>
    <w:rsid w:val="001F0C11"/>
    <w:rsid w:val="001F0DC3"/>
    <w:rsid w:val="001F0E15"/>
    <w:rsid w:val="001F0E92"/>
    <w:rsid w:val="001F102A"/>
    <w:rsid w:val="001F11D4"/>
    <w:rsid w:val="001F1254"/>
    <w:rsid w:val="001F131B"/>
    <w:rsid w:val="001F1321"/>
    <w:rsid w:val="001F134E"/>
    <w:rsid w:val="001F15CF"/>
    <w:rsid w:val="001F1698"/>
    <w:rsid w:val="001F1785"/>
    <w:rsid w:val="001F1B13"/>
    <w:rsid w:val="001F1E4A"/>
    <w:rsid w:val="001F1E51"/>
    <w:rsid w:val="001F1F69"/>
    <w:rsid w:val="001F2043"/>
    <w:rsid w:val="001F2288"/>
    <w:rsid w:val="001F23C6"/>
    <w:rsid w:val="001F23D6"/>
    <w:rsid w:val="001F2536"/>
    <w:rsid w:val="001F29A4"/>
    <w:rsid w:val="001F2A38"/>
    <w:rsid w:val="001F2B66"/>
    <w:rsid w:val="001F2B74"/>
    <w:rsid w:val="001F2B99"/>
    <w:rsid w:val="001F2C38"/>
    <w:rsid w:val="001F2DF0"/>
    <w:rsid w:val="001F3011"/>
    <w:rsid w:val="001F3249"/>
    <w:rsid w:val="001F3281"/>
    <w:rsid w:val="001F337D"/>
    <w:rsid w:val="001F34C9"/>
    <w:rsid w:val="001F3849"/>
    <w:rsid w:val="001F3898"/>
    <w:rsid w:val="001F38FE"/>
    <w:rsid w:val="001F399A"/>
    <w:rsid w:val="001F39A0"/>
    <w:rsid w:val="001F3BF8"/>
    <w:rsid w:val="001F3CED"/>
    <w:rsid w:val="001F40DE"/>
    <w:rsid w:val="001F41CD"/>
    <w:rsid w:val="001F4379"/>
    <w:rsid w:val="001F4448"/>
    <w:rsid w:val="001F4467"/>
    <w:rsid w:val="001F4ADA"/>
    <w:rsid w:val="001F4AEF"/>
    <w:rsid w:val="001F4D8A"/>
    <w:rsid w:val="001F4DA2"/>
    <w:rsid w:val="001F4DA3"/>
    <w:rsid w:val="001F53D6"/>
    <w:rsid w:val="001F53FB"/>
    <w:rsid w:val="001F5589"/>
    <w:rsid w:val="001F55AA"/>
    <w:rsid w:val="001F5890"/>
    <w:rsid w:val="001F59DD"/>
    <w:rsid w:val="001F5D25"/>
    <w:rsid w:val="001F5DAD"/>
    <w:rsid w:val="001F5DDD"/>
    <w:rsid w:val="001F5E37"/>
    <w:rsid w:val="001F5E4E"/>
    <w:rsid w:val="001F5FA2"/>
    <w:rsid w:val="001F6216"/>
    <w:rsid w:val="001F656E"/>
    <w:rsid w:val="001F65DE"/>
    <w:rsid w:val="001F65E0"/>
    <w:rsid w:val="001F67A9"/>
    <w:rsid w:val="001F6A8B"/>
    <w:rsid w:val="001F6A9C"/>
    <w:rsid w:val="001F6B32"/>
    <w:rsid w:val="001F6B6B"/>
    <w:rsid w:val="001F6C27"/>
    <w:rsid w:val="001F6D28"/>
    <w:rsid w:val="001F6E73"/>
    <w:rsid w:val="001F6F71"/>
    <w:rsid w:val="001F7119"/>
    <w:rsid w:val="001F734E"/>
    <w:rsid w:val="001F7350"/>
    <w:rsid w:val="001F7482"/>
    <w:rsid w:val="001F7680"/>
    <w:rsid w:val="001F77F8"/>
    <w:rsid w:val="001F7AF2"/>
    <w:rsid w:val="001F7DEA"/>
    <w:rsid w:val="001F7E0C"/>
    <w:rsid w:val="001F7E1B"/>
    <w:rsid w:val="001F7F4E"/>
    <w:rsid w:val="00200229"/>
    <w:rsid w:val="00200286"/>
    <w:rsid w:val="002002B4"/>
    <w:rsid w:val="00200320"/>
    <w:rsid w:val="002007D4"/>
    <w:rsid w:val="002008DB"/>
    <w:rsid w:val="00200B08"/>
    <w:rsid w:val="00200C75"/>
    <w:rsid w:val="00200D3C"/>
    <w:rsid w:val="002010B6"/>
    <w:rsid w:val="002012E4"/>
    <w:rsid w:val="00201383"/>
    <w:rsid w:val="00201447"/>
    <w:rsid w:val="00201668"/>
    <w:rsid w:val="00201C49"/>
    <w:rsid w:val="00201CC4"/>
    <w:rsid w:val="00201E6A"/>
    <w:rsid w:val="00201FEC"/>
    <w:rsid w:val="0020202D"/>
    <w:rsid w:val="002022BF"/>
    <w:rsid w:val="0020274B"/>
    <w:rsid w:val="00202883"/>
    <w:rsid w:val="00202DD4"/>
    <w:rsid w:val="00202F16"/>
    <w:rsid w:val="00202F83"/>
    <w:rsid w:val="00203043"/>
    <w:rsid w:val="0020312A"/>
    <w:rsid w:val="00203340"/>
    <w:rsid w:val="00203390"/>
    <w:rsid w:val="00203698"/>
    <w:rsid w:val="00203862"/>
    <w:rsid w:val="0020389A"/>
    <w:rsid w:val="002039CE"/>
    <w:rsid w:val="00203AE1"/>
    <w:rsid w:val="00203AF3"/>
    <w:rsid w:val="00203B0F"/>
    <w:rsid w:val="00203BED"/>
    <w:rsid w:val="00203D56"/>
    <w:rsid w:val="00203D84"/>
    <w:rsid w:val="00203F05"/>
    <w:rsid w:val="002041B4"/>
    <w:rsid w:val="00204400"/>
    <w:rsid w:val="00204584"/>
    <w:rsid w:val="002045BC"/>
    <w:rsid w:val="00204602"/>
    <w:rsid w:val="0020467D"/>
    <w:rsid w:val="0020484D"/>
    <w:rsid w:val="00204A07"/>
    <w:rsid w:val="00204BD5"/>
    <w:rsid w:val="00204BE7"/>
    <w:rsid w:val="00204CC5"/>
    <w:rsid w:val="00204CEA"/>
    <w:rsid w:val="002050E4"/>
    <w:rsid w:val="0020524B"/>
    <w:rsid w:val="0020528D"/>
    <w:rsid w:val="00205388"/>
    <w:rsid w:val="00205820"/>
    <w:rsid w:val="002059A4"/>
    <w:rsid w:val="00205D30"/>
    <w:rsid w:val="00205F3F"/>
    <w:rsid w:val="00206084"/>
    <w:rsid w:val="0020657A"/>
    <w:rsid w:val="002069B2"/>
    <w:rsid w:val="00206C37"/>
    <w:rsid w:val="002070C0"/>
    <w:rsid w:val="00207171"/>
    <w:rsid w:val="00207181"/>
    <w:rsid w:val="002071D0"/>
    <w:rsid w:val="00207289"/>
    <w:rsid w:val="00207349"/>
    <w:rsid w:val="00207376"/>
    <w:rsid w:val="002073E3"/>
    <w:rsid w:val="00207491"/>
    <w:rsid w:val="002074B9"/>
    <w:rsid w:val="00207926"/>
    <w:rsid w:val="002079DB"/>
    <w:rsid w:val="00207B1C"/>
    <w:rsid w:val="00207DCE"/>
    <w:rsid w:val="00207EE6"/>
    <w:rsid w:val="00207F92"/>
    <w:rsid w:val="00207FBA"/>
    <w:rsid w:val="00210416"/>
    <w:rsid w:val="00210621"/>
    <w:rsid w:val="002108F5"/>
    <w:rsid w:val="00210A10"/>
    <w:rsid w:val="00210C69"/>
    <w:rsid w:val="00210CE9"/>
    <w:rsid w:val="00211087"/>
    <w:rsid w:val="00211412"/>
    <w:rsid w:val="0021143F"/>
    <w:rsid w:val="00211530"/>
    <w:rsid w:val="0021155C"/>
    <w:rsid w:val="002117EB"/>
    <w:rsid w:val="00211872"/>
    <w:rsid w:val="00211AC3"/>
    <w:rsid w:val="00211B02"/>
    <w:rsid w:val="00211B63"/>
    <w:rsid w:val="00211C6E"/>
    <w:rsid w:val="00212200"/>
    <w:rsid w:val="00212454"/>
    <w:rsid w:val="00212D2F"/>
    <w:rsid w:val="00212D38"/>
    <w:rsid w:val="00212D93"/>
    <w:rsid w:val="00213073"/>
    <w:rsid w:val="00213180"/>
    <w:rsid w:val="00213321"/>
    <w:rsid w:val="002134BB"/>
    <w:rsid w:val="002138CB"/>
    <w:rsid w:val="0021399A"/>
    <w:rsid w:val="002139F7"/>
    <w:rsid w:val="00213A85"/>
    <w:rsid w:val="00213CB2"/>
    <w:rsid w:val="00213D3C"/>
    <w:rsid w:val="00213DBC"/>
    <w:rsid w:val="00213F90"/>
    <w:rsid w:val="00213FE1"/>
    <w:rsid w:val="002147E9"/>
    <w:rsid w:val="0021490F"/>
    <w:rsid w:val="00214944"/>
    <w:rsid w:val="00214D93"/>
    <w:rsid w:val="00214EF5"/>
    <w:rsid w:val="00214FB7"/>
    <w:rsid w:val="00215341"/>
    <w:rsid w:val="0021552A"/>
    <w:rsid w:val="00215BEB"/>
    <w:rsid w:val="00215F24"/>
    <w:rsid w:val="00215FA2"/>
    <w:rsid w:val="0021634D"/>
    <w:rsid w:val="002164EE"/>
    <w:rsid w:val="0021651B"/>
    <w:rsid w:val="00216687"/>
    <w:rsid w:val="00216ABB"/>
    <w:rsid w:val="00216B85"/>
    <w:rsid w:val="00216BE0"/>
    <w:rsid w:val="00216BE2"/>
    <w:rsid w:val="00216CE1"/>
    <w:rsid w:val="00216E44"/>
    <w:rsid w:val="00216FD0"/>
    <w:rsid w:val="00216FE0"/>
    <w:rsid w:val="0021708C"/>
    <w:rsid w:val="00217581"/>
    <w:rsid w:val="0021761F"/>
    <w:rsid w:val="00217992"/>
    <w:rsid w:val="00217AE5"/>
    <w:rsid w:val="00217C6F"/>
    <w:rsid w:val="00217CC4"/>
    <w:rsid w:val="002200AE"/>
    <w:rsid w:val="0022031E"/>
    <w:rsid w:val="002206E9"/>
    <w:rsid w:val="00220700"/>
    <w:rsid w:val="002208E0"/>
    <w:rsid w:val="00220CB4"/>
    <w:rsid w:val="00220D0F"/>
    <w:rsid w:val="00220E9A"/>
    <w:rsid w:val="00220FBF"/>
    <w:rsid w:val="00221089"/>
    <w:rsid w:val="00221242"/>
    <w:rsid w:val="002212AE"/>
    <w:rsid w:val="00221412"/>
    <w:rsid w:val="00221F9E"/>
    <w:rsid w:val="00221FA7"/>
    <w:rsid w:val="002222AA"/>
    <w:rsid w:val="00222383"/>
    <w:rsid w:val="00222437"/>
    <w:rsid w:val="00222767"/>
    <w:rsid w:val="0022277D"/>
    <w:rsid w:val="00222D35"/>
    <w:rsid w:val="00222E13"/>
    <w:rsid w:val="0022317B"/>
    <w:rsid w:val="00223208"/>
    <w:rsid w:val="0022324B"/>
    <w:rsid w:val="002232A1"/>
    <w:rsid w:val="0022334A"/>
    <w:rsid w:val="00223428"/>
    <w:rsid w:val="00223479"/>
    <w:rsid w:val="002234A3"/>
    <w:rsid w:val="00223517"/>
    <w:rsid w:val="00223544"/>
    <w:rsid w:val="0022377C"/>
    <w:rsid w:val="00223792"/>
    <w:rsid w:val="002238FF"/>
    <w:rsid w:val="00223936"/>
    <w:rsid w:val="00223AED"/>
    <w:rsid w:val="00223D07"/>
    <w:rsid w:val="0022416E"/>
    <w:rsid w:val="00224405"/>
    <w:rsid w:val="002245FE"/>
    <w:rsid w:val="00224817"/>
    <w:rsid w:val="00224FC9"/>
    <w:rsid w:val="002250DB"/>
    <w:rsid w:val="002252E7"/>
    <w:rsid w:val="002255F0"/>
    <w:rsid w:val="00225ADB"/>
    <w:rsid w:val="00225C0E"/>
    <w:rsid w:val="00225CC3"/>
    <w:rsid w:val="00225D1A"/>
    <w:rsid w:val="00226197"/>
    <w:rsid w:val="002262AD"/>
    <w:rsid w:val="00226482"/>
    <w:rsid w:val="002264CE"/>
    <w:rsid w:val="00226573"/>
    <w:rsid w:val="00226787"/>
    <w:rsid w:val="00226844"/>
    <w:rsid w:val="00226B48"/>
    <w:rsid w:val="00226D33"/>
    <w:rsid w:val="00226EB2"/>
    <w:rsid w:val="00226F98"/>
    <w:rsid w:val="002272C9"/>
    <w:rsid w:val="002272CB"/>
    <w:rsid w:val="002275D2"/>
    <w:rsid w:val="00227692"/>
    <w:rsid w:val="00227813"/>
    <w:rsid w:val="002279B9"/>
    <w:rsid w:val="00227A5C"/>
    <w:rsid w:val="00227CBE"/>
    <w:rsid w:val="00227EE8"/>
    <w:rsid w:val="00230154"/>
    <w:rsid w:val="002302DD"/>
    <w:rsid w:val="0023033C"/>
    <w:rsid w:val="0023043C"/>
    <w:rsid w:val="00230682"/>
    <w:rsid w:val="00230684"/>
    <w:rsid w:val="0023091F"/>
    <w:rsid w:val="00230957"/>
    <w:rsid w:val="00230AD8"/>
    <w:rsid w:val="00230D09"/>
    <w:rsid w:val="00230D87"/>
    <w:rsid w:val="00230DAC"/>
    <w:rsid w:val="00230E90"/>
    <w:rsid w:val="00230F67"/>
    <w:rsid w:val="0023105B"/>
    <w:rsid w:val="002311C7"/>
    <w:rsid w:val="00231983"/>
    <w:rsid w:val="00231B9C"/>
    <w:rsid w:val="00231E2F"/>
    <w:rsid w:val="002322D7"/>
    <w:rsid w:val="0023231A"/>
    <w:rsid w:val="00232757"/>
    <w:rsid w:val="002328A5"/>
    <w:rsid w:val="00232978"/>
    <w:rsid w:val="00232A6E"/>
    <w:rsid w:val="00232AFC"/>
    <w:rsid w:val="00232C95"/>
    <w:rsid w:val="00232D1A"/>
    <w:rsid w:val="00232E28"/>
    <w:rsid w:val="00232EF5"/>
    <w:rsid w:val="00232FAC"/>
    <w:rsid w:val="00232FC3"/>
    <w:rsid w:val="0023326B"/>
    <w:rsid w:val="00233503"/>
    <w:rsid w:val="0023371C"/>
    <w:rsid w:val="0023380D"/>
    <w:rsid w:val="00233846"/>
    <w:rsid w:val="00233950"/>
    <w:rsid w:val="00233A4E"/>
    <w:rsid w:val="00233AC2"/>
    <w:rsid w:val="00233B93"/>
    <w:rsid w:val="00233B9C"/>
    <w:rsid w:val="00233FD7"/>
    <w:rsid w:val="002340B8"/>
    <w:rsid w:val="00234246"/>
    <w:rsid w:val="00234727"/>
    <w:rsid w:val="0023478F"/>
    <w:rsid w:val="0023493F"/>
    <w:rsid w:val="002349E3"/>
    <w:rsid w:val="00234A9D"/>
    <w:rsid w:val="00234AD5"/>
    <w:rsid w:val="00234BB1"/>
    <w:rsid w:val="00234D86"/>
    <w:rsid w:val="00234E81"/>
    <w:rsid w:val="002352A4"/>
    <w:rsid w:val="00235318"/>
    <w:rsid w:val="00235601"/>
    <w:rsid w:val="00235621"/>
    <w:rsid w:val="00235781"/>
    <w:rsid w:val="002357FE"/>
    <w:rsid w:val="00235847"/>
    <w:rsid w:val="002359E9"/>
    <w:rsid w:val="00235A72"/>
    <w:rsid w:val="00235A9A"/>
    <w:rsid w:val="00235AE4"/>
    <w:rsid w:val="00235BA3"/>
    <w:rsid w:val="00235CA0"/>
    <w:rsid w:val="0023657D"/>
    <w:rsid w:val="002365DF"/>
    <w:rsid w:val="002365ED"/>
    <w:rsid w:val="00236C13"/>
    <w:rsid w:val="00236CCC"/>
    <w:rsid w:val="00237105"/>
    <w:rsid w:val="00237710"/>
    <w:rsid w:val="00237A9A"/>
    <w:rsid w:val="00237B4D"/>
    <w:rsid w:val="00237B51"/>
    <w:rsid w:val="00237FDE"/>
    <w:rsid w:val="00240097"/>
    <w:rsid w:val="002404D3"/>
    <w:rsid w:val="002407E9"/>
    <w:rsid w:val="00240B48"/>
    <w:rsid w:val="00240BD2"/>
    <w:rsid w:val="00240BEA"/>
    <w:rsid w:val="00240BEF"/>
    <w:rsid w:val="00241043"/>
    <w:rsid w:val="002410DF"/>
    <w:rsid w:val="002412A3"/>
    <w:rsid w:val="0024137E"/>
    <w:rsid w:val="002417F3"/>
    <w:rsid w:val="002419B0"/>
    <w:rsid w:val="00241AA0"/>
    <w:rsid w:val="00241C50"/>
    <w:rsid w:val="00241CDE"/>
    <w:rsid w:val="00241E14"/>
    <w:rsid w:val="00241E4D"/>
    <w:rsid w:val="00241E6A"/>
    <w:rsid w:val="00242276"/>
    <w:rsid w:val="002423EF"/>
    <w:rsid w:val="00242545"/>
    <w:rsid w:val="00242570"/>
    <w:rsid w:val="00242598"/>
    <w:rsid w:val="002425BA"/>
    <w:rsid w:val="00242637"/>
    <w:rsid w:val="00242D1A"/>
    <w:rsid w:val="00242D93"/>
    <w:rsid w:val="00243384"/>
    <w:rsid w:val="002433D1"/>
    <w:rsid w:val="002433FA"/>
    <w:rsid w:val="0024346B"/>
    <w:rsid w:val="002434AD"/>
    <w:rsid w:val="002435EF"/>
    <w:rsid w:val="002436D5"/>
    <w:rsid w:val="002436EE"/>
    <w:rsid w:val="00243AEC"/>
    <w:rsid w:val="00244157"/>
    <w:rsid w:val="0024424D"/>
    <w:rsid w:val="00244305"/>
    <w:rsid w:val="002443CE"/>
    <w:rsid w:val="00244401"/>
    <w:rsid w:val="00244495"/>
    <w:rsid w:val="002444A1"/>
    <w:rsid w:val="00244538"/>
    <w:rsid w:val="002447CA"/>
    <w:rsid w:val="00244B1A"/>
    <w:rsid w:val="00244CAB"/>
    <w:rsid w:val="00244CB2"/>
    <w:rsid w:val="00245028"/>
    <w:rsid w:val="00245192"/>
    <w:rsid w:val="002452A1"/>
    <w:rsid w:val="0024551C"/>
    <w:rsid w:val="0024553D"/>
    <w:rsid w:val="0024566A"/>
    <w:rsid w:val="00245731"/>
    <w:rsid w:val="00245889"/>
    <w:rsid w:val="00245940"/>
    <w:rsid w:val="00245BBE"/>
    <w:rsid w:val="00245C46"/>
    <w:rsid w:val="00245C98"/>
    <w:rsid w:val="00245E35"/>
    <w:rsid w:val="00245E9B"/>
    <w:rsid w:val="00246039"/>
    <w:rsid w:val="002460AA"/>
    <w:rsid w:val="002463CF"/>
    <w:rsid w:val="0024666C"/>
    <w:rsid w:val="00246944"/>
    <w:rsid w:val="00246D44"/>
    <w:rsid w:val="0024714F"/>
    <w:rsid w:val="00247476"/>
    <w:rsid w:val="00247700"/>
    <w:rsid w:val="00247718"/>
    <w:rsid w:val="00247D99"/>
    <w:rsid w:val="00247DEC"/>
    <w:rsid w:val="00247EAB"/>
    <w:rsid w:val="00247FB5"/>
    <w:rsid w:val="00247FF4"/>
    <w:rsid w:val="002500E5"/>
    <w:rsid w:val="00250247"/>
    <w:rsid w:val="0025043E"/>
    <w:rsid w:val="00250494"/>
    <w:rsid w:val="00250809"/>
    <w:rsid w:val="00250B37"/>
    <w:rsid w:val="00250C32"/>
    <w:rsid w:val="00250E6F"/>
    <w:rsid w:val="00250EAC"/>
    <w:rsid w:val="0025109A"/>
    <w:rsid w:val="00251255"/>
    <w:rsid w:val="002515B3"/>
    <w:rsid w:val="0025183E"/>
    <w:rsid w:val="00251A11"/>
    <w:rsid w:val="00251B45"/>
    <w:rsid w:val="00251B78"/>
    <w:rsid w:val="00251D73"/>
    <w:rsid w:val="00251DA4"/>
    <w:rsid w:val="00251EA5"/>
    <w:rsid w:val="002522E6"/>
    <w:rsid w:val="002524F9"/>
    <w:rsid w:val="0025263B"/>
    <w:rsid w:val="0025263F"/>
    <w:rsid w:val="002526D0"/>
    <w:rsid w:val="00252EDD"/>
    <w:rsid w:val="00252F62"/>
    <w:rsid w:val="00252F97"/>
    <w:rsid w:val="00253294"/>
    <w:rsid w:val="002532ED"/>
    <w:rsid w:val="00253635"/>
    <w:rsid w:val="00253652"/>
    <w:rsid w:val="002536D3"/>
    <w:rsid w:val="002536DF"/>
    <w:rsid w:val="0025374D"/>
    <w:rsid w:val="002538FB"/>
    <w:rsid w:val="002539B0"/>
    <w:rsid w:val="00253CE2"/>
    <w:rsid w:val="00253E2A"/>
    <w:rsid w:val="00253FEF"/>
    <w:rsid w:val="00254481"/>
    <w:rsid w:val="002544C2"/>
    <w:rsid w:val="002544E5"/>
    <w:rsid w:val="002545E4"/>
    <w:rsid w:val="002548B4"/>
    <w:rsid w:val="002549B1"/>
    <w:rsid w:val="00254CA4"/>
    <w:rsid w:val="00254CED"/>
    <w:rsid w:val="0025509E"/>
    <w:rsid w:val="00255124"/>
    <w:rsid w:val="0025513B"/>
    <w:rsid w:val="0025519B"/>
    <w:rsid w:val="002554D1"/>
    <w:rsid w:val="002558D8"/>
    <w:rsid w:val="002559D3"/>
    <w:rsid w:val="00255A22"/>
    <w:rsid w:val="00255A3C"/>
    <w:rsid w:val="00255CC3"/>
    <w:rsid w:val="00255FF0"/>
    <w:rsid w:val="002563CB"/>
    <w:rsid w:val="002566CB"/>
    <w:rsid w:val="00256841"/>
    <w:rsid w:val="0025698D"/>
    <w:rsid w:val="00256C7F"/>
    <w:rsid w:val="00256D1A"/>
    <w:rsid w:val="00256E89"/>
    <w:rsid w:val="00256F7D"/>
    <w:rsid w:val="00256F88"/>
    <w:rsid w:val="00257389"/>
    <w:rsid w:val="00257746"/>
    <w:rsid w:val="00257ADB"/>
    <w:rsid w:val="00257AE8"/>
    <w:rsid w:val="00257BE6"/>
    <w:rsid w:val="00260081"/>
    <w:rsid w:val="00260082"/>
    <w:rsid w:val="00260320"/>
    <w:rsid w:val="002604FA"/>
    <w:rsid w:val="0026065D"/>
    <w:rsid w:val="00260765"/>
    <w:rsid w:val="002609FB"/>
    <w:rsid w:val="00260B97"/>
    <w:rsid w:val="00260D51"/>
    <w:rsid w:val="00261236"/>
    <w:rsid w:val="002617C4"/>
    <w:rsid w:val="00261893"/>
    <w:rsid w:val="00261978"/>
    <w:rsid w:val="00261BA4"/>
    <w:rsid w:val="00261CA6"/>
    <w:rsid w:val="00261D5B"/>
    <w:rsid w:val="00261D76"/>
    <w:rsid w:val="00261FF9"/>
    <w:rsid w:val="00262031"/>
    <w:rsid w:val="0026239B"/>
    <w:rsid w:val="0026244A"/>
    <w:rsid w:val="002625A4"/>
    <w:rsid w:val="002626E2"/>
    <w:rsid w:val="0026279E"/>
    <w:rsid w:val="00262D0E"/>
    <w:rsid w:val="00263BD5"/>
    <w:rsid w:val="00263BE5"/>
    <w:rsid w:val="00263D0E"/>
    <w:rsid w:val="00263E21"/>
    <w:rsid w:val="00264016"/>
    <w:rsid w:val="0026413B"/>
    <w:rsid w:val="0026417A"/>
    <w:rsid w:val="0026429F"/>
    <w:rsid w:val="0026454E"/>
    <w:rsid w:val="0026456A"/>
    <w:rsid w:val="002645A2"/>
    <w:rsid w:val="002645BD"/>
    <w:rsid w:val="002645CF"/>
    <w:rsid w:val="00264641"/>
    <w:rsid w:val="00264E96"/>
    <w:rsid w:val="00264EBD"/>
    <w:rsid w:val="00264F41"/>
    <w:rsid w:val="00264FB0"/>
    <w:rsid w:val="0026510D"/>
    <w:rsid w:val="002651EC"/>
    <w:rsid w:val="00265274"/>
    <w:rsid w:val="00265443"/>
    <w:rsid w:val="00265832"/>
    <w:rsid w:val="002659E0"/>
    <w:rsid w:val="0026605D"/>
    <w:rsid w:val="002661A6"/>
    <w:rsid w:val="00266244"/>
    <w:rsid w:val="0026643D"/>
    <w:rsid w:val="00266A66"/>
    <w:rsid w:val="00266A9C"/>
    <w:rsid w:val="00266C11"/>
    <w:rsid w:val="00266C35"/>
    <w:rsid w:val="00266D25"/>
    <w:rsid w:val="00266D98"/>
    <w:rsid w:val="00266DA0"/>
    <w:rsid w:val="00266E1F"/>
    <w:rsid w:val="00266F76"/>
    <w:rsid w:val="0026753A"/>
    <w:rsid w:val="002677ED"/>
    <w:rsid w:val="00267833"/>
    <w:rsid w:val="00267983"/>
    <w:rsid w:val="00267CE8"/>
    <w:rsid w:val="00267D92"/>
    <w:rsid w:val="00267E6A"/>
    <w:rsid w:val="00267F8A"/>
    <w:rsid w:val="00270574"/>
    <w:rsid w:val="00270859"/>
    <w:rsid w:val="00270895"/>
    <w:rsid w:val="00270CDB"/>
    <w:rsid w:val="00270D4F"/>
    <w:rsid w:val="00270EB7"/>
    <w:rsid w:val="00271340"/>
    <w:rsid w:val="002714D1"/>
    <w:rsid w:val="00271506"/>
    <w:rsid w:val="0027157D"/>
    <w:rsid w:val="002715F8"/>
    <w:rsid w:val="002717B7"/>
    <w:rsid w:val="002717FA"/>
    <w:rsid w:val="0027191E"/>
    <w:rsid w:val="002719C4"/>
    <w:rsid w:val="00271D6A"/>
    <w:rsid w:val="00271E27"/>
    <w:rsid w:val="00271F52"/>
    <w:rsid w:val="00272244"/>
    <w:rsid w:val="00272427"/>
    <w:rsid w:val="00272529"/>
    <w:rsid w:val="0027283C"/>
    <w:rsid w:val="00272A8F"/>
    <w:rsid w:val="00272B81"/>
    <w:rsid w:val="00272D67"/>
    <w:rsid w:val="00273136"/>
    <w:rsid w:val="0027330F"/>
    <w:rsid w:val="00273345"/>
    <w:rsid w:val="00273633"/>
    <w:rsid w:val="002736ED"/>
    <w:rsid w:val="00273785"/>
    <w:rsid w:val="00273F15"/>
    <w:rsid w:val="00273F43"/>
    <w:rsid w:val="00273F57"/>
    <w:rsid w:val="00274013"/>
    <w:rsid w:val="00274095"/>
    <w:rsid w:val="00274243"/>
    <w:rsid w:val="002742D2"/>
    <w:rsid w:val="00274884"/>
    <w:rsid w:val="00274895"/>
    <w:rsid w:val="00274D2A"/>
    <w:rsid w:val="00274FB3"/>
    <w:rsid w:val="002750CF"/>
    <w:rsid w:val="00275337"/>
    <w:rsid w:val="002753EF"/>
    <w:rsid w:val="002756D1"/>
    <w:rsid w:val="002758F2"/>
    <w:rsid w:val="00275A80"/>
    <w:rsid w:val="00275CB5"/>
    <w:rsid w:val="00275E92"/>
    <w:rsid w:val="00275FF0"/>
    <w:rsid w:val="00276473"/>
    <w:rsid w:val="002764A1"/>
    <w:rsid w:val="002766DB"/>
    <w:rsid w:val="00276830"/>
    <w:rsid w:val="0027695E"/>
    <w:rsid w:val="00276B32"/>
    <w:rsid w:val="00276BB9"/>
    <w:rsid w:val="002770C8"/>
    <w:rsid w:val="00277495"/>
    <w:rsid w:val="00277702"/>
    <w:rsid w:val="0027785E"/>
    <w:rsid w:val="00277AD3"/>
    <w:rsid w:val="00277ADE"/>
    <w:rsid w:val="00277BD9"/>
    <w:rsid w:val="00277C99"/>
    <w:rsid w:val="00277D25"/>
    <w:rsid w:val="00277E6D"/>
    <w:rsid w:val="00277F7C"/>
    <w:rsid w:val="002800B3"/>
    <w:rsid w:val="00280110"/>
    <w:rsid w:val="0028013B"/>
    <w:rsid w:val="00280260"/>
    <w:rsid w:val="00280289"/>
    <w:rsid w:val="002803C3"/>
    <w:rsid w:val="00280445"/>
    <w:rsid w:val="00280563"/>
    <w:rsid w:val="002805FC"/>
    <w:rsid w:val="00280624"/>
    <w:rsid w:val="002806CE"/>
    <w:rsid w:val="0028075C"/>
    <w:rsid w:val="002807E1"/>
    <w:rsid w:val="00280966"/>
    <w:rsid w:val="00280A33"/>
    <w:rsid w:val="00280ACC"/>
    <w:rsid w:val="00280DA0"/>
    <w:rsid w:val="00280E76"/>
    <w:rsid w:val="00280EC1"/>
    <w:rsid w:val="0028106F"/>
    <w:rsid w:val="00281124"/>
    <w:rsid w:val="00281664"/>
    <w:rsid w:val="002817D7"/>
    <w:rsid w:val="00281920"/>
    <w:rsid w:val="00281BB2"/>
    <w:rsid w:val="00281DB0"/>
    <w:rsid w:val="00281FF3"/>
    <w:rsid w:val="00282051"/>
    <w:rsid w:val="00282199"/>
    <w:rsid w:val="00282235"/>
    <w:rsid w:val="0028257F"/>
    <w:rsid w:val="00282602"/>
    <w:rsid w:val="002826A3"/>
    <w:rsid w:val="002828C2"/>
    <w:rsid w:val="00282937"/>
    <w:rsid w:val="00282943"/>
    <w:rsid w:val="00282960"/>
    <w:rsid w:val="00282A02"/>
    <w:rsid w:val="00282B10"/>
    <w:rsid w:val="00282D8E"/>
    <w:rsid w:val="002832C2"/>
    <w:rsid w:val="002833EE"/>
    <w:rsid w:val="002835CB"/>
    <w:rsid w:val="00283796"/>
    <w:rsid w:val="00283D51"/>
    <w:rsid w:val="0028409A"/>
    <w:rsid w:val="00284114"/>
    <w:rsid w:val="002842B2"/>
    <w:rsid w:val="0028434C"/>
    <w:rsid w:val="00284407"/>
    <w:rsid w:val="00284558"/>
    <w:rsid w:val="0028468A"/>
    <w:rsid w:val="002846BC"/>
    <w:rsid w:val="00284731"/>
    <w:rsid w:val="002847A0"/>
    <w:rsid w:val="002847A7"/>
    <w:rsid w:val="00284939"/>
    <w:rsid w:val="00284C36"/>
    <w:rsid w:val="00284F1F"/>
    <w:rsid w:val="00284F3D"/>
    <w:rsid w:val="00284F68"/>
    <w:rsid w:val="002851ED"/>
    <w:rsid w:val="002852A7"/>
    <w:rsid w:val="002852DD"/>
    <w:rsid w:val="00285468"/>
    <w:rsid w:val="00285560"/>
    <w:rsid w:val="002859DC"/>
    <w:rsid w:val="00285B0D"/>
    <w:rsid w:val="00285DD3"/>
    <w:rsid w:val="00285DF3"/>
    <w:rsid w:val="00285E27"/>
    <w:rsid w:val="00285F67"/>
    <w:rsid w:val="00286189"/>
    <w:rsid w:val="002863A0"/>
    <w:rsid w:val="00286B13"/>
    <w:rsid w:val="00286F36"/>
    <w:rsid w:val="00286F83"/>
    <w:rsid w:val="0028712A"/>
    <w:rsid w:val="00287299"/>
    <w:rsid w:val="002872EE"/>
    <w:rsid w:val="00287359"/>
    <w:rsid w:val="0028744A"/>
    <w:rsid w:val="0028745D"/>
    <w:rsid w:val="002874C7"/>
    <w:rsid w:val="002874FA"/>
    <w:rsid w:val="002876EC"/>
    <w:rsid w:val="002876FC"/>
    <w:rsid w:val="00287805"/>
    <w:rsid w:val="002878FE"/>
    <w:rsid w:val="002879D1"/>
    <w:rsid w:val="00287C61"/>
    <w:rsid w:val="00287C78"/>
    <w:rsid w:val="00287CAE"/>
    <w:rsid w:val="00287CBC"/>
    <w:rsid w:val="00287CD5"/>
    <w:rsid w:val="00287CE7"/>
    <w:rsid w:val="0029034E"/>
    <w:rsid w:val="00290590"/>
    <w:rsid w:val="002909A3"/>
    <w:rsid w:val="00290AAA"/>
    <w:rsid w:val="00290BAD"/>
    <w:rsid w:val="00290C4B"/>
    <w:rsid w:val="00290D75"/>
    <w:rsid w:val="00291421"/>
    <w:rsid w:val="00291511"/>
    <w:rsid w:val="0029189C"/>
    <w:rsid w:val="0029194E"/>
    <w:rsid w:val="00291BE0"/>
    <w:rsid w:val="00291C83"/>
    <w:rsid w:val="0029211F"/>
    <w:rsid w:val="002922A9"/>
    <w:rsid w:val="002925E6"/>
    <w:rsid w:val="00292668"/>
    <w:rsid w:val="002928FE"/>
    <w:rsid w:val="00292D26"/>
    <w:rsid w:val="00292DD7"/>
    <w:rsid w:val="00292E54"/>
    <w:rsid w:val="00292E7E"/>
    <w:rsid w:val="00292E98"/>
    <w:rsid w:val="00292E9D"/>
    <w:rsid w:val="00292F0E"/>
    <w:rsid w:val="002931B6"/>
    <w:rsid w:val="002932A1"/>
    <w:rsid w:val="0029345E"/>
    <w:rsid w:val="00293681"/>
    <w:rsid w:val="002938A2"/>
    <w:rsid w:val="002938A3"/>
    <w:rsid w:val="0029392F"/>
    <w:rsid w:val="0029396B"/>
    <w:rsid w:val="00293B01"/>
    <w:rsid w:val="00293D5F"/>
    <w:rsid w:val="0029406D"/>
    <w:rsid w:val="002941AE"/>
    <w:rsid w:val="002941BB"/>
    <w:rsid w:val="00294367"/>
    <w:rsid w:val="00294505"/>
    <w:rsid w:val="0029469F"/>
    <w:rsid w:val="00294833"/>
    <w:rsid w:val="0029487C"/>
    <w:rsid w:val="00294988"/>
    <w:rsid w:val="00294D12"/>
    <w:rsid w:val="00294E26"/>
    <w:rsid w:val="00294FEE"/>
    <w:rsid w:val="00295017"/>
    <w:rsid w:val="00295112"/>
    <w:rsid w:val="002952FA"/>
    <w:rsid w:val="00295373"/>
    <w:rsid w:val="002954A6"/>
    <w:rsid w:val="0029562A"/>
    <w:rsid w:val="00295682"/>
    <w:rsid w:val="002959B2"/>
    <w:rsid w:val="00295A6C"/>
    <w:rsid w:val="00295AD0"/>
    <w:rsid w:val="00295B03"/>
    <w:rsid w:val="00295C7E"/>
    <w:rsid w:val="0029600C"/>
    <w:rsid w:val="002968A3"/>
    <w:rsid w:val="002968BC"/>
    <w:rsid w:val="0029691D"/>
    <w:rsid w:val="00296A2C"/>
    <w:rsid w:val="00296DDB"/>
    <w:rsid w:val="002970F8"/>
    <w:rsid w:val="00297103"/>
    <w:rsid w:val="0029723E"/>
    <w:rsid w:val="00297365"/>
    <w:rsid w:val="00297441"/>
    <w:rsid w:val="00297661"/>
    <w:rsid w:val="002977C0"/>
    <w:rsid w:val="00297881"/>
    <w:rsid w:val="00297ACA"/>
    <w:rsid w:val="00297BB0"/>
    <w:rsid w:val="00297DCC"/>
    <w:rsid w:val="00297FB2"/>
    <w:rsid w:val="002A00A8"/>
    <w:rsid w:val="002A04AB"/>
    <w:rsid w:val="002A0553"/>
    <w:rsid w:val="002A06A1"/>
    <w:rsid w:val="002A06AB"/>
    <w:rsid w:val="002A08F8"/>
    <w:rsid w:val="002A0A3B"/>
    <w:rsid w:val="002A0B42"/>
    <w:rsid w:val="002A0B73"/>
    <w:rsid w:val="002A0FB7"/>
    <w:rsid w:val="002A0FE9"/>
    <w:rsid w:val="002A106F"/>
    <w:rsid w:val="002A123B"/>
    <w:rsid w:val="002A1407"/>
    <w:rsid w:val="002A158D"/>
    <w:rsid w:val="002A16A0"/>
    <w:rsid w:val="002A18FD"/>
    <w:rsid w:val="002A1A04"/>
    <w:rsid w:val="002A1AED"/>
    <w:rsid w:val="002A1B0E"/>
    <w:rsid w:val="002A1B21"/>
    <w:rsid w:val="002A1B63"/>
    <w:rsid w:val="002A1ECA"/>
    <w:rsid w:val="002A21D4"/>
    <w:rsid w:val="002A2272"/>
    <w:rsid w:val="002A230D"/>
    <w:rsid w:val="002A2630"/>
    <w:rsid w:val="002A26C5"/>
    <w:rsid w:val="002A2824"/>
    <w:rsid w:val="002A282E"/>
    <w:rsid w:val="002A2901"/>
    <w:rsid w:val="002A2923"/>
    <w:rsid w:val="002A2C62"/>
    <w:rsid w:val="002A2C77"/>
    <w:rsid w:val="002A33E0"/>
    <w:rsid w:val="002A358C"/>
    <w:rsid w:val="002A3AF2"/>
    <w:rsid w:val="002A3B96"/>
    <w:rsid w:val="002A3D74"/>
    <w:rsid w:val="002A3EA5"/>
    <w:rsid w:val="002A401C"/>
    <w:rsid w:val="002A4319"/>
    <w:rsid w:val="002A437C"/>
    <w:rsid w:val="002A4413"/>
    <w:rsid w:val="002A45F5"/>
    <w:rsid w:val="002A46C5"/>
    <w:rsid w:val="002A4842"/>
    <w:rsid w:val="002A4B3C"/>
    <w:rsid w:val="002A509E"/>
    <w:rsid w:val="002A5608"/>
    <w:rsid w:val="002A5646"/>
    <w:rsid w:val="002A5937"/>
    <w:rsid w:val="002A59AB"/>
    <w:rsid w:val="002A5B0C"/>
    <w:rsid w:val="002A5B7A"/>
    <w:rsid w:val="002A5C88"/>
    <w:rsid w:val="002A5CBC"/>
    <w:rsid w:val="002A5ED7"/>
    <w:rsid w:val="002A606D"/>
    <w:rsid w:val="002A62B7"/>
    <w:rsid w:val="002A641E"/>
    <w:rsid w:val="002A67C8"/>
    <w:rsid w:val="002A6908"/>
    <w:rsid w:val="002A6B7E"/>
    <w:rsid w:val="002A6BE6"/>
    <w:rsid w:val="002A6C60"/>
    <w:rsid w:val="002A6D05"/>
    <w:rsid w:val="002A728F"/>
    <w:rsid w:val="002A72DC"/>
    <w:rsid w:val="002A7413"/>
    <w:rsid w:val="002A7792"/>
    <w:rsid w:val="002A7912"/>
    <w:rsid w:val="002A7A78"/>
    <w:rsid w:val="002A7BC7"/>
    <w:rsid w:val="002A7C03"/>
    <w:rsid w:val="002A7EAD"/>
    <w:rsid w:val="002A7FD7"/>
    <w:rsid w:val="002B04B2"/>
    <w:rsid w:val="002B05F8"/>
    <w:rsid w:val="002B0860"/>
    <w:rsid w:val="002B095F"/>
    <w:rsid w:val="002B0984"/>
    <w:rsid w:val="002B0BB9"/>
    <w:rsid w:val="002B0F38"/>
    <w:rsid w:val="002B1117"/>
    <w:rsid w:val="002B1179"/>
    <w:rsid w:val="002B16EE"/>
    <w:rsid w:val="002B1AB1"/>
    <w:rsid w:val="002B1C9F"/>
    <w:rsid w:val="002B21C6"/>
    <w:rsid w:val="002B25BE"/>
    <w:rsid w:val="002B25D6"/>
    <w:rsid w:val="002B2938"/>
    <w:rsid w:val="002B2DA3"/>
    <w:rsid w:val="002B3439"/>
    <w:rsid w:val="002B3738"/>
    <w:rsid w:val="002B39C1"/>
    <w:rsid w:val="002B39D4"/>
    <w:rsid w:val="002B3FC1"/>
    <w:rsid w:val="002B41A9"/>
    <w:rsid w:val="002B42D1"/>
    <w:rsid w:val="002B4368"/>
    <w:rsid w:val="002B4432"/>
    <w:rsid w:val="002B44FE"/>
    <w:rsid w:val="002B45B7"/>
    <w:rsid w:val="002B4636"/>
    <w:rsid w:val="002B4638"/>
    <w:rsid w:val="002B4C3D"/>
    <w:rsid w:val="002B4DB5"/>
    <w:rsid w:val="002B4F4E"/>
    <w:rsid w:val="002B4F87"/>
    <w:rsid w:val="002B4FEF"/>
    <w:rsid w:val="002B51BF"/>
    <w:rsid w:val="002B54E3"/>
    <w:rsid w:val="002B5574"/>
    <w:rsid w:val="002B5885"/>
    <w:rsid w:val="002B5DB8"/>
    <w:rsid w:val="002B5DED"/>
    <w:rsid w:val="002B5E39"/>
    <w:rsid w:val="002B5F28"/>
    <w:rsid w:val="002B606F"/>
    <w:rsid w:val="002B6097"/>
    <w:rsid w:val="002B60BD"/>
    <w:rsid w:val="002B60D8"/>
    <w:rsid w:val="002B6118"/>
    <w:rsid w:val="002B61A6"/>
    <w:rsid w:val="002B61E8"/>
    <w:rsid w:val="002B6261"/>
    <w:rsid w:val="002B6447"/>
    <w:rsid w:val="002B6522"/>
    <w:rsid w:val="002B678F"/>
    <w:rsid w:val="002B6A94"/>
    <w:rsid w:val="002B6C9D"/>
    <w:rsid w:val="002B6CA9"/>
    <w:rsid w:val="002B6D88"/>
    <w:rsid w:val="002B6FEC"/>
    <w:rsid w:val="002B7036"/>
    <w:rsid w:val="002B72B7"/>
    <w:rsid w:val="002B7316"/>
    <w:rsid w:val="002B7352"/>
    <w:rsid w:val="002B74A4"/>
    <w:rsid w:val="002B762C"/>
    <w:rsid w:val="002B76A1"/>
    <w:rsid w:val="002B778A"/>
    <w:rsid w:val="002B77AA"/>
    <w:rsid w:val="002C002E"/>
    <w:rsid w:val="002C0090"/>
    <w:rsid w:val="002C00BD"/>
    <w:rsid w:val="002C015E"/>
    <w:rsid w:val="002C039E"/>
    <w:rsid w:val="002C03E5"/>
    <w:rsid w:val="002C069C"/>
    <w:rsid w:val="002C07B6"/>
    <w:rsid w:val="002C08D9"/>
    <w:rsid w:val="002C08F2"/>
    <w:rsid w:val="002C0A07"/>
    <w:rsid w:val="002C0B83"/>
    <w:rsid w:val="002C108F"/>
    <w:rsid w:val="002C1245"/>
    <w:rsid w:val="002C1469"/>
    <w:rsid w:val="002C155D"/>
    <w:rsid w:val="002C15CA"/>
    <w:rsid w:val="002C16F9"/>
    <w:rsid w:val="002C1AE3"/>
    <w:rsid w:val="002C2037"/>
    <w:rsid w:val="002C22F7"/>
    <w:rsid w:val="002C2320"/>
    <w:rsid w:val="002C23ED"/>
    <w:rsid w:val="002C271C"/>
    <w:rsid w:val="002C29C7"/>
    <w:rsid w:val="002C29CA"/>
    <w:rsid w:val="002C2BCB"/>
    <w:rsid w:val="002C2BEE"/>
    <w:rsid w:val="002C348D"/>
    <w:rsid w:val="002C388F"/>
    <w:rsid w:val="002C3A4D"/>
    <w:rsid w:val="002C3B8B"/>
    <w:rsid w:val="002C3BCC"/>
    <w:rsid w:val="002C3BF2"/>
    <w:rsid w:val="002C3D6D"/>
    <w:rsid w:val="002C414C"/>
    <w:rsid w:val="002C42F8"/>
    <w:rsid w:val="002C43F4"/>
    <w:rsid w:val="002C44D1"/>
    <w:rsid w:val="002C46A3"/>
    <w:rsid w:val="002C46A6"/>
    <w:rsid w:val="002C48EB"/>
    <w:rsid w:val="002C4B13"/>
    <w:rsid w:val="002C4BE5"/>
    <w:rsid w:val="002C4EF7"/>
    <w:rsid w:val="002C51CB"/>
    <w:rsid w:val="002C5215"/>
    <w:rsid w:val="002C5494"/>
    <w:rsid w:val="002C54D7"/>
    <w:rsid w:val="002C54F5"/>
    <w:rsid w:val="002C55E8"/>
    <w:rsid w:val="002C55ED"/>
    <w:rsid w:val="002C58AB"/>
    <w:rsid w:val="002C5982"/>
    <w:rsid w:val="002C5AA5"/>
    <w:rsid w:val="002C5CD0"/>
    <w:rsid w:val="002C60B6"/>
    <w:rsid w:val="002C60DF"/>
    <w:rsid w:val="002C61D2"/>
    <w:rsid w:val="002C63E8"/>
    <w:rsid w:val="002C6424"/>
    <w:rsid w:val="002C646B"/>
    <w:rsid w:val="002C6567"/>
    <w:rsid w:val="002C65AA"/>
    <w:rsid w:val="002C671A"/>
    <w:rsid w:val="002C6774"/>
    <w:rsid w:val="002C6D93"/>
    <w:rsid w:val="002C6EEA"/>
    <w:rsid w:val="002C6F88"/>
    <w:rsid w:val="002C715B"/>
    <w:rsid w:val="002C770A"/>
    <w:rsid w:val="002C786C"/>
    <w:rsid w:val="002C7ABF"/>
    <w:rsid w:val="002C7BDA"/>
    <w:rsid w:val="002C7C53"/>
    <w:rsid w:val="002C7D16"/>
    <w:rsid w:val="002D0124"/>
    <w:rsid w:val="002D02EF"/>
    <w:rsid w:val="002D0343"/>
    <w:rsid w:val="002D0596"/>
    <w:rsid w:val="002D07EF"/>
    <w:rsid w:val="002D08FB"/>
    <w:rsid w:val="002D0978"/>
    <w:rsid w:val="002D0E28"/>
    <w:rsid w:val="002D1026"/>
    <w:rsid w:val="002D1202"/>
    <w:rsid w:val="002D1279"/>
    <w:rsid w:val="002D14BA"/>
    <w:rsid w:val="002D1536"/>
    <w:rsid w:val="002D19AD"/>
    <w:rsid w:val="002D1B21"/>
    <w:rsid w:val="002D1BB0"/>
    <w:rsid w:val="002D1C12"/>
    <w:rsid w:val="002D1DC6"/>
    <w:rsid w:val="002D1FB3"/>
    <w:rsid w:val="002D207A"/>
    <w:rsid w:val="002D255D"/>
    <w:rsid w:val="002D2602"/>
    <w:rsid w:val="002D292F"/>
    <w:rsid w:val="002D29A9"/>
    <w:rsid w:val="002D2BAA"/>
    <w:rsid w:val="002D2BBE"/>
    <w:rsid w:val="002D2D2B"/>
    <w:rsid w:val="002D2DC7"/>
    <w:rsid w:val="002D2E88"/>
    <w:rsid w:val="002D2EB9"/>
    <w:rsid w:val="002D2F67"/>
    <w:rsid w:val="002D2FE8"/>
    <w:rsid w:val="002D3044"/>
    <w:rsid w:val="002D360F"/>
    <w:rsid w:val="002D367D"/>
    <w:rsid w:val="002D3D9C"/>
    <w:rsid w:val="002D420C"/>
    <w:rsid w:val="002D432A"/>
    <w:rsid w:val="002D434C"/>
    <w:rsid w:val="002D4647"/>
    <w:rsid w:val="002D46F3"/>
    <w:rsid w:val="002D4B3B"/>
    <w:rsid w:val="002D4CA7"/>
    <w:rsid w:val="002D4E0F"/>
    <w:rsid w:val="002D4F05"/>
    <w:rsid w:val="002D5003"/>
    <w:rsid w:val="002D510C"/>
    <w:rsid w:val="002D51D2"/>
    <w:rsid w:val="002D5272"/>
    <w:rsid w:val="002D5376"/>
    <w:rsid w:val="002D5566"/>
    <w:rsid w:val="002D5580"/>
    <w:rsid w:val="002D5674"/>
    <w:rsid w:val="002D5698"/>
    <w:rsid w:val="002D56C6"/>
    <w:rsid w:val="002D56CB"/>
    <w:rsid w:val="002D588D"/>
    <w:rsid w:val="002D598E"/>
    <w:rsid w:val="002D5AB3"/>
    <w:rsid w:val="002D5C67"/>
    <w:rsid w:val="002D5E50"/>
    <w:rsid w:val="002D60DA"/>
    <w:rsid w:val="002D639C"/>
    <w:rsid w:val="002D63DD"/>
    <w:rsid w:val="002D695E"/>
    <w:rsid w:val="002D6B5A"/>
    <w:rsid w:val="002D6E2F"/>
    <w:rsid w:val="002D73BF"/>
    <w:rsid w:val="002D78BF"/>
    <w:rsid w:val="002D7A2A"/>
    <w:rsid w:val="002D7D75"/>
    <w:rsid w:val="002D7E7A"/>
    <w:rsid w:val="002D7F1E"/>
    <w:rsid w:val="002D7FAD"/>
    <w:rsid w:val="002E0102"/>
    <w:rsid w:val="002E015C"/>
    <w:rsid w:val="002E02CC"/>
    <w:rsid w:val="002E04BF"/>
    <w:rsid w:val="002E04E4"/>
    <w:rsid w:val="002E05D5"/>
    <w:rsid w:val="002E06A0"/>
    <w:rsid w:val="002E079D"/>
    <w:rsid w:val="002E0954"/>
    <w:rsid w:val="002E0A0F"/>
    <w:rsid w:val="002E0A7E"/>
    <w:rsid w:val="002E0ACD"/>
    <w:rsid w:val="002E0DAD"/>
    <w:rsid w:val="002E112E"/>
    <w:rsid w:val="002E12AB"/>
    <w:rsid w:val="002E12DD"/>
    <w:rsid w:val="002E1981"/>
    <w:rsid w:val="002E1A62"/>
    <w:rsid w:val="002E1B1E"/>
    <w:rsid w:val="002E1CB9"/>
    <w:rsid w:val="002E1D0C"/>
    <w:rsid w:val="002E2520"/>
    <w:rsid w:val="002E257D"/>
    <w:rsid w:val="002E2615"/>
    <w:rsid w:val="002E2626"/>
    <w:rsid w:val="002E268B"/>
    <w:rsid w:val="002E277D"/>
    <w:rsid w:val="002E29D2"/>
    <w:rsid w:val="002E2ECD"/>
    <w:rsid w:val="002E2EE2"/>
    <w:rsid w:val="002E309B"/>
    <w:rsid w:val="002E3222"/>
    <w:rsid w:val="002E3311"/>
    <w:rsid w:val="002E34EA"/>
    <w:rsid w:val="002E35B2"/>
    <w:rsid w:val="002E372E"/>
    <w:rsid w:val="002E3AC8"/>
    <w:rsid w:val="002E3BB3"/>
    <w:rsid w:val="002E3E91"/>
    <w:rsid w:val="002E3EA3"/>
    <w:rsid w:val="002E40B5"/>
    <w:rsid w:val="002E421E"/>
    <w:rsid w:val="002E43F0"/>
    <w:rsid w:val="002E4440"/>
    <w:rsid w:val="002E4828"/>
    <w:rsid w:val="002E4A3B"/>
    <w:rsid w:val="002E53D5"/>
    <w:rsid w:val="002E5981"/>
    <w:rsid w:val="002E5A1A"/>
    <w:rsid w:val="002E6044"/>
    <w:rsid w:val="002E620F"/>
    <w:rsid w:val="002E62DD"/>
    <w:rsid w:val="002E64FB"/>
    <w:rsid w:val="002E6844"/>
    <w:rsid w:val="002E68A3"/>
    <w:rsid w:val="002E6ACD"/>
    <w:rsid w:val="002E6B6A"/>
    <w:rsid w:val="002E6C27"/>
    <w:rsid w:val="002E6C73"/>
    <w:rsid w:val="002E6E2F"/>
    <w:rsid w:val="002E6EB7"/>
    <w:rsid w:val="002E6EE3"/>
    <w:rsid w:val="002E7258"/>
    <w:rsid w:val="002E7259"/>
    <w:rsid w:val="002E740A"/>
    <w:rsid w:val="002E76CF"/>
    <w:rsid w:val="002E7736"/>
    <w:rsid w:val="002E77D6"/>
    <w:rsid w:val="002E7C82"/>
    <w:rsid w:val="002E7CE3"/>
    <w:rsid w:val="002E7D2D"/>
    <w:rsid w:val="002F017D"/>
    <w:rsid w:val="002F02E6"/>
    <w:rsid w:val="002F0331"/>
    <w:rsid w:val="002F047B"/>
    <w:rsid w:val="002F04B3"/>
    <w:rsid w:val="002F06DF"/>
    <w:rsid w:val="002F074D"/>
    <w:rsid w:val="002F088E"/>
    <w:rsid w:val="002F0BC9"/>
    <w:rsid w:val="002F0D83"/>
    <w:rsid w:val="002F0EA3"/>
    <w:rsid w:val="002F10D6"/>
    <w:rsid w:val="002F1849"/>
    <w:rsid w:val="002F1A8A"/>
    <w:rsid w:val="002F1AD6"/>
    <w:rsid w:val="002F1BCF"/>
    <w:rsid w:val="002F1D21"/>
    <w:rsid w:val="002F1D84"/>
    <w:rsid w:val="002F1DF4"/>
    <w:rsid w:val="002F1E94"/>
    <w:rsid w:val="002F1F8C"/>
    <w:rsid w:val="002F219D"/>
    <w:rsid w:val="002F2260"/>
    <w:rsid w:val="002F23C1"/>
    <w:rsid w:val="002F2575"/>
    <w:rsid w:val="002F293B"/>
    <w:rsid w:val="002F29AA"/>
    <w:rsid w:val="002F2A0C"/>
    <w:rsid w:val="002F2B87"/>
    <w:rsid w:val="002F2CD7"/>
    <w:rsid w:val="002F2E35"/>
    <w:rsid w:val="002F2E6E"/>
    <w:rsid w:val="002F2F5F"/>
    <w:rsid w:val="002F2F61"/>
    <w:rsid w:val="002F2F82"/>
    <w:rsid w:val="002F3081"/>
    <w:rsid w:val="002F311C"/>
    <w:rsid w:val="002F3185"/>
    <w:rsid w:val="002F3198"/>
    <w:rsid w:val="002F328C"/>
    <w:rsid w:val="002F3810"/>
    <w:rsid w:val="002F3828"/>
    <w:rsid w:val="002F3969"/>
    <w:rsid w:val="002F3BE0"/>
    <w:rsid w:val="002F3F07"/>
    <w:rsid w:val="002F3FAF"/>
    <w:rsid w:val="002F4054"/>
    <w:rsid w:val="002F4058"/>
    <w:rsid w:val="002F40F5"/>
    <w:rsid w:val="002F40FB"/>
    <w:rsid w:val="002F4171"/>
    <w:rsid w:val="002F4188"/>
    <w:rsid w:val="002F41BB"/>
    <w:rsid w:val="002F43FA"/>
    <w:rsid w:val="002F44FA"/>
    <w:rsid w:val="002F45ED"/>
    <w:rsid w:val="002F47A5"/>
    <w:rsid w:val="002F4A3E"/>
    <w:rsid w:val="002F4AC6"/>
    <w:rsid w:val="002F4B84"/>
    <w:rsid w:val="002F4BCE"/>
    <w:rsid w:val="002F4D00"/>
    <w:rsid w:val="002F4DCE"/>
    <w:rsid w:val="002F5050"/>
    <w:rsid w:val="002F567C"/>
    <w:rsid w:val="002F5836"/>
    <w:rsid w:val="002F58D9"/>
    <w:rsid w:val="002F5A3D"/>
    <w:rsid w:val="002F5F27"/>
    <w:rsid w:val="002F6468"/>
    <w:rsid w:val="002F695A"/>
    <w:rsid w:val="002F6E3F"/>
    <w:rsid w:val="002F707F"/>
    <w:rsid w:val="002F7163"/>
    <w:rsid w:val="002F7171"/>
    <w:rsid w:val="002F73BD"/>
    <w:rsid w:val="002F73F5"/>
    <w:rsid w:val="002F766B"/>
    <w:rsid w:val="002F77AB"/>
    <w:rsid w:val="002F79E1"/>
    <w:rsid w:val="002F7A7F"/>
    <w:rsid w:val="002F7B17"/>
    <w:rsid w:val="002F7BA0"/>
    <w:rsid w:val="002F7E5A"/>
    <w:rsid w:val="00300091"/>
    <w:rsid w:val="003000F1"/>
    <w:rsid w:val="003001E3"/>
    <w:rsid w:val="0030022A"/>
    <w:rsid w:val="0030066C"/>
    <w:rsid w:val="003006B2"/>
    <w:rsid w:val="003006CC"/>
    <w:rsid w:val="0030087F"/>
    <w:rsid w:val="00300BD5"/>
    <w:rsid w:val="00300C22"/>
    <w:rsid w:val="00300E6F"/>
    <w:rsid w:val="0030101C"/>
    <w:rsid w:val="003013AD"/>
    <w:rsid w:val="003013B5"/>
    <w:rsid w:val="003013C0"/>
    <w:rsid w:val="0030187B"/>
    <w:rsid w:val="003018F5"/>
    <w:rsid w:val="003019B0"/>
    <w:rsid w:val="003019EA"/>
    <w:rsid w:val="00301A1C"/>
    <w:rsid w:val="00301B54"/>
    <w:rsid w:val="00301BD3"/>
    <w:rsid w:val="00301D97"/>
    <w:rsid w:val="00301F2C"/>
    <w:rsid w:val="00301F38"/>
    <w:rsid w:val="00302105"/>
    <w:rsid w:val="00302337"/>
    <w:rsid w:val="00302544"/>
    <w:rsid w:val="00302709"/>
    <w:rsid w:val="00302776"/>
    <w:rsid w:val="00302B2B"/>
    <w:rsid w:val="00302B30"/>
    <w:rsid w:val="00302DC8"/>
    <w:rsid w:val="00302E09"/>
    <w:rsid w:val="00302E13"/>
    <w:rsid w:val="00302FA7"/>
    <w:rsid w:val="00303064"/>
    <w:rsid w:val="003032E8"/>
    <w:rsid w:val="003032FF"/>
    <w:rsid w:val="00303894"/>
    <w:rsid w:val="00303939"/>
    <w:rsid w:val="00303C6B"/>
    <w:rsid w:val="00303C72"/>
    <w:rsid w:val="003040AB"/>
    <w:rsid w:val="00304165"/>
    <w:rsid w:val="003044DE"/>
    <w:rsid w:val="00304571"/>
    <w:rsid w:val="00304655"/>
    <w:rsid w:val="0030466E"/>
    <w:rsid w:val="003046BD"/>
    <w:rsid w:val="003046C8"/>
    <w:rsid w:val="0030475D"/>
    <w:rsid w:val="0030484C"/>
    <w:rsid w:val="00304B99"/>
    <w:rsid w:val="00304E01"/>
    <w:rsid w:val="00304E8C"/>
    <w:rsid w:val="00304FA5"/>
    <w:rsid w:val="00304FB0"/>
    <w:rsid w:val="00305105"/>
    <w:rsid w:val="00305379"/>
    <w:rsid w:val="00305441"/>
    <w:rsid w:val="003056BD"/>
    <w:rsid w:val="003056D1"/>
    <w:rsid w:val="00305771"/>
    <w:rsid w:val="003057C2"/>
    <w:rsid w:val="00305CEC"/>
    <w:rsid w:val="00305FB0"/>
    <w:rsid w:val="0030659B"/>
    <w:rsid w:val="00306760"/>
    <w:rsid w:val="00306851"/>
    <w:rsid w:val="0030688A"/>
    <w:rsid w:val="00306926"/>
    <w:rsid w:val="00306B18"/>
    <w:rsid w:val="00306C55"/>
    <w:rsid w:val="00306E93"/>
    <w:rsid w:val="003070C8"/>
    <w:rsid w:val="00307847"/>
    <w:rsid w:val="00307B81"/>
    <w:rsid w:val="00307E1A"/>
    <w:rsid w:val="00307F52"/>
    <w:rsid w:val="00307FFE"/>
    <w:rsid w:val="003100A7"/>
    <w:rsid w:val="0031012B"/>
    <w:rsid w:val="003103DB"/>
    <w:rsid w:val="0031044C"/>
    <w:rsid w:val="00310507"/>
    <w:rsid w:val="003106F2"/>
    <w:rsid w:val="0031073E"/>
    <w:rsid w:val="00310A05"/>
    <w:rsid w:val="00310A7E"/>
    <w:rsid w:val="00310D3E"/>
    <w:rsid w:val="00310D9D"/>
    <w:rsid w:val="00310DA5"/>
    <w:rsid w:val="00310E5F"/>
    <w:rsid w:val="00310F42"/>
    <w:rsid w:val="003110E1"/>
    <w:rsid w:val="00311284"/>
    <w:rsid w:val="00311B7A"/>
    <w:rsid w:val="00311BD1"/>
    <w:rsid w:val="00311C81"/>
    <w:rsid w:val="00311E2E"/>
    <w:rsid w:val="00311EE6"/>
    <w:rsid w:val="00311F8E"/>
    <w:rsid w:val="00311F92"/>
    <w:rsid w:val="00312027"/>
    <w:rsid w:val="003122C2"/>
    <w:rsid w:val="00312332"/>
    <w:rsid w:val="003125CE"/>
    <w:rsid w:val="00312890"/>
    <w:rsid w:val="00312D70"/>
    <w:rsid w:val="00313105"/>
    <w:rsid w:val="0031313C"/>
    <w:rsid w:val="003133EF"/>
    <w:rsid w:val="0031340F"/>
    <w:rsid w:val="00313798"/>
    <w:rsid w:val="003139C7"/>
    <w:rsid w:val="00313C97"/>
    <w:rsid w:val="00314367"/>
    <w:rsid w:val="003147CE"/>
    <w:rsid w:val="00314812"/>
    <w:rsid w:val="00314C89"/>
    <w:rsid w:val="00314D2E"/>
    <w:rsid w:val="00314D87"/>
    <w:rsid w:val="00315265"/>
    <w:rsid w:val="003152F5"/>
    <w:rsid w:val="0031564C"/>
    <w:rsid w:val="00315690"/>
    <w:rsid w:val="00315888"/>
    <w:rsid w:val="00315CA0"/>
    <w:rsid w:val="00315FD0"/>
    <w:rsid w:val="00316410"/>
    <w:rsid w:val="00316495"/>
    <w:rsid w:val="00316794"/>
    <w:rsid w:val="00316A3E"/>
    <w:rsid w:val="00316CA3"/>
    <w:rsid w:val="00316D53"/>
    <w:rsid w:val="00316FAD"/>
    <w:rsid w:val="00316FE9"/>
    <w:rsid w:val="00317266"/>
    <w:rsid w:val="003172F1"/>
    <w:rsid w:val="00317635"/>
    <w:rsid w:val="00317D90"/>
    <w:rsid w:val="00317EA9"/>
    <w:rsid w:val="003201D7"/>
    <w:rsid w:val="003203F4"/>
    <w:rsid w:val="0032092E"/>
    <w:rsid w:val="00320954"/>
    <w:rsid w:val="00320A7A"/>
    <w:rsid w:val="00320A83"/>
    <w:rsid w:val="00320F76"/>
    <w:rsid w:val="00320FB3"/>
    <w:rsid w:val="00320FCF"/>
    <w:rsid w:val="0032183C"/>
    <w:rsid w:val="00321963"/>
    <w:rsid w:val="00321AA2"/>
    <w:rsid w:val="00321ACA"/>
    <w:rsid w:val="00322237"/>
    <w:rsid w:val="00322297"/>
    <w:rsid w:val="003222CA"/>
    <w:rsid w:val="0032279B"/>
    <w:rsid w:val="00322952"/>
    <w:rsid w:val="00322964"/>
    <w:rsid w:val="003229F8"/>
    <w:rsid w:val="00322AF2"/>
    <w:rsid w:val="00322B34"/>
    <w:rsid w:val="00322D8E"/>
    <w:rsid w:val="00322EAF"/>
    <w:rsid w:val="00322FB1"/>
    <w:rsid w:val="00322FEF"/>
    <w:rsid w:val="00323067"/>
    <w:rsid w:val="0032308D"/>
    <w:rsid w:val="003232F4"/>
    <w:rsid w:val="00323499"/>
    <w:rsid w:val="00323761"/>
    <w:rsid w:val="003237C0"/>
    <w:rsid w:val="0032386E"/>
    <w:rsid w:val="003239CD"/>
    <w:rsid w:val="00323B96"/>
    <w:rsid w:val="00323BB9"/>
    <w:rsid w:val="00324445"/>
    <w:rsid w:val="0032452F"/>
    <w:rsid w:val="00324642"/>
    <w:rsid w:val="00324839"/>
    <w:rsid w:val="00324D0C"/>
    <w:rsid w:val="00324EC6"/>
    <w:rsid w:val="00325436"/>
    <w:rsid w:val="0032579D"/>
    <w:rsid w:val="0032584C"/>
    <w:rsid w:val="00325A01"/>
    <w:rsid w:val="00325CDA"/>
    <w:rsid w:val="00325D8D"/>
    <w:rsid w:val="00325DF0"/>
    <w:rsid w:val="00325EC6"/>
    <w:rsid w:val="003260A5"/>
    <w:rsid w:val="00326147"/>
    <w:rsid w:val="00326236"/>
    <w:rsid w:val="0032629E"/>
    <w:rsid w:val="0032668D"/>
    <w:rsid w:val="00326719"/>
    <w:rsid w:val="00326779"/>
    <w:rsid w:val="00326784"/>
    <w:rsid w:val="00326788"/>
    <w:rsid w:val="00326A5E"/>
    <w:rsid w:val="00326E05"/>
    <w:rsid w:val="00326E64"/>
    <w:rsid w:val="0032712C"/>
    <w:rsid w:val="00327240"/>
    <w:rsid w:val="00327490"/>
    <w:rsid w:val="00327494"/>
    <w:rsid w:val="0032752A"/>
    <w:rsid w:val="00327F93"/>
    <w:rsid w:val="003302C0"/>
    <w:rsid w:val="00330303"/>
    <w:rsid w:val="003304DB"/>
    <w:rsid w:val="003305F0"/>
    <w:rsid w:val="00330657"/>
    <w:rsid w:val="00330A52"/>
    <w:rsid w:val="00330C1B"/>
    <w:rsid w:val="00330C2D"/>
    <w:rsid w:val="00330C99"/>
    <w:rsid w:val="00330CBC"/>
    <w:rsid w:val="003314A1"/>
    <w:rsid w:val="003316A4"/>
    <w:rsid w:val="003316B4"/>
    <w:rsid w:val="00331C12"/>
    <w:rsid w:val="00331C5D"/>
    <w:rsid w:val="00331F72"/>
    <w:rsid w:val="003320B1"/>
    <w:rsid w:val="003325D3"/>
    <w:rsid w:val="00332794"/>
    <w:rsid w:val="00332B96"/>
    <w:rsid w:val="00332E8F"/>
    <w:rsid w:val="00332FB5"/>
    <w:rsid w:val="0033304E"/>
    <w:rsid w:val="00333302"/>
    <w:rsid w:val="003336F4"/>
    <w:rsid w:val="00333753"/>
    <w:rsid w:val="003338A7"/>
    <w:rsid w:val="003339BB"/>
    <w:rsid w:val="003339F3"/>
    <w:rsid w:val="00333ADA"/>
    <w:rsid w:val="00333ED4"/>
    <w:rsid w:val="00334274"/>
    <w:rsid w:val="00334390"/>
    <w:rsid w:val="003345D9"/>
    <w:rsid w:val="00334739"/>
    <w:rsid w:val="00334DED"/>
    <w:rsid w:val="00334F3B"/>
    <w:rsid w:val="003352EE"/>
    <w:rsid w:val="00335306"/>
    <w:rsid w:val="0033530D"/>
    <w:rsid w:val="003356A7"/>
    <w:rsid w:val="0033581C"/>
    <w:rsid w:val="00335935"/>
    <w:rsid w:val="0033610C"/>
    <w:rsid w:val="00336313"/>
    <w:rsid w:val="00336338"/>
    <w:rsid w:val="003364F5"/>
    <w:rsid w:val="003365A9"/>
    <w:rsid w:val="003367D7"/>
    <w:rsid w:val="00336A29"/>
    <w:rsid w:val="00336D10"/>
    <w:rsid w:val="0033704E"/>
    <w:rsid w:val="003370A4"/>
    <w:rsid w:val="00337305"/>
    <w:rsid w:val="0033750E"/>
    <w:rsid w:val="003377D3"/>
    <w:rsid w:val="00337802"/>
    <w:rsid w:val="003379A5"/>
    <w:rsid w:val="00337A74"/>
    <w:rsid w:val="00337C59"/>
    <w:rsid w:val="00337E91"/>
    <w:rsid w:val="00337FDA"/>
    <w:rsid w:val="00337FE5"/>
    <w:rsid w:val="00340360"/>
    <w:rsid w:val="003405EC"/>
    <w:rsid w:val="003408D9"/>
    <w:rsid w:val="00340B74"/>
    <w:rsid w:val="00340DD4"/>
    <w:rsid w:val="003410E1"/>
    <w:rsid w:val="0034110D"/>
    <w:rsid w:val="00341129"/>
    <w:rsid w:val="00341168"/>
    <w:rsid w:val="00341332"/>
    <w:rsid w:val="00341417"/>
    <w:rsid w:val="00341456"/>
    <w:rsid w:val="00341509"/>
    <w:rsid w:val="00341545"/>
    <w:rsid w:val="0034154A"/>
    <w:rsid w:val="0034162D"/>
    <w:rsid w:val="00341CC9"/>
    <w:rsid w:val="00341E9A"/>
    <w:rsid w:val="003420A6"/>
    <w:rsid w:val="003420D0"/>
    <w:rsid w:val="003420D6"/>
    <w:rsid w:val="00342303"/>
    <w:rsid w:val="00342482"/>
    <w:rsid w:val="00342591"/>
    <w:rsid w:val="0034266D"/>
    <w:rsid w:val="003426D6"/>
    <w:rsid w:val="00342818"/>
    <w:rsid w:val="0034282B"/>
    <w:rsid w:val="00342860"/>
    <w:rsid w:val="003429E2"/>
    <w:rsid w:val="00342A8B"/>
    <w:rsid w:val="00342CD1"/>
    <w:rsid w:val="00342D4F"/>
    <w:rsid w:val="00342E66"/>
    <w:rsid w:val="00342F4B"/>
    <w:rsid w:val="0034327F"/>
    <w:rsid w:val="00343383"/>
    <w:rsid w:val="003433BA"/>
    <w:rsid w:val="00343709"/>
    <w:rsid w:val="003437A6"/>
    <w:rsid w:val="00343839"/>
    <w:rsid w:val="00343973"/>
    <w:rsid w:val="0034397C"/>
    <w:rsid w:val="00343A3C"/>
    <w:rsid w:val="00343AD0"/>
    <w:rsid w:val="00343C3F"/>
    <w:rsid w:val="00343E37"/>
    <w:rsid w:val="003441BE"/>
    <w:rsid w:val="00344A42"/>
    <w:rsid w:val="00344DDB"/>
    <w:rsid w:val="003450A0"/>
    <w:rsid w:val="003453D1"/>
    <w:rsid w:val="00345488"/>
    <w:rsid w:val="0034572B"/>
    <w:rsid w:val="003458BF"/>
    <w:rsid w:val="00345A0A"/>
    <w:rsid w:val="00345A39"/>
    <w:rsid w:val="00345F42"/>
    <w:rsid w:val="00345FB6"/>
    <w:rsid w:val="00346288"/>
    <w:rsid w:val="003463D0"/>
    <w:rsid w:val="003466FF"/>
    <w:rsid w:val="00346A8E"/>
    <w:rsid w:val="00346B24"/>
    <w:rsid w:val="00346B96"/>
    <w:rsid w:val="00346C48"/>
    <w:rsid w:val="00346C9F"/>
    <w:rsid w:val="00346D16"/>
    <w:rsid w:val="00346FC5"/>
    <w:rsid w:val="00347174"/>
    <w:rsid w:val="00347380"/>
    <w:rsid w:val="003473C8"/>
    <w:rsid w:val="00347436"/>
    <w:rsid w:val="00347580"/>
    <w:rsid w:val="00347824"/>
    <w:rsid w:val="00347A3B"/>
    <w:rsid w:val="00347B4A"/>
    <w:rsid w:val="00347C18"/>
    <w:rsid w:val="00347CE6"/>
    <w:rsid w:val="00347D63"/>
    <w:rsid w:val="00347EA4"/>
    <w:rsid w:val="0035073E"/>
    <w:rsid w:val="00350A74"/>
    <w:rsid w:val="0035100E"/>
    <w:rsid w:val="00351011"/>
    <w:rsid w:val="00351018"/>
    <w:rsid w:val="00351195"/>
    <w:rsid w:val="00351546"/>
    <w:rsid w:val="00351574"/>
    <w:rsid w:val="003515F4"/>
    <w:rsid w:val="00351618"/>
    <w:rsid w:val="00351646"/>
    <w:rsid w:val="003516CC"/>
    <w:rsid w:val="003518E4"/>
    <w:rsid w:val="00351AFB"/>
    <w:rsid w:val="00351CBC"/>
    <w:rsid w:val="00351E73"/>
    <w:rsid w:val="00351E8D"/>
    <w:rsid w:val="00351E92"/>
    <w:rsid w:val="00351F72"/>
    <w:rsid w:val="00352035"/>
    <w:rsid w:val="00352082"/>
    <w:rsid w:val="00352692"/>
    <w:rsid w:val="00352722"/>
    <w:rsid w:val="003528A1"/>
    <w:rsid w:val="0035290B"/>
    <w:rsid w:val="003529C1"/>
    <w:rsid w:val="00352A29"/>
    <w:rsid w:val="00352BAE"/>
    <w:rsid w:val="00352C75"/>
    <w:rsid w:val="00352EFC"/>
    <w:rsid w:val="00352F16"/>
    <w:rsid w:val="003533C2"/>
    <w:rsid w:val="003534AE"/>
    <w:rsid w:val="003534FE"/>
    <w:rsid w:val="003537DF"/>
    <w:rsid w:val="003538C4"/>
    <w:rsid w:val="00353D35"/>
    <w:rsid w:val="00353D58"/>
    <w:rsid w:val="00353F6A"/>
    <w:rsid w:val="003540A1"/>
    <w:rsid w:val="003542AC"/>
    <w:rsid w:val="00354667"/>
    <w:rsid w:val="003546C5"/>
    <w:rsid w:val="00354B8C"/>
    <w:rsid w:val="00354BE1"/>
    <w:rsid w:val="00354E1F"/>
    <w:rsid w:val="00354ED2"/>
    <w:rsid w:val="00355651"/>
    <w:rsid w:val="0035571C"/>
    <w:rsid w:val="003558E4"/>
    <w:rsid w:val="00355981"/>
    <w:rsid w:val="00355AD8"/>
    <w:rsid w:val="00355AFD"/>
    <w:rsid w:val="00355C9A"/>
    <w:rsid w:val="00355D66"/>
    <w:rsid w:val="0035617E"/>
    <w:rsid w:val="003561D2"/>
    <w:rsid w:val="003562C7"/>
    <w:rsid w:val="00356325"/>
    <w:rsid w:val="003563DB"/>
    <w:rsid w:val="0035679A"/>
    <w:rsid w:val="003568F6"/>
    <w:rsid w:val="00356939"/>
    <w:rsid w:val="00356C37"/>
    <w:rsid w:val="00356EAA"/>
    <w:rsid w:val="00356F78"/>
    <w:rsid w:val="00357008"/>
    <w:rsid w:val="00357142"/>
    <w:rsid w:val="003571A5"/>
    <w:rsid w:val="0035738D"/>
    <w:rsid w:val="003574C9"/>
    <w:rsid w:val="003574FB"/>
    <w:rsid w:val="003575F7"/>
    <w:rsid w:val="00357633"/>
    <w:rsid w:val="00357661"/>
    <w:rsid w:val="00357A0F"/>
    <w:rsid w:val="00357C09"/>
    <w:rsid w:val="00357EB4"/>
    <w:rsid w:val="00360004"/>
    <w:rsid w:val="0036030A"/>
    <w:rsid w:val="003605DF"/>
    <w:rsid w:val="003607EF"/>
    <w:rsid w:val="00360A20"/>
    <w:rsid w:val="00360A98"/>
    <w:rsid w:val="00360E90"/>
    <w:rsid w:val="00361055"/>
    <w:rsid w:val="00361320"/>
    <w:rsid w:val="00361608"/>
    <w:rsid w:val="00361633"/>
    <w:rsid w:val="0036177D"/>
    <w:rsid w:val="00361CA0"/>
    <w:rsid w:val="00361D9C"/>
    <w:rsid w:val="0036208B"/>
    <w:rsid w:val="00362179"/>
    <w:rsid w:val="003622AF"/>
    <w:rsid w:val="0036243E"/>
    <w:rsid w:val="003628DC"/>
    <w:rsid w:val="00362940"/>
    <w:rsid w:val="00362A68"/>
    <w:rsid w:val="00362A77"/>
    <w:rsid w:val="00362E14"/>
    <w:rsid w:val="00362E99"/>
    <w:rsid w:val="00362EA7"/>
    <w:rsid w:val="00363542"/>
    <w:rsid w:val="00363ADF"/>
    <w:rsid w:val="00363B80"/>
    <w:rsid w:val="00363BB1"/>
    <w:rsid w:val="00363C44"/>
    <w:rsid w:val="00363D03"/>
    <w:rsid w:val="00363E09"/>
    <w:rsid w:val="00363E31"/>
    <w:rsid w:val="00363EC0"/>
    <w:rsid w:val="00363F16"/>
    <w:rsid w:val="0036401C"/>
    <w:rsid w:val="003640AE"/>
    <w:rsid w:val="00364232"/>
    <w:rsid w:val="00364287"/>
    <w:rsid w:val="003643CF"/>
    <w:rsid w:val="003644E1"/>
    <w:rsid w:val="0036474C"/>
    <w:rsid w:val="00364865"/>
    <w:rsid w:val="0036490E"/>
    <w:rsid w:val="00364AB2"/>
    <w:rsid w:val="00364B74"/>
    <w:rsid w:val="00364B78"/>
    <w:rsid w:val="00364CFF"/>
    <w:rsid w:val="0036517B"/>
    <w:rsid w:val="0036532A"/>
    <w:rsid w:val="0036543C"/>
    <w:rsid w:val="003655FF"/>
    <w:rsid w:val="0036563E"/>
    <w:rsid w:val="003658D7"/>
    <w:rsid w:val="003658E8"/>
    <w:rsid w:val="00365A2B"/>
    <w:rsid w:val="00365A89"/>
    <w:rsid w:val="00365B6C"/>
    <w:rsid w:val="00365D5C"/>
    <w:rsid w:val="003660F9"/>
    <w:rsid w:val="00366125"/>
    <w:rsid w:val="0036637B"/>
    <w:rsid w:val="0036659C"/>
    <w:rsid w:val="003666DD"/>
    <w:rsid w:val="00366A83"/>
    <w:rsid w:val="00366BA5"/>
    <w:rsid w:val="00366DF0"/>
    <w:rsid w:val="00366FE1"/>
    <w:rsid w:val="0036700D"/>
    <w:rsid w:val="0036737F"/>
    <w:rsid w:val="003673E8"/>
    <w:rsid w:val="003677DE"/>
    <w:rsid w:val="0036784E"/>
    <w:rsid w:val="003679AF"/>
    <w:rsid w:val="003679F2"/>
    <w:rsid w:val="00367C5F"/>
    <w:rsid w:val="00367E3B"/>
    <w:rsid w:val="00367F24"/>
    <w:rsid w:val="00367F73"/>
    <w:rsid w:val="003700F6"/>
    <w:rsid w:val="00370284"/>
    <w:rsid w:val="00370464"/>
    <w:rsid w:val="00370717"/>
    <w:rsid w:val="003707D6"/>
    <w:rsid w:val="00370B91"/>
    <w:rsid w:val="00370C79"/>
    <w:rsid w:val="00370F17"/>
    <w:rsid w:val="0037110C"/>
    <w:rsid w:val="003713D5"/>
    <w:rsid w:val="0037150A"/>
    <w:rsid w:val="0037163A"/>
    <w:rsid w:val="003716C3"/>
    <w:rsid w:val="003716F8"/>
    <w:rsid w:val="0037173E"/>
    <w:rsid w:val="0037176E"/>
    <w:rsid w:val="00371A00"/>
    <w:rsid w:val="00371A6C"/>
    <w:rsid w:val="00371BC2"/>
    <w:rsid w:val="00372007"/>
    <w:rsid w:val="003721BA"/>
    <w:rsid w:val="0037221A"/>
    <w:rsid w:val="00372392"/>
    <w:rsid w:val="0037297E"/>
    <w:rsid w:val="003729FA"/>
    <w:rsid w:val="00372A7D"/>
    <w:rsid w:val="00372F52"/>
    <w:rsid w:val="003737C4"/>
    <w:rsid w:val="0037397E"/>
    <w:rsid w:val="003739C0"/>
    <w:rsid w:val="00373A53"/>
    <w:rsid w:val="00373A93"/>
    <w:rsid w:val="00373D0D"/>
    <w:rsid w:val="00373F2D"/>
    <w:rsid w:val="003741EF"/>
    <w:rsid w:val="0037484C"/>
    <w:rsid w:val="00374ABB"/>
    <w:rsid w:val="00374BAF"/>
    <w:rsid w:val="00374D31"/>
    <w:rsid w:val="00374DE2"/>
    <w:rsid w:val="00374F88"/>
    <w:rsid w:val="00375175"/>
    <w:rsid w:val="00375217"/>
    <w:rsid w:val="0037550B"/>
    <w:rsid w:val="003757AC"/>
    <w:rsid w:val="00375B5A"/>
    <w:rsid w:val="00375B71"/>
    <w:rsid w:val="00375BD2"/>
    <w:rsid w:val="00375C08"/>
    <w:rsid w:val="0037615C"/>
    <w:rsid w:val="0037637F"/>
    <w:rsid w:val="003763FA"/>
    <w:rsid w:val="00376520"/>
    <w:rsid w:val="0037654A"/>
    <w:rsid w:val="00376703"/>
    <w:rsid w:val="003767A0"/>
    <w:rsid w:val="003769FC"/>
    <w:rsid w:val="00376AD4"/>
    <w:rsid w:val="00376FD7"/>
    <w:rsid w:val="003770CE"/>
    <w:rsid w:val="00377318"/>
    <w:rsid w:val="0037745E"/>
    <w:rsid w:val="00377511"/>
    <w:rsid w:val="003777CF"/>
    <w:rsid w:val="00377A20"/>
    <w:rsid w:val="00377A91"/>
    <w:rsid w:val="00377ACF"/>
    <w:rsid w:val="00377DBC"/>
    <w:rsid w:val="00380038"/>
    <w:rsid w:val="00380D69"/>
    <w:rsid w:val="00380FF3"/>
    <w:rsid w:val="003810B9"/>
    <w:rsid w:val="00381240"/>
    <w:rsid w:val="003813E3"/>
    <w:rsid w:val="0038143F"/>
    <w:rsid w:val="003815C7"/>
    <w:rsid w:val="00381639"/>
    <w:rsid w:val="003816A3"/>
    <w:rsid w:val="003819F6"/>
    <w:rsid w:val="00381DE4"/>
    <w:rsid w:val="003820A4"/>
    <w:rsid w:val="003820D6"/>
    <w:rsid w:val="0038218D"/>
    <w:rsid w:val="003822EB"/>
    <w:rsid w:val="00382380"/>
    <w:rsid w:val="00382537"/>
    <w:rsid w:val="0038278C"/>
    <w:rsid w:val="0038289C"/>
    <w:rsid w:val="003829C5"/>
    <w:rsid w:val="00382AF6"/>
    <w:rsid w:val="00382BEF"/>
    <w:rsid w:val="00382D78"/>
    <w:rsid w:val="00383077"/>
    <w:rsid w:val="003831B3"/>
    <w:rsid w:val="003831ED"/>
    <w:rsid w:val="003833E1"/>
    <w:rsid w:val="0038343F"/>
    <w:rsid w:val="00383B0C"/>
    <w:rsid w:val="00383D1C"/>
    <w:rsid w:val="0038439C"/>
    <w:rsid w:val="00384615"/>
    <w:rsid w:val="00384655"/>
    <w:rsid w:val="0038468B"/>
    <w:rsid w:val="00384F6C"/>
    <w:rsid w:val="003850AA"/>
    <w:rsid w:val="00385180"/>
    <w:rsid w:val="00385264"/>
    <w:rsid w:val="00385498"/>
    <w:rsid w:val="00385845"/>
    <w:rsid w:val="003858CE"/>
    <w:rsid w:val="00385B82"/>
    <w:rsid w:val="00385E9F"/>
    <w:rsid w:val="00385F34"/>
    <w:rsid w:val="0038615F"/>
    <w:rsid w:val="003861D1"/>
    <w:rsid w:val="00386334"/>
    <w:rsid w:val="00386A71"/>
    <w:rsid w:val="00386AC1"/>
    <w:rsid w:val="00386B0A"/>
    <w:rsid w:val="00386B6F"/>
    <w:rsid w:val="00386BCD"/>
    <w:rsid w:val="00386D3E"/>
    <w:rsid w:val="00386EDF"/>
    <w:rsid w:val="00386F8E"/>
    <w:rsid w:val="003872B3"/>
    <w:rsid w:val="003875D5"/>
    <w:rsid w:val="0038776D"/>
    <w:rsid w:val="003879EF"/>
    <w:rsid w:val="00387B03"/>
    <w:rsid w:val="00387C49"/>
    <w:rsid w:val="00390590"/>
    <w:rsid w:val="003905E2"/>
    <w:rsid w:val="00390716"/>
    <w:rsid w:val="00390A02"/>
    <w:rsid w:val="00390A2F"/>
    <w:rsid w:val="00390BF9"/>
    <w:rsid w:val="00390D12"/>
    <w:rsid w:val="00390F73"/>
    <w:rsid w:val="00390FD3"/>
    <w:rsid w:val="00391509"/>
    <w:rsid w:val="003915C5"/>
    <w:rsid w:val="003916CF"/>
    <w:rsid w:val="0039190F"/>
    <w:rsid w:val="00391B4E"/>
    <w:rsid w:val="00391B9F"/>
    <w:rsid w:val="00391FCD"/>
    <w:rsid w:val="00391FD2"/>
    <w:rsid w:val="0039257A"/>
    <w:rsid w:val="003925A2"/>
    <w:rsid w:val="003925F2"/>
    <w:rsid w:val="00392620"/>
    <w:rsid w:val="00392E35"/>
    <w:rsid w:val="00393002"/>
    <w:rsid w:val="00393027"/>
    <w:rsid w:val="0039305F"/>
    <w:rsid w:val="00393154"/>
    <w:rsid w:val="003932A2"/>
    <w:rsid w:val="003935A9"/>
    <w:rsid w:val="00393905"/>
    <w:rsid w:val="00393ADE"/>
    <w:rsid w:val="00393B7C"/>
    <w:rsid w:val="003940A5"/>
    <w:rsid w:val="003940AA"/>
    <w:rsid w:val="00394343"/>
    <w:rsid w:val="0039438B"/>
    <w:rsid w:val="003944D6"/>
    <w:rsid w:val="003944E4"/>
    <w:rsid w:val="0039452A"/>
    <w:rsid w:val="003945EA"/>
    <w:rsid w:val="00394776"/>
    <w:rsid w:val="00394A9F"/>
    <w:rsid w:val="00394B0A"/>
    <w:rsid w:val="00394F39"/>
    <w:rsid w:val="00394F6E"/>
    <w:rsid w:val="00394FBC"/>
    <w:rsid w:val="003950C3"/>
    <w:rsid w:val="00395151"/>
    <w:rsid w:val="0039515B"/>
    <w:rsid w:val="003954C8"/>
    <w:rsid w:val="0039555B"/>
    <w:rsid w:val="0039563F"/>
    <w:rsid w:val="0039566F"/>
    <w:rsid w:val="00395A10"/>
    <w:rsid w:val="00395CF2"/>
    <w:rsid w:val="00395EA2"/>
    <w:rsid w:val="00396092"/>
    <w:rsid w:val="003961EA"/>
    <w:rsid w:val="003961EC"/>
    <w:rsid w:val="00396329"/>
    <w:rsid w:val="00396575"/>
    <w:rsid w:val="0039661A"/>
    <w:rsid w:val="003967E0"/>
    <w:rsid w:val="003968F5"/>
    <w:rsid w:val="00396942"/>
    <w:rsid w:val="00396C41"/>
    <w:rsid w:val="00397170"/>
    <w:rsid w:val="003971C8"/>
    <w:rsid w:val="003978AB"/>
    <w:rsid w:val="00397C8F"/>
    <w:rsid w:val="00397D5A"/>
    <w:rsid w:val="00397DA1"/>
    <w:rsid w:val="00397DDF"/>
    <w:rsid w:val="00397E60"/>
    <w:rsid w:val="00397F8C"/>
    <w:rsid w:val="003A0111"/>
    <w:rsid w:val="003A016E"/>
    <w:rsid w:val="003A0202"/>
    <w:rsid w:val="003A0218"/>
    <w:rsid w:val="003A05A5"/>
    <w:rsid w:val="003A0647"/>
    <w:rsid w:val="003A077C"/>
    <w:rsid w:val="003A0892"/>
    <w:rsid w:val="003A0A44"/>
    <w:rsid w:val="003A0B5B"/>
    <w:rsid w:val="003A0F6B"/>
    <w:rsid w:val="003A114F"/>
    <w:rsid w:val="003A1474"/>
    <w:rsid w:val="003A15C1"/>
    <w:rsid w:val="003A1A92"/>
    <w:rsid w:val="003A1BE5"/>
    <w:rsid w:val="003A1C52"/>
    <w:rsid w:val="003A1D02"/>
    <w:rsid w:val="003A2304"/>
    <w:rsid w:val="003A25CF"/>
    <w:rsid w:val="003A263B"/>
    <w:rsid w:val="003A278E"/>
    <w:rsid w:val="003A29CC"/>
    <w:rsid w:val="003A2B07"/>
    <w:rsid w:val="003A2CBD"/>
    <w:rsid w:val="003A2E24"/>
    <w:rsid w:val="003A2E3C"/>
    <w:rsid w:val="003A3399"/>
    <w:rsid w:val="003A3489"/>
    <w:rsid w:val="003A380A"/>
    <w:rsid w:val="003A388B"/>
    <w:rsid w:val="003A38A9"/>
    <w:rsid w:val="003A38F9"/>
    <w:rsid w:val="003A39D8"/>
    <w:rsid w:val="003A39F0"/>
    <w:rsid w:val="003A3C40"/>
    <w:rsid w:val="003A3DE5"/>
    <w:rsid w:val="003A3E3E"/>
    <w:rsid w:val="003A4111"/>
    <w:rsid w:val="003A4117"/>
    <w:rsid w:val="003A4180"/>
    <w:rsid w:val="003A41B1"/>
    <w:rsid w:val="003A42B3"/>
    <w:rsid w:val="003A4388"/>
    <w:rsid w:val="003A45F2"/>
    <w:rsid w:val="003A464D"/>
    <w:rsid w:val="003A46B0"/>
    <w:rsid w:val="003A48E2"/>
    <w:rsid w:val="003A4AF0"/>
    <w:rsid w:val="003A4B89"/>
    <w:rsid w:val="003A4E0C"/>
    <w:rsid w:val="003A4ED6"/>
    <w:rsid w:val="003A4F06"/>
    <w:rsid w:val="003A5058"/>
    <w:rsid w:val="003A540D"/>
    <w:rsid w:val="003A5937"/>
    <w:rsid w:val="003A5943"/>
    <w:rsid w:val="003A5ABB"/>
    <w:rsid w:val="003A5B13"/>
    <w:rsid w:val="003A5B5F"/>
    <w:rsid w:val="003A5CD5"/>
    <w:rsid w:val="003A5E1B"/>
    <w:rsid w:val="003A5F28"/>
    <w:rsid w:val="003A621D"/>
    <w:rsid w:val="003A650D"/>
    <w:rsid w:val="003A652B"/>
    <w:rsid w:val="003A6538"/>
    <w:rsid w:val="003A6675"/>
    <w:rsid w:val="003A67DF"/>
    <w:rsid w:val="003A68F3"/>
    <w:rsid w:val="003A68F4"/>
    <w:rsid w:val="003A6C11"/>
    <w:rsid w:val="003A6C53"/>
    <w:rsid w:val="003A6C73"/>
    <w:rsid w:val="003A6D09"/>
    <w:rsid w:val="003A7248"/>
    <w:rsid w:val="003A7336"/>
    <w:rsid w:val="003A748E"/>
    <w:rsid w:val="003A749D"/>
    <w:rsid w:val="003A7584"/>
    <w:rsid w:val="003A76E0"/>
    <w:rsid w:val="003A7764"/>
    <w:rsid w:val="003A7815"/>
    <w:rsid w:val="003A7844"/>
    <w:rsid w:val="003A7B60"/>
    <w:rsid w:val="003A7B70"/>
    <w:rsid w:val="003A7D4A"/>
    <w:rsid w:val="003A7DEC"/>
    <w:rsid w:val="003A7FA9"/>
    <w:rsid w:val="003B0050"/>
    <w:rsid w:val="003B071D"/>
    <w:rsid w:val="003B072B"/>
    <w:rsid w:val="003B0922"/>
    <w:rsid w:val="003B0953"/>
    <w:rsid w:val="003B0ABE"/>
    <w:rsid w:val="003B0B92"/>
    <w:rsid w:val="003B0EE4"/>
    <w:rsid w:val="003B16E7"/>
    <w:rsid w:val="003B1A42"/>
    <w:rsid w:val="003B1AD8"/>
    <w:rsid w:val="003B1EC8"/>
    <w:rsid w:val="003B1F6D"/>
    <w:rsid w:val="003B23E9"/>
    <w:rsid w:val="003B2415"/>
    <w:rsid w:val="003B2559"/>
    <w:rsid w:val="003B262A"/>
    <w:rsid w:val="003B29E5"/>
    <w:rsid w:val="003B302C"/>
    <w:rsid w:val="003B3108"/>
    <w:rsid w:val="003B3145"/>
    <w:rsid w:val="003B32A9"/>
    <w:rsid w:val="003B3627"/>
    <w:rsid w:val="003B3693"/>
    <w:rsid w:val="003B3706"/>
    <w:rsid w:val="003B3A11"/>
    <w:rsid w:val="003B3D3F"/>
    <w:rsid w:val="003B3DDD"/>
    <w:rsid w:val="003B3E03"/>
    <w:rsid w:val="003B3F72"/>
    <w:rsid w:val="003B44A9"/>
    <w:rsid w:val="003B49D6"/>
    <w:rsid w:val="003B4A11"/>
    <w:rsid w:val="003B5365"/>
    <w:rsid w:val="003B5379"/>
    <w:rsid w:val="003B54CA"/>
    <w:rsid w:val="003B56FF"/>
    <w:rsid w:val="003B581C"/>
    <w:rsid w:val="003B5942"/>
    <w:rsid w:val="003B5955"/>
    <w:rsid w:val="003B5D88"/>
    <w:rsid w:val="003B5FDD"/>
    <w:rsid w:val="003B60CD"/>
    <w:rsid w:val="003B62C4"/>
    <w:rsid w:val="003B640D"/>
    <w:rsid w:val="003B644C"/>
    <w:rsid w:val="003B64CE"/>
    <w:rsid w:val="003B6503"/>
    <w:rsid w:val="003B6526"/>
    <w:rsid w:val="003B6574"/>
    <w:rsid w:val="003B662E"/>
    <w:rsid w:val="003B6700"/>
    <w:rsid w:val="003B68CF"/>
    <w:rsid w:val="003B6A08"/>
    <w:rsid w:val="003B6E56"/>
    <w:rsid w:val="003B7180"/>
    <w:rsid w:val="003B7499"/>
    <w:rsid w:val="003B76BB"/>
    <w:rsid w:val="003B77BF"/>
    <w:rsid w:val="003B7921"/>
    <w:rsid w:val="003B7B4A"/>
    <w:rsid w:val="003B7D69"/>
    <w:rsid w:val="003B7E37"/>
    <w:rsid w:val="003B7E53"/>
    <w:rsid w:val="003B7E7C"/>
    <w:rsid w:val="003C029F"/>
    <w:rsid w:val="003C0394"/>
    <w:rsid w:val="003C0437"/>
    <w:rsid w:val="003C05EE"/>
    <w:rsid w:val="003C077A"/>
    <w:rsid w:val="003C079B"/>
    <w:rsid w:val="003C0A4A"/>
    <w:rsid w:val="003C0A63"/>
    <w:rsid w:val="003C0DA2"/>
    <w:rsid w:val="003C0FC6"/>
    <w:rsid w:val="003C1098"/>
    <w:rsid w:val="003C1119"/>
    <w:rsid w:val="003C1124"/>
    <w:rsid w:val="003C123A"/>
    <w:rsid w:val="003C184A"/>
    <w:rsid w:val="003C1C5B"/>
    <w:rsid w:val="003C1DC6"/>
    <w:rsid w:val="003C1DE0"/>
    <w:rsid w:val="003C1ED2"/>
    <w:rsid w:val="003C2039"/>
    <w:rsid w:val="003C2132"/>
    <w:rsid w:val="003C2613"/>
    <w:rsid w:val="003C274A"/>
    <w:rsid w:val="003C2884"/>
    <w:rsid w:val="003C28BB"/>
    <w:rsid w:val="003C29F9"/>
    <w:rsid w:val="003C2B23"/>
    <w:rsid w:val="003C3049"/>
    <w:rsid w:val="003C30F3"/>
    <w:rsid w:val="003C338A"/>
    <w:rsid w:val="003C3853"/>
    <w:rsid w:val="003C38EE"/>
    <w:rsid w:val="003C39C5"/>
    <w:rsid w:val="003C3A19"/>
    <w:rsid w:val="003C3D01"/>
    <w:rsid w:val="003C3EAD"/>
    <w:rsid w:val="003C3FA3"/>
    <w:rsid w:val="003C41BB"/>
    <w:rsid w:val="003C43F2"/>
    <w:rsid w:val="003C4434"/>
    <w:rsid w:val="003C455C"/>
    <w:rsid w:val="003C45F4"/>
    <w:rsid w:val="003C47AD"/>
    <w:rsid w:val="003C4929"/>
    <w:rsid w:val="003C4DA9"/>
    <w:rsid w:val="003C51A1"/>
    <w:rsid w:val="003C574D"/>
    <w:rsid w:val="003C5868"/>
    <w:rsid w:val="003C59D3"/>
    <w:rsid w:val="003C5A15"/>
    <w:rsid w:val="003C5A8F"/>
    <w:rsid w:val="003C5BED"/>
    <w:rsid w:val="003C5C4E"/>
    <w:rsid w:val="003C5CDD"/>
    <w:rsid w:val="003C5CEC"/>
    <w:rsid w:val="003C5DA7"/>
    <w:rsid w:val="003C6230"/>
    <w:rsid w:val="003C6236"/>
    <w:rsid w:val="003C63F9"/>
    <w:rsid w:val="003C6478"/>
    <w:rsid w:val="003C658C"/>
    <w:rsid w:val="003C6B89"/>
    <w:rsid w:val="003C6BFC"/>
    <w:rsid w:val="003C6D6D"/>
    <w:rsid w:val="003C710E"/>
    <w:rsid w:val="003C751D"/>
    <w:rsid w:val="003C75C0"/>
    <w:rsid w:val="003C7761"/>
    <w:rsid w:val="003C7768"/>
    <w:rsid w:val="003C7819"/>
    <w:rsid w:val="003C794E"/>
    <w:rsid w:val="003C7A3E"/>
    <w:rsid w:val="003C7A90"/>
    <w:rsid w:val="003C7B3B"/>
    <w:rsid w:val="003C7C35"/>
    <w:rsid w:val="003C7C47"/>
    <w:rsid w:val="003D03DD"/>
    <w:rsid w:val="003D0501"/>
    <w:rsid w:val="003D0668"/>
    <w:rsid w:val="003D0BF9"/>
    <w:rsid w:val="003D0C1F"/>
    <w:rsid w:val="003D0C35"/>
    <w:rsid w:val="003D0D02"/>
    <w:rsid w:val="003D0D3E"/>
    <w:rsid w:val="003D0F7D"/>
    <w:rsid w:val="003D0FCE"/>
    <w:rsid w:val="003D1344"/>
    <w:rsid w:val="003D15F1"/>
    <w:rsid w:val="003D16A7"/>
    <w:rsid w:val="003D170A"/>
    <w:rsid w:val="003D1740"/>
    <w:rsid w:val="003D18CD"/>
    <w:rsid w:val="003D1966"/>
    <w:rsid w:val="003D1B58"/>
    <w:rsid w:val="003D1E0B"/>
    <w:rsid w:val="003D1E41"/>
    <w:rsid w:val="003D208C"/>
    <w:rsid w:val="003D2136"/>
    <w:rsid w:val="003D231E"/>
    <w:rsid w:val="003D24FD"/>
    <w:rsid w:val="003D252B"/>
    <w:rsid w:val="003D25E8"/>
    <w:rsid w:val="003D26BE"/>
    <w:rsid w:val="003D2716"/>
    <w:rsid w:val="003D2A47"/>
    <w:rsid w:val="003D2C0B"/>
    <w:rsid w:val="003D2EC6"/>
    <w:rsid w:val="003D2F06"/>
    <w:rsid w:val="003D2FF4"/>
    <w:rsid w:val="003D322B"/>
    <w:rsid w:val="003D3268"/>
    <w:rsid w:val="003D32BF"/>
    <w:rsid w:val="003D33A0"/>
    <w:rsid w:val="003D3473"/>
    <w:rsid w:val="003D348B"/>
    <w:rsid w:val="003D36FD"/>
    <w:rsid w:val="003D3710"/>
    <w:rsid w:val="003D389A"/>
    <w:rsid w:val="003D394C"/>
    <w:rsid w:val="003D3A73"/>
    <w:rsid w:val="003D3B75"/>
    <w:rsid w:val="003D3D8C"/>
    <w:rsid w:val="003D3DD3"/>
    <w:rsid w:val="003D3F4B"/>
    <w:rsid w:val="003D4111"/>
    <w:rsid w:val="003D4180"/>
    <w:rsid w:val="003D419B"/>
    <w:rsid w:val="003D436C"/>
    <w:rsid w:val="003D4740"/>
    <w:rsid w:val="003D47DE"/>
    <w:rsid w:val="003D483B"/>
    <w:rsid w:val="003D4AAC"/>
    <w:rsid w:val="003D4B91"/>
    <w:rsid w:val="003D4EB8"/>
    <w:rsid w:val="003D5312"/>
    <w:rsid w:val="003D54E4"/>
    <w:rsid w:val="003D5C33"/>
    <w:rsid w:val="003D5DA0"/>
    <w:rsid w:val="003D5FC1"/>
    <w:rsid w:val="003D620D"/>
    <w:rsid w:val="003D6679"/>
    <w:rsid w:val="003D6948"/>
    <w:rsid w:val="003D6A0B"/>
    <w:rsid w:val="003D6B2D"/>
    <w:rsid w:val="003D6D08"/>
    <w:rsid w:val="003D6D2F"/>
    <w:rsid w:val="003D6FF8"/>
    <w:rsid w:val="003D7170"/>
    <w:rsid w:val="003D7332"/>
    <w:rsid w:val="003D7426"/>
    <w:rsid w:val="003D745C"/>
    <w:rsid w:val="003D7469"/>
    <w:rsid w:val="003D7877"/>
    <w:rsid w:val="003D787E"/>
    <w:rsid w:val="003D7BD0"/>
    <w:rsid w:val="003D7C05"/>
    <w:rsid w:val="003D7DCC"/>
    <w:rsid w:val="003D7DD5"/>
    <w:rsid w:val="003E0705"/>
    <w:rsid w:val="003E0766"/>
    <w:rsid w:val="003E0780"/>
    <w:rsid w:val="003E141D"/>
    <w:rsid w:val="003E155F"/>
    <w:rsid w:val="003E1918"/>
    <w:rsid w:val="003E1C84"/>
    <w:rsid w:val="003E217C"/>
    <w:rsid w:val="003E2310"/>
    <w:rsid w:val="003E2393"/>
    <w:rsid w:val="003E25AD"/>
    <w:rsid w:val="003E260A"/>
    <w:rsid w:val="003E26DD"/>
    <w:rsid w:val="003E2710"/>
    <w:rsid w:val="003E285D"/>
    <w:rsid w:val="003E28A7"/>
    <w:rsid w:val="003E28BC"/>
    <w:rsid w:val="003E29CB"/>
    <w:rsid w:val="003E2A33"/>
    <w:rsid w:val="003E30CB"/>
    <w:rsid w:val="003E327F"/>
    <w:rsid w:val="003E3564"/>
    <w:rsid w:val="003E3627"/>
    <w:rsid w:val="003E37FF"/>
    <w:rsid w:val="003E3925"/>
    <w:rsid w:val="003E395D"/>
    <w:rsid w:val="003E399D"/>
    <w:rsid w:val="003E3AD4"/>
    <w:rsid w:val="003E3C02"/>
    <w:rsid w:val="003E3DBA"/>
    <w:rsid w:val="003E3F8A"/>
    <w:rsid w:val="003E3FD0"/>
    <w:rsid w:val="003E43A4"/>
    <w:rsid w:val="003E4493"/>
    <w:rsid w:val="003E4706"/>
    <w:rsid w:val="003E4720"/>
    <w:rsid w:val="003E4874"/>
    <w:rsid w:val="003E4A98"/>
    <w:rsid w:val="003E4BA2"/>
    <w:rsid w:val="003E4D60"/>
    <w:rsid w:val="003E4E5F"/>
    <w:rsid w:val="003E5135"/>
    <w:rsid w:val="003E5256"/>
    <w:rsid w:val="003E5336"/>
    <w:rsid w:val="003E55C4"/>
    <w:rsid w:val="003E5733"/>
    <w:rsid w:val="003E590F"/>
    <w:rsid w:val="003E5961"/>
    <w:rsid w:val="003E5B1F"/>
    <w:rsid w:val="003E600F"/>
    <w:rsid w:val="003E6040"/>
    <w:rsid w:val="003E6B20"/>
    <w:rsid w:val="003E6BAF"/>
    <w:rsid w:val="003E6E86"/>
    <w:rsid w:val="003E6EC4"/>
    <w:rsid w:val="003E6F5D"/>
    <w:rsid w:val="003E71E8"/>
    <w:rsid w:val="003E72D1"/>
    <w:rsid w:val="003E741A"/>
    <w:rsid w:val="003E74F2"/>
    <w:rsid w:val="003E7599"/>
    <w:rsid w:val="003E75A4"/>
    <w:rsid w:val="003E7739"/>
    <w:rsid w:val="003E773F"/>
    <w:rsid w:val="003E778C"/>
    <w:rsid w:val="003E7820"/>
    <w:rsid w:val="003E7BAF"/>
    <w:rsid w:val="003E7BEE"/>
    <w:rsid w:val="003E7C01"/>
    <w:rsid w:val="003E7EB7"/>
    <w:rsid w:val="003F0362"/>
    <w:rsid w:val="003F0502"/>
    <w:rsid w:val="003F09E5"/>
    <w:rsid w:val="003F0A2C"/>
    <w:rsid w:val="003F0A65"/>
    <w:rsid w:val="003F0F64"/>
    <w:rsid w:val="003F10A9"/>
    <w:rsid w:val="003F13AD"/>
    <w:rsid w:val="003F151A"/>
    <w:rsid w:val="003F153F"/>
    <w:rsid w:val="003F16A0"/>
    <w:rsid w:val="003F17C3"/>
    <w:rsid w:val="003F1BB4"/>
    <w:rsid w:val="003F1C76"/>
    <w:rsid w:val="003F1F34"/>
    <w:rsid w:val="003F22E0"/>
    <w:rsid w:val="003F23F6"/>
    <w:rsid w:val="003F28CD"/>
    <w:rsid w:val="003F291F"/>
    <w:rsid w:val="003F29D1"/>
    <w:rsid w:val="003F2CBD"/>
    <w:rsid w:val="003F31DE"/>
    <w:rsid w:val="003F320B"/>
    <w:rsid w:val="003F364B"/>
    <w:rsid w:val="003F365D"/>
    <w:rsid w:val="003F38C8"/>
    <w:rsid w:val="003F38D4"/>
    <w:rsid w:val="003F3C9E"/>
    <w:rsid w:val="003F3CEE"/>
    <w:rsid w:val="003F3D07"/>
    <w:rsid w:val="003F3D38"/>
    <w:rsid w:val="003F3F56"/>
    <w:rsid w:val="003F4270"/>
    <w:rsid w:val="003F44C5"/>
    <w:rsid w:val="003F457B"/>
    <w:rsid w:val="003F475D"/>
    <w:rsid w:val="003F493D"/>
    <w:rsid w:val="003F4AB4"/>
    <w:rsid w:val="003F4B45"/>
    <w:rsid w:val="003F4BB2"/>
    <w:rsid w:val="003F4CDB"/>
    <w:rsid w:val="003F4D50"/>
    <w:rsid w:val="003F4E36"/>
    <w:rsid w:val="003F5048"/>
    <w:rsid w:val="003F5155"/>
    <w:rsid w:val="003F518B"/>
    <w:rsid w:val="003F55E5"/>
    <w:rsid w:val="003F5691"/>
    <w:rsid w:val="003F585B"/>
    <w:rsid w:val="003F58A0"/>
    <w:rsid w:val="003F58F8"/>
    <w:rsid w:val="003F596A"/>
    <w:rsid w:val="003F599B"/>
    <w:rsid w:val="003F5AF6"/>
    <w:rsid w:val="003F5CB0"/>
    <w:rsid w:val="003F5CB5"/>
    <w:rsid w:val="003F5D00"/>
    <w:rsid w:val="003F620B"/>
    <w:rsid w:val="003F624B"/>
    <w:rsid w:val="003F6587"/>
    <w:rsid w:val="003F68F0"/>
    <w:rsid w:val="003F6945"/>
    <w:rsid w:val="003F6980"/>
    <w:rsid w:val="003F69C7"/>
    <w:rsid w:val="003F6EBD"/>
    <w:rsid w:val="003F706B"/>
    <w:rsid w:val="003F7096"/>
    <w:rsid w:val="003F7200"/>
    <w:rsid w:val="003F7284"/>
    <w:rsid w:val="003F72F8"/>
    <w:rsid w:val="003F73BB"/>
    <w:rsid w:val="003F7499"/>
    <w:rsid w:val="003F753E"/>
    <w:rsid w:val="003F7A68"/>
    <w:rsid w:val="003F7A72"/>
    <w:rsid w:val="003F7B1B"/>
    <w:rsid w:val="003F7E56"/>
    <w:rsid w:val="00400472"/>
    <w:rsid w:val="004004AB"/>
    <w:rsid w:val="004004DF"/>
    <w:rsid w:val="00400535"/>
    <w:rsid w:val="00400A2A"/>
    <w:rsid w:val="00400A2D"/>
    <w:rsid w:val="00400B09"/>
    <w:rsid w:val="004011FC"/>
    <w:rsid w:val="004012ED"/>
    <w:rsid w:val="00401400"/>
    <w:rsid w:val="0040154F"/>
    <w:rsid w:val="00401769"/>
    <w:rsid w:val="004018C0"/>
    <w:rsid w:val="00402284"/>
    <w:rsid w:val="004023DC"/>
    <w:rsid w:val="0040246A"/>
    <w:rsid w:val="004024BE"/>
    <w:rsid w:val="004024CE"/>
    <w:rsid w:val="0040283A"/>
    <w:rsid w:val="00402977"/>
    <w:rsid w:val="00402D5B"/>
    <w:rsid w:val="004030ED"/>
    <w:rsid w:val="0040329B"/>
    <w:rsid w:val="00403374"/>
    <w:rsid w:val="004034D2"/>
    <w:rsid w:val="00403703"/>
    <w:rsid w:val="00403706"/>
    <w:rsid w:val="004037C7"/>
    <w:rsid w:val="004038FA"/>
    <w:rsid w:val="0040399D"/>
    <w:rsid w:val="00403BD1"/>
    <w:rsid w:val="00403D81"/>
    <w:rsid w:val="00403EF0"/>
    <w:rsid w:val="00404185"/>
    <w:rsid w:val="00404191"/>
    <w:rsid w:val="004042B6"/>
    <w:rsid w:val="00404566"/>
    <w:rsid w:val="004048B4"/>
    <w:rsid w:val="00404977"/>
    <w:rsid w:val="00404AB4"/>
    <w:rsid w:val="00404B5B"/>
    <w:rsid w:val="00404B86"/>
    <w:rsid w:val="00405129"/>
    <w:rsid w:val="00405431"/>
    <w:rsid w:val="00405473"/>
    <w:rsid w:val="00405501"/>
    <w:rsid w:val="0040554B"/>
    <w:rsid w:val="00405579"/>
    <w:rsid w:val="00405599"/>
    <w:rsid w:val="00405836"/>
    <w:rsid w:val="0040584A"/>
    <w:rsid w:val="00405991"/>
    <w:rsid w:val="00405B4B"/>
    <w:rsid w:val="00405C81"/>
    <w:rsid w:val="00405CB9"/>
    <w:rsid w:val="00405DD3"/>
    <w:rsid w:val="00405E37"/>
    <w:rsid w:val="00405E38"/>
    <w:rsid w:val="00405E88"/>
    <w:rsid w:val="00406370"/>
    <w:rsid w:val="0040680A"/>
    <w:rsid w:val="00406A83"/>
    <w:rsid w:val="00406B2C"/>
    <w:rsid w:val="00406C5B"/>
    <w:rsid w:val="00406CA7"/>
    <w:rsid w:val="004071EF"/>
    <w:rsid w:val="004072B3"/>
    <w:rsid w:val="004073A1"/>
    <w:rsid w:val="004073BD"/>
    <w:rsid w:val="0040748A"/>
    <w:rsid w:val="00407660"/>
    <w:rsid w:val="00407726"/>
    <w:rsid w:val="00407BCC"/>
    <w:rsid w:val="00407F80"/>
    <w:rsid w:val="004100B8"/>
    <w:rsid w:val="00410596"/>
    <w:rsid w:val="004108ED"/>
    <w:rsid w:val="00410BBA"/>
    <w:rsid w:val="00410C7D"/>
    <w:rsid w:val="00411108"/>
    <w:rsid w:val="00411364"/>
    <w:rsid w:val="0041164F"/>
    <w:rsid w:val="00411700"/>
    <w:rsid w:val="0041177A"/>
    <w:rsid w:val="00411808"/>
    <w:rsid w:val="00411DEF"/>
    <w:rsid w:val="00411F11"/>
    <w:rsid w:val="00411FC4"/>
    <w:rsid w:val="00412386"/>
    <w:rsid w:val="004125F1"/>
    <w:rsid w:val="00412677"/>
    <w:rsid w:val="00412A70"/>
    <w:rsid w:val="00412DDE"/>
    <w:rsid w:val="00412EB2"/>
    <w:rsid w:val="00412FB3"/>
    <w:rsid w:val="004133CC"/>
    <w:rsid w:val="00413505"/>
    <w:rsid w:val="00413689"/>
    <w:rsid w:val="0041393F"/>
    <w:rsid w:val="00413C02"/>
    <w:rsid w:val="00414038"/>
    <w:rsid w:val="00414556"/>
    <w:rsid w:val="00414577"/>
    <w:rsid w:val="004145F7"/>
    <w:rsid w:val="0041483C"/>
    <w:rsid w:val="00414872"/>
    <w:rsid w:val="0041490B"/>
    <w:rsid w:val="0041494D"/>
    <w:rsid w:val="00414A1C"/>
    <w:rsid w:val="00414E41"/>
    <w:rsid w:val="0041518F"/>
    <w:rsid w:val="00415369"/>
    <w:rsid w:val="004154FD"/>
    <w:rsid w:val="004155AF"/>
    <w:rsid w:val="0041564B"/>
    <w:rsid w:val="00415699"/>
    <w:rsid w:val="004156FB"/>
    <w:rsid w:val="00415767"/>
    <w:rsid w:val="00415994"/>
    <w:rsid w:val="00415EDE"/>
    <w:rsid w:val="00415F1F"/>
    <w:rsid w:val="00416269"/>
    <w:rsid w:val="004162F9"/>
    <w:rsid w:val="004163F9"/>
    <w:rsid w:val="004164EA"/>
    <w:rsid w:val="00416511"/>
    <w:rsid w:val="004166A7"/>
    <w:rsid w:val="00416846"/>
    <w:rsid w:val="00416C53"/>
    <w:rsid w:val="00416D91"/>
    <w:rsid w:val="00416DA4"/>
    <w:rsid w:val="00416E32"/>
    <w:rsid w:val="00416F4E"/>
    <w:rsid w:val="00417092"/>
    <w:rsid w:val="00417346"/>
    <w:rsid w:val="0041747C"/>
    <w:rsid w:val="0041759E"/>
    <w:rsid w:val="0041761D"/>
    <w:rsid w:val="0041766E"/>
    <w:rsid w:val="00417673"/>
    <w:rsid w:val="00417738"/>
    <w:rsid w:val="00417806"/>
    <w:rsid w:val="00417867"/>
    <w:rsid w:val="00417B7F"/>
    <w:rsid w:val="00417F91"/>
    <w:rsid w:val="004200EE"/>
    <w:rsid w:val="00420249"/>
    <w:rsid w:val="0042034B"/>
    <w:rsid w:val="004203A7"/>
    <w:rsid w:val="0042051B"/>
    <w:rsid w:val="0042062F"/>
    <w:rsid w:val="004209A8"/>
    <w:rsid w:val="00420BF5"/>
    <w:rsid w:val="00420CFB"/>
    <w:rsid w:val="00420DB9"/>
    <w:rsid w:val="00420DEA"/>
    <w:rsid w:val="00420F14"/>
    <w:rsid w:val="004213D4"/>
    <w:rsid w:val="00421400"/>
    <w:rsid w:val="0042145A"/>
    <w:rsid w:val="0042150A"/>
    <w:rsid w:val="00421612"/>
    <w:rsid w:val="004218B1"/>
    <w:rsid w:val="00421A19"/>
    <w:rsid w:val="00421B7D"/>
    <w:rsid w:val="00421CB3"/>
    <w:rsid w:val="00421D2C"/>
    <w:rsid w:val="00422025"/>
    <w:rsid w:val="0042210A"/>
    <w:rsid w:val="00422871"/>
    <w:rsid w:val="00422BE8"/>
    <w:rsid w:val="00422C22"/>
    <w:rsid w:val="00422C4C"/>
    <w:rsid w:val="00422FA2"/>
    <w:rsid w:val="00422FEB"/>
    <w:rsid w:val="004231AD"/>
    <w:rsid w:val="00423241"/>
    <w:rsid w:val="004232C2"/>
    <w:rsid w:val="00423AF5"/>
    <w:rsid w:val="00423CE5"/>
    <w:rsid w:val="00423D51"/>
    <w:rsid w:val="00423D66"/>
    <w:rsid w:val="00423F74"/>
    <w:rsid w:val="0042407E"/>
    <w:rsid w:val="00424168"/>
    <w:rsid w:val="00424414"/>
    <w:rsid w:val="004245B8"/>
    <w:rsid w:val="00424B9F"/>
    <w:rsid w:val="00424D47"/>
    <w:rsid w:val="004251B0"/>
    <w:rsid w:val="00425721"/>
    <w:rsid w:val="0042575F"/>
    <w:rsid w:val="00425809"/>
    <w:rsid w:val="004259AF"/>
    <w:rsid w:val="00425BD8"/>
    <w:rsid w:val="00425D28"/>
    <w:rsid w:val="00426559"/>
    <w:rsid w:val="004266A1"/>
    <w:rsid w:val="00426815"/>
    <w:rsid w:val="00426C99"/>
    <w:rsid w:val="00426D0D"/>
    <w:rsid w:val="00426FE2"/>
    <w:rsid w:val="004271CD"/>
    <w:rsid w:val="004271E8"/>
    <w:rsid w:val="0042721A"/>
    <w:rsid w:val="004272A1"/>
    <w:rsid w:val="0042755F"/>
    <w:rsid w:val="004276E0"/>
    <w:rsid w:val="00427808"/>
    <w:rsid w:val="00427960"/>
    <w:rsid w:val="00427AFD"/>
    <w:rsid w:val="00427BA6"/>
    <w:rsid w:val="00427E6B"/>
    <w:rsid w:val="00427E9F"/>
    <w:rsid w:val="00427EA3"/>
    <w:rsid w:val="00427EE8"/>
    <w:rsid w:val="00427F4C"/>
    <w:rsid w:val="004302A3"/>
    <w:rsid w:val="004302AB"/>
    <w:rsid w:val="004302AC"/>
    <w:rsid w:val="0043058B"/>
    <w:rsid w:val="0043076E"/>
    <w:rsid w:val="0043099A"/>
    <w:rsid w:val="00430C1C"/>
    <w:rsid w:val="00430C52"/>
    <w:rsid w:val="00430C66"/>
    <w:rsid w:val="00430D03"/>
    <w:rsid w:val="0043103D"/>
    <w:rsid w:val="00431146"/>
    <w:rsid w:val="00431191"/>
    <w:rsid w:val="00431372"/>
    <w:rsid w:val="004313BF"/>
    <w:rsid w:val="0043158A"/>
    <w:rsid w:val="00431595"/>
    <w:rsid w:val="00431990"/>
    <w:rsid w:val="004319AA"/>
    <w:rsid w:val="004319DA"/>
    <w:rsid w:val="00431A41"/>
    <w:rsid w:val="00431DF8"/>
    <w:rsid w:val="00431EEC"/>
    <w:rsid w:val="0043231B"/>
    <w:rsid w:val="00432513"/>
    <w:rsid w:val="00432532"/>
    <w:rsid w:val="004325DE"/>
    <w:rsid w:val="004325F9"/>
    <w:rsid w:val="00432665"/>
    <w:rsid w:val="004328C7"/>
    <w:rsid w:val="004329D9"/>
    <w:rsid w:val="004329DA"/>
    <w:rsid w:val="00432B10"/>
    <w:rsid w:val="00432BC2"/>
    <w:rsid w:val="00432D2B"/>
    <w:rsid w:val="00433019"/>
    <w:rsid w:val="00433063"/>
    <w:rsid w:val="00433066"/>
    <w:rsid w:val="0043309C"/>
    <w:rsid w:val="004331CD"/>
    <w:rsid w:val="00433219"/>
    <w:rsid w:val="004333AF"/>
    <w:rsid w:val="004335CE"/>
    <w:rsid w:val="004337A8"/>
    <w:rsid w:val="00433A88"/>
    <w:rsid w:val="00433AC8"/>
    <w:rsid w:val="00433B5D"/>
    <w:rsid w:val="00433CAE"/>
    <w:rsid w:val="00433D35"/>
    <w:rsid w:val="00434007"/>
    <w:rsid w:val="00434057"/>
    <w:rsid w:val="00434143"/>
    <w:rsid w:val="0043423E"/>
    <w:rsid w:val="004342ED"/>
    <w:rsid w:val="00434311"/>
    <w:rsid w:val="00434404"/>
    <w:rsid w:val="00434472"/>
    <w:rsid w:val="004344CE"/>
    <w:rsid w:val="004346C3"/>
    <w:rsid w:val="004348DC"/>
    <w:rsid w:val="004349A3"/>
    <w:rsid w:val="00434F06"/>
    <w:rsid w:val="004350F2"/>
    <w:rsid w:val="00435110"/>
    <w:rsid w:val="00435153"/>
    <w:rsid w:val="0043519E"/>
    <w:rsid w:val="0043564C"/>
    <w:rsid w:val="00435664"/>
    <w:rsid w:val="004357A8"/>
    <w:rsid w:val="0043597C"/>
    <w:rsid w:val="00435B01"/>
    <w:rsid w:val="00435B08"/>
    <w:rsid w:val="00435C56"/>
    <w:rsid w:val="00435C8D"/>
    <w:rsid w:val="00435E58"/>
    <w:rsid w:val="00436096"/>
    <w:rsid w:val="004360A4"/>
    <w:rsid w:val="00436322"/>
    <w:rsid w:val="00436390"/>
    <w:rsid w:val="004364E1"/>
    <w:rsid w:val="004365F5"/>
    <w:rsid w:val="004366A8"/>
    <w:rsid w:val="004366EC"/>
    <w:rsid w:val="0043673A"/>
    <w:rsid w:val="0043677E"/>
    <w:rsid w:val="0043686A"/>
    <w:rsid w:val="0043693A"/>
    <w:rsid w:val="00436990"/>
    <w:rsid w:val="00436A19"/>
    <w:rsid w:val="00436A77"/>
    <w:rsid w:val="00436A7B"/>
    <w:rsid w:val="00436D6A"/>
    <w:rsid w:val="0043709B"/>
    <w:rsid w:val="004370E8"/>
    <w:rsid w:val="00437117"/>
    <w:rsid w:val="004372E2"/>
    <w:rsid w:val="0043758F"/>
    <w:rsid w:val="004376C3"/>
    <w:rsid w:val="00437715"/>
    <w:rsid w:val="0043775F"/>
    <w:rsid w:val="00437761"/>
    <w:rsid w:val="00437A2A"/>
    <w:rsid w:val="00437BA5"/>
    <w:rsid w:val="00437E03"/>
    <w:rsid w:val="00437E16"/>
    <w:rsid w:val="00437E6A"/>
    <w:rsid w:val="00437F27"/>
    <w:rsid w:val="00437FBA"/>
    <w:rsid w:val="004400EB"/>
    <w:rsid w:val="0044020B"/>
    <w:rsid w:val="00440524"/>
    <w:rsid w:val="00440B11"/>
    <w:rsid w:val="00440CED"/>
    <w:rsid w:val="00440DC9"/>
    <w:rsid w:val="00440F6A"/>
    <w:rsid w:val="004413FA"/>
    <w:rsid w:val="004414A5"/>
    <w:rsid w:val="0044178D"/>
    <w:rsid w:val="004417EA"/>
    <w:rsid w:val="00441910"/>
    <w:rsid w:val="00441E33"/>
    <w:rsid w:val="004424AB"/>
    <w:rsid w:val="00442875"/>
    <w:rsid w:val="00442AE0"/>
    <w:rsid w:val="00442CB5"/>
    <w:rsid w:val="00442D85"/>
    <w:rsid w:val="004431F5"/>
    <w:rsid w:val="00443235"/>
    <w:rsid w:val="00443302"/>
    <w:rsid w:val="0044375B"/>
    <w:rsid w:val="004439DF"/>
    <w:rsid w:val="00443A64"/>
    <w:rsid w:val="00443AF9"/>
    <w:rsid w:val="00443E66"/>
    <w:rsid w:val="00443F9B"/>
    <w:rsid w:val="00443FF4"/>
    <w:rsid w:val="00444026"/>
    <w:rsid w:val="00444056"/>
    <w:rsid w:val="004441C1"/>
    <w:rsid w:val="0044422D"/>
    <w:rsid w:val="004442F7"/>
    <w:rsid w:val="00444844"/>
    <w:rsid w:val="00444CE2"/>
    <w:rsid w:val="00444D2A"/>
    <w:rsid w:val="00445618"/>
    <w:rsid w:val="0044574F"/>
    <w:rsid w:val="0044585C"/>
    <w:rsid w:val="00445AFF"/>
    <w:rsid w:val="00445CF1"/>
    <w:rsid w:val="00445E12"/>
    <w:rsid w:val="00445EBD"/>
    <w:rsid w:val="0044620D"/>
    <w:rsid w:val="00446222"/>
    <w:rsid w:val="00446640"/>
    <w:rsid w:val="0044671B"/>
    <w:rsid w:val="0044676C"/>
    <w:rsid w:val="004468BC"/>
    <w:rsid w:val="00446911"/>
    <w:rsid w:val="00446C50"/>
    <w:rsid w:val="00446CDA"/>
    <w:rsid w:val="00446DBF"/>
    <w:rsid w:val="00446F52"/>
    <w:rsid w:val="0044712C"/>
    <w:rsid w:val="004472A5"/>
    <w:rsid w:val="00447460"/>
    <w:rsid w:val="004475F2"/>
    <w:rsid w:val="004476DE"/>
    <w:rsid w:val="00447B40"/>
    <w:rsid w:val="00447D82"/>
    <w:rsid w:val="00447E76"/>
    <w:rsid w:val="00447F85"/>
    <w:rsid w:val="00450290"/>
    <w:rsid w:val="0045048C"/>
    <w:rsid w:val="00450704"/>
    <w:rsid w:val="0045071D"/>
    <w:rsid w:val="00450793"/>
    <w:rsid w:val="00450842"/>
    <w:rsid w:val="0045090B"/>
    <w:rsid w:val="00450A8D"/>
    <w:rsid w:val="00450C04"/>
    <w:rsid w:val="00450E7A"/>
    <w:rsid w:val="00450FB8"/>
    <w:rsid w:val="00450FC9"/>
    <w:rsid w:val="00451489"/>
    <w:rsid w:val="004514CD"/>
    <w:rsid w:val="004517F1"/>
    <w:rsid w:val="004518BC"/>
    <w:rsid w:val="004519AF"/>
    <w:rsid w:val="00451B02"/>
    <w:rsid w:val="00451B9F"/>
    <w:rsid w:val="00451DD2"/>
    <w:rsid w:val="0045253F"/>
    <w:rsid w:val="00452744"/>
    <w:rsid w:val="00452A80"/>
    <w:rsid w:val="00453023"/>
    <w:rsid w:val="00453071"/>
    <w:rsid w:val="004531B8"/>
    <w:rsid w:val="004533C1"/>
    <w:rsid w:val="004533E9"/>
    <w:rsid w:val="004535DC"/>
    <w:rsid w:val="004537BB"/>
    <w:rsid w:val="00453C5F"/>
    <w:rsid w:val="004540BF"/>
    <w:rsid w:val="004540E0"/>
    <w:rsid w:val="004541F5"/>
    <w:rsid w:val="00454237"/>
    <w:rsid w:val="004543B3"/>
    <w:rsid w:val="0045462E"/>
    <w:rsid w:val="004546AC"/>
    <w:rsid w:val="00454727"/>
    <w:rsid w:val="00454A71"/>
    <w:rsid w:val="00454A7A"/>
    <w:rsid w:val="00454B12"/>
    <w:rsid w:val="00454CA9"/>
    <w:rsid w:val="00454F44"/>
    <w:rsid w:val="00454FB3"/>
    <w:rsid w:val="00455178"/>
    <w:rsid w:val="004552B2"/>
    <w:rsid w:val="004553BC"/>
    <w:rsid w:val="004553BE"/>
    <w:rsid w:val="00455607"/>
    <w:rsid w:val="0045562D"/>
    <w:rsid w:val="004556ED"/>
    <w:rsid w:val="00455742"/>
    <w:rsid w:val="00455877"/>
    <w:rsid w:val="0045591D"/>
    <w:rsid w:val="00455942"/>
    <w:rsid w:val="00455957"/>
    <w:rsid w:val="00455BD4"/>
    <w:rsid w:val="004565C8"/>
    <w:rsid w:val="004565D7"/>
    <w:rsid w:val="00456620"/>
    <w:rsid w:val="004568B6"/>
    <w:rsid w:val="00456966"/>
    <w:rsid w:val="00456A6E"/>
    <w:rsid w:val="00456C43"/>
    <w:rsid w:val="00456E72"/>
    <w:rsid w:val="00457056"/>
    <w:rsid w:val="0045717C"/>
    <w:rsid w:val="004571EF"/>
    <w:rsid w:val="00457636"/>
    <w:rsid w:val="00457641"/>
    <w:rsid w:val="0045764C"/>
    <w:rsid w:val="0045777A"/>
    <w:rsid w:val="004577D9"/>
    <w:rsid w:val="00457A35"/>
    <w:rsid w:val="00457A3C"/>
    <w:rsid w:val="00457BA6"/>
    <w:rsid w:val="00457C01"/>
    <w:rsid w:val="0046013C"/>
    <w:rsid w:val="00460184"/>
    <w:rsid w:val="00460189"/>
    <w:rsid w:val="0046026A"/>
    <w:rsid w:val="00460349"/>
    <w:rsid w:val="00460448"/>
    <w:rsid w:val="004604B9"/>
    <w:rsid w:val="004609EB"/>
    <w:rsid w:val="00460AB4"/>
    <w:rsid w:val="00460F91"/>
    <w:rsid w:val="004610E5"/>
    <w:rsid w:val="0046156C"/>
    <w:rsid w:val="004616C1"/>
    <w:rsid w:val="00462066"/>
    <w:rsid w:val="00462288"/>
    <w:rsid w:val="00462290"/>
    <w:rsid w:val="0046247A"/>
    <w:rsid w:val="0046270F"/>
    <w:rsid w:val="00462781"/>
    <w:rsid w:val="0046299D"/>
    <w:rsid w:val="004629C5"/>
    <w:rsid w:val="00462AC3"/>
    <w:rsid w:val="00462C94"/>
    <w:rsid w:val="004631A7"/>
    <w:rsid w:val="0046376F"/>
    <w:rsid w:val="00463B53"/>
    <w:rsid w:val="00463E10"/>
    <w:rsid w:val="004640F5"/>
    <w:rsid w:val="00464491"/>
    <w:rsid w:val="004644CF"/>
    <w:rsid w:val="00464723"/>
    <w:rsid w:val="004647B2"/>
    <w:rsid w:val="004647D9"/>
    <w:rsid w:val="00464A33"/>
    <w:rsid w:val="00464A3B"/>
    <w:rsid w:val="00464C8F"/>
    <w:rsid w:val="00464EA8"/>
    <w:rsid w:val="00465101"/>
    <w:rsid w:val="004652C0"/>
    <w:rsid w:val="00465327"/>
    <w:rsid w:val="0046538C"/>
    <w:rsid w:val="0046584A"/>
    <w:rsid w:val="00465C1F"/>
    <w:rsid w:val="00465F97"/>
    <w:rsid w:val="00466087"/>
    <w:rsid w:val="00466227"/>
    <w:rsid w:val="0046663E"/>
    <w:rsid w:val="00466984"/>
    <w:rsid w:val="00466E82"/>
    <w:rsid w:val="00467023"/>
    <w:rsid w:val="004671D3"/>
    <w:rsid w:val="004674EF"/>
    <w:rsid w:val="00467713"/>
    <w:rsid w:val="00467936"/>
    <w:rsid w:val="00467B37"/>
    <w:rsid w:val="00467B42"/>
    <w:rsid w:val="00467C36"/>
    <w:rsid w:val="00467C93"/>
    <w:rsid w:val="00467D72"/>
    <w:rsid w:val="00467D7C"/>
    <w:rsid w:val="00470298"/>
    <w:rsid w:val="004702AD"/>
    <w:rsid w:val="0047043E"/>
    <w:rsid w:val="00470468"/>
    <w:rsid w:val="00470569"/>
    <w:rsid w:val="00470597"/>
    <w:rsid w:val="00470A28"/>
    <w:rsid w:val="00470A4B"/>
    <w:rsid w:val="00470EC5"/>
    <w:rsid w:val="00470FE9"/>
    <w:rsid w:val="0047100F"/>
    <w:rsid w:val="004711AD"/>
    <w:rsid w:val="00471359"/>
    <w:rsid w:val="0047187E"/>
    <w:rsid w:val="004718FD"/>
    <w:rsid w:val="0047192C"/>
    <w:rsid w:val="00471B50"/>
    <w:rsid w:val="00471CC1"/>
    <w:rsid w:val="00471F94"/>
    <w:rsid w:val="00472602"/>
    <w:rsid w:val="0047271A"/>
    <w:rsid w:val="004727B5"/>
    <w:rsid w:val="004728C2"/>
    <w:rsid w:val="004728E9"/>
    <w:rsid w:val="004728F7"/>
    <w:rsid w:val="00472A35"/>
    <w:rsid w:val="00472CF6"/>
    <w:rsid w:val="00472DAC"/>
    <w:rsid w:val="004732D6"/>
    <w:rsid w:val="0047333C"/>
    <w:rsid w:val="0047387E"/>
    <w:rsid w:val="00473B20"/>
    <w:rsid w:val="00473C8F"/>
    <w:rsid w:val="00473D45"/>
    <w:rsid w:val="00473DA0"/>
    <w:rsid w:val="00473DE0"/>
    <w:rsid w:val="00473F13"/>
    <w:rsid w:val="00473F2B"/>
    <w:rsid w:val="00473FA1"/>
    <w:rsid w:val="00474053"/>
    <w:rsid w:val="0047424D"/>
    <w:rsid w:val="00474423"/>
    <w:rsid w:val="00474448"/>
    <w:rsid w:val="00474787"/>
    <w:rsid w:val="00474B38"/>
    <w:rsid w:val="00474B5F"/>
    <w:rsid w:val="00474BC7"/>
    <w:rsid w:val="00474D45"/>
    <w:rsid w:val="00475168"/>
    <w:rsid w:val="00475495"/>
    <w:rsid w:val="004754D5"/>
    <w:rsid w:val="0047576C"/>
    <w:rsid w:val="00475799"/>
    <w:rsid w:val="004757A5"/>
    <w:rsid w:val="00475925"/>
    <w:rsid w:val="004759B9"/>
    <w:rsid w:val="00475A57"/>
    <w:rsid w:val="00475AE7"/>
    <w:rsid w:val="00475BCF"/>
    <w:rsid w:val="00475BD6"/>
    <w:rsid w:val="00475C58"/>
    <w:rsid w:val="00475C5A"/>
    <w:rsid w:val="00475EBF"/>
    <w:rsid w:val="00475F4E"/>
    <w:rsid w:val="00475FFA"/>
    <w:rsid w:val="0047610E"/>
    <w:rsid w:val="004761B0"/>
    <w:rsid w:val="004764D3"/>
    <w:rsid w:val="00476567"/>
    <w:rsid w:val="00476A50"/>
    <w:rsid w:val="00476B6C"/>
    <w:rsid w:val="00476C15"/>
    <w:rsid w:val="00476DCE"/>
    <w:rsid w:val="004770E1"/>
    <w:rsid w:val="004770FA"/>
    <w:rsid w:val="0047739F"/>
    <w:rsid w:val="004773AD"/>
    <w:rsid w:val="0047743C"/>
    <w:rsid w:val="00477486"/>
    <w:rsid w:val="004774B7"/>
    <w:rsid w:val="0047770F"/>
    <w:rsid w:val="00477B13"/>
    <w:rsid w:val="00480082"/>
    <w:rsid w:val="004800D0"/>
    <w:rsid w:val="00480668"/>
    <w:rsid w:val="00480690"/>
    <w:rsid w:val="0048080C"/>
    <w:rsid w:val="0048083A"/>
    <w:rsid w:val="00480B3F"/>
    <w:rsid w:val="00480B78"/>
    <w:rsid w:val="00481020"/>
    <w:rsid w:val="004810AC"/>
    <w:rsid w:val="004810EC"/>
    <w:rsid w:val="004811BF"/>
    <w:rsid w:val="004812BA"/>
    <w:rsid w:val="004814C2"/>
    <w:rsid w:val="00481876"/>
    <w:rsid w:val="00481931"/>
    <w:rsid w:val="00481A47"/>
    <w:rsid w:val="00481D7A"/>
    <w:rsid w:val="00481FA2"/>
    <w:rsid w:val="00481FA4"/>
    <w:rsid w:val="0048201F"/>
    <w:rsid w:val="004820C5"/>
    <w:rsid w:val="004821A5"/>
    <w:rsid w:val="00482396"/>
    <w:rsid w:val="00482446"/>
    <w:rsid w:val="00482481"/>
    <w:rsid w:val="00482502"/>
    <w:rsid w:val="0048257E"/>
    <w:rsid w:val="004826E6"/>
    <w:rsid w:val="0048283F"/>
    <w:rsid w:val="004829E9"/>
    <w:rsid w:val="00482B89"/>
    <w:rsid w:val="00482BB8"/>
    <w:rsid w:val="00482BF3"/>
    <w:rsid w:val="00482C69"/>
    <w:rsid w:val="00482D3D"/>
    <w:rsid w:val="00482EA9"/>
    <w:rsid w:val="0048330B"/>
    <w:rsid w:val="004833C5"/>
    <w:rsid w:val="004833F2"/>
    <w:rsid w:val="00483437"/>
    <w:rsid w:val="004836AD"/>
    <w:rsid w:val="00483841"/>
    <w:rsid w:val="00483BE5"/>
    <w:rsid w:val="00483D74"/>
    <w:rsid w:val="00483EAC"/>
    <w:rsid w:val="00483FD2"/>
    <w:rsid w:val="00484108"/>
    <w:rsid w:val="00484229"/>
    <w:rsid w:val="00484370"/>
    <w:rsid w:val="0048464A"/>
    <w:rsid w:val="004846E1"/>
    <w:rsid w:val="004846F5"/>
    <w:rsid w:val="0048477D"/>
    <w:rsid w:val="004847A4"/>
    <w:rsid w:val="00484825"/>
    <w:rsid w:val="004848F7"/>
    <w:rsid w:val="00484CCD"/>
    <w:rsid w:val="00484DC3"/>
    <w:rsid w:val="0048542F"/>
    <w:rsid w:val="00485568"/>
    <w:rsid w:val="004856D3"/>
    <w:rsid w:val="00485AA6"/>
    <w:rsid w:val="00485CEC"/>
    <w:rsid w:val="00485D94"/>
    <w:rsid w:val="00485E1F"/>
    <w:rsid w:val="00485FF0"/>
    <w:rsid w:val="00486349"/>
    <w:rsid w:val="004865CB"/>
    <w:rsid w:val="004865D7"/>
    <w:rsid w:val="0048683D"/>
    <w:rsid w:val="00486CFD"/>
    <w:rsid w:val="00486EBF"/>
    <w:rsid w:val="00486F5E"/>
    <w:rsid w:val="0048766A"/>
    <w:rsid w:val="0048771F"/>
    <w:rsid w:val="0048788D"/>
    <w:rsid w:val="00487A11"/>
    <w:rsid w:val="00487D32"/>
    <w:rsid w:val="00487DA2"/>
    <w:rsid w:val="00487DFD"/>
    <w:rsid w:val="00487E31"/>
    <w:rsid w:val="0049001F"/>
    <w:rsid w:val="00490136"/>
    <w:rsid w:val="004902CF"/>
    <w:rsid w:val="004903A9"/>
    <w:rsid w:val="004905BD"/>
    <w:rsid w:val="00490609"/>
    <w:rsid w:val="00490908"/>
    <w:rsid w:val="00490D4A"/>
    <w:rsid w:val="00490DF7"/>
    <w:rsid w:val="00490E9E"/>
    <w:rsid w:val="004911F3"/>
    <w:rsid w:val="004915DB"/>
    <w:rsid w:val="00491642"/>
    <w:rsid w:val="004916DA"/>
    <w:rsid w:val="004917B9"/>
    <w:rsid w:val="00491A20"/>
    <w:rsid w:val="00491A7A"/>
    <w:rsid w:val="00491C12"/>
    <w:rsid w:val="00491C81"/>
    <w:rsid w:val="00491C87"/>
    <w:rsid w:val="00491DB9"/>
    <w:rsid w:val="00491DEA"/>
    <w:rsid w:val="00491E5D"/>
    <w:rsid w:val="00491EA7"/>
    <w:rsid w:val="004920CE"/>
    <w:rsid w:val="004921A7"/>
    <w:rsid w:val="004922D9"/>
    <w:rsid w:val="00492353"/>
    <w:rsid w:val="00492384"/>
    <w:rsid w:val="0049243C"/>
    <w:rsid w:val="00492805"/>
    <w:rsid w:val="0049288D"/>
    <w:rsid w:val="00492C10"/>
    <w:rsid w:val="00492C46"/>
    <w:rsid w:val="00492D0B"/>
    <w:rsid w:val="00492D4C"/>
    <w:rsid w:val="00492F7A"/>
    <w:rsid w:val="00493033"/>
    <w:rsid w:val="00493146"/>
    <w:rsid w:val="00493298"/>
    <w:rsid w:val="00493829"/>
    <w:rsid w:val="00493A08"/>
    <w:rsid w:val="00493AB1"/>
    <w:rsid w:val="00493ACE"/>
    <w:rsid w:val="0049430C"/>
    <w:rsid w:val="0049438C"/>
    <w:rsid w:val="00494395"/>
    <w:rsid w:val="004943C4"/>
    <w:rsid w:val="0049443F"/>
    <w:rsid w:val="00494504"/>
    <w:rsid w:val="0049459A"/>
    <w:rsid w:val="004945FC"/>
    <w:rsid w:val="004947F1"/>
    <w:rsid w:val="00494A97"/>
    <w:rsid w:val="00494BCC"/>
    <w:rsid w:val="00494C31"/>
    <w:rsid w:val="004950B1"/>
    <w:rsid w:val="00495500"/>
    <w:rsid w:val="00495734"/>
    <w:rsid w:val="00495CF6"/>
    <w:rsid w:val="00495FEA"/>
    <w:rsid w:val="004960C0"/>
    <w:rsid w:val="00496991"/>
    <w:rsid w:val="00496A94"/>
    <w:rsid w:val="00496D16"/>
    <w:rsid w:val="00496E26"/>
    <w:rsid w:val="00496FB4"/>
    <w:rsid w:val="00497083"/>
    <w:rsid w:val="004970B7"/>
    <w:rsid w:val="0049750A"/>
    <w:rsid w:val="0049753D"/>
    <w:rsid w:val="00497624"/>
    <w:rsid w:val="004976F2"/>
    <w:rsid w:val="004977B4"/>
    <w:rsid w:val="004977BA"/>
    <w:rsid w:val="004977EE"/>
    <w:rsid w:val="004978D8"/>
    <w:rsid w:val="004978DC"/>
    <w:rsid w:val="00497C2A"/>
    <w:rsid w:val="00497CF9"/>
    <w:rsid w:val="00497DB6"/>
    <w:rsid w:val="004A00C0"/>
    <w:rsid w:val="004A00D5"/>
    <w:rsid w:val="004A04FE"/>
    <w:rsid w:val="004A053B"/>
    <w:rsid w:val="004A0DB7"/>
    <w:rsid w:val="004A0E64"/>
    <w:rsid w:val="004A103A"/>
    <w:rsid w:val="004A103F"/>
    <w:rsid w:val="004A1395"/>
    <w:rsid w:val="004A13BE"/>
    <w:rsid w:val="004A1550"/>
    <w:rsid w:val="004A192C"/>
    <w:rsid w:val="004A19CB"/>
    <w:rsid w:val="004A1D72"/>
    <w:rsid w:val="004A1D98"/>
    <w:rsid w:val="004A2042"/>
    <w:rsid w:val="004A20AD"/>
    <w:rsid w:val="004A213A"/>
    <w:rsid w:val="004A21A9"/>
    <w:rsid w:val="004A2348"/>
    <w:rsid w:val="004A23DF"/>
    <w:rsid w:val="004A25CD"/>
    <w:rsid w:val="004A2ACF"/>
    <w:rsid w:val="004A2B94"/>
    <w:rsid w:val="004A2C53"/>
    <w:rsid w:val="004A2EAB"/>
    <w:rsid w:val="004A3075"/>
    <w:rsid w:val="004A33F0"/>
    <w:rsid w:val="004A3572"/>
    <w:rsid w:val="004A367A"/>
    <w:rsid w:val="004A38E2"/>
    <w:rsid w:val="004A3B13"/>
    <w:rsid w:val="004A3F6C"/>
    <w:rsid w:val="004A403E"/>
    <w:rsid w:val="004A42FE"/>
    <w:rsid w:val="004A4325"/>
    <w:rsid w:val="004A444E"/>
    <w:rsid w:val="004A44EE"/>
    <w:rsid w:val="004A458B"/>
    <w:rsid w:val="004A4733"/>
    <w:rsid w:val="004A47A5"/>
    <w:rsid w:val="004A48F1"/>
    <w:rsid w:val="004A4A29"/>
    <w:rsid w:val="004A4CEE"/>
    <w:rsid w:val="004A4D10"/>
    <w:rsid w:val="004A5118"/>
    <w:rsid w:val="004A54E0"/>
    <w:rsid w:val="004A59E4"/>
    <w:rsid w:val="004A5BA0"/>
    <w:rsid w:val="004A5CC6"/>
    <w:rsid w:val="004A60F6"/>
    <w:rsid w:val="004A613C"/>
    <w:rsid w:val="004A617B"/>
    <w:rsid w:val="004A6326"/>
    <w:rsid w:val="004A6487"/>
    <w:rsid w:val="004A654C"/>
    <w:rsid w:val="004A6670"/>
    <w:rsid w:val="004A6BDD"/>
    <w:rsid w:val="004A6BFE"/>
    <w:rsid w:val="004A6D72"/>
    <w:rsid w:val="004A6D8C"/>
    <w:rsid w:val="004A6FB4"/>
    <w:rsid w:val="004A70A6"/>
    <w:rsid w:val="004A70B2"/>
    <w:rsid w:val="004A72A6"/>
    <w:rsid w:val="004A72A9"/>
    <w:rsid w:val="004A78A0"/>
    <w:rsid w:val="004A7E4F"/>
    <w:rsid w:val="004B00B8"/>
    <w:rsid w:val="004B039C"/>
    <w:rsid w:val="004B0901"/>
    <w:rsid w:val="004B096A"/>
    <w:rsid w:val="004B09A6"/>
    <w:rsid w:val="004B0B8F"/>
    <w:rsid w:val="004B0FF3"/>
    <w:rsid w:val="004B10BE"/>
    <w:rsid w:val="004B12C6"/>
    <w:rsid w:val="004B159D"/>
    <w:rsid w:val="004B16B6"/>
    <w:rsid w:val="004B17DC"/>
    <w:rsid w:val="004B1AA6"/>
    <w:rsid w:val="004B1B43"/>
    <w:rsid w:val="004B1BF3"/>
    <w:rsid w:val="004B21BC"/>
    <w:rsid w:val="004B224F"/>
    <w:rsid w:val="004B2263"/>
    <w:rsid w:val="004B22CA"/>
    <w:rsid w:val="004B2538"/>
    <w:rsid w:val="004B2603"/>
    <w:rsid w:val="004B2790"/>
    <w:rsid w:val="004B2B0F"/>
    <w:rsid w:val="004B2B49"/>
    <w:rsid w:val="004B2D99"/>
    <w:rsid w:val="004B3035"/>
    <w:rsid w:val="004B3066"/>
    <w:rsid w:val="004B3387"/>
    <w:rsid w:val="004B33DB"/>
    <w:rsid w:val="004B3746"/>
    <w:rsid w:val="004B3A94"/>
    <w:rsid w:val="004B3A96"/>
    <w:rsid w:val="004B3CAB"/>
    <w:rsid w:val="004B3FDF"/>
    <w:rsid w:val="004B4180"/>
    <w:rsid w:val="004B4547"/>
    <w:rsid w:val="004B45A6"/>
    <w:rsid w:val="004B45AE"/>
    <w:rsid w:val="004B4724"/>
    <w:rsid w:val="004B4A0A"/>
    <w:rsid w:val="004B4E13"/>
    <w:rsid w:val="004B4FB1"/>
    <w:rsid w:val="004B5035"/>
    <w:rsid w:val="004B5037"/>
    <w:rsid w:val="004B5517"/>
    <w:rsid w:val="004B572B"/>
    <w:rsid w:val="004B5736"/>
    <w:rsid w:val="004B5A2A"/>
    <w:rsid w:val="004B5D0B"/>
    <w:rsid w:val="004B5DB9"/>
    <w:rsid w:val="004B5FF2"/>
    <w:rsid w:val="004B66B3"/>
    <w:rsid w:val="004B67A5"/>
    <w:rsid w:val="004B694A"/>
    <w:rsid w:val="004B69CA"/>
    <w:rsid w:val="004B69E3"/>
    <w:rsid w:val="004B6BA3"/>
    <w:rsid w:val="004B6C96"/>
    <w:rsid w:val="004B6E4D"/>
    <w:rsid w:val="004B7077"/>
    <w:rsid w:val="004B7099"/>
    <w:rsid w:val="004B712F"/>
    <w:rsid w:val="004B724E"/>
    <w:rsid w:val="004B72ED"/>
    <w:rsid w:val="004B75D5"/>
    <w:rsid w:val="004B77D7"/>
    <w:rsid w:val="004B79F6"/>
    <w:rsid w:val="004B7C15"/>
    <w:rsid w:val="004B7C2A"/>
    <w:rsid w:val="004B7CBF"/>
    <w:rsid w:val="004B7E9D"/>
    <w:rsid w:val="004B7EC3"/>
    <w:rsid w:val="004B7F3C"/>
    <w:rsid w:val="004B7FB1"/>
    <w:rsid w:val="004C0129"/>
    <w:rsid w:val="004C068B"/>
    <w:rsid w:val="004C0700"/>
    <w:rsid w:val="004C0814"/>
    <w:rsid w:val="004C09E2"/>
    <w:rsid w:val="004C0A64"/>
    <w:rsid w:val="004C0E8D"/>
    <w:rsid w:val="004C0ED5"/>
    <w:rsid w:val="004C111C"/>
    <w:rsid w:val="004C1151"/>
    <w:rsid w:val="004C116D"/>
    <w:rsid w:val="004C1241"/>
    <w:rsid w:val="004C1330"/>
    <w:rsid w:val="004C144C"/>
    <w:rsid w:val="004C1674"/>
    <w:rsid w:val="004C1AC3"/>
    <w:rsid w:val="004C1C5E"/>
    <w:rsid w:val="004C1D1C"/>
    <w:rsid w:val="004C1D96"/>
    <w:rsid w:val="004C1E32"/>
    <w:rsid w:val="004C201B"/>
    <w:rsid w:val="004C2075"/>
    <w:rsid w:val="004C25A5"/>
    <w:rsid w:val="004C2D8C"/>
    <w:rsid w:val="004C2FDE"/>
    <w:rsid w:val="004C3123"/>
    <w:rsid w:val="004C3144"/>
    <w:rsid w:val="004C31DB"/>
    <w:rsid w:val="004C31ED"/>
    <w:rsid w:val="004C3217"/>
    <w:rsid w:val="004C331B"/>
    <w:rsid w:val="004C33B2"/>
    <w:rsid w:val="004C3489"/>
    <w:rsid w:val="004C3891"/>
    <w:rsid w:val="004C3902"/>
    <w:rsid w:val="004C3986"/>
    <w:rsid w:val="004C39ED"/>
    <w:rsid w:val="004C3A14"/>
    <w:rsid w:val="004C3A1B"/>
    <w:rsid w:val="004C3AD0"/>
    <w:rsid w:val="004C4113"/>
    <w:rsid w:val="004C461E"/>
    <w:rsid w:val="004C4FD9"/>
    <w:rsid w:val="004C514C"/>
    <w:rsid w:val="004C55F5"/>
    <w:rsid w:val="004C5619"/>
    <w:rsid w:val="004C580E"/>
    <w:rsid w:val="004C596F"/>
    <w:rsid w:val="004C59A0"/>
    <w:rsid w:val="004C5C7E"/>
    <w:rsid w:val="004C5CE7"/>
    <w:rsid w:val="004C602E"/>
    <w:rsid w:val="004C61A4"/>
    <w:rsid w:val="004C65B5"/>
    <w:rsid w:val="004C6899"/>
    <w:rsid w:val="004C68E9"/>
    <w:rsid w:val="004C6B66"/>
    <w:rsid w:val="004C6BEC"/>
    <w:rsid w:val="004C6C97"/>
    <w:rsid w:val="004C712C"/>
    <w:rsid w:val="004C725A"/>
    <w:rsid w:val="004C75AF"/>
    <w:rsid w:val="004C773A"/>
    <w:rsid w:val="004C784B"/>
    <w:rsid w:val="004C7992"/>
    <w:rsid w:val="004C7C65"/>
    <w:rsid w:val="004C7CB9"/>
    <w:rsid w:val="004C7E84"/>
    <w:rsid w:val="004D032B"/>
    <w:rsid w:val="004D03C1"/>
    <w:rsid w:val="004D053E"/>
    <w:rsid w:val="004D0829"/>
    <w:rsid w:val="004D0906"/>
    <w:rsid w:val="004D0ADC"/>
    <w:rsid w:val="004D0F74"/>
    <w:rsid w:val="004D108B"/>
    <w:rsid w:val="004D1125"/>
    <w:rsid w:val="004D1142"/>
    <w:rsid w:val="004D146B"/>
    <w:rsid w:val="004D1637"/>
    <w:rsid w:val="004D170E"/>
    <w:rsid w:val="004D18A1"/>
    <w:rsid w:val="004D19A7"/>
    <w:rsid w:val="004D1A95"/>
    <w:rsid w:val="004D1AAF"/>
    <w:rsid w:val="004D2057"/>
    <w:rsid w:val="004D232A"/>
    <w:rsid w:val="004D2354"/>
    <w:rsid w:val="004D2428"/>
    <w:rsid w:val="004D2498"/>
    <w:rsid w:val="004D2699"/>
    <w:rsid w:val="004D27CC"/>
    <w:rsid w:val="004D28FA"/>
    <w:rsid w:val="004D29B3"/>
    <w:rsid w:val="004D2A8A"/>
    <w:rsid w:val="004D2BB6"/>
    <w:rsid w:val="004D2BD0"/>
    <w:rsid w:val="004D2D7A"/>
    <w:rsid w:val="004D2F6B"/>
    <w:rsid w:val="004D2FDF"/>
    <w:rsid w:val="004D31DA"/>
    <w:rsid w:val="004D3413"/>
    <w:rsid w:val="004D38F4"/>
    <w:rsid w:val="004D3B3D"/>
    <w:rsid w:val="004D3BF6"/>
    <w:rsid w:val="004D3F78"/>
    <w:rsid w:val="004D4061"/>
    <w:rsid w:val="004D411A"/>
    <w:rsid w:val="004D4569"/>
    <w:rsid w:val="004D458B"/>
    <w:rsid w:val="004D475B"/>
    <w:rsid w:val="004D49C9"/>
    <w:rsid w:val="004D4D72"/>
    <w:rsid w:val="004D5147"/>
    <w:rsid w:val="004D52C8"/>
    <w:rsid w:val="004D52E6"/>
    <w:rsid w:val="004D56B3"/>
    <w:rsid w:val="004D58C3"/>
    <w:rsid w:val="004D5F50"/>
    <w:rsid w:val="004D611B"/>
    <w:rsid w:val="004D6135"/>
    <w:rsid w:val="004D6275"/>
    <w:rsid w:val="004D633C"/>
    <w:rsid w:val="004D645A"/>
    <w:rsid w:val="004D66CB"/>
    <w:rsid w:val="004D6702"/>
    <w:rsid w:val="004D7089"/>
    <w:rsid w:val="004D72F2"/>
    <w:rsid w:val="004D761B"/>
    <w:rsid w:val="004D775E"/>
    <w:rsid w:val="004D7787"/>
    <w:rsid w:val="004D79CA"/>
    <w:rsid w:val="004D7B3D"/>
    <w:rsid w:val="004D7B95"/>
    <w:rsid w:val="004D7E76"/>
    <w:rsid w:val="004D7FB0"/>
    <w:rsid w:val="004E00B7"/>
    <w:rsid w:val="004E0184"/>
    <w:rsid w:val="004E045A"/>
    <w:rsid w:val="004E0835"/>
    <w:rsid w:val="004E0AE1"/>
    <w:rsid w:val="004E0F46"/>
    <w:rsid w:val="004E10E6"/>
    <w:rsid w:val="004E123D"/>
    <w:rsid w:val="004E1244"/>
    <w:rsid w:val="004E1427"/>
    <w:rsid w:val="004E14AB"/>
    <w:rsid w:val="004E14CF"/>
    <w:rsid w:val="004E150E"/>
    <w:rsid w:val="004E16A4"/>
    <w:rsid w:val="004E184E"/>
    <w:rsid w:val="004E1870"/>
    <w:rsid w:val="004E1924"/>
    <w:rsid w:val="004E1BF0"/>
    <w:rsid w:val="004E1C0A"/>
    <w:rsid w:val="004E1C41"/>
    <w:rsid w:val="004E1F11"/>
    <w:rsid w:val="004E1FFF"/>
    <w:rsid w:val="004E2130"/>
    <w:rsid w:val="004E231B"/>
    <w:rsid w:val="004E23F1"/>
    <w:rsid w:val="004E2500"/>
    <w:rsid w:val="004E2577"/>
    <w:rsid w:val="004E2990"/>
    <w:rsid w:val="004E2BD0"/>
    <w:rsid w:val="004E2C54"/>
    <w:rsid w:val="004E2E90"/>
    <w:rsid w:val="004E2FC9"/>
    <w:rsid w:val="004E2FDF"/>
    <w:rsid w:val="004E3275"/>
    <w:rsid w:val="004E3395"/>
    <w:rsid w:val="004E342F"/>
    <w:rsid w:val="004E3490"/>
    <w:rsid w:val="004E3832"/>
    <w:rsid w:val="004E3A0D"/>
    <w:rsid w:val="004E426F"/>
    <w:rsid w:val="004E42C5"/>
    <w:rsid w:val="004E4370"/>
    <w:rsid w:val="004E4380"/>
    <w:rsid w:val="004E4391"/>
    <w:rsid w:val="004E46F9"/>
    <w:rsid w:val="004E489F"/>
    <w:rsid w:val="004E4906"/>
    <w:rsid w:val="004E4B77"/>
    <w:rsid w:val="004E4C07"/>
    <w:rsid w:val="004E4C59"/>
    <w:rsid w:val="004E4D29"/>
    <w:rsid w:val="004E513F"/>
    <w:rsid w:val="004E519A"/>
    <w:rsid w:val="004E5388"/>
    <w:rsid w:val="004E5414"/>
    <w:rsid w:val="004E5502"/>
    <w:rsid w:val="004E5700"/>
    <w:rsid w:val="004E5969"/>
    <w:rsid w:val="004E5B85"/>
    <w:rsid w:val="004E5BAF"/>
    <w:rsid w:val="004E5FA8"/>
    <w:rsid w:val="004E6161"/>
    <w:rsid w:val="004E617F"/>
    <w:rsid w:val="004E62BB"/>
    <w:rsid w:val="004E6333"/>
    <w:rsid w:val="004E68A4"/>
    <w:rsid w:val="004E68B4"/>
    <w:rsid w:val="004E6A52"/>
    <w:rsid w:val="004E71D5"/>
    <w:rsid w:val="004E7200"/>
    <w:rsid w:val="004E7421"/>
    <w:rsid w:val="004E7516"/>
    <w:rsid w:val="004E7A56"/>
    <w:rsid w:val="004E7ABC"/>
    <w:rsid w:val="004E7D7A"/>
    <w:rsid w:val="004E7E40"/>
    <w:rsid w:val="004F0019"/>
    <w:rsid w:val="004F0070"/>
    <w:rsid w:val="004F0165"/>
    <w:rsid w:val="004F056B"/>
    <w:rsid w:val="004F0624"/>
    <w:rsid w:val="004F0687"/>
    <w:rsid w:val="004F0799"/>
    <w:rsid w:val="004F086F"/>
    <w:rsid w:val="004F08EC"/>
    <w:rsid w:val="004F0B7D"/>
    <w:rsid w:val="004F0BF0"/>
    <w:rsid w:val="004F1516"/>
    <w:rsid w:val="004F151F"/>
    <w:rsid w:val="004F1571"/>
    <w:rsid w:val="004F175A"/>
    <w:rsid w:val="004F1AFA"/>
    <w:rsid w:val="004F1C4A"/>
    <w:rsid w:val="004F1CD5"/>
    <w:rsid w:val="004F1D13"/>
    <w:rsid w:val="004F1E4C"/>
    <w:rsid w:val="004F1E79"/>
    <w:rsid w:val="004F2050"/>
    <w:rsid w:val="004F213D"/>
    <w:rsid w:val="004F21CF"/>
    <w:rsid w:val="004F22EE"/>
    <w:rsid w:val="004F2525"/>
    <w:rsid w:val="004F2AF6"/>
    <w:rsid w:val="004F2B0B"/>
    <w:rsid w:val="004F2D76"/>
    <w:rsid w:val="004F317A"/>
    <w:rsid w:val="004F374A"/>
    <w:rsid w:val="004F389C"/>
    <w:rsid w:val="004F3A22"/>
    <w:rsid w:val="004F3AA0"/>
    <w:rsid w:val="004F3C2B"/>
    <w:rsid w:val="004F3C79"/>
    <w:rsid w:val="004F3CF6"/>
    <w:rsid w:val="004F4038"/>
    <w:rsid w:val="004F408A"/>
    <w:rsid w:val="004F4108"/>
    <w:rsid w:val="004F4153"/>
    <w:rsid w:val="004F41C0"/>
    <w:rsid w:val="004F4603"/>
    <w:rsid w:val="004F4621"/>
    <w:rsid w:val="004F4638"/>
    <w:rsid w:val="004F47A3"/>
    <w:rsid w:val="004F4818"/>
    <w:rsid w:val="004F48A0"/>
    <w:rsid w:val="004F496B"/>
    <w:rsid w:val="004F4A52"/>
    <w:rsid w:val="004F4B02"/>
    <w:rsid w:val="004F4C61"/>
    <w:rsid w:val="004F4C93"/>
    <w:rsid w:val="004F4D85"/>
    <w:rsid w:val="004F4DFA"/>
    <w:rsid w:val="004F4EB1"/>
    <w:rsid w:val="004F4F87"/>
    <w:rsid w:val="004F51C3"/>
    <w:rsid w:val="004F549C"/>
    <w:rsid w:val="004F5699"/>
    <w:rsid w:val="004F582B"/>
    <w:rsid w:val="004F5984"/>
    <w:rsid w:val="004F5AB0"/>
    <w:rsid w:val="004F5C69"/>
    <w:rsid w:val="004F5F1A"/>
    <w:rsid w:val="004F5F3A"/>
    <w:rsid w:val="004F6092"/>
    <w:rsid w:val="004F60C1"/>
    <w:rsid w:val="004F623E"/>
    <w:rsid w:val="004F6272"/>
    <w:rsid w:val="004F6C14"/>
    <w:rsid w:val="004F6CCE"/>
    <w:rsid w:val="004F6E68"/>
    <w:rsid w:val="004F6E7F"/>
    <w:rsid w:val="004F7482"/>
    <w:rsid w:val="004F74E1"/>
    <w:rsid w:val="004F7527"/>
    <w:rsid w:val="004F7685"/>
    <w:rsid w:val="004F76B0"/>
    <w:rsid w:val="004F7963"/>
    <w:rsid w:val="004F7AAF"/>
    <w:rsid w:val="004F7BAB"/>
    <w:rsid w:val="004F7CED"/>
    <w:rsid w:val="004F7EE4"/>
    <w:rsid w:val="005000B9"/>
    <w:rsid w:val="005000BC"/>
    <w:rsid w:val="005002E8"/>
    <w:rsid w:val="00500439"/>
    <w:rsid w:val="005007BC"/>
    <w:rsid w:val="00500AE8"/>
    <w:rsid w:val="00501220"/>
    <w:rsid w:val="005014D1"/>
    <w:rsid w:val="005015D8"/>
    <w:rsid w:val="005016DF"/>
    <w:rsid w:val="00501AAB"/>
    <w:rsid w:val="00501EAA"/>
    <w:rsid w:val="005020EF"/>
    <w:rsid w:val="00502192"/>
    <w:rsid w:val="00502281"/>
    <w:rsid w:val="005028E9"/>
    <w:rsid w:val="00502FAA"/>
    <w:rsid w:val="005030BC"/>
    <w:rsid w:val="00503120"/>
    <w:rsid w:val="005033A1"/>
    <w:rsid w:val="005033B1"/>
    <w:rsid w:val="00503478"/>
    <w:rsid w:val="0050383E"/>
    <w:rsid w:val="005039C7"/>
    <w:rsid w:val="00503B2F"/>
    <w:rsid w:val="00503C6F"/>
    <w:rsid w:val="00503F15"/>
    <w:rsid w:val="00503FD1"/>
    <w:rsid w:val="005043D3"/>
    <w:rsid w:val="0050448B"/>
    <w:rsid w:val="0050451C"/>
    <w:rsid w:val="00504676"/>
    <w:rsid w:val="005048BE"/>
    <w:rsid w:val="0050498C"/>
    <w:rsid w:val="005049E5"/>
    <w:rsid w:val="00504E22"/>
    <w:rsid w:val="005054FC"/>
    <w:rsid w:val="005058B4"/>
    <w:rsid w:val="00505934"/>
    <w:rsid w:val="00505BBD"/>
    <w:rsid w:val="00505BDC"/>
    <w:rsid w:val="0050604E"/>
    <w:rsid w:val="005060CD"/>
    <w:rsid w:val="005067C6"/>
    <w:rsid w:val="005069A2"/>
    <w:rsid w:val="00506A11"/>
    <w:rsid w:val="00506BD1"/>
    <w:rsid w:val="00506C92"/>
    <w:rsid w:val="00506FEB"/>
    <w:rsid w:val="005070D1"/>
    <w:rsid w:val="005070E3"/>
    <w:rsid w:val="005070E5"/>
    <w:rsid w:val="0050711E"/>
    <w:rsid w:val="005071EA"/>
    <w:rsid w:val="00507236"/>
    <w:rsid w:val="0050752B"/>
    <w:rsid w:val="005077C4"/>
    <w:rsid w:val="0050790B"/>
    <w:rsid w:val="00507D31"/>
    <w:rsid w:val="00507F0D"/>
    <w:rsid w:val="0051027D"/>
    <w:rsid w:val="00510568"/>
    <w:rsid w:val="005106D4"/>
    <w:rsid w:val="00510816"/>
    <w:rsid w:val="0051087E"/>
    <w:rsid w:val="0051092B"/>
    <w:rsid w:val="00510C42"/>
    <w:rsid w:val="00510CA3"/>
    <w:rsid w:val="00510CFD"/>
    <w:rsid w:val="00510D2F"/>
    <w:rsid w:val="00510E1B"/>
    <w:rsid w:val="00510F5E"/>
    <w:rsid w:val="00510FA6"/>
    <w:rsid w:val="005112CD"/>
    <w:rsid w:val="00511422"/>
    <w:rsid w:val="00511917"/>
    <w:rsid w:val="00511AAC"/>
    <w:rsid w:val="00511B5C"/>
    <w:rsid w:val="00511DDA"/>
    <w:rsid w:val="00511F1A"/>
    <w:rsid w:val="00511F71"/>
    <w:rsid w:val="0051209A"/>
    <w:rsid w:val="005120D7"/>
    <w:rsid w:val="005122A4"/>
    <w:rsid w:val="00512591"/>
    <w:rsid w:val="00512786"/>
    <w:rsid w:val="005128AE"/>
    <w:rsid w:val="00512AB2"/>
    <w:rsid w:val="00512CCF"/>
    <w:rsid w:val="00512CE8"/>
    <w:rsid w:val="00512FD2"/>
    <w:rsid w:val="005132C0"/>
    <w:rsid w:val="005132F2"/>
    <w:rsid w:val="00513555"/>
    <w:rsid w:val="0051358D"/>
    <w:rsid w:val="00513648"/>
    <w:rsid w:val="00513844"/>
    <w:rsid w:val="005138BC"/>
    <w:rsid w:val="005138E6"/>
    <w:rsid w:val="00513A41"/>
    <w:rsid w:val="00513A75"/>
    <w:rsid w:val="00513B11"/>
    <w:rsid w:val="00513BA0"/>
    <w:rsid w:val="00513CF8"/>
    <w:rsid w:val="00513DBF"/>
    <w:rsid w:val="00513EBC"/>
    <w:rsid w:val="00513EC2"/>
    <w:rsid w:val="005140A8"/>
    <w:rsid w:val="0051415F"/>
    <w:rsid w:val="00514197"/>
    <w:rsid w:val="005144C2"/>
    <w:rsid w:val="005144EF"/>
    <w:rsid w:val="005145B8"/>
    <w:rsid w:val="00514701"/>
    <w:rsid w:val="005147B6"/>
    <w:rsid w:val="005148B0"/>
    <w:rsid w:val="00514C0B"/>
    <w:rsid w:val="00514C9E"/>
    <w:rsid w:val="005152B9"/>
    <w:rsid w:val="00515494"/>
    <w:rsid w:val="0051554C"/>
    <w:rsid w:val="00515585"/>
    <w:rsid w:val="00515633"/>
    <w:rsid w:val="005158CB"/>
    <w:rsid w:val="00515A2D"/>
    <w:rsid w:val="00515B0D"/>
    <w:rsid w:val="00515C6E"/>
    <w:rsid w:val="0051642F"/>
    <w:rsid w:val="005165F9"/>
    <w:rsid w:val="00516612"/>
    <w:rsid w:val="00516A69"/>
    <w:rsid w:val="00516D72"/>
    <w:rsid w:val="0051711B"/>
    <w:rsid w:val="00517495"/>
    <w:rsid w:val="00517543"/>
    <w:rsid w:val="005175A5"/>
    <w:rsid w:val="00517656"/>
    <w:rsid w:val="00517677"/>
    <w:rsid w:val="005178F0"/>
    <w:rsid w:val="00517A45"/>
    <w:rsid w:val="00517B92"/>
    <w:rsid w:val="005200CD"/>
    <w:rsid w:val="005200F5"/>
    <w:rsid w:val="005200FD"/>
    <w:rsid w:val="0052040B"/>
    <w:rsid w:val="0052064E"/>
    <w:rsid w:val="00520679"/>
    <w:rsid w:val="00520890"/>
    <w:rsid w:val="00520A69"/>
    <w:rsid w:val="00520AE0"/>
    <w:rsid w:val="00520D80"/>
    <w:rsid w:val="0052114A"/>
    <w:rsid w:val="005211D1"/>
    <w:rsid w:val="0052129B"/>
    <w:rsid w:val="00521405"/>
    <w:rsid w:val="005214DB"/>
    <w:rsid w:val="005215F7"/>
    <w:rsid w:val="00521903"/>
    <w:rsid w:val="00521ABB"/>
    <w:rsid w:val="00521D09"/>
    <w:rsid w:val="00521DAB"/>
    <w:rsid w:val="0052232C"/>
    <w:rsid w:val="005228B1"/>
    <w:rsid w:val="00522A19"/>
    <w:rsid w:val="00522B26"/>
    <w:rsid w:val="00522BCB"/>
    <w:rsid w:val="00523263"/>
    <w:rsid w:val="0052336E"/>
    <w:rsid w:val="0052343B"/>
    <w:rsid w:val="00523443"/>
    <w:rsid w:val="0052362E"/>
    <w:rsid w:val="00523887"/>
    <w:rsid w:val="00523935"/>
    <w:rsid w:val="005239E6"/>
    <w:rsid w:val="005239F6"/>
    <w:rsid w:val="00523A15"/>
    <w:rsid w:val="00523AB2"/>
    <w:rsid w:val="00523AEF"/>
    <w:rsid w:val="00523BF2"/>
    <w:rsid w:val="00523CBE"/>
    <w:rsid w:val="00523E08"/>
    <w:rsid w:val="00523FBD"/>
    <w:rsid w:val="00524178"/>
    <w:rsid w:val="00524336"/>
    <w:rsid w:val="00524406"/>
    <w:rsid w:val="00524478"/>
    <w:rsid w:val="00524497"/>
    <w:rsid w:val="005245B6"/>
    <w:rsid w:val="00524601"/>
    <w:rsid w:val="00524A05"/>
    <w:rsid w:val="00524D9F"/>
    <w:rsid w:val="00524F05"/>
    <w:rsid w:val="0052501D"/>
    <w:rsid w:val="00525026"/>
    <w:rsid w:val="00525045"/>
    <w:rsid w:val="00525254"/>
    <w:rsid w:val="0052557E"/>
    <w:rsid w:val="005255FC"/>
    <w:rsid w:val="00525643"/>
    <w:rsid w:val="00525699"/>
    <w:rsid w:val="00525760"/>
    <w:rsid w:val="005257B7"/>
    <w:rsid w:val="00525917"/>
    <w:rsid w:val="00526095"/>
    <w:rsid w:val="00526213"/>
    <w:rsid w:val="005262CF"/>
    <w:rsid w:val="005263C2"/>
    <w:rsid w:val="005264B1"/>
    <w:rsid w:val="005264F9"/>
    <w:rsid w:val="005266FA"/>
    <w:rsid w:val="00526AB4"/>
    <w:rsid w:val="00526AC5"/>
    <w:rsid w:val="00526C30"/>
    <w:rsid w:val="00526DA3"/>
    <w:rsid w:val="00526EA9"/>
    <w:rsid w:val="0052710B"/>
    <w:rsid w:val="00527A37"/>
    <w:rsid w:val="00527C87"/>
    <w:rsid w:val="00527EEA"/>
    <w:rsid w:val="005301A6"/>
    <w:rsid w:val="00530210"/>
    <w:rsid w:val="005302BF"/>
    <w:rsid w:val="0053040F"/>
    <w:rsid w:val="005306F7"/>
    <w:rsid w:val="00530A0F"/>
    <w:rsid w:val="00530B2D"/>
    <w:rsid w:val="00530CE9"/>
    <w:rsid w:val="00530DDC"/>
    <w:rsid w:val="00530E23"/>
    <w:rsid w:val="00530F78"/>
    <w:rsid w:val="005311BD"/>
    <w:rsid w:val="00531298"/>
    <w:rsid w:val="005312AA"/>
    <w:rsid w:val="005312D2"/>
    <w:rsid w:val="005314D6"/>
    <w:rsid w:val="005315BB"/>
    <w:rsid w:val="00531CB1"/>
    <w:rsid w:val="00531E8C"/>
    <w:rsid w:val="00531ED3"/>
    <w:rsid w:val="00531FAF"/>
    <w:rsid w:val="00532080"/>
    <w:rsid w:val="0053224A"/>
    <w:rsid w:val="005324E8"/>
    <w:rsid w:val="00532726"/>
    <w:rsid w:val="0053279A"/>
    <w:rsid w:val="00532844"/>
    <w:rsid w:val="00532AF1"/>
    <w:rsid w:val="00532CCF"/>
    <w:rsid w:val="00532DA3"/>
    <w:rsid w:val="00532E5F"/>
    <w:rsid w:val="00533320"/>
    <w:rsid w:val="00533376"/>
    <w:rsid w:val="00533568"/>
    <w:rsid w:val="005335BC"/>
    <w:rsid w:val="00533686"/>
    <w:rsid w:val="0053395C"/>
    <w:rsid w:val="00533A36"/>
    <w:rsid w:val="00533C0F"/>
    <w:rsid w:val="00533C5B"/>
    <w:rsid w:val="00533D53"/>
    <w:rsid w:val="00533F80"/>
    <w:rsid w:val="005340A6"/>
    <w:rsid w:val="00534635"/>
    <w:rsid w:val="00534819"/>
    <w:rsid w:val="00534DD8"/>
    <w:rsid w:val="0053512E"/>
    <w:rsid w:val="00535198"/>
    <w:rsid w:val="00535218"/>
    <w:rsid w:val="00535253"/>
    <w:rsid w:val="00535318"/>
    <w:rsid w:val="005353C7"/>
    <w:rsid w:val="00535603"/>
    <w:rsid w:val="00535803"/>
    <w:rsid w:val="00535C63"/>
    <w:rsid w:val="00535E5D"/>
    <w:rsid w:val="00535FCF"/>
    <w:rsid w:val="0053607A"/>
    <w:rsid w:val="0053610B"/>
    <w:rsid w:val="0053621C"/>
    <w:rsid w:val="0053629B"/>
    <w:rsid w:val="00536482"/>
    <w:rsid w:val="00536824"/>
    <w:rsid w:val="00536A5D"/>
    <w:rsid w:val="00536AAF"/>
    <w:rsid w:val="00536F00"/>
    <w:rsid w:val="00537087"/>
    <w:rsid w:val="0053761A"/>
    <w:rsid w:val="00537702"/>
    <w:rsid w:val="0053779C"/>
    <w:rsid w:val="00537809"/>
    <w:rsid w:val="00537947"/>
    <w:rsid w:val="005379B2"/>
    <w:rsid w:val="00537D70"/>
    <w:rsid w:val="00537DAF"/>
    <w:rsid w:val="005400FB"/>
    <w:rsid w:val="00540167"/>
    <w:rsid w:val="005401BF"/>
    <w:rsid w:val="00540493"/>
    <w:rsid w:val="005405DA"/>
    <w:rsid w:val="005406D3"/>
    <w:rsid w:val="00540744"/>
    <w:rsid w:val="0054096B"/>
    <w:rsid w:val="00540B1E"/>
    <w:rsid w:val="00540B61"/>
    <w:rsid w:val="00540CEC"/>
    <w:rsid w:val="00540DDE"/>
    <w:rsid w:val="00540E31"/>
    <w:rsid w:val="00540F7B"/>
    <w:rsid w:val="005410F1"/>
    <w:rsid w:val="0054146C"/>
    <w:rsid w:val="005415AD"/>
    <w:rsid w:val="0054173B"/>
    <w:rsid w:val="005417B4"/>
    <w:rsid w:val="00541A20"/>
    <w:rsid w:val="00541D94"/>
    <w:rsid w:val="00541EF7"/>
    <w:rsid w:val="005421EE"/>
    <w:rsid w:val="00542290"/>
    <w:rsid w:val="005422C0"/>
    <w:rsid w:val="005424D8"/>
    <w:rsid w:val="0054274E"/>
    <w:rsid w:val="005427F9"/>
    <w:rsid w:val="00542921"/>
    <w:rsid w:val="00542A3F"/>
    <w:rsid w:val="00542DCC"/>
    <w:rsid w:val="00542E20"/>
    <w:rsid w:val="0054307B"/>
    <w:rsid w:val="005434D2"/>
    <w:rsid w:val="0054364D"/>
    <w:rsid w:val="00543724"/>
    <w:rsid w:val="0054381D"/>
    <w:rsid w:val="0054386F"/>
    <w:rsid w:val="00543881"/>
    <w:rsid w:val="00543885"/>
    <w:rsid w:val="00543963"/>
    <w:rsid w:val="005439C4"/>
    <w:rsid w:val="005439E5"/>
    <w:rsid w:val="00543A5C"/>
    <w:rsid w:val="00543A67"/>
    <w:rsid w:val="00543AF5"/>
    <w:rsid w:val="00543CB1"/>
    <w:rsid w:val="00543D2D"/>
    <w:rsid w:val="00544081"/>
    <w:rsid w:val="0054422D"/>
    <w:rsid w:val="005442F7"/>
    <w:rsid w:val="00544875"/>
    <w:rsid w:val="005449D3"/>
    <w:rsid w:val="00544A12"/>
    <w:rsid w:val="00544AEF"/>
    <w:rsid w:val="00544AF8"/>
    <w:rsid w:val="00544BEC"/>
    <w:rsid w:val="00544F3C"/>
    <w:rsid w:val="005452B3"/>
    <w:rsid w:val="00545375"/>
    <w:rsid w:val="0054550A"/>
    <w:rsid w:val="0054575C"/>
    <w:rsid w:val="005458AF"/>
    <w:rsid w:val="00545912"/>
    <w:rsid w:val="0054591A"/>
    <w:rsid w:val="00545AD7"/>
    <w:rsid w:val="00545BAA"/>
    <w:rsid w:val="00545C6A"/>
    <w:rsid w:val="00545CF3"/>
    <w:rsid w:val="00545E48"/>
    <w:rsid w:val="005460D9"/>
    <w:rsid w:val="0054612E"/>
    <w:rsid w:val="005461D3"/>
    <w:rsid w:val="0054625A"/>
    <w:rsid w:val="005463AE"/>
    <w:rsid w:val="00546796"/>
    <w:rsid w:val="005467DA"/>
    <w:rsid w:val="005469CB"/>
    <w:rsid w:val="00546A39"/>
    <w:rsid w:val="00546BD2"/>
    <w:rsid w:val="00546C1D"/>
    <w:rsid w:val="00546C2B"/>
    <w:rsid w:val="00546E0C"/>
    <w:rsid w:val="00547264"/>
    <w:rsid w:val="0054739A"/>
    <w:rsid w:val="005473CE"/>
    <w:rsid w:val="0054746D"/>
    <w:rsid w:val="0054762E"/>
    <w:rsid w:val="00547B11"/>
    <w:rsid w:val="00547E82"/>
    <w:rsid w:val="00550220"/>
    <w:rsid w:val="005507C8"/>
    <w:rsid w:val="0055082D"/>
    <w:rsid w:val="005508A0"/>
    <w:rsid w:val="005509FA"/>
    <w:rsid w:val="00550A48"/>
    <w:rsid w:val="00550A5F"/>
    <w:rsid w:val="00550AAA"/>
    <w:rsid w:val="00550AB6"/>
    <w:rsid w:val="00550AE3"/>
    <w:rsid w:val="0055105B"/>
    <w:rsid w:val="005511B9"/>
    <w:rsid w:val="00551591"/>
    <w:rsid w:val="00551869"/>
    <w:rsid w:val="005519BB"/>
    <w:rsid w:val="00551B1E"/>
    <w:rsid w:val="00551C5D"/>
    <w:rsid w:val="00551F29"/>
    <w:rsid w:val="00551F52"/>
    <w:rsid w:val="0055214F"/>
    <w:rsid w:val="00552307"/>
    <w:rsid w:val="00552743"/>
    <w:rsid w:val="00552E06"/>
    <w:rsid w:val="00552F54"/>
    <w:rsid w:val="0055304A"/>
    <w:rsid w:val="005531B5"/>
    <w:rsid w:val="00553242"/>
    <w:rsid w:val="005532F3"/>
    <w:rsid w:val="00553330"/>
    <w:rsid w:val="00553367"/>
    <w:rsid w:val="0055372E"/>
    <w:rsid w:val="0055379A"/>
    <w:rsid w:val="005539CC"/>
    <w:rsid w:val="00553A7C"/>
    <w:rsid w:val="00553A96"/>
    <w:rsid w:val="00553AFA"/>
    <w:rsid w:val="00553C2E"/>
    <w:rsid w:val="00553CD8"/>
    <w:rsid w:val="00553D16"/>
    <w:rsid w:val="00554003"/>
    <w:rsid w:val="005541BE"/>
    <w:rsid w:val="005542B4"/>
    <w:rsid w:val="0055455A"/>
    <w:rsid w:val="005548B4"/>
    <w:rsid w:val="005549B3"/>
    <w:rsid w:val="005549B9"/>
    <w:rsid w:val="00554E6C"/>
    <w:rsid w:val="00555202"/>
    <w:rsid w:val="005553DD"/>
    <w:rsid w:val="00555732"/>
    <w:rsid w:val="00555750"/>
    <w:rsid w:val="005558F7"/>
    <w:rsid w:val="00555A60"/>
    <w:rsid w:val="00555B3C"/>
    <w:rsid w:val="00555DD0"/>
    <w:rsid w:val="0055605B"/>
    <w:rsid w:val="00556102"/>
    <w:rsid w:val="005561A8"/>
    <w:rsid w:val="005562E5"/>
    <w:rsid w:val="0055630B"/>
    <w:rsid w:val="00556402"/>
    <w:rsid w:val="00556460"/>
    <w:rsid w:val="00556471"/>
    <w:rsid w:val="0055662D"/>
    <w:rsid w:val="0055674D"/>
    <w:rsid w:val="00556755"/>
    <w:rsid w:val="00556AA8"/>
    <w:rsid w:val="00556AFA"/>
    <w:rsid w:val="00556B06"/>
    <w:rsid w:val="00556B5A"/>
    <w:rsid w:val="00556C8C"/>
    <w:rsid w:val="00556CAA"/>
    <w:rsid w:val="00556CF0"/>
    <w:rsid w:val="00556D9D"/>
    <w:rsid w:val="00556E27"/>
    <w:rsid w:val="00557015"/>
    <w:rsid w:val="0055702D"/>
    <w:rsid w:val="005571AE"/>
    <w:rsid w:val="005571FA"/>
    <w:rsid w:val="005572F5"/>
    <w:rsid w:val="00557617"/>
    <w:rsid w:val="005577C7"/>
    <w:rsid w:val="00557838"/>
    <w:rsid w:val="00557888"/>
    <w:rsid w:val="00557961"/>
    <w:rsid w:val="00557BC9"/>
    <w:rsid w:val="00557BD4"/>
    <w:rsid w:val="00557CC4"/>
    <w:rsid w:val="00557F43"/>
    <w:rsid w:val="00557FD5"/>
    <w:rsid w:val="0056036D"/>
    <w:rsid w:val="0056068C"/>
    <w:rsid w:val="005607BF"/>
    <w:rsid w:val="00560E48"/>
    <w:rsid w:val="00560F50"/>
    <w:rsid w:val="00560FFE"/>
    <w:rsid w:val="005611B7"/>
    <w:rsid w:val="005613C9"/>
    <w:rsid w:val="005614A2"/>
    <w:rsid w:val="0056157D"/>
    <w:rsid w:val="005615BD"/>
    <w:rsid w:val="005617E8"/>
    <w:rsid w:val="005618A9"/>
    <w:rsid w:val="00561AAF"/>
    <w:rsid w:val="00561B33"/>
    <w:rsid w:val="00561B3D"/>
    <w:rsid w:val="00561C22"/>
    <w:rsid w:val="005622E8"/>
    <w:rsid w:val="005625FC"/>
    <w:rsid w:val="005626C5"/>
    <w:rsid w:val="00562794"/>
    <w:rsid w:val="00562A5B"/>
    <w:rsid w:val="00562D57"/>
    <w:rsid w:val="00562DC4"/>
    <w:rsid w:val="00562F3E"/>
    <w:rsid w:val="00562FE4"/>
    <w:rsid w:val="0056303F"/>
    <w:rsid w:val="00563047"/>
    <w:rsid w:val="00563088"/>
    <w:rsid w:val="0056313D"/>
    <w:rsid w:val="005638FF"/>
    <w:rsid w:val="00563940"/>
    <w:rsid w:val="0056398F"/>
    <w:rsid w:val="00563A21"/>
    <w:rsid w:val="00563A52"/>
    <w:rsid w:val="00563BD1"/>
    <w:rsid w:val="00563E97"/>
    <w:rsid w:val="005642E3"/>
    <w:rsid w:val="00564406"/>
    <w:rsid w:val="00564515"/>
    <w:rsid w:val="0056456D"/>
    <w:rsid w:val="005645F0"/>
    <w:rsid w:val="00564658"/>
    <w:rsid w:val="00564663"/>
    <w:rsid w:val="00564820"/>
    <w:rsid w:val="00564837"/>
    <w:rsid w:val="00564AD7"/>
    <w:rsid w:val="00564D93"/>
    <w:rsid w:val="00564E7C"/>
    <w:rsid w:val="00565329"/>
    <w:rsid w:val="005655EA"/>
    <w:rsid w:val="0056566F"/>
    <w:rsid w:val="0056579D"/>
    <w:rsid w:val="00565A37"/>
    <w:rsid w:val="00565C80"/>
    <w:rsid w:val="00565C92"/>
    <w:rsid w:val="00565EF2"/>
    <w:rsid w:val="00565F5A"/>
    <w:rsid w:val="0056674C"/>
    <w:rsid w:val="00566AB4"/>
    <w:rsid w:val="00566DB7"/>
    <w:rsid w:val="00567059"/>
    <w:rsid w:val="00567195"/>
    <w:rsid w:val="005671AB"/>
    <w:rsid w:val="005671FF"/>
    <w:rsid w:val="00567271"/>
    <w:rsid w:val="005673E9"/>
    <w:rsid w:val="00567886"/>
    <w:rsid w:val="005679D8"/>
    <w:rsid w:val="00567A55"/>
    <w:rsid w:val="00567E7D"/>
    <w:rsid w:val="00567F99"/>
    <w:rsid w:val="00570151"/>
    <w:rsid w:val="0057016E"/>
    <w:rsid w:val="00570666"/>
    <w:rsid w:val="005707A5"/>
    <w:rsid w:val="00570808"/>
    <w:rsid w:val="005709F8"/>
    <w:rsid w:val="00570B53"/>
    <w:rsid w:val="00570BA8"/>
    <w:rsid w:val="00570C98"/>
    <w:rsid w:val="00570DB0"/>
    <w:rsid w:val="005711FA"/>
    <w:rsid w:val="00571496"/>
    <w:rsid w:val="00571643"/>
    <w:rsid w:val="00571763"/>
    <w:rsid w:val="005717D7"/>
    <w:rsid w:val="0057195F"/>
    <w:rsid w:val="00571F37"/>
    <w:rsid w:val="005720AE"/>
    <w:rsid w:val="005721B6"/>
    <w:rsid w:val="005726D3"/>
    <w:rsid w:val="00572719"/>
    <w:rsid w:val="005729AB"/>
    <w:rsid w:val="005729CA"/>
    <w:rsid w:val="00572A84"/>
    <w:rsid w:val="00572C7F"/>
    <w:rsid w:val="00572D54"/>
    <w:rsid w:val="00572E27"/>
    <w:rsid w:val="00573000"/>
    <w:rsid w:val="005732DE"/>
    <w:rsid w:val="0057346F"/>
    <w:rsid w:val="005734DE"/>
    <w:rsid w:val="005735A6"/>
    <w:rsid w:val="0057366A"/>
    <w:rsid w:val="00573731"/>
    <w:rsid w:val="005737E9"/>
    <w:rsid w:val="00573807"/>
    <w:rsid w:val="00573872"/>
    <w:rsid w:val="005738DB"/>
    <w:rsid w:val="00573AED"/>
    <w:rsid w:val="00573B07"/>
    <w:rsid w:val="00573BA4"/>
    <w:rsid w:val="00573C39"/>
    <w:rsid w:val="00573D5B"/>
    <w:rsid w:val="00573F79"/>
    <w:rsid w:val="00574114"/>
    <w:rsid w:val="0057414E"/>
    <w:rsid w:val="00574B03"/>
    <w:rsid w:val="00574B33"/>
    <w:rsid w:val="00575219"/>
    <w:rsid w:val="005755AD"/>
    <w:rsid w:val="00575640"/>
    <w:rsid w:val="0057569D"/>
    <w:rsid w:val="005756AE"/>
    <w:rsid w:val="005758B2"/>
    <w:rsid w:val="0057595E"/>
    <w:rsid w:val="00575C2D"/>
    <w:rsid w:val="00575C40"/>
    <w:rsid w:val="00575C76"/>
    <w:rsid w:val="005760EE"/>
    <w:rsid w:val="00576555"/>
    <w:rsid w:val="0057681C"/>
    <w:rsid w:val="00576899"/>
    <w:rsid w:val="005769C0"/>
    <w:rsid w:val="00576BBD"/>
    <w:rsid w:val="00576CF8"/>
    <w:rsid w:val="00576D4E"/>
    <w:rsid w:val="00576D94"/>
    <w:rsid w:val="00577737"/>
    <w:rsid w:val="0057787A"/>
    <w:rsid w:val="00577CFD"/>
    <w:rsid w:val="00577D69"/>
    <w:rsid w:val="00577FBF"/>
    <w:rsid w:val="005802BF"/>
    <w:rsid w:val="005802D4"/>
    <w:rsid w:val="00580320"/>
    <w:rsid w:val="005803A8"/>
    <w:rsid w:val="00580744"/>
    <w:rsid w:val="00580803"/>
    <w:rsid w:val="00580874"/>
    <w:rsid w:val="00580B8D"/>
    <w:rsid w:val="00580D30"/>
    <w:rsid w:val="00580F77"/>
    <w:rsid w:val="00580FEB"/>
    <w:rsid w:val="0058125D"/>
    <w:rsid w:val="005812C1"/>
    <w:rsid w:val="00581329"/>
    <w:rsid w:val="005813D5"/>
    <w:rsid w:val="005813F4"/>
    <w:rsid w:val="00581580"/>
    <w:rsid w:val="0058171F"/>
    <w:rsid w:val="00581B22"/>
    <w:rsid w:val="00581C64"/>
    <w:rsid w:val="00581EC8"/>
    <w:rsid w:val="00582115"/>
    <w:rsid w:val="00582284"/>
    <w:rsid w:val="0058245B"/>
    <w:rsid w:val="005824D5"/>
    <w:rsid w:val="00582664"/>
    <w:rsid w:val="005829BC"/>
    <w:rsid w:val="005829BF"/>
    <w:rsid w:val="00582B1F"/>
    <w:rsid w:val="00582B54"/>
    <w:rsid w:val="00582C09"/>
    <w:rsid w:val="00582DFF"/>
    <w:rsid w:val="00582E71"/>
    <w:rsid w:val="0058302E"/>
    <w:rsid w:val="00583157"/>
    <w:rsid w:val="00583482"/>
    <w:rsid w:val="005835CF"/>
    <w:rsid w:val="00583641"/>
    <w:rsid w:val="005836E5"/>
    <w:rsid w:val="0058370E"/>
    <w:rsid w:val="00583FC3"/>
    <w:rsid w:val="00583FDC"/>
    <w:rsid w:val="0058418C"/>
    <w:rsid w:val="005841D3"/>
    <w:rsid w:val="005843DB"/>
    <w:rsid w:val="0058463A"/>
    <w:rsid w:val="005846F1"/>
    <w:rsid w:val="00584828"/>
    <w:rsid w:val="005848A3"/>
    <w:rsid w:val="00584972"/>
    <w:rsid w:val="00584BDC"/>
    <w:rsid w:val="00584F82"/>
    <w:rsid w:val="00584FBE"/>
    <w:rsid w:val="00584FF8"/>
    <w:rsid w:val="0058525A"/>
    <w:rsid w:val="005853D9"/>
    <w:rsid w:val="00585420"/>
    <w:rsid w:val="005854C4"/>
    <w:rsid w:val="005855E2"/>
    <w:rsid w:val="00585A9C"/>
    <w:rsid w:val="00585B07"/>
    <w:rsid w:val="00585C01"/>
    <w:rsid w:val="00585D21"/>
    <w:rsid w:val="00585D85"/>
    <w:rsid w:val="00585EEA"/>
    <w:rsid w:val="00585F32"/>
    <w:rsid w:val="00585FD3"/>
    <w:rsid w:val="0058604C"/>
    <w:rsid w:val="0058647D"/>
    <w:rsid w:val="005864C1"/>
    <w:rsid w:val="00586521"/>
    <w:rsid w:val="00586547"/>
    <w:rsid w:val="00586652"/>
    <w:rsid w:val="005866C7"/>
    <w:rsid w:val="005869D6"/>
    <w:rsid w:val="00586BEA"/>
    <w:rsid w:val="0058728C"/>
    <w:rsid w:val="005875AE"/>
    <w:rsid w:val="005876F5"/>
    <w:rsid w:val="0058783E"/>
    <w:rsid w:val="00587870"/>
    <w:rsid w:val="005878F7"/>
    <w:rsid w:val="0058793B"/>
    <w:rsid w:val="00587DE7"/>
    <w:rsid w:val="00587EBC"/>
    <w:rsid w:val="0059006F"/>
    <w:rsid w:val="005901D9"/>
    <w:rsid w:val="005903A3"/>
    <w:rsid w:val="005904E2"/>
    <w:rsid w:val="0059059B"/>
    <w:rsid w:val="005906C9"/>
    <w:rsid w:val="00590739"/>
    <w:rsid w:val="005907BF"/>
    <w:rsid w:val="00590802"/>
    <w:rsid w:val="00590A1F"/>
    <w:rsid w:val="00590A8E"/>
    <w:rsid w:val="00590BEB"/>
    <w:rsid w:val="00590C37"/>
    <w:rsid w:val="00590D69"/>
    <w:rsid w:val="00590DF7"/>
    <w:rsid w:val="00590E36"/>
    <w:rsid w:val="005910CF"/>
    <w:rsid w:val="00591652"/>
    <w:rsid w:val="00591878"/>
    <w:rsid w:val="005919D3"/>
    <w:rsid w:val="00591B75"/>
    <w:rsid w:val="00591BFE"/>
    <w:rsid w:val="00591D1A"/>
    <w:rsid w:val="00592144"/>
    <w:rsid w:val="00592162"/>
    <w:rsid w:val="00592635"/>
    <w:rsid w:val="005927F0"/>
    <w:rsid w:val="00592A2F"/>
    <w:rsid w:val="00592AAC"/>
    <w:rsid w:val="00592B1B"/>
    <w:rsid w:val="00592C7F"/>
    <w:rsid w:val="00592DC1"/>
    <w:rsid w:val="00593009"/>
    <w:rsid w:val="00593315"/>
    <w:rsid w:val="005935EC"/>
    <w:rsid w:val="0059368B"/>
    <w:rsid w:val="00593815"/>
    <w:rsid w:val="00593B52"/>
    <w:rsid w:val="00593C20"/>
    <w:rsid w:val="00593DD9"/>
    <w:rsid w:val="00593EF5"/>
    <w:rsid w:val="00593F4E"/>
    <w:rsid w:val="00593F93"/>
    <w:rsid w:val="00594117"/>
    <w:rsid w:val="0059491A"/>
    <w:rsid w:val="00594967"/>
    <w:rsid w:val="00594A88"/>
    <w:rsid w:val="00594B0B"/>
    <w:rsid w:val="00595223"/>
    <w:rsid w:val="00595264"/>
    <w:rsid w:val="005954A4"/>
    <w:rsid w:val="0059556A"/>
    <w:rsid w:val="00595675"/>
    <w:rsid w:val="00595774"/>
    <w:rsid w:val="00595B21"/>
    <w:rsid w:val="00595CE1"/>
    <w:rsid w:val="005960C1"/>
    <w:rsid w:val="0059621B"/>
    <w:rsid w:val="005968DC"/>
    <w:rsid w:val="00596E10"/>
    <w:rsid w:val="00596F11"/>
    <w:rsid w:val="00596F37"/>
    <w:rsid w:val="00596F8D"/>
    <w:rsid w:val="0059716A"/>
    <w:rsid w:val="005972D0"/>
    <w:rsid w:val="00597691"/>
    <w:rsid w:val="005976D9"/>
    <w:rsid w:val="00597965"/>
    <w:rsid w:val="00597AF3"/>
    <w:rsid w:val="00597BD4"/>
    <w:rsid w:val="00597C41"/>
    <w:rsid w:val="00597C54"/>
    <w:rsid w:val="005A01F4"/>
    <w:rsid w:val="005A0DF0"/>
    <w:rsid w:val="005A15BC"/>
    <w:rsid w:val="005A16BC"/>
    <w:rsid w:val="005A18A5"/>
    <w:rsid w:val="005A1A64"/>
    <w:rsid w:val="005A1ADC"/>
    <w:rsid w:val="005A1DAB"/>
    <w:rsid w:val="005A1F37"/>
    <w:rsid w:val="005A2013"/>
    <w:rsid w:val="005A259A"/>
    <w:rsid w:val="005A2695"/>
    <w:rsid w:val="005A26F9"/>
    <w:rsid w:val="005A283E"/>
    <w:rsid w:val="005A2962"/>
    <w:rsid w:val="005A29D9"/>
    <w:rsid w:val="005A2C9A"/>
    <w:rsid w:val="005A2D87"/>
    <w:rsid w:val="005A2FA7"/>
    <w:rsid w:val="005A348D"/>
    <w:rsid w:val="005A360C"/>
    <w:rsid w:val="005A3852"/>
    <w:rsid w:val="005A3A25"/>
    <w:rsid w:val="005A3B47"/>
    <w:rsid w:val="005A3D02"/>
    <w:rsid w:val="005A48C5"/>
    <w:rsid w:val="005A4988"/>
    <w:rsid w:val="005A49FA"/>
    <w:rsid w:val="005A4B2F"/>
    <w:rsid w:val="005A4C07"/>
    <w:rsid w:val="005A5486"/>
    <w:rsid w:val="005A55F0"/>
    <w:rsid w:val="005A5808"/>
    <w:rsid w:val="005A5827"/>
    <w:rsid w:val="005A5BC4"/>
    <w:rsid w:val="005A5BE4"/>
    <w:rsid w:val="005A5C5C"/>
    <w:rsid w:val="005A61AD"/>
    <w:rsid w:val="005A6361"/>
    <w:rsid w:val="005A67EF"/>
    <w:rsid w:val="005A6A21"/>
    <w:rsid w:val="005A6AAC"/>
    <w:rsid w:val="005A6B33"/>
    <w:rsid w:val="005A6D34"/>
    <w:rsid w:val="005A6F55"/>
    <w:rsid w:val="005A6FFE"/>
    <w:rsid w:val="005A7052"/>
    <w:rsid w:val="005A71EB"/>
    <w:rsid w:val="005A7311"/>
    <w:rsid w:val="005A7624"/>
    <w:rsid w:val="005A7683"/>
    <w:rsid w:val="005A7825"/>
    <w:rsid w:val="005A783B"/>
    <w:rsid w:val="005A786F"/>
    <w:rsid w:val="005A78E2"/>
    <w:rsid w:val="005A78E4"/>
    <w:rsid w:val="005A7A2C"/>
    <w:rsid w:val="005A7ACE"/>
    <w:rsid w:val="005A7B5C"/>
    <w:rsid w:val="005A7D57"/>
    <w:rsid w:val="005A7D74"/>
    <w:rsid w:val="005B03F4"/>
    <w:rsid w:val="005B054E"/>
    <w:rsid w:val="005B0747"/>
    <w:rsid w:val="005B08A4"/>
    <w:rsid w:val="005B094A"/>
    <w:rsid w:val="005B09DB"/>
    <w:rsid w:val="005B0A1C"/>
    <w:rsid w:val="005B0B90"/>
    <w:rsid w:val="005B0E8B"/>
    <w:rsid w:val="005B0FC7"/>
    <w:rsid w:val="005B17FE"/>
    <w:rsid w:val="005B1814"/>
    <w:rsid w:val="005B18D7"/>
    <w:rsid w:val="005B1AB6"/>
    <w:rsid w:val="005B1C73"/>
    <w:rsid w:val="005B1C77"/>
    <w:rsid w:val="005B210D"/>
    <w:rsid w:val="005B215A"/>
    <w:rsid w:val="005B2250"/>
    <w:rsid w:val="005B2484"/>
    <w:rsid w:val="005B256A"/>
    <w:rsid w:val="005B2587"/>
    <w:rsid w:val="005B26BC"/>
    <w:rsid w:val="005B274D"/>
    <w:rsid w:val="005B2839"/>
    <w:rsid w:val="005B29D3"/>
    <w:rsid w:val="005B2A17"/>
    <w:rsid w:val="005B2AB9"/>
    <w:rsid w:val="005B2ACC"/>
    <w:rsid w:val="005B2ADC"/>
    <w:rsid w:val="005B2D89"/>
    <w:rsid w:val="005B3043"/>
    <w:rsid w:val="005B3048"/>
    <w:rsid w:val="005B3168"/>
    <w:rsid w:val="005B35A9"/>
    <w:rsid w:val="005B36C5"/>
    <w:rsid w:val="005B38AC"/>
    <w:rsid w:val="005B3913"/>
    <w:rsid w:val="005B3A89"/>
    <w:rsid w:val="005B3B04"/>
    <w:rsid w:val="005B3C6C"/>
    <w:rsid w:val="005B3D1E"/>
    <w:rsid w:val="005B3DB3"/>
    <w:rsid w:val="005B4287"/>
    <w:rsid w:val="005B42ED"/>
    <w:rsid w:val="005B4359"/>
    <w:rsid w:val="005B46CC"/>
    <w:rsid w:val="005B4B61"/>
    <w:rsid w:val="005B4B81"/>
    <w:rsid w:val="005B4D03"/>
    <w:rsid w:val="005B4E49"/>
    <w:rsid w:val="005B4E7E"/>
    <w:rsid w:val="005B545F"/>
    <w:rsid w:val="005B59FE"/>
    <w:rsid w:val="005B5DC9"/>
    <w:rsid w:val="005B6771"/>
    <w:rsid w:val="005B681C"/>
    <w:rsid w:val="005B6B0C"/>
    <w:rsid w:val="005B6E37"/>
    <w:rsid w:val="005B6FAB"/>
    <w:rsid w:val="005B771A"/>
    <w:rsid w:val="005B786E"/>
    <w:rsid w:val="005B795A"/>
    <w:rsid w:val="005B7992"/>
    <w:rsid w:val="005B79A7"/>
    <w:rsid w:val="005B7BC0"/>
    <w:rsid w:val="005B7C1B"/>
    <w:rsid w:val="005C00E2"/>
    <w:rsid w:val="005C04FB"/>
    <w:rsid w:val="005C0587"/>
    <w:rsid w:val="005C05F1"/>
    <w:rsid w:val="005C0927"/>
    <w:rsid w:val="005C0D42"/>
    <w:rsid w:val="005C11A3"/>
    <w:rsid w:val="005C1283"/>
    <w:rsid w:val="005C12E3"/>
    <w:rsid w:val="005C1791"/>
    <w:rsid w:val="005C17E7"/>
    <w:rsid w:val="005C1C3C"/>
    <w:rsid w:val="005C1D57"/>
    <w:rsid w:val="005C1F73"/>
    <w:rsid w:val="005C20AE"/>
    <w:rsid w:val="005C21CB"/>
    <w:rsid w:val="005C225A"/>
    <w:rsid w:val="005C24DA"/>
    <w:rsid w:val="005C2572"/>
    <w:rsid w:val="005C27BD"/>
    <w:rsid w:val="005C28EE"/>
    <w:rsid w:val="005C2AD9"/>
    <w:rsid w:val="005C2B3B"/>
    <w:rsid w:val="005C2DFF"/>
    <w:rsid w:val="005C2E16"/>
    <w:rsid w:val="005C2F8C"/>
    <w:rsid w:val="005C3078"/>
    <w:rsid w:val="005C3098"/>
    <w:rsid w:val="005C3239"/>
    <w:rsid w:val="005C3563"/>
    <w:rsid w:val="005C3781"/>
    <w:rsid w:val="005C3918"/>
    <w:rsid w:val="005C3F2A"/>
    <w:rsid w:val="005C4092"/>
    <w:rsid w:val="005C41FF"/>
    <w:rsid w:val="005C4492"/>
    <w:rsid w:val="005C45A3"/>
    <w:rsid w:val="005C468B"/>
    <w:rsid w:val="005C48EF"/>
    <w:rsid w:val="005C48F1"/>
    <w:rsid w:val="005C4AE9"/>
    <w:rsid w:val="005C4BB2"/>
    <w:rsid w:val="005C4D28"/>
    <w:rsid w:val="005C4D82"/>
    <w:rsid w:val="005C4E95"/>
    <w:rsid w:val="005C50F4"/>
    <w:rsid w:val="005C542B"/>
    <w:rsid w:val="005C5567"/>
    <w:rsid w:val="005C5623"/>
    <w:rsid w:val="005C576C"/>
    <w:rsid w:val="005C5A71"/>
    <w:rsid w:val="005C609C"/>
    <w:rsid w:val="005C61DF"/>
    <w:rsid w:val="005C633E"/>
    <w:rsid w:val="005C65C5"/>
    <w:rsid w:val="005C6E24"/>
    <w:rsid w:val="005C7018"/>
    <w:rsid w:val="005C71A9"/>
    <w:rsid w:val="005C7A61"/>
    <w:rsid w:val="005C7CCE"/>
    <w:rsid w:val="005D027D"/>
    <w:rsid w:val="005D0320"/>
    <w:rsid w:val="005D055B"/>
    <w:rsid w:val="005D0635"/>
    <w:rsid w:val="005D0A19"/>
    <w:rsid w:val="005D0ACC"/>
    <w:rsid w:val="005D0B88"/>
    <w:rsid w:val="005D0F21"/>
    <w:rsid w:val="005D0F43"/>
    <w:rsid w:val="005D1124"/>
    <w:rsid w:val="005D135E"/>
    <w:rsid w:val="005D17A1"/>
    <w:rsid w:val="005D17C0"/>
    <w:rsid w:val="005D1843"/>
    <w:rsid w:val="005D1B49"/>
    <w:rsid w:val="005D1C1D"/>
    <w:rsid w:val="005D1E04"/>
    <w:rsid w:val="005D1F79"/>
    <w:rsid w:val="005D21D4"/>
    <w:rsid w:val="005D233E"/>
    <w:rsid w:val="005D250A"/>
    <w:rsid w:val="005D26D4"/>
    <w:rsid w:val="005D26EB"/>
    <w:rsid w:val="005D2837"/>
    <w:rsid w:val="005D293C"/>
    <w:rsid w:val="005D2A88"/>
    <w:rsid w:val="005D2E96"/>
    <w:rsid w:val="005D3356"/>
    <w:rsid w:val="005D34BE"/>
    <w:rsid w:val="005D371D"/>
    <w:rsid w:val="005D3AC1"/>
    <w:rsid w:val="005D3B6B"/>
    <w:rsid w:val="005D3C8F"/>
    <w:rsid w:val="005D3C9E"/>
    <w:rsid w:val="005D3D03"/>
    <w:rsid w:val="005D4310"/>
    <w:rsid w:val="005D439C"/>
    <w:rsid w:val="005D43D2"/>
    <w:rsid w:val="005D4462"/>
    <w:rsid w:val="005D452B"/>
    <w:rsid w:val="005D46A9"/>
    <w:rsid w:val="005D4BBB"/>
    <w:rsid w:val="005D4C26"/>
    <w:rsid w:val="005D4C58"/>
    <w:rsid w:val="005D4D93"/>
    <w:rsid w:val="005D511E"/>
    <w:rsid w:val="005D51D0"/>
    <w:rsid w:val="005D520F"/>
    <w:rsid w:val="005D58C2"/>
    <w:rsid w:val="005D5978"/>
    <w:rsid w:val="005D5D4D"/>
    <w:rsid w:val="005D5F3E"/>
    <w:rsid w:val="005D6070"/>
    <w:rsid w:val="005D61FB"/>
    <w:rsid w:val="005D6439"/>
    <w:rsid w:val="005D64AC"/>
    <w:rsid w:val="005D656A"/>
    <w:rsid w:val="005D65EE"/>
    <w:rsid w:val="005D6635"/>
    <w:rsid w:val="005D66DF"/>
    <w:rsid w:val="005D6773"/>
    <w:rsid w:val="005D6FCA"/>
    <w:rsid w:val="005D73E4"/>
    <w:rsid w:val="005D750C"/>
    <w:rsid w:val="005D75A5"/>
    <w:rsid w:val="005D75E0"/>
    <w:rsid w:val="005D7658"/>
    <w:rsid w:val="005D7676"/>
    <w:rsid w:val="005D7746"/>
    <w:rsid w:val="005D79C4"/>
    <w:rsid w:val="005D7C1B"/>
    <w:rsid w:val="005D7E9D"/>
    <w:rsid w:val="005D7F5C"/>
    <w:rsid w:val="005D7FC1"/>
    <w:rsid w:val="005E0162"/>
    <w:rsid w:val="005E024A"/>
    <w:rsid w:val="005E02F5"/>
    <w:rsid w:val="005E06C5"/>
    <w:rsid w:val="005E081D"/>
    <w:rsid w:val="005E08BB"/>
    <w:rsid w:val="005E0B2C"/>
    <w:rsid w:val="005E0FD3"/>
    <w:rsid w:val="005E100D"/>
    <w:rsid w:val="005E10B5"/>
    <w:rsid w:val="005E10C4"/>
    <w:rsid w:val="005E130B"/>
    <w:rsid w:val="005E1754"/>
    <w:rsid w:val="005E1988"/>
    <w:rsid w:val="005E1A40"/>
    <w:rsid w:val="005E1E54"/>
    <w:rsid w:val="005E1FBB"/>
    <w:rsid w:val="005E2218"/>
    <w:rsid w:val="005E22DF"/>
    <w:rsid w:val="005E256E"/>
    <w:rsid w:val="005E2597"/>
    <w:rsid w:val="005E25E6"/>
    <w:rsid w:val="005E266F"/>
    <w:rsid w:val="005E2692"/>
    <w:rsid w:val="005E2C04"/>
    <w:rsid w:val="005E2E5C"/>
    <w:rsid w:val="005E2F72"/>
    <w:rsid w:val="005E30FA"/>
    <w:rsid w:val="005E3771"/>
    <w:rsid w:val="005E37B1"/>
    <w:rsid w:val="005E392A"/>
    <w:rsid w:val="005E3B34"/>
    <w:rsid w:val="005E3D41"/>
    <w:rsid w:val="005E3E85"/>
    <w:rsid w:val="005E3F90"/>
    <w:rsid w:val="005E4117"/>
    <w:rsid w:val="005E419D"/>
    <w:rsid w:val="005E4250"/>
    <w:rsid w:val="005E42ED"/>
    <w:rsid w:val="005E43B0"/>
    <w:rsid w:val="005E464A"/>
    <w:rsid w:val="005E4812"/>
    <w:rsid w:val="005E483D"/>
    <w:rsid w:val="005E4910"/>
    <w:rsid w:val="005E49F8"/>
    <w:rsid w:val="005E4C68"/>
    <w:rsid w:val="005E4CC5"/>
    <w:rsid w:val="005E4F97"/>
    <w:rsid w:val="005E5070"/>
    <w:rsid w:val="005E51F1"/>
    <w:rsid w:val="005E5238"/>
    <w:rsid w:val="005E52D2"/>
    <w:rsid w:val="005E54C8"/>
    <w:rsid w:val="005E56CD"/>
    <w:rsid w:val="005E5A65"/>
    <w:rsid w:val="005E5DC5"/>
    <w:rsid w:val="005E5F58"/>
    <w:rsid w:val="005E5FDD"/>
    <w:rsid w:val="005E61FD"/>
    <w:rsid w:val="005E62C5"/>
    <w:rsid w:val="005E62DC"/>
    <w:rsid w:val="005E634E"/>
    <w:rsid w:val="005E636D"/>
    <w:rsid w:val="005E6547"/>
    <w:rsid w:val="005E6617"/>
    <w:rsid w:val="005E67AB"/>
    <w:rsid w:val="005E68D8"/>
    <w:rsid w:val="005E6B37"/>
    <w:rsid w:val="005E6CC2"/>
    <w:rsid w:val="005E6DD3"/>
    <w:rsid w:val="005E7122"/>
    <w:rsid w:val="005E73C3"/>
    <w:rsid w:val="005E75C5"/>
    <w:rsid w:val="005E7A07"/>
    <w:rsid w:val="005E7AD7"/>
    <w:rsid w:val="005E7B19"/>
    <w:rsid w:val="005E7B54"/>
    <w:rsid w:val="005E7E57"/>
    <w:rsid w:val="005F0277"/>
    <w:rsid w:val="005F02FD"/>
    <w:rsid w:val="005F0359"/>
    <w:rsid w:val="005F03DB"/>
    <w:rsid w:val="005F088A"/>
    <w:rsid w:val="005F0C29"/>
    <w:rsid w:val="005F0CD5"/>
    <w:rsid w:val="005F0F3C"/>
    <w:rsid w:val="005F0FC9"/>
    <w:rsid w:val="005F1087"/>
    <w:rsid w:val="005F1343"/>
    <w:rsid w:val="005F1469"/>
    <w:rsid w:val="005F1509"/>
    <w:rsid w:val="005F15A1"/>
    <w:rsid w:val="005F177F"/>
    <w:rsid w:val="005F18A4"/>
    <w:rsid w:val="005F1B1C"/>
    <w:rsid w:val="005F1C90"/>
    <w:rsid w:val="005F1D92"/>
    <w:rsid w:val="005F1DAA"/>
    <w:rsid w:val="005F1E26"/>
    <w:rsid w:val="005F1F68"/>
    <w:rsid w:val="005F2554"/>
    <w:rsid w:val="005F256F"/>
    <w:rsid w:val="005F2726"/>
    <w:rsid w:val="005F2750"/>
    <w:rsid w:val="005F28B0"/>
    <w:rsid w:val="005F2B23"/>
    <w:rsid w:val="005F2D85"/>
    <w:rsid w:val="005F2DD1"/>
    <w:rsid w:val="005F2E45"/>
    <w:rsid w:val="005F30AF"/>
    <w:rsid w:val="005F352E"/>
    <w:rsid w:val="005F3600"/>
    <w:rsid w:val="005F3619"/>
    <w:rsid w:val="005F3771"/>
    <w:rsid w:val="005F3773"/>
    <w:rsid w:val="005F38E5"/>
    <w:rsid w:val="005F3D27"/>
    <w:rsid w:val="005F3D4A"/>
    <w:rsid w:val="005F3E20"/>
    <w:rsid w:val="005F3EB2"/>
    <w:rsid w:val="005F40CD"/>
    <w:rsid w:val="005F41FE"/>
    <w:rsid w:val="005F4317"/>
    <w:rsid w:val="005F43D4"/>
    <w:rsid w:val="005F44E9"/>
    <w:rsid w:val="005F469E"/>
    <w:rsid w:val="005F47F8"/>
    <w:rsid w:val="005F4A8B"/>
    <w:rsid w:val="005F4AD4"/>
    <w:rsid w:val="005F4C2F"/>
    <w:rsid w:val="005F501A"/>
    <w:rsid w:val="005F50C5"/>
    <w:rsid w:val="005F51F4"/>
    <w:rsid w:val="005F529E"/>
    <w:rsid w:val="005F5334"/>
    <w:rsid w:val="005F5388"/>
    <w:rsid w:val="005F5457"/>
    <w:rsid w:val="005F549B"/>
    <w:rsid w:val="005F54A9"/>
    <w:rsid w:val="005F561A"/>
    <w:rsid w:val="005F56EA"/>
    <w:rsid w:val="005F577C"/>
    <w:rsid w:val="005F58A8"/>
    <w:rsid w:val="005F5B47"/>
    <w:rsid w:val="005F5B6A"/>
    <w:rsid w:val="005F5C50"/>
    <w:rsid w:val="005F5C86"/>
    <w:rsid w:val="005F5CC4"/>
    <w:rsid w:val="005F5D86"/>
    <w:rsid w:val="005F5F83"/>
    <w:rsid w:val="005F659F"/>
    <w:rsid w:val="005F6609"/>
    <w:rsid w:val="005F660E"/>
    <w:rsid w:val="005F665C"/>
    <w:rsid w:val="005F67B5"/>
    <w:rsid w:val="005F683A"/>
    <w:rsid w:val="005F6987"/>
    <w:rsid w:val="005F6AAD"/>
    <w:rsid w:val="005F6B40"/>
    <w:rsid w:val="005F6D33"/>
    <w:rsid w:val="005F6E73"/>
    <w:rsid w:val="005F6F62"/>
    <w:rsid w:val="005F6F7C"/>
    <w:rsid w:val="005F7274"/>
    <w:rsid w:val="005F7344"/>
    <w:rsid w:val="005F74EC"/>
    <w:rsid w:val="005F7623"/>
    <w:rsid w:val="005F78B1"/>
    <w:rsid w:val="005F7907"/>
    <w:rsid w:val="005F795B"/>
    <w:rsid w:val="005F7C7A"/>
    <w:rsid w:val="005F7D54"/>
    <w:rsid w:val="005F7DAB"/>
    <w:rsid w:val="006000FB"/>
    <w:rsid w:val="006004F0"/>
    <w:rsid w:val="00600631"/>
    <w:rsid w:val="0060068D"/>
    <w:rsid w:val="00600E72"/>
    <w:rsid w:val="00600FBA"/>
    <w:rsid w:val="00601156"/>
    <w:rsid w:val="006013BA"/>
    <w:rsid w:val="0060141E"/>
    <w:rsid w:val="00601447"/>
    <w:rsid w:val="00601916"/>
    <w:rsid w:val="0060209A"/>
    <w:rsid w:val="00602216"/>
    <w:rsid w:val="0060228B"/>
    <w:rsid w:val="0060232D"/>
    <w:rsid w:val="006024B6"/>
    <w:rsid w:val="006026B4"/>
    <w:rsid w:val="0060289B"/>
    <w:rsid w:val="00602A7B"/>
    <w:rsid w:val="00602E34"/>
    <w:rsid w:val="00602E56"/>
    <w:rsid w:val="00602EEF"/>
    <w:rsid w:val="00602F0C"/>
    <w:rsid w:val="00603101"/>
    <w:rsid w:val="00603103"/>
    <w:rsid w:val="00603200"/>
    <w:rsid w:val="006035AB"/>
    <w:rsid w:val="00603834"/>
    <w:rsid w:val="0060392F"/>
    <w:rsid w:val="00603B6A"/>
    <w:rsid w:val="00603BBF"/>
    <w:rsid w:val="00603BEC"/>
    <w:rsid w:val="00603C51"/>
    <w:rsid w:val="00603EE7"/>
    <w:rsid w:val="00603F39"/>
    <w:rsid w:val="0060409F"/>
    <w:rsid w:val="00604320"/>
    <w:rsid w:val="0060446E"/>
    <w:rsid w:val="0060459B"/>
    <w:rsid w:val="00604606"/>
    <w:rsid w:val="00604643"/>
    <w:rsid w:val="00604AE1"/>
    <w:rsid w:val="00604D7F"/>
    <w:rsid w:val="00604E88"/>
    <w:rsid w:val="006051DB"/>
    <w:rsid w:val="00605288"/>
    <w:rsid w:val="0060542D"/>
    <w:rsid w:val="00605443"/>
    <w:rsid w:val="00605470"/>
    <w:rsid w:val="006057A7"/>
    <w:rsid w:val="006059D0"/>
    <w:rsid w:val="00605A0F"/>
    <w:rsid w:val="00605B74"/>
    <w:rsid w:val="00605CD3"/>
    <w:rsid w:val="00605D10"/>
    <w:rsid w:val="00605E82"/>
    <w:rsid w:val="00605EE0"/>
    <w:rsid w:val="00605EF5"/>
    <w:rsid w:val="00605F61"/>
    <w:rsid w:val="00606262"/>
    <w:rsid w:val="00606369"/>
    <w:rsid w:val="00606427"/>
    <w:rsid w:val="00606714"/>
    <w:rsid w:val="0060683A"/>
    <w:rsid w:val="006068CD"/>
    <w:rsid w:val="00606F59"/>
    <w:rsid w:val="006070A1"/>
    <w:rsid w:val="00607365"/>
    <w:rsid w:val="0060751B"/>
    <w:rsid w:val="00607722"/>
    <w:rsid w:val="00607747"/>
    <w:rsid w:val="0060797E"/>
    <w:rsid w:val="006079B3"/>
    <w:rsid w:val="00607E2E"/>
    <w:rsid w:val="00607E4A"/>
    <w:rsid w:val="00607FDA"/>
    <w:rsid w:val="00610004"/>
    <w:rsid w:val="0061013F"/>
    <w:rsid w:val="00610303"/>
    <w:rsid w:val="006103A6"/>
    <w:rsid w:val="00610516"/>
    <w:rsid w:val="0061098F"/>
    <w:rsid w:val="006109A4"/>
    <w:rsid w:val="006109FC"/>
    <w:rsid w:val="00610A04"/>
    <w:rsid w:val="00610E7E"/>
    <w:rsid w:val="00610FB3"/>
    <w:rsid w:val="006110F0"/>
    <w:rsid w:val="006113CD"/>
    <w:rsid w:val="006116D1"/>
    <w:rsid w:val="006119CE"/>
    <w:rsid w:val="00611A60"/>
    <w:rsid w:val="00611C9A"/>
    <w:rsid w:val="0061201D"/>
    <w:rsid w:val="006125B2"/>
    <w:rsid w:val="006127F1"/>
    <w:rsid w:val="00612DDD"/>
    <w:rsid w:val="00613337"/>
    <w:rsid w:val="00613349"/>
    <w:rsid w:val="0061350F"/>
    <w:rsid w:val="00613566"/>
    <w:rsid w:val="006138F1"/>
    <w:rsid w:val="00614289"/>
    <w:rsid w:val="006142DD"/>
    <w:rsid w:val="00614536"/>
    <w:rsid w:val="00614559"/>
    <w:rsid w:val="00614AC3"/>
    <w:rsid w:val="00614C16"/>
    <w:rsid w:val="00615113"/>
    <w:rsid w:val="0061524E"/>
    <w:rsid w:val="0061525C"/>
    <w:rsid w:val="00615517"/>
    <w:rsid w:val="006155F1"/>
    <w:rsid w:val="00615AC6"/>
    <w:rsid w:val="00616035"/>
    <w:rsid w:val="006161A6"/>
    <w:rsid w:val="00616432"/>
    <w:rsid w:val="006164C9"/>
    <w:rsid w:val="0061666D"/>
    <w:rsid w:val="00616C2D"/>
    <w:rsid w:val="00616D05"/>
    <w:rsid w:val="006171CA"/>
    <w:rsid w:val="006171DE"/>
    <w:rsid w:val="00617354"/>
    <w:rsid w:val="00617545"/>
    <w:rsid w:val="006176B9"/>
    <w:rsid w:val="006177D0"/>
    <w:rsid w:val="0061782A"/>
    <w:rsid w:val="00617DE8"/>
    <w:rsid w:val="00617E5D"/>
    <w:rsid w:val="00617E6A"/>
    <w:rsid w:val="00617FAE"/>
    <w:rsid w:val="006201C5"/>
    <w:rsid w:val="0062021A"/>
    <w:rsid w:val="0062027D"/>
    <w:rsid w:val="0062044A"/>
    <w:rsid w:val="0062079D"/>
    <w:rsid w:val="006207FB"/>
    <w:rsid w:val="00620851"/>
    <w:rsid w:val="00620889"/>
    <w:rsid w:val="0062096F"/>
    <w:rsid w:val="0062099F"/>
    <w:rsid w:val="00620AB8"/>
    <w:rsid w:val="00620BE7"/>
    <w:rsid w:val="00620C97"/>
    <w:rsid w:val="00620F47"/>
    <w:rsid w:val="006212CB"/>
    <w:rsid w:val="00621499"/>
    <w:rsid w:val="006215A8"/>
    <w:rsid w:val="00621B18"/>
    <w:rsid w:val="00621BF3"/>
    <w:rsid w:val="00621CAD"/>
    <w:rsid w:val="006222C8"/>
    <w:rsid w:val="00622464"/>
    <w:rsid w:val="006226BE"/>
    <w:rsid w:val="0062297F"/>
    <w:rsid w:val="00622A6D"/>
    <w:rsid w:val="00622AC3"/>
    <w:rsid w:val="00622D9B"/>
    <w:rsid w:val="006230B8"/>
    <w:rsid w:val="0062320C"/>
    <w:rsid w:val="006234BB"/>
    <w:rsid w:val="0062365E"/>
    <w:rsid w:val="00623A48"/>
    <w:rsid w:val="00623B2F"/>
    <w:rsid w:val="00623BC7"/>
    <w:rsid w:val="00623C78"/>
    <w:rsid w:val="00623D4A"/>
    <w:rsid w:val="006242F8"/>
    <w:rsid w:val="006242FE"/>
    <w:rsid w:val="0062437B"/>
    <w:rsid w:val="0062440F"/>
    <w:rsid w:val="00624968"/>
    <w:rsid w:val="0062497B"/>
    <w:rsid w:val="00624A77"/>
    <w:rsid w:val="00624D33"/>
    <w:rsid w:val="00624D7C"/>
    <w:rsid w:val="00624F1F"/>
    <w:rsid w:val="006251FD"/>
    <w:rsid w:val="00625207"/>
    <w:rsid w:val="00625345"/>
    <w:rsid w:val="00625431"/>
    <w:rsid w:val="00625471"/>
    <w:rsid w:val="006254A2"/>
    <w:rsid w:val="00625599"/>
    <w:rsid w:val="006255B1"/>
    <w:rsid w:val="00625697"/>
    <w:rsid w:val="00625717"/>
    <w:rsid w:val="0062584D"/>
    <w:rsid w:val="00625860"/>
    <w:rsid w:val="006258D7"/>
    <w:rsid w:val="006258DB"/>
    <w:rsid w:val="00625936"/>
    <w:rsid w:val="00625C3C"/>
    <w:rsid w:val="00625C3F"/>
    <w:rsid w:val="00625D07"/>
    <w:rsid w:val="00625D2D"/>
    <w:rsid w:val="006262A1"/>
    <w:rsid w:val="00626359"/>
    <w:rsid w:val="00626434"/>
    <w:rsid w:val="006264D1"/>
    <w:rsid w:val="006264DF"/>
    <w:rsid w:val="006264F4"/>
    <w:rsid w:val="00626771"/>
    <w:rsid w:val="006270BD"/>
    <w:rsid w:val="006276B7"/>
    <w:rsid w:val="00627977"/>
    <w:rsid w:val="00627B7D"/>
    <w:rsid w:val="00627D03"/>
    <w:rsid w:val="00627F5C"/>
    <w:rsid w:val="006300B8"/>
    <w:rsid w:val="00630228"/>
    <w:rsid w:val="00630278"/>
    <w:rsid w:val="00630289"/>
    <w:rsid w:val="006303A3"/>
    <w:rsid w:val="0063040C"/>
    <w:rsid w:val="006306E9"/>
    <w:rsid w:val="006307E1"/>
    <w:rsid w:val="00630B23"/>
    <w:rsid w:val="00630E32"/>
    <w:rsid w:val="00631027"/>
    <w:rsid w:val="00631373"/>
    <w:rsid w:val="00631556"/>
    <w:rsid w:val="0063156F"/>
    <w:rsid w:val="006317AB"/>
    <w:rsid w:val="00631BF2"/>
    <w:rsid w:val="00631FAB"/>
    <w:rsid w:val="006321A8"/>
    <w:rsid w:val="006321C9"/>
    <w:rsid w:val="006324E5"/>
    <w:rsid w:val="006328C5"/>
    <w:rsid w:val="00632B23"/>
    <w:rsid w:val="00632BEC"/>
    <w:rsid w:val="00632C07"/>
    <w:rsid w:val="00632C19"/>
    <w:rsid w:val="00632C92"/>
    <w:rsid w:val="00632EA6"/>
    <w:rsid w:val="00632FC8"/>
    <w:rsid w:val="0063324A"/>
    <w:rsid w:val="0063325C"/>
    <w:rsid w:val="0063339F"/>
    <w:rsid w:val="00633556"/>
    <w:rsid w:val="0063370D"/>
    <w:rsid w:val="00633A2D"/>
    <w:rsid w:val="00633AD2"/>
    <w:rsid w:val="00633B0D"/>
    <w:rsid w:val="00633C9D"/>
    <w:rsid w:val="00633CBA"/>
    <w:rsid w:val="00633E08"/>
    <w:rsid w:val="00633E1C"/>
    <w:rsid w:val="00633E4F"/>
    <w:rsid w:val="00633E6E"/>
    <w:rsid w:val="00633EC4"/>
    <w:rsid w:val="00633ED7"/>
    <w:rsid w:val="00633F9D"/>
    <w:rsid w:val="0063412F"/>
    <w:rsid w:val="00634274"/>
    <w:rsid w:val="006342F2"/>
    <w:rsid w:val="006343A6"/>
    <w:rsid w:val="006346B1"/>
    <w:rsid w:val="006347B4"/>
    <w:rsid w:val="006347DA"/>
    <w:rsid w:val="00634A49"/>
    <w:rsid w:val="00634A71"/>
    <w:rsid w:val="00634AD3"/>
    <w:rsid w:val="00634BB6"/>
    <w:rsid w:val="006353C3"/>
    <w:rsid w:val="006353DD"/>
    <w:rsid w:val="00635470"/>
    <w:rsid w:val="00635741"/>
    <w:rsid w:val="00635781"/>
    <w:rsid w:val="006357EF"/>
    <w:rsid w:val="00635A32"/>
    <w:rsid w:val="00635B48"/>
    <w:rsid w:val="00635F1F"/>
    <w:rsid w:val="0063602D"/>
    <w:rsid w:val="00636172"/>
    <w:rsid w:val="006361A7"/>
    <w:rsid w:val="006361BE"/>
    <w:rsid w:val="006361FA"/>
    <w:rsid w:val="0063622A"/>
    <w:rsid w:val="0063624E"/>
    <w:rsid w:val="00636362"/>
    <w:rsid w:val="00636485"/>
    <w:rsid w:val="006364A8"/>
    <w:rsid w:val="00636627"/>
    <w:rsid w:val="00636642"/>
    <w:rsid w:val="00636835"/>
    <w:rsid w:val="00636BF0"/>
    <w:rsid w:val="00636D22"/>
    <w:rsid w:val="00636F1B"/>
    <w:rsid w:val="00636FB6"/>
    <w:rsid w:val="00637142"/>
    <w:rsid w:val="00637158"/>
    <w:rsid w:val="006371EB"/>
    <w:rsid w:val="006373B7"/>
    <w:rsid w:val="00637440"/>
    <w:rsid w:val="006374B2"/>
    <w:rsid w:val="006374D9"/>
    <w:rsid w:val="006376EC"/>
    <w:rsid w:val="0063786E"/>
    <w:rsid w:val="0063789B"/>
    <w:rsid w:val="006378DB"/>
    <w:rsid w:val="006378FB"/>
    <w:rsid w:val="00640008"/>
    <w:rsid w:val="0064005C"/>
    <w:rsid w:val="006403C3"/>
    <w:rsid w:val="006409A5"/>
    <w:rsid w:val="006409C3"/>
    <w:rsid w:val="00640B33"/>
    <w:rsid w:val="00641260"/>
    <w:rsid w:val="006413DE"/>
    <w:rsid w:val="0064159D"/>
    <w:rsid w:val="00641921"/>
    <w:rsid w:val="00641971"/>
    <w:rsid w:val="00641A96"/>
    <w:rsid w:val="00641B73"/>
    <w:rsid w:val="00641C7E"/>
    <w:rsid w:val="00642070"/>
    <w:rsid w:val="0064209E"/>
    <w:rsid w:val="006421CC"/>
    <w:rsid w:val="006423F7"/>
    <w:rsid w:val="0064245C"/>
    <w:rsid w:val="00642723"/>
    <w:rsid w:val="0064276A"/>
    <w:rsid w:val="006427FC"/>
    <w:rsid w:val="00642C3E"/>
    <w:rsid w:val="00642D06"/>
    <w:rsid w:val="00642E1F"/>
    <w:rsid w:val="00642E37"/>
    <w:rsid w:val="00642E68"/>
    <w:rsid w:val="006431CC"/>
    <w:rsid w:val="00643529"/>
    <w:rsid w:val="006436D1"/>
    <w:rsid w:val="00643737"/>
    <w:rsid w:val="00643A1C"/>
    <w:rsid w:val="00643B33"/>
    <w:rsid w:val="00643B86"/>
    <w:rsid w:val="00643D21"/>
    <w:rsid w:val="00643DAB"/>
    <w:rsid w:val="006442E7"/>
    <w:rsid w:val="0064449A"/>
    <w:rsid w:val="006444B4"/>
    <w:rsid w:val="006449A5"/>
    <w:rsid w:val="00644A2F"/>
    <w:rsid w:val="00644C9A"/>
    <w:rsid w:val="0064524E"/>
    <w:rsid w:val="006452A2"/>
    <w:rsid w:val="00645429"/>
    <w:rsid w:val="0064548D"/>
    <w:rsid w:val="00645599"/>
    <w:rsid w:val="006458A1"/>
    <w:rsid w:val="006458AD"/>
    <w:rsid w:val="00645AB3"/>
    <w:rsid w:val="00645C4F"/>
    <w:rsid w:val="00645D28"/>
    <w:rsid w:val="00645D87"/>
    <w:rsid w:val="00645EE5"/>
    <w:rsid w:val="00645F64"/>
    <w:rsid w:val="0064616E"/>
    <w:rsid w:val="0064622F"/>
    <w:rsid w:val="00646444"/>
    <w:rsid w:val="006464EA"/>
    <w:rsid w:val="006466A2"/>
    <w:rsid w:val="00646A18"/>
    <w:rsid w:val="00646C5F"/>
    <w:rsid w:val="00646D46"/>
    <w:rsid w:val="00646F89"/>
    <w:rsid w:val="00646FE8"/>
    <w:rsid w:val="00647077"/>
    <w:rsid w:val="0064709D"/>
    <w:rsid w:val="006471ED"/>
    <w:rsid w:val="00647273"/>
    <w:rsid w:val="0064734B"/>
    <w:rsid w:val="00647374"/>
    <w:rsid w:val="006473C4"/>
    <w:rsid w:val="00647436"/>
    <w:rsid w:val="006475CF"/>
    <w:rsid w:val="00647718"/>
    <w:rsid w:val="00647742"/>
    <w:rsid w:val="0064778C"/>
    <w:rsid w:val="0064794C"/>
    <w:rsid w:val="00647D07"/>
    <w:rsid w:val="00647DDE"/>
    <w:rsid w:val="00650220"/>
    <w:rsid w:val="00650247"/>
    <w:rsid w:val="00650453"/>
    <w:rsid w:val="0065050F"/>
    <w:rsid w:val="00650513"/>
    <w:rsid w:val="00650535"/>
    <w:rsid w:val="006505A8"/>
    <w:rsid w:val="0065083F"/>
    <w:rsid w:val="00650957"/>
    <w:rsid w:val="00650AD0"/>
    <w:rsid w:val="00650BF4"/>
    <w:rsid w:val="00650D64"/>
    <w:rsid w:val="00650DA3"/>
    <w:rsid w:val="00650DD3"/>
    <w:rsid w:val="00650EB6"/>
    <w:rsid w:val="00650EF0"/>
    <w:rsid w:val="00650F59"/>
    <w:rsid w:val="0065151F"/>
    <w:rsid w:val="00651615"/>
    <w:rsid w:val="0065164A"/>
    <w:rsid w:val="00651714"/>
    <w:rsid w:val="006519A7"/>
    <w:rsid w:val="006519DA"/>
    <w:rsid w:val="00651C09"/>
    <w:rsid w:val="006520D2"/>
    <w:rsid w:val="00652A36"/>
    <w:rsid w:val="00652E7E"/>
    <w:rsid w:val="00653256"/>
    <w:rsid w:val="0065356C"/>
    <w:rsid w:val="006535AC"/>
    <w:rsid w:val="006536F1"/>
    <w:rsid w:val="00653A79"/>
    <w:rsid w:val="00653B13"/>
    <w:rsid w:val="00653B4A"/>
    <w:rsid w:val="00653CEF"/>
    <w:rsid w:val="00653E6D"/>
    <w:rsid w:val="00653EBC"/>
    <w:rsid w:val="00653F1F"/>
    <w:rsid w:val="00653F63"/>
    <w:rsid w:val="00654262"/>
    <w:rsid w:val="00654276"/>
    <w:rsid w:val="0065469C"/>
    <w:rsid w:val="006546D0"/>
    <w:rsid w:val="0065499B"/>
    <w:rsid w:val="00654A8D"/>
    <w:rsid w:val="00654DB9"/>
    <w:rsid w:val="00655370"/>
    <w:rsid w:val="00655A71"/>
    <w:rsid w:val="00655A8D"/>
    <w:rsid w:val="00655E8A"/>
    <w:rsid w:val="00655F77"/>
    <w:rsid w:val="00655F96"/>
    <w:rsid w:val="00655FD8"/>
    <w:rsid w:val="00656188"/>
    <w:rsid w:val="0065654A"/>
    <w:rsid w:val="006568BA"/>
    <w:rsid w:val="006568D4"/>
    <w:rsid w:val="00656935"/>
    <w:rsid w:val="00656C75"/>
    <w:rsid w:val="00656F0C"/>
    <w:rsid w:val="00656FC1"/>
    <w:rsid w:val="006571DA"/>
    <w:rsid w:val="006571E6"/>
    <w:rsid w:val="00657239"/>
    <w:rsid w:val="006572F2"/>
    <w:rsid w:val="006573D1"/>
    <w:rsid w:val="006578F9"/>
    <w:rsid w:val="00657B80"/>
    <w:rsid w:val="00657B9D"/>
    <w:rsid w:val="006603D1"/>
    <w:rsid w:val="0066060B"/>
    <w:rsid w:val="006606F5"/>
    <w:rsid w:val="00660C29"/>
    <w:rsid w:val="00660C57"/>
    <w:rsid w:val="00660D78"/>
    <w:rsid w:val="00660EE0"/>
    <w:rsid w:val="0066148B"/>
    <w:rsid w:val="00661613"/>
    <w:rsid w:val="006618D7"/>
    <w:rsid w:val="00661A90"/>
    <w:rsid w:val="00661B4D"/>
    <w:rsid w:val="00661E0E"/>
    <w:rsid w:val="00662234"/>
    <w:rsid w:val="006622D5"/>
    <w:rsid w:val="006627D0"/>
    <w:rsid w:val="00662990"/>
    <w:rsid w:val="00662A0A"/>
    <w:rsid w:val="00662C8F"/>
    <w:rsid w:val="00662CF6"/>
    <w:rsid w:val="00662D55"/>
    <w:rsid w:val="00662E07"/>
    <w:rsid w:val="00662E2A"/>
    <w:rsid w:val="00663256"/>
    <w:rsid w:val="00663516"/>
    <w:rsid w:val="0066363F"/>
    <w:rsid w:val="006638BB"/>
    <w:rsid w:val="0066399A"/>
    <w:rsid w:val="00663B85"/>
    <w:rsid w:val="00663C7B"/>
    <w:rsid w:val="00664012"/>
    <w:rsid w:val="00664290"/>
    <w:rsid w:val="006644C7"/>
    <w:rsid w:val="0066457C"/>
    <w:rsid w:val="0066471E"/>
    <w:rsid w:val="0066474B"/>
    <w:rsid w:val="00664934"/>
    <w:rsid w:val="00664E96"/>
    <w:rsid w:val="00664F61"/>
    <w:rsid w:val="00665028"/>
    <w:rsid w:val="00665138"/>
    <w:rsid w:val="00665213"/>
    <w:rsid w:val="006653F9"/>
    <w:rsid w:val="006656FB"/>
    <w:rsid w:val="0066582D"/>
    <w:rsid w:val="00665D1E"/>
    <w:rsid w:val="00665FDB"/>
    <w:rsid w:val="00665FEA"/>
    <w:rsid w:val="00666020"/>
    <w:rsid w:val="00666033"/>
    <w:rsid w:val="00666089"/>
    <w:rsid w:val="006661F8"/>
    <w:rsid w:val="00666251"/>
    <w:rsid w:val="0066640F"/>
    <w:rsid w:val="00666842"/>
    <w:rsid w:val="00666B6A"/>
    <w:rsid w:val="00666BA6"/>
    <w:rsid w:val="00666BE7"/>
    <w:rsid w:val="00666C8E"/>
    <w:rsid w:val="00666FDE"/>
    <w:rsid w:val="00667174"/>
    <w:rsid w:val="006671F9"/>
    <w:rsid w:val="006672F9"/>
    <w:rsid w:val="006674B5"/>
    <w:rsid w:val="006676A6"/>
    <w:rsid w:val="006677D3"/>
    <w:rsid w:val="00667804"/>
    <w:rsid w:val="00667876"/>
    <w:rsid w:val="00667A5D"/>
    <w:rsid w:val="00667B47"/>
    <w:rsid w:val="00667E62"/>
    <w:rsid w:val="00670039"/>
    <w:rsid w:val="0067014F"/>
    <w:rsid w:val="006702E4"/>
    <w:rsid w:val="00670358"/>
    <w:rsid w:val="00670871"/>
    <w:rsid w:val="00670A64"/>
    <w:rsid w:val="00670CD3"/>
    <w:rsid w:val="0067105D"/>
    <w:rsid w:val="006711DF"/>
    <w:rsid w:val="0067172C"/>
    <w:rsid w:val="00671991"/>
    <w:rsid w:val="00671E70"/>
    <w:rsid w:val="0067204F"/>
    <w:rsid w:val="0067262F"/>
    <w:rsid w:val="00672631"/>
    <w:rsid w:val="0067271B"/>
    <w:rsid w:val="00672824"/>
    <w:rsid w:val="00672869"/>
    <w:rsid w:val="00672902"/>
    <w:rsid w:val="00672B28"/>
    <w:rsid w:val="00672C0A"/>
    <w:rsid w:val="00672E76"/>
    <w:rsid w:val="006730D1"/>
    <w:rsid w:val="00673128"/>
    <w:rsid w:val="00673270"/>
    <w:rsid w:val="006732D3"/>
    <w:rsid w:val="0067340B"/>
    <w:rsid w:val="00673729"/>
    <w:rsid w:val="00673811"/>
    <w:rsid w:val="006738F5"/>
    <w:rsid w:val="00673BEC"/>
    <w:rsid w:val="006741B6"/>
    <w:rsid w:val="0067438F"/>
    <w:rsid w:val="00674412"/>
    <w:rsid w:val="006744CC"/>
    <w:rsid w:val="006745BB"/>
    <w:rsid w:val="00674707"/>
    <w:rsid w:val="0067509B"/>
    <w:rsid w:val="00675563"/>
    <w:rsid w:val="0067556E"/>
    <w:rsid w:val="006755CD"/>
    <w:rsid w:val="00675651"/>
    <w:rsid w:val="0067581C"/>
    <w:rsid w:val="006758E7"/>
    <w:rsid w:val="0067593D"/>
    <w:rsid w:val="00675B9F"/>
    <w:rsid w:val="00675BEB"/>
    <w:rsid w:val="00675CBC"/>
    <w:rsid w:val="00675CFD"/>
    <w:rsid w:val="00676262"/>
    <w:rsid w:val="006766F5"/>
    <w:rsid w:val="0067674E"/>
    <w:rsid w:val="00676955"/>
    <w:rsid w:val="00676DFC"/>
    <w:rsid w:val="00676FA0"/>
    <w:rsid w:val="0067705A"/>
    <w:rsid w:val="006770D1"/>
    <w:rsid w:val="00677293"/>
    <w:rsid w:val="0067732B"/>
    <w:rsid w:val="00677370"/>
    <w:rsid w:val="006773A9"/>
    <w:rsid w:val="00677436"/>
    <w:rsid w:val="006774DF"/>
    <w:rsid w:val="0067759F"/>
    <w:rsid w:val="006775E0"/>
    <w:rsid w:val="006775E8"/>
    <w:rsid w:val="006776DB"/>
    <w:rsid w:val="00677810"/>
    <w:rsid w:val="0067787F"/>
    <w:rsid w:val="006778C7"/>
    <w:rsid w:val="00677D4F"/>
    <w:rsid w:val="00677D67"/>
    <w:rsid w:val="00677DCA"/>
    <w:rsid w:val="00677F46"/>
    <w:rsid w:val="00680063"/>
    <w:rsid w:val="00680E44"/>
    <w:rsid w:val="00680EB6"/>
    <w:rsid w:val="00680EF1"/>
    <w:rsid w:val="00681149"/>
    <w:rsid w:val="0068133E"/>
    <w:rsid w:val="00681595"/>
    <w:rsid w:val="00681663"/>
    <w:rsid w:val="006817BE"/>
    <w:rsid w:val="00681866"/>
    <w:rsid w:val="00681C9D"/>
    <w:rsid w:val="00681F35"/>
    <w:rsid w:val="00682269"/>
    <w:rsid w:val="006825AE"/>
    <w:rsid w:val="006827AA"/>
    <w:rsid w:val="00682828"/>
    <w:rsid w:val="0068288E"/>
    <w:rsid w:val="0068297B"/>
    <w:rsid w:val="00682B09"/>
    <w:rsid w:val="00682E07"/>
    <w:rsid w:val="00682E31"/>
    <w:rsid w:val="00683054"/>
    <w:rsid w:val="00683398"/>
    <w:rsid w:val="00683495"/>
    <w:rsid w:val="00683563"/>
    <w:rsid w:val="006836BD"/>
    <w:rsid w:val="00683936"/>
    <w:rsid w:val="00683D52"/>
    <w:rsid w:val="00683D97"/>
    <w:rsid w:val="00684024"/>
    <w:rsid w:val="006840C8"/>
    <w:rsid w:val="00684226"/>
    <w:rsid w:val="00684271"/>
    <w:rsid w:val="00684428"/>
    <w:rsid w:val="0068492C"/>
    <w:rsid w:val="00684A1A"/>
    <w:rsid w:val="006851D7"/>
    <w:rsid w:val="006852D1"/>
    <w:rsid w:val="0068559E"/>
    <w:rsid w:val="006855C3"/>
    <w:rsid w:val="00685939"/>
    <w:rsid w:val="00685AEC"/>
    <w:rsid w:val="00685C50"/>
    <w:rsid w:val="00685E3D"/>
    <w:rsid w:val="00685E99"/>
    <w:rsid w:val="006860DD"/>
    <w:rsid w:val="00686147"/>
    <w:rsid w:val="006863C5"/>
    <w:rsid w:val="006863E2"/>
    <w:rsid w:val="0068676F"/>
    <w:rsid w:val="0068680A"/>
    <w:rsid w:val="00686F7C"/>
    <w:rsid w:val="00686FDE"/>
    <w:rsid w:val="00687104"/>
    <w:rsid w:val="006871E2"/>
    <w:rsid w:val="0068733C"/>
    <w:rsid w:val="006873ED"/>
    <w:rsid w:val="00687604"/>
    <w:rsid w:val="006877AA"/>
    <w:rsid w:val="00687820"/>
    <w:rsid w:val="00687FDF"/>
    <w:rsid w:val="006900B0"/>
    <w:rsid w:val="006906FF"/>
    <w:rsid w:val="0069099D"/>
    <w:rsid w:val="006909C0"/>
    <w:rsid w:val="006909CF"/>
    <w:rsid w:val="00690B01"/>
    <w:rsid w:val="00690CB9"/>
    <w:rsid w:val="00690DE3"/>
    <w:rsid w:val="00690F72"/>
    <w:rsid w:val="006912A2"/>
    <w:rsid w:val="00691343"/>
    <w:rsid w:val="00691368"/>
    <w:rsid w:val="00691460"/>
    <w:rsid w:val="006915B3"/>
    <w:rsid w:val="00691AF8"/>
    <w:rsid w:val="00691B4B"/>
    <w:rsid w:val="00691BB2"/>
    <w:rsid w:val="00691F2F"/>
    <w:rsid w:val="0069213F"/>
    <w:rsid w:val="00692432"/>
    <w:rsid w:val="00692592"/>
    <w:rsid w:val="0069271E"/>
    <w:rsid w:val="006927ED"/>
    <w:rsid w:val="00692900"/>
    <w:rsid w:val="006930C1"/>
    <w:rsid w:val="00693380"/>
    <w:rsid w:val="006933DE"/>
    <w:rsid w:val="00693574"/>
    <w:rsid w:val="006936DE"/>
    <w:rsid w:val="006938E3"/>
    <w:rsid w:val="00693F03"/>
    <w:rsid w:val="006940B4"/>
    <w:rsid w:val="006941C0"/>
    <w:rsid w:val="0069437A"/>
    <w:rsid w:val="0069439F"/>
    <w:rsid w:val="006943D4"/>
    <w:rsid w:val="006945F5"/>
    <w:rsid w:val="00694C8E"/>
    <w:rsid w:val="00694EE8"/>
    <w:rsid w:val="00694F1B"/>
    <w:rsid w:val="00694F92"/>
    <w:rsid w:val="0069503F"/>
    <w:rsid w:val="0069519A"/>
    <w:rsid w:val="0069534E"/>
    <w:rsid w:val="0069536F"/>
    <w:rsid w:val="0069540F"/>
    <w:rsid w:val="00695524"/>
    <w:rsid w:val="0069567C"/>
    <w:rsid w:val="006958C6"/>
    <w:rsid w:val="00695B8D"/>
    <w:rsid w:val="00695E8A"/>
    <w:rsid w:val="00695EA3"/>
    <w:rsid w:val="00695EF7"/>
    <w:rsid w:val="0069604F"/>
    <w:rsid w:val="00696072"/>
    <w:rsid w:val="00696145"/>
    <w:rsid w:val="006963BC"/>
    <w:rsid w:val="006963C5"/>
    <w:rsid w:val="00696A99"/>
    <w:rsid w:val="00696AA4"/>
    <w:rsid w:val="00696BA7"/>
    <w:rsid w:val="00696EED"/>
    <w:rsid w:val="00697077"/>
    <w:rsid w:val="00697083"/>
    <w:rsid w:val="00697154"/>
    <w:rsid w:val="006972D5"/>
    <w:rsid w:val="00697627"/>
    <w:rsid w:val="0069779B"/>
    <w:rsid w:val="0069789F"/>
    <w:rsid w:val="006979E6"/>
    <w:rsid w:val="00697AC2"/>
    <w:rsid w:val="00697B3B"/>
    <w:rsid w:val="00697BDE"/>
    <w:rsid w:val="00697DD1"/>
    <w:rsid w:val="00697E04"/>
    <w:rsid w:val="00697F59"/>
    <w:rsid w:val="006A0024"/>
    <w:rsid w:val="006A0448"/>
    <w:rsid w:val="006A0646"/>
    <w:rsid w:val="006A0AD6"/>
    <w:rsid w:val="006A0C84"/>
    <w:rsid w:val="006A0DB8"/>
    <w:rsid w:val="006A10F0"/>
    <w:rsid w:val="006A1190"/>
    <w:rsid w:val="006A140F"/>
    <w:rsid w:val="006A1733"/>
    <w:rsid w:val="006A195C"/>
    <w:rsid w:val="006A1B53"/>
    <w:rsid w:val="006A1FA4"/>
    <w:rsid w:val="006A20B0"/>
    <w:rsid w:val="006A2349"/>
    <w:rsid w:val="006A2460"/>
    <w:rsid w:val="006A26E0"/>
    <w:rsid w:val="006A274E"/>
    <w:rsid w:val="006A2774"/>
    <w:rsid w:val="006A27DE"/>
    <w:rsid w:val="006A2AD5"/>
    <w:rsid w:val="006A2B05"/>
    <w:rsid w:val="006A2B6A"/>
    <w:rsid w:val="006A2C14"/>
    <w:rsid w:val="006A2E0A"/>
    <w:rsid w:val="006A2FFB"/>
    <w:rsid w:val="006A306F"/>
    <w:rsid w:val="006A319E"/>
    <w:rsid w:val="006A3467"/>
    <w:rsid w:val="006A3484"/>
    <w:rsid w:val="006A3507"/>
    <w:rsid w:val="006A38BD"/>
    <w:rsid w:val="006A38E0"/>
    <w:rsid w:val="006A39E4"/>
    <w:rsid w:val="006A3B25"/>
    <w:rsid w:val="006A3BE8"/>
    <w:rsid w:val="006A3D7E"/>
    <w:rsid w:val="006A3FC9"/>
    <w:rsid w:val="006A4030"/>
    <w:rsid w:val="006A4045"/>
    <w:rsid w:val="006A40B8"/>
    <w:rsid w:val="006A4357"/>
    <w:rsid w:val="006A46E2"/>
    <w:rsid w:val="006A46F4"/>
    <w:rsid w:val="006A4715"/>
    <w:rsid w:val="006A4762"/>
    <w:rsid w:val="006A4783"/>
    <w:rsid w:val="006A4A22"/>
    <w:rsid w:val="006A4CB7"/>
    <w:rsid w:val="006A4E93"/>
    <w:rsid w:val="006A4E9B"/>
    <w:rsid w:val="006A4F15"/>
    <w:rsid w:val="006A4FA6"/>
    <w:rsid w:val="006A5324"/>
    <w:rsid w:val="006A5723"/>
    <w:rsid w:val="006A59AA"/>
    <w:rsid w:val="006A5B05"/>
    <w:rsid w:val="006A5CCB"/>
    <w:rsid w:val="006A5D34"/>
    <w:rsid w:val="006A5DF8"/>
    <w:rsid w:val="006A6190"/>
    <w:rsid w:val="006A6235"/>
    <w:rsid w:val="006A6295"/>
    <w:rsid w:val="006A62B7"/>
    <w:rsid w:val="006A64D4"/>
    <w:rsid w:val="006A6580"/>
    <w:rsid w:val="006A659D"/>
    <w:rsid w:val="006A68C2"/>
    <w:rsid w:val="006A6A97"/>
    <w:rsid w:val="006A6BA9"/>
    <w:rsid w:val="006A6CC0"/>
    <w:rsid w:val="006A6E2B"/>
    <w:rsid w:val="006A6FFD"/>
    <w:rsid w:val="006A7805"/>
    <w:rsid w:val="006A785A"/>
    <w:rsid w:val="006A7A65"/>
    <w:rsid w:val="006A7ABC"/>
    <w:rsid w:val="006B01E9"/>
    <w:rsid w:val="006B021E"/>
    <w:rsid w:val="006B02EA"/>
    <w:rsid w:val="006B0333"/>
    <w:rsid w:val="006B0567"/>
    <w:rsid w:val="006B094B"/>
    <w:rsid w:val="006B0983"/>
    <w:rsid w:val="006B0B91"/>
    <w:rsid w:val="006B0C61"/>
    <w:rsid w:val="006B0E6C"/>
    <w:rsid w:val="006B0F47"/>
    <w:rsid w:val="006B102A"/>
    <w:rsid w:val="006B12E9"/>
    <w:rsid w:val="006B12F4"/>
    <w:rsid w:val="006B150A"/>
    <w:rsid w:val="006B194E"/>
    <w:rsid w:val="006B23E6"/>
    <w:rsid w:val="006B2444"/>
    <w:rsid w:val="006B25B0"/>
    <w:rsid w:val="006B2986"/>
    <w:rsid w:val="006B2A45"/>
    <w:rsid w:val="006B2D40"/>
    <w:rsid w:val="006B2FDE"/>
    <w:rsid w:val="006B31BB"/>
    <w:rsid w:val="006B31EF"/>
    <w:rsid w:val="006B3219"/>
    <w:rsid w:val="006B34B6"/>
    <w:rsid w:val="006B37C8"/>
    <w:rsid w:val="006B3F01"/>
    <w:rsid w:val="006B4132"/>
    <w:rsid w:val="006B4177"/>
    <w:rsid w:val="006B43CE"/>
    <w:rsid w:val="006B4515"/>
    <w:rsid w:val="006B45B8"/>
    <w:rsid w:val="006B4708"/>
    <w:rsid w:val="006B4A80"/>
    <w:rsid w:val="006B4ACC"/>
    <w:rsid w:val="006B4B56"/>
    <w:rsid w:val="006B4B6B"/>
    <w:rsid w:val="006B4B8A"/>
    <w:rsid w:val="006B4E0E"/>
    <w:rsid w:val="006B4EBF"/>
    <w:rsid w:val="006B4F88"/>
    <w:rsid w:val="006B5942"/>
    <w:rsid w:val="006B5A03"/>
    <w:rsid w:val="006B5B7D"/>
    <w:rsid w:val="006B5BAC"/>
    <w:rsid w:val="006B5F48"/>
    <w:rsid w:val="006B5F66"/>
    <w:rsid w:val="006B6001"/>
    <w:rsid w:val="006B614B"/>
    <w:rsid w:val="006B65CE"/>
    <w:rsid w:val="006B6667"/>
    <w:rsid w:val="006B6868"/>
    <w:rsid w:val="006B6D24"/>
    <w:rsid w:val="006B703A"/>
    <w:rsid w:val="006B715E"/>
    <w:rsid w:val="006B7233"/>
    <w:rsid w:val="006B7251"/>
    <w:rsid w:val="006B7878"/>
    <w:rsid w:val="006B7967"/>
    <w:rsid w:val="006B7977"/>
    <w:rsid w:val="006B79CD"/>
    <w:rsid w:val="006B79D9"/>
    <w:rsid w:val="006B7AEF"/>
    <w:rsid w:val="006B7E74"/>
    <w:rsid w:val="006C00F3"/>
    <w:rsid w:val="006C031A"/>
    <w:rsid w:val="006C0609"/>
    <w:rsid w:val="006C0720"/>
    <w:rsid w:val="006C08E3"/>
    <w:rsid w:val="006C0A15"/>
    <w:rsid w:val="006C0A23"/>
    <w:rsid w:val="006C0C55"/>
    <w:rsid w:val="006C0EB9"/>
    <w:rsid w:val="006C0F5B"/>
    <w:rsid w:val="006C100A"/>
    <w:rsid w:val="006C1148"/>
    <w:rsid w:val="006C11CF"/>
    <w:rsid w:val="006C1227"/>
    <w:rsid w:val="006C12D3"/>
    <w:rsid w:val="006C1438"/>
    <w:rsid w:val="006C1442"/>
    <w:rsid w:val="006C199A"/>
    <w:rsid w:val="006C1C0E"/>
    <w:rsid w:val="006C1F3B"/>
    <w:rsid w:val="006C1F63"/>
    <w:rsid w:val="006C2263"/>
    <w:rsid w:val="006C2313"/>
    <w:rsid w:val="006C234D"/>
    <w:rsid w:val="006C2633"/>
    <w:rsid w:val="006C28E0"/>
    <w:rsid w:val="006C2A15"/>
    <w:rsid w:val="006C2A31"/>
    <w:rsid w:val="006C2BAC"/>
    <w:rsid w:val="006C2C4C"/>
    <w:rsid w:val="006C2DF5"/>
    <w:rsid w:val="006C2E5C"/>
    <w:rsid w:val="006C2F27"/>
    <w:rsid w:val="006C3010"/>
    <w:rsid w:val="006C3541"/>
    <w:rsid w:val="006C39E1"/>
    <w:rsid w:val="006C3CC0"/>
    <w:rsid w:val="006C3D08"/>
    <w:rsid w:val="006C3DF0"/>
    <w:rsid w:val="006C3E36"/>
    <w:rsid w:val="006C3E42"/>
    <w:rsid w:val="006C3F14"/>
    <w:rsid w:val="006C3FD9"/>
    <w:rsid w:val="006C40EF"/>
    <w:rsid w:val="006C43CA"/>
    <w:rsid w:val="006C4503"/>
    <w:rsid w:val="006C45F7"/>
    <w:rsid w:val="006C485E"/>
    <w:rsid w:val="006C4B94"/>
    <w:rsid w:val="006C4CE4"/>
    <w:rsid w:val="006C4D11"/>
    <w:rsid w:val="006C4E79"/>
    <w:rsid w:val="006C4E83"/>
    <w:rsid w:val="006C4EAA"/>
    <w:rsid w:val="006C4ECB"/>
    <w:rsid w:val="006C4F60"/>
    <w:rsid w:val="006C50D0"/>
    <w:rsid w:val="006C5177"/>
    <w:rsid w:val="006C5214"/>
    <w:rsid w:val="006C59E5"/>
    <w:rsid w:val="006C5B09"/>
    <w:rsid w:val="006C5E14"/>
    <w:rsid w:val="006C64E0"/>
    <w:rsid w:val="006C6E70"/>
    <w:rsid w:val="006C6EA9"/>
    <w:rsid w:val="006C724E"/>
    <w:rsid w:val="006C735F"/>
    <w:rsid w:val="006C748A"/>
    <w:rsid w:val="006C74C8"/>
    <w:rsid w:val="006C7D45"/>
    <w:rsid w:val="006C7D99"/>
    <w:rsid w:val="006C7E7C"/>
    <w:rsid w:val="006C7EEA"/>
    <w:rsid w:val="006D0129"/>
    <w:rsid w:val="006D01DB"/>
    <w:rsid w:val="006D0242"/>
    <w:rsid w:val="006D0277"/>
    <w:rsid w:val="006D0487"/>
    <w:rsid w:val="006D0530"/>
    <w:rsid w:val="006D074C"/>
    <w:rsid w:val="006D07B9"/>
    <w:rsid w:val="006D0A05"/>
    <w:rsid w:val="006D0A19"/>
    <w:rsid w:val="006D0B42"/>
    <w:rsid w:val="006D0C34"/>
    <w:rsid w:val="006D0C74"/>
    <w:rsid w:val="006D1021"/>
    <w:rsid w:val="006D1410"/>
    <w:rsid w:val="006D1A65"/>
    <w:rsid w:val="006D1A99"/>
    <w:rsid w:val="006D1DC7"/>
    <w:rsid w:val="006D20F8"/>
    <w:rsid w:val="006D2163"/>
    <w:rsid w:val="006D240D"/>
    <w:rsid w:val="006D257D"/>
    <w:rsid w:val="006D2F1E"/>
    <w:rsid w:val="006D31FB"/>
    <w:rsid w:val="006D3789"/>
    <w:rsid w:val="006D37B2"/>
    <w:rsid w:val="006D386A"/>
    <w:rsid w:val="006D3B40"/>
    <w:rsid w:val="006D3E49"/>
    <w:rsid w:val="006D3F6B"/>
    <w:rsid w:val="006D3FE2"/>
    <w:rsid w:val="006D414F"/>
    <w:rsid w:val="006D463A"/>
    <w:rsid w:val="006D4683"/>
    <w:rsid w:val="006D47F5"/>
    <w:rsid w:val="006D4960"/>
    <w:rsid w:val="006D49C9"/>
    <w:rsid w:val="006D4AA1"/>
    <w:rsid w:val="006D4FE2"/>
    <w:rsid w:val="006D500D"/>
    <w:rsid w:val="006D527F"/>
    <w:rsid w:val="006D5393"/>
    <w:rsid w:val="006D553C"/>
    <w:rsid w:val="006D5651"/>
    <w:rsid w:val="006D5805"/>
    <w:rsid w:val="006D59C0"/>
    <w:rsid w:val="006D5B4E"/>
    <w:rsid w:val="006D5C24"/>
    <w:rsid w:val="006D5DE3"/>
    <w:rsid w:val="006D5E84"/>
    <w:rsid w:val="006D5F80"/>
    <w:rsid w:val="006D6218"/>
    <w:rsid w:val="006D622E"/>
    <w:rsid w:val="006D6538"/>
    <w:rsid w:val="006D656D"/>
    <w:rsid w:val="006D67C7"/>
    <w:rsid w:val="006D6865"/>
    <w:rsid w:val="006D6A54"/>
    <w:rsid w:val="006D6B39"/>
    <w:rsid w:val="006D6E1A"/>
    <w:rsid w:val="006D6F03"/>
    <w:rsid w:val="006D6F13"/>
    <w:rsid w:val="006D6FE1"/>
    <w:rsid w:val="006D72CA"/>
    <w:rsid w:val="006D73D3"/>
    <w:rsid w:val="006D742B"/>
    <w:rsid w:val="006D77AB"/>
    <w:rsid w:val="006D7879"/>
    <w:rsid w:val="006D79E8"/>
    <w:rsid w:val="006D7B24"/>
    <w:rsid w:val="006D7F69"/>
    <w:rsid w:val="006E03B8"/>
    <w:rsid w:val="006E045B"/>
    <w:rsid w:val="006E04CD"/>
    <w:rsid w:val="006E0594"/>
    <w:rsid w:val="006E05AD"/>
    <w:rsid w:val="006E074B"/>
    <w:rsid w:val="006E100D"/>
    <w:rsid w:val="006E115E"/>
    <w:rsid w:val="006E1258"/>
    <w:rsid w:val="006E131B"/>
    <w:rsid w:val="006E1360"/>
    <w:rsid w:val="006E1534"/>
    <w:rsid w:val="006E160E"/>
    <w:rsid w:val="006E16B5"/>
    <w:rsid w:val="006E1730"/>
    <w:rsid w:val="006E18C9"/>
    <w:rsid w:val="006E1905"/>
    <w:rsid w:val="006E19B7"/>
    <w:rsid w:val="006E19DB"/>
    <w:rsid w:val="006E1B45"/>
    <w:rsid w:val="006E1B88"/>
    <w:rsid w:val="006E1CD9"/>
    <w:rsid w:val="006E1FB0"/>
    <w:rsid w:val="006E2566"/>
    <w:rsid w:val="006E25F5"/>
    <w:rsid w:val="006E2729"/>
    <w:rsid w:val="006E289F"/>
    <w:rsid w:val="006E28D7"/>
    <w:rsid w:val="006E2973"/>
    <w:rsid w:val="006E2A24"/>
    <w:rsid w:val="006E2D13"/>
    <w:rsid w:val="006E3276"/>
    <w:rsid w:val="006E32D8"/>
    <w:rsid w:val="006E32E9"/>
    <w:rsid w:val="006E337B"/>
    <w:rsid w:val="006E33FD"/>
    <w:rsid w:val="006E3492"/>
    <w:rsid w:val="006E3509"/>
    <w:rsid w:val="006E39CA"/>
    <w:rsid w:val="006E3B85"/>
    <w:rsid w:val="006E3C00"/>
    <w:rsid w:val="006E4366"/>
    <w:rsid w:val="006E450A"/>
    <w:rsid w:val="006E472C"/>
    <w:rsid w:val="006E4B12"/>
    <w:rsid w:val="006E4B8B"/>
    <w:rsid w:val="006E4EAC"/>
    <w:rsid w:val="006E4F4B"/>
    <w:rsid w:val="006E4F4E"/>
    <w:rsid w:val="006E4FC9"/>
    <w:rsid w:val="006E5018"/>
    <w:rsid w:val="006E50B1"/>
    <w:rsid w:val="006E520F"/>
    <w:rsid w:val="006E5405"/>
    <w:rsid w:val="006E5447"/>
    <w:rsid w:val="006E547C"/>
    <w:rsid w:val="006E57CE"/>
    <w:rsid w:val="006E5973"/>
    <w:rsid w:val="006E5D62"/>
    <w:rsid w:val="006E5F95"/>
    <w:rsid w:val="006E6025"/>
    <w:rsid w:val="006E60C3"/>
    <w:rsid w:val="006E619D"/>
    <w:rsid w:val="006E652E"/>
    <w:rsid w:val="006E6651"/>
    <w:rsid w:val="006E6A3B"/>
    <w:rsid w:val="006E6A98"/>
    <w:rsid w:val="006E6BCA"/>
    <w:rsid w:val="006E6C0B"/>
    <w:rsid w:val="006E6C5A"/>
    <w:rsid w:val="006E6C6D"/>
    <w:rsid w:val="006E6CC8"/>
    <w:rsid w:val="006E6D06"/>
    <w:rsid w:val="006E70F4"/>
    <w:rsid w:val="006E71EE"/>
    <w:rsid w:val="006E72CD"/>
    <w:rsid w:val="006E72D8"/>
    <w:rsid w:val="006E74A7"/>
    <w:rsid w:val="006E75A1"/>
    <w:rsid w:val="006E76EC"/>
    <w:rsid w:val="006E7707"/>
    <w:rsid w:val="006E774A"/>
    <w:rsid w:val="006E79D2"/>
    <w:rsid w:val="006E7CDA"/>
    <w:rsid w:val="006E7F85"/>
    <w:rsid w:val="006F01F3"/>
    <w:rsid w:val="006F0277"/>
    <w:rsid w:val="006F043F"/>
    <w:rsid w:val="006F04FD"/>
    <w:rsid w:val="006F05D0"/>
    <w:rsid w:val="006F06AD"/>
    <w:rsid w:val="006F0735"/>
    <w:rsid w:val="006F0846"/>
    <w:rsid w:val="006F0894"/>
    <w:rsid w:val="006F0B6A"/>
    <w:rsid w:val="006F0E01"/>
    <w:rsid w:val="006F0FDF"/>
    <w:rsid w:val="006F10AB"/>
    <w:rsid w:val="006F10E4"/>
    <w:rsid w:val="006F114F"/>
    <w:rsid w:val="006F146A"/>
    <w:rsid w:val="006F171D"/>
    <w:rsid w:val="006F1856"/>
    <w:rsid w:val="006F1B49"/>
    <w:rsid w:val="006F1C3A"/>
    <w:rsid w:val="006F1EDC"/>
    <w:rsid w:val="006F2128"/>
    <w:rsid w:val="006F24AD"/>
    <w:rsid w:val="006F2543"/>
    <w:rsid w:val="006F28ED"/>
    <w:rsid w:val="006F29B4"/>
    <w:rsid w:val="006F2B0E"/>
    <w:rsid w:val="006F30A5"/>
    <w:rsid w:val="006F34C7"/>
    <w:rsid w:val="006F35E9"/>
    <w:rsid w:val="006F3681"/>
    <w:rsid w:val="006F36C0"/>
    <w:rsid w:val="006F37E2"/>
    <w:rsid w:val="006F384F"/>
    <w:rsid w:val="006F38C2"/>
    <w:rsid w:val="006F3BF5"/>
    <w:rsid w:val="006F3D56"/>
    <w:rsid w:val="006F3DFC"/>
    <w:rsid w:val="006F4421"/>
    <w:rsid w:val="006F44D8"/>
    <w:rsid w:val="006F4717"/>
    <w:rsid w:val="006F474D"/>
    <w:rsid w:val="006F475B"/>
    <w:rsid w:val="006F495E"/>
    <w:rsid w:val="006F4962"/>
    <w:rsid w:val="006F4994"/>
    <w:rsid w:val="006F4A94"/>
    <w:rsid w:val="006F4B67"/>
    <w:rsid w:val="006F4BCE"/>
    <w:rsid w:val="006F4F21"/>
    <w:rsid w:val="006F52B4"/>
    <w:rsid w:val="006F53DE"/>
    <w:rsid w:val="006F5746"/>
    <w:rsid w:val="006F5797"/>
    <w:rsid w:val="006F57AA"/>
    <w:rsid w:val="006F5FC2"/>
    <w:rsid w:val="006F6009"/>
    <w:rsid w:val="006F6052"/>
    <w:rsid w:val="006F6250"/>
    <w:rsid w:val="006F646E"/>
    <w:rsid w:val="006F699D"/>
    <w:rsid w:val="006F6A1A"/>
    <w:rsid w:val="006F6A23"/>
    <w:rsid w:val="006F6DF4"/>
    <w:rsid w:val="006F710D"/>
    <w:rsid w:val="006F712B"/>
    <w:rsid w:val="006F7162"/>
    <w:rsid w:val="006F729D"/>
    <w:rsid w:val="006F7617"/>
    <w:rsid w:val="006F7618"/>
    <w:rsid w:val="006F78F2"/>
    <w:rsid w:val="006F7C0C"/>
    <w:rsid w:val="00700056"/>
    <w:rsid w:val="007000AB"/>
    <w:rsid w:val="0070010A"/>
    <w:rsid w:val="00700299"/>
    <w:rsid w:val="00700769"/>
    <w:rsid w:val="00700773"/>
    <w:rsid w:val="007007B8"/>
    <w:rsid w:val="007008BA"/>
    <w:rsid w:val="00700A3D"/>
    <w:rsid w:val="00700B58"/>
    <w:rsid w:val="00700BAB"/>
    <w:rsid w:val="00700BCB"/>
    <w:rsid w:val="00700F48"/>
    <w:rsid w:val="00700FB5"/>
    <w:rsid w:val="00701225"/>
    <w:rsid w:val="007014DE"/>
    <w:rsid w:val="0070163D"/>
    <w:rsid w:val="007018BB"/>
    <w:rsid w:val="00701913"/>
    <w:rsid w:val="00701930"/>
    <w:rsid w:val="00701A0D"/>
    <w:rsid w:val="00701A81"/>
    <w:rsid w:val="00701AC1"/>
    <w:rsid w:val="00701DA4"/>
    <w:rsid w:val="00701EDF"/>
    <w:rsid w:val="00702361"/>
    <w:rsid w:val="0070263F"/>
    <w:rsid w:val="00702644"/>
    <w:rsid w:val="00702819"/>
    <w:rsid w:val="0070289F"/>
    <w:rsid w:val="00702975"/>
    <w:rsid w:val="00702AE2"/>
    <w:rsid w:val="00702B64"/>
    <w:rsid w:val="00702BD2"/>
    <w:rsid w:val="00702BEF"/>
    <w:rsid w:val="00702EE8"/>
    <w:rsid w:val="00702F03"/>
    <w:rsid w:val="0070315D"/>
    <w:rsid w:val="0070319E"/>
    <w:rsid w:val="007031DD"/>
    <w:rsid w:val="00703245"/>
    <w:rsid w:val="00703544"/>
    <w:rsid w:val="00703583"/>
    <w:rsid w:val="007039F2"/>
    <w:rsid w:val="00703B58"/>
    <w:rsid w:val="00703EA6"/>
    <w:rsid w:val="0070415E"/>
    <w:rsid w:val="00704569"/>
    <w:rsid w:val="00704735"/>
    <w:rsid w:val="007049ED"/>
    <w:rsid w:val="007049F6"/>
    <w:rsid w:val="00704D07"/>
    <w:rsid w:val="00704DDE"/>
    <w:rsid w:val="0070556F"/>
    <w:rsid w:val="00705B09"/>
    <w:rsid w:val="00705D81"/>
    <w:rsid w:val="00705E1D"/>
    <w:rsid w:val="00705E42"/>
    <w:rsid w:val="00706035"/>
    <w:rsid w:val="00706112"/>
    <w:rsid w:val="00706154"/>
    <w:rsid w:val="00706268"/>
    <w:rsid w:val="0070644F"/>
    <w:rsid w:val="00706659"/>
    <w:rsid w:val="00706AC1"/>
    <w:rsid w:val="00706B90"/>
    <w:rsid w:val="00706BF7"/>
    <w:rsid w:val="00706C04"/>
    <w:rsid w:val="00706CC7"/>
    <w:rsid w:val="00706E3A"/>
    <w:rsid w:val="007070F3"/>
    <w:rsid w:val="0070742C"/>
    <w:rsid w:val="007076C3"/>
    <w:rsid w:val="00707847"/>
    <w:rsid w:val="007078EA"/>
    <w:rsid w:val="0070794C"/>
    <w:rsid w:val="00707A91"/>
    <w:rsid w:val="00707CE0"/>
    <w:rsid w:val="00707D59"/>
    <w:rsid w:val="0071020A"/>
    <w:rsid w:val="00710455"/>
    <w:rsid w:val="00710463"/>
    <w:rsid w:val="007105D2"/>
    <w:rsid w:val="0071064B"/>
    <w:rsid w:val="007106FD"/>
    <w:rsid w:val="0071082B"/>
    <w:rsid w:val="0071094D"/>
    <w:rsid w:val="00710AE6"/>
    <w:rsid w:val="00710B8E"/>
    <w:rsid w:val="00710C56"/>
    <w:rsid w:val="00710D32"/>
    <w:rsid w:val="00710DDF"/>
    <w:rsid w:val="00710E5B"/>
    <w:rsid w:val="007111BB"/>
    <w:rsid w:val="00711231"/>
    <w:rsid w:val="007113B4"/>
    <w:rsid w:val="007114B3"/>
    <w:rsid w:val="007114BD"/>
    <w:rsid w:val="00711985"/>
    <w:rsid w:val="007119A9"/>
    <w:rsid w:val="00711ADF"/>
    <w:rsid w:val="00711AF4"/>
    <w:rsid w:val="00711F8F"/>
    <w:rsid w:val="00712107"/>
    <w:rsid w:val="00712269"/>
    <w:rsid w:val="007123B8"/>
    <w:rsid w:val="00712417"/>
    <w:rsid w:val="00712579"/>
    <w:rsid w:val="0071297F"/>
    <w:rsid w:val="00712C99"/>
    <w:rsid w:val="00713023"/>
    <w:rsid w:val="0071307A"/>
    <w:rsid w:val="0071318C"/>
    <w:rsid w:val="007131F1"/>
    <w:rsid w:val="00713226"/>
    <w:rsid w:val="00713351"/>
    <w:rsid w:val="0071340E"/>
    <w:rsid w:val="0071359E"/>
    <w:rsid w:val="0071360D"/>
    <w:rsid w:val="007136CC"/>
    <w:rsid w:val="0071376D"/>
    <w:rsid w:val="00713843"/>
    <w:rsid w:val="00713912"/>
    <w:rsid w:val="007139C8"/>
    <w:rsid w:val="00713A9C"/>
    <w:rsid w:val="00714208"/>
    <w:rsid w:val="007143F2"/>
    <w:rsid w:val="007148D9"/>
    <w:rsid w:val="00714A43"/>
    <w:rsid w:val="00714AA7"/>
    <w:rsid w:val="00714C8C"/>
    <w:rsid w:val="00714CD9"/>
    <w:rsid w:val="00714EAC"/>
    <w:rsid w:val="00715085"/>
    <w:rsid w:val="00715338"/>
    <w:rsid w:val="007154B9"/>
    <w:rsid w:val="007155F8"/>
    <w:rsid w:val="0071560F"/>
    <w:rsid w:val="00715B5C"/>
    <w:rsid w:val="00715C61"/>
    <w:rsid w:val="00715CD6"/>
    <w:rsid w:val="00715FCB"/>
    <w:rsid w:val="0071610B"/>
    <w:rsid w:val="0071615B"/>
    <w:rsid w:val="0071670C"/>
    <w:rsid w:val="007168EE"/>
    <w:rsid w:val="00716983"/>
    <w:rsid w:val="00716F5E"/>
    <w:rsid w:val="00716F70"/>
    <w:rsid w:val="007173C2"/>
    <w:rsid w:val="007174B9"/>
    <w:rsid w:val="0071750C"/>
    <w:rsid w:val="00717622"/>
    <w:rsid w:val="0071767E"/>
    <w:rsid w:val="00717985"/>
    <w:rsid w:val="007179D3"/>
    <w:rsid w:val="00717B3C"/>
    <w:rsid w:val="00717C15"/>
    <w:rsid w:val="00717DAF"/>
    <w:rsid w:val="00720025"/>
    <w:rsid w:val="007200BD"/>
    <w:rsid w:val="007203A1"/>
    <w:rsid w:val="00720439"/>
    <w:rsid w:val="00720474"/>
    <w:rsid w:val="007207A6"/>
    <w:rsid w:val="00720AC1"/>
    <w:rsid w:val="00720BA8"/>
    <w:rsid w:val="00720BFF"/>
    <w:rsid w:val="00720D9E"/>
    <w:rsid w:val="00721556"/>
    <w:rsid w:val="00721666"/>
    <w:rsid w:val="00721833"/>
    <w:rsid w:val="00721881"/>
    <w:rsid w:val="007219AB"/>
    <w:rsid w:val="00721A5A"/>
    <w:rsid w:val="00721F81"/>
    <w:rsid w:val="00722006"/>
    <w:rsid w:val="007222C8"/>
    <w:rsid w:val="007222F7"/>
    <w:rsid w:val="0072251C"/>
    <w:rsid w:val="007227FF"/>
    <w:rsid w:val="00722B0E"/>
    <w:rsid w:val="0072318F"/>
    <w:rsid w:val="00723475"/>
    <w:rsid w:val="0072347F"/>
    <w:rsid w:val="007234DE"/>
    <w:rsid w:val="00723B48"/>
    <w:rsid w:val="00723E1B"/>
    <w:rsid w:val="00723F7C"/>
    <w:rsid w:val="00723F96"/>
    <w:rsid w:val="00724078"/>
    <w:rsid w:val="007240C1"/>
    <w:rsid w:val="00724433"/>
    <w:rsid w:val="0072443E"/>
    <w:rsid w:val="0072448C"/>
    <w:rsid w:val="007244C5"/>
    <w:rsid w:val="00724524"/>
    <w:rsid w:val="007246B9"/>
    <w:rsid w:val="00724724"/>
    <w:rsid w:val="00724AB6"/>
    <w:rsid w:val="00724E46"/>
    <w:rsid w:val="00724FCB"/>
    <w:rsid w:val="0072500F"/>
    <w:rsid w:val="00725084"/>
    <w:rsid w:val="00725088"/>
    <w:rsid w:val="00725364"/>
    <w:rsid w:val="00725580"/>
    <w:rsid w:val="0072575C"/>
    <w:rsid w:val="0072577E"/>
    <w:rsid w:val="007258AA"/>
    <w:rsid w:val="00725A6F"/>
    <w:rsid w:val="00725B46"/>
    <w:rsid w:val="00725D84"/>
    <w:rsid w:val="00725E5C"/>
    <w:rsid w:val="0072621B"/>
    <w:rsid w:val="007262BD"/>
    <w:rsid w:val="00726432"/>
    <w:rsid w:val="00726455"/>
    <w:rsid w:val="00726582"/>
    <w:rsid w:val="0072665B"/>
    <w:rsid w:val="0072674E"/>
    <w:rsid w:val="0072698D"/>
    <w:rsid w:val="00726CB8"/>
    <w:rsid w:val="007271CC"/>
    <w:rsid w:val="00727511"/>
    <w:rsid w:val="00727851"/>
    <w:rsid w:val="007278B0"/>
    <w:rsid w:val="00727B37"/>
    <w:rsid w:val="00727CB9"/>
    <w:rsid w:val="00727CE3"/>
    <w:rsid w:val="00727D28"/>
    <w:rsid w:val="00727FFE"/>
    <w:rsid w:val="007301A5"/>
    <w:rsid w:val="00730492"/>
    <w:rsid w:val="0073064B"/>
    <w:rsid w:val="007306B9"/>
    <w:rsid w:val="0073089E"/>
    <w:rsid w:val="00730C97"/>
    <w:rsid w:val="00731000"/>
    <w:rsid w:val="007310B9"/>
    <w:rsid w:val="0073112F"/>
    <w:rsid w:val="00731316"/>
    <w:rsid w:val="00731593"/>
    <w:rsid w:val="00731775"/>
    <w:rsid w:val="007317AB"/>
    <w:rsid w:val="0073192A"/>
    <w:rsid w:val="00731A30"/>
    <w:rsid w:val="00731AC9"/>
    <w:rsid w:val="00731BFC"/>
    <w:rsid w:val="00731CCF"/>
    <w:rsid w:val="007321F1"/>
    <w:rsid w:val="007325A5"/>
    <w:rsid w:val="007325D5"/>
    <w:rsid w:val="00732697"/>
    <w:rsid w:val="00732A46"/>
    <w:rsid w:val="00732B62"/>
    <w:rsid w:val="00732BA5"/>
    <w:rsid w:val="00732C86"/>
    <w:rsid w:val="00732D1E"/>
    <w:rsid w:val="00733120"/>
    <w:rsid w:val="0073320F"/>
    <w:rsid w:val="007332D3"/>
    <w:rsid w:val="00733304"/>
    <w:rsid w:val="00733450"/>
    <w:rsid w:val="00733461"/>
    <w:rsid w:val="00733615"/>
    <w:rsid w:val="00733617"/>
    <w:rsid w:val="00734111"/>
    <w:rsid w:val="0073420E"/>
    <w:rsid w:val="00734215"/>
    <w:rsid w:val="007343C9"/>
    <w:rsid w:val="00734732"/>
    <w:rsid w:val="007347D8"/>
    <w:rsid w:val="00734854"/>
    <w:rsid w:val="00734937"/>
    <w:rsid w:val="00734B28"/>
    <w:rsid w:val="00734B69"/>
    <w:rsid w:val="00734CFF"/>
    <w:rsid w:val="00734D9F"/>
    <w:rsid w:val="00734E30"/>
    <w:rsid w:val="00734E59"/>
    <w:rsid w:val="00734FBA"/>
    <w:rsid w:val="0073514D"/>
    <w:rsid w:val="00735285"/>
    <w:rsid w:val="00735419"/>
    <w:rsid w:val="007355A0"/>
    <w:rsid w:val="007357BB"/>
    <w:rsid w:val="007358F2"/>
    <w:rsid w:val="00735A02"/>
    <w:rsid w:val="00735E25"/>
    <w:rsid w:val="00735E94"/>
    <w:rsid w:val="00736055"/>
    <w:rsid w:val="00736290"/>
    <w:rsid w:val="00736357"/>
    <w:rsid w:val="0073644B"/>
    <w:rsid w:val="007366A4"/>
    <w:rsid w:val="007367CA"/>
    <w:rsid w:val="00736830"/>
    <w:rsid w:val="00736C3D"/>
    <w:rsid w:val="00736D4F"/>
    <w:rsid w:val="00736F77"/>
    <w:rsid w:val="00736FE4"/>
    <w:rsid w:val="007371E0"/>
    <w:rsid w:val="00737444"/>
    <w:rsid w:val="00737696"/>
    <w:rsid w:val="0073789E"/>
    <w:rsid w:val="0073793C"/>
    <w:rsid w:val="00737A77"/>
    <w:rsid w:val="00737EA7"/>
    <w:rsid w:val="00737FA8"/>
    <w:rsid w:val="00737FFD"/>
    <w:rsid w:val="00740075"/>
    <w:rsid w:val="0074041C"/>
    <w:rsid w:val="00740450"/>
    <w:rsid w:val="007405C0"/>
    <w:rsid w:val="0074077E"/>
    <w:rsid w:val="00740AD5"/>
    <w:rsid w:val="00740BE6"/>
    <w:rsid w:val="00740C75"/>
    <w:rsid w:val="00740C93"/>
    <w:rsid w:val="00740F1C"/>
    <w:rsid w:val="00740FC6"/>
    <w:rsid w:val="00740FDD"/>
    <w:rsid w:val="007410EE"/>
    <w:rsid w:val="00741295"/>
    <w:rsid w:val="007413E7"/>
    <w:rsid w:val="00741493"/>
    <w:rsid w:val="007414C2"/>
    <w:rsid w:val="007415BB"/>
    <w:rsid w:val="00741818"/>
    <w:rsid w:val="00741853"/>
    <w:rsid w:val="00741AB4"/>
    <w:rsid w:val="00741AB9"/>
    <w:rsid w:val="00741B3C"/>
    <w:rsid w:val="00741B7E"/>
    <w:rsid w:val="00741DB6"/>
    <w:rsid w:val="00741DE1"/>
    <w:rsid w:val="00741EBE"/>
    <w:rsid w:val="00741EFE"/>
    <w:rsid w:val="007420EB"/>
    <w:rsid w:val="0074221D"/>
    <w:rsid w:val="0074222C"/>
    <w:rsid w:val="007422DD"/>
    <w:rsid w:val="00742375"/>
    <w:rsid w:val="007426FD"/>
    <w:rsid w:val="00742700"/>
    <w:rsid w:val="007429C7"/>
    <w:rsid w:val="00742B99"/>
    <w:rsid w:val="00742BD0"/>
    <w:rsid w:val="00742DF8"/>
    <w:rsid w:val="00742E60"/>
    <w:rsid w:val="00743255"/>
    <w:rsid w:val="00743275"/>
    <w:rsid w:val="00743353"/>
    <w:rsid w:val="00743526"/>
    <w:rsid w:val="0074367A"/>
    <w:rsid w:val="00743A5F"/>
    <w:rsid w:val="00743B6A"/>
    <w:rsid w:val="00743C7E"/>
    <w:rsid w:val="00743EBF"/>
    <w:rsid w:val="00743F19"/>
    <w:rsid w:val="00743F1A"/>
    <w:rsid w:val="00743F44"/>
    <w:rsid w:val="00743F56"/>
    <w:rsid w:val="00744140"/>
    <w:rsid w:val="00744486"/>
    <w:rsid w:val="00744524"/>
    <w:rsid w:val="007445BC"/>
    <w:rsid w:val="007445CE"/>
    <w:rsid w:val="0074476E"/>
    <w:rsid w:val="007449B3"/>
    <w:rsid w:val="00744C7C"/>
    <w:rsid w:val="00744E3E"/>
    <w:rsid w:val="00744F8A"/>
    <w:rsid w:val="007450FC"/>
    <w:rsid w:val="00745156"/>
    <w:rsid w:val="0074517F"/>
    <w:rsid w:val="0074558D"/>
    <w:rsid w:val="00745681"/>
    <w:rsid w:val="007456AD"/>
    <w:rsid w:val="007456F3"/>
    <w:rsid w:val="007457F1"/>
    <w:rsid w:val="00745896"/>
    <w:rsid w:val="00745A08"/>
    <w:rsid w:val="00745CB5"/>
    <w:rsid w:val="00745CB7"/>
    <w:rsid w:val="00745EA8"/>
    <w:rsid w:val="00746146"/>
    <w:rsid w:val="00746227"/>
    <w:rsid w:val="0074623A"/>
    <w:rsid w:val="0074636D"/>
    <w:rsid w:val="007464F4"/>
    <w:rsid w:val="007466C3"/>
    <w:rsid w:val="00746992"/>
    <w:rsid w:val="00746D30"/>
    <w:rsid w:val="00746E5E"/>
    <w:rsid w:val="00747438"/>
    <w:rsid w:val="0074747B"/>
    <w:rsid w:val="00747881"/>
    <w:rsid w:val="007478F0"/>
    <w:rsid w:val="00747AD0"/>
    <w:rsid w:val="00747B8D"/>
    <w:rsid w:val="00747F71"/>
    <w:rsid w:val="00750188"/>
    <w:rsid w:val="00750361"/>
    <w:rsid w:val="00750532"/>
    <w:rsid w:val="0075053F"/>
    <w:rsid w:val="007506CE"/>
    <w:rsid w:val="00750B9A"/>
    <w:rsid w:val="00750BEA"/>
    <w:rsid w:val="00750C94"/>
    <w:rsid w:val="00750ECD"/>
    <w:rsid w:val="00750EF0"/>
    <w:rsid w:val="007512AF"/>
    <w:rsid w:val="0075152E"/>
    <w:rsid w:val="007515A6"/>
    <w:rsid w:val="007517DE"/>
    <w:rsid w:val="00751948"/>
    <w:rsid w:val="00751D36"/>
    <w:rsid w:val="00751DAA"/>
    <w:rsid w:val="00751EBD"/>
    <w:rsid w:val="00751FF9"/>
    <w:rsid w:val="007520E7"/>
    <w:rsid w:val="00752487"/>
    <w:rsid w:val="00752553"/>
    <w:rsid w:val="0075256A"/>
    <w:rsid w:val="00752602"/>
    <w:rsid w:val="0075263E"/>
    <w:rsid w:val="007527BF"/>
    <w:rsid w:val="007528D2"/>
    <w:rsid w:val="00752910"/>
    <w:rsid w:val="00752BB5"/>
    <w:rsid w:val="00752E1E"/>
    <w:rsid w:val="00753133"/>
    <w:rsid w:val="0075317A"/>
    <w:rsid w:val="007532BC"/>
    <w:rsid w:val="00753369"/>
    <w:rsid w:val="0075353A"/>
    <w:rsid w:val="007539FF"/>
    <w:rsid w:val="00753D12"/>
    <w:rsid w:val="00753E0F"/>
    <w:rsid w:val="00753EBD"/>
    <w:rsid w:val="00753ECE"/>
    <w:rsid w:val="00754278"/>
    <w:rsid w:val="00754515"/>
    <w:rsid w:val="00754720"/>
    <w:rsid w:val="007547B1"/>
    <w:rsid w:val="00754CDC"/>
    <w:rsid w:val="00754E32"/>
    <w:rsid w:val="00754EB2"/>
    <w:rsid w:val="0075528E"/>
    <w:rsid w:val="007553C2"/>
    <w:rsid w:val="00755666"/>
    <w:rsid w:val="0075579E"/>
    <w:rsid w:val="007558C8"/>
    <w:rsid w:val="00755902"/>
    <w:rsid w:val="00755C61"/>
    <w:rsid w:val="0075620D"/>
    <w:rsid w:val="0075630A"/>
    <w:rsid w:val="007565AB"/>
    <w:rsid w:val="0075676F"/>
    <w:rsid w:val="007569C4"/>
    <w:rsid w:val="00756B94"/>
    <w:rsid w:val="00756DEA"/>
    <w:rsid w:val="00757560"/>
    <w:rsid w:val="00757586"/>
    <w:rsid w:val="0075767C"/>
    <w:rsid w:val="007578D4"/>
    <w:rsid w:val="007578D8"/>
    <w:rsid w:val="0075798C"/>
    <w:rsid w:val="007579C5"/>
    <w:rsid w:val="00757A95"/>
    <w:rsid w:val="00757B15"/>
    <w:rsid w:val="00757C1B"/>
    <w:rsid w:val="00757EE3"/>
    <w:rsid w:val="00757F7E"/>
    <w:rsid w:val="0076021F"/>
    <w:rsid w:val="0076043F"/>
    <w:rsid w:val="007607D9"/>
    <w:rsid w:val="00760C49"/>
    <w:rsid w:val="00760D04"/>
    <w:rsid w:val="00761004"/>
    <w:rsid w:val="00761457"/>
    <w:rsid w:val="00761469"/>
    <w:rsid w:val="007618E5"/>
    <w:rsid w:val="00761A22"/>
    <w:rsid w:val="00761AEA"/>
    <w:rsid w:val="00761CDC"/>
    <w:rsid w:val="00762024"/>
    <w:rsid w:val="007620D6"/>
    <w:rsid w:val="007620FA"/>
    <w:rsid w:val="0076210D"/>
    <w:rsid w:val="007621DE"/>
    <w:rsid w:val="00762394"/>
    <w:rsid w:val="007623D6"/>
    <w:rsid w:val="0076246B"/>
    <w:rsid w:val="0076246E"/>
    <w:rsid w:val="00762485"/>
    <w:rsid w:val="0076271B"/>
    <w:rsid w:val="00762872"/>
    <w:rsid w:val="0076287A"/>
    <w:rsid w:val="00762A65"/>
    <w:rsid w:val="00762ADC"/>
    <w:rsid w:val="00762B0B"/>
    <w:rsid w:val="00762E3E"/>
    <w:rsid w:val="0076307E"/>
    <w:rsid w:val="00763196"/>
    <w:rsid w:val="00763378"/>
    <w:rsid w:val="00763420"/>
    <w:rsid w:val="007634A8"/>
    <w:rsid w:val="0076386A"/>
    <w:rsid w:val="00763A64"/>
    <w:rsid w:val="00763AB6"/>
    <w:rsid w:val="00763B06"/>
    <w:rsid w:val="00763D35"/>
    <w:rsid w:val="00763D82"/>
    <w:rsid w:val="00763F13"/>
    <w:rsid w:val="007640AA"/>
    <w:rsid w:val="00764608"/>
    <w:rsid w:val="00765117"/>
    <w:rsid w:val="007651DC"/>
    <w:rsid w:val="007652B3"/>
    <w:rsid w:val="0076553F"/>
    <w:rsid w:val="0076583C"/>
    <w:rsid w:val="007659D1"/>
    <w:rsid w:val="00765CC7"/>
    <w:rsid w:val="00765DB8"/>
    <w:rsid w:val="00765EB2"/>
    <w:rsid w:val="00765F3B"/>
    <w:rsid w:val="00765FB4"/>
    <w:rsid w:val="00766009"/>
    <w:rsid w:val="0076646F"/>
    <w:rsid w:val="00766562"/>
    <w:rsid w:val="00766606"/>
    <w:rsid w:val="00766624"/>
    <w:rsid w:val="0076696D"/>
    <w:rsid w:val="00766A2A"/>
    <w:rsid w:val="00766B55"/>
    <w:rsid w:val="0076701C"/>
    <w:rsid w:val="00767355"/>
    <w:rsid w:val="00767776"/>
    <w:rsid w:val="00767794"/>
    <w:rsid w:val="0076787D"/>
    <w:rsid w:val="00767C30"/>
    <w:rsid w:val="00767D27"/>
    <w:rsid w:val="00770269"/>
    <w:rsid w:val="00770368"/>
    <w:rsid w:val="00770804"/>
    <w:rsid w:val="007709E6"/>
    <w:rsid w:val="00770B2E"/>
    <w:rsid w:val="00770E64"/>
    <w:rsid w:val="0077166B"/>
    <w:rsid w:val="00771809"/>
    <w:rsid w:val="00771A13"/>
    <w:rsid w:val="00771A53"/>
    <w:rsid w:val="00771DE8"/>
    <w:rsid w:val="00771E0A"/>
    <w:rsid w:val="007724C0"/>
    <w:rsid w:val="007726A5"/>
    <w:rsid w:val="007727FE"/>
    <w:rsid w:val="00772AC4"/>
    <w:rsid w:val="00772DC8"/>
    <w:rsid w:val="00773300"/>
    <w:rsid w:val="007734AD"/>
    <w:rsid w:val="00773720"/>
    <w:rsid w:val="007737A1"/>
    <w:rsid w:val="007739AE"/>
    <w:rsid w:val="00773B46"/>
    <w:rsid w:val="00773B5B"/>
    <w:rsid w:val="00773BD3"/>
    <w:rsid w:val="00773E28"/>
    <w:rsid w:val="007740FA"/>
    <w:rsid w:val="00774113"/>
    <w:rsid w:val="0077427B"/>
    <w:rsid w:val="00774290"/>
    <w:rsid w:val="007745F9"/>
    <w:rsid w:val="007746FD"/>
    <w:rsid w:val="00774760"/>
    <w:rsid w:val="00774C99"/>
    <w:rsid w:val="00774D24"/>
    <w:rsid w:val="00774F3C"/>
    <w:rsid w:val="007752D7"/>
    <w:rsid w:val="007754C6"/>
    <w:rsid w:val="007757A8"/>
    <w:rsid w:val="00775AD8"/>
    <w:rsid w:val="00775BD4"/>
    <w:rsid w:val="00775C23"/>
    <w:rsid w:val="00775CE2"/>
    <w:rsid w:val="00775CFD"/>
    <w:rsid w:val="0077606D"/>
    <w:rsid w:val="0077608E"/>
    <w:rsid w:val="0077626C"/>
    <w:rsid w:val="007763AE"/>
    <w:rsid w:val="007764BE"/>
    <w:rsid w:val="00776698"/>
    <w:rsid w:val="0077698E"/>
    <w:rsid w:val="00776A19"/>
    <w:rsid w:val="00776D41"/>
    <w:rsid w:val="00776E67"/>
    <w:rsid w:val="00776EB5"/>
    <w:rsid w:val="00777014"/>
    <w:rsid w:val="00777066"/>
    <w:rsid w:val="007772AC"/>
    <w:rsid w:val="00777336"/>
    <w:rsid w:val="007773D0"/>
    <w:rsid w:val="00777604"/>
    <w:rsid w:val="00777607"/>
    <w:rsid w:val="0077774A"/>
    <w:rsid w:val="00777B0E"/>
    <w:rsid w:val="00777C09"/>
    <w:rsid w:val="00777F28"/>
    <w:rsid w:val="00780160"/>
    <w:rsid w:val="0078024A"/>
    <w:rsid w:val="007802DC"/>
    <w:rsid w:val="007802F7"/>
    <w:rsid w:val="00780372"/>
    <w:rsid w:val="007805C3"/>
    <w:rsid w:val="0078071D"/>
    <w:rsid w:val="0078083F"/>
    <w:rsid w:val="007808D1"/>
    <w:rsid w:val="007809B1"/>
    <w:rsid w:val="00780C72"/>
    <w:rsid w:val="00780C90"/>
    <w:rsid w:val="00780CDE"/>
    <w:rsid w:val="00780DFF"/>
    <w:rsid w:val="00780E69"/>
    <w:rsid w:val="00780EA1"/>
    <w:rsid w:val="007811D3"/>
    <w:rsid w:val="0078126F"/>
    <w:rsid w:val="00781459"/>
    <w:rsid w:val="007815DF"/>
    <w:rsid w:val="00781616"/>
    <w:rsid w:val="007818F0"/>
    <w:rsid w:val="00781ACF"/>
    <w:rsid w:val="00781E10"/>
    <w:rsid w:val="00781FED"/>
    <w:rsid w:val="0078238E"/>
    <w:rsid w:val="0078246F"/>
    <w:rsid w:val="0078247E"/>
    <w:rsid w:val="007824EA"/>
    <w:rsid w:val="0078277E"/>
    <w:rsid w:val="007827F9"/>
    <w:rsid w:val="00783117"/>
    <w:rsid w:val="00783307"/>
    <w:rsid w:val="007834A6"/>
    <w:rsid w:val="00783961"/>
    <w:rsid w:val="007841F7"/>
    <w:rsid w:val="007843C1"/>
    <w:rsid w:val="00784451"/>
    <w:rsid w:val="007846EB"/>
    <w:rsid w:val="007847C1"/>
    <w:rsid w:val="00784903"/>
    <w:rsid w:val="00784A7C"/>
    <w:rsid w:val="00784ABD"/>
    <w:rsid w:val="00784CFB"/>
    <w:rsid w:val="00784E10"/>
    <w:rsid w:val="00785119"/>
    <w:rsid w:val="0078529D"/>
    <w:rsid w:val="00785382"/>
    <w:rsid w:val="00785B6E"/>
    <w:rsid w:val="00785EDE"/>
    <w:rsid w:val="00785F02"/>
    <w:rsid w:val="007863B1"/>
    <w:rsid w:val="0078648B"/>
    <w:rsid w:val="007866BF"/>
    <w:rsid w:val="00786955"/>
    <w:rsid w:val="00786AAD"/>
    <w:rsid w:val="00786C37"/>
    <w:rsid w:val="00786CFC"/>
    <w:rsid w:val="00786D4B"/>
    <w:rsid w:val="00786D81"/>
    <w:rsid w:val="0078701D"/>
    <w:rsid w:val="0078709B"/>
    <w:rsid w:val="00787374"/>
    <w:rsid w:val="00787589"/>
    <w:rsid w:val="00787661"/>
    <w:rsid w:val="007878C1"/>
    <w:rsid w:val="00787A96"/>
    <w:rsid w:val="00787C9F"/>
    <w:rsid w:val="00787DD6"/>
    <w:rsid w:val="00787E5B"/>
    <w:rsid w:val="007900F2"/>
    <w:rsid w:val="007901CD"/>
    <w:rsid w:val="007902E6"/>
    <w:rsid w:val="007902F6"/>
    <w:rsid w:val="0079044D"/>
    <w:rsid w:val="0079066B"/>
    <w:rsid w:val="00790690"/>
    <w:rsid w:val="0079072E"/>
    <w:rsid w:val="00790A27"/>
    <w:rsid w:val="00790C2D"/>
    <w:rsid w:val="00790CF8"/>
    <w:rsid w:val="00790E70"/>
    <w:rsid w:val="00791034"/>
    <w:rsid w:val="00791136"/>
    <w:rsid w:val="0079127E"/>
    <w:rsid w:val="00791656"/>
    <w:rsid w:val="007916BE"/>
    <w:rsid w:val="00791721"/>
    <w:rsid w:val="007918B4"/>
    <w:rsid w:val="00791A18"/>
    <w:rsid w:val="00791B14"/>
    <w:rsid w:val="00791C5B"/>
    <w:rsid w:val="00791CBF"/>
    <w:rsid w:val="00791D82"/>
    <w:rsid w:val="00791DB7"/>
    <w:rsid w:val="00791F46"/>
    <w:rsid w:val="00791F55"/>
    <w:rsid w:val="00791FFD"/>
    <w:rsid w:val="00792300"/>
    <w:rsid w:val="0079277E"/>
    <w:rsid w:val="00792CAF"/>
    <w:rsid w:val="00792D17"/>
    <w:rsid w:val="00792DBD"/>
    <w:rsid w:val="00792E15"/>
    <w:rsid w:val="00793216"/>
    <w:rsid w:val="007933A4"/>
    <w:rsid w:val="007934F2"/>
    <w:rsid w:val="0079354F"/>
    <w:rsid w:val="0079370B"/>
    <w:rsid w:val="00793952"/>
    <w:rsid w:val="00793AD4"/>
    <w:rsid w:val="00793AFB"/>
    <w:rsid w:val="00793BD5"/>
    <w:rsid w:val="00793E5D"/>
    <w:rsid w:val="00793F9E"/>
    <w:rsid w:val="007940B3"/>
    <w:rsid w:val="00794168"/>
    <w:rsid w:val="00794527"/>
    <w:rsid w:val="0079470B"/>
    <w:rsid w:val="0079481A"/>
    <w:rsid w:val="007948B0"/>
    <w:rsid w:val="00794C62"/>
    <w:rsid w:val="00794D0C"/>
    <w:rsid w:val="00794D29"/>
    <w:rsid w:val="00794EF4"/>
    <w:rsid w:val="00794F1F"/>
    <w:rsid w:val="00794FC4"/>
    <w:rsid w:val="00795BD5"/>
    <w:rsid w:val="00795EC5"/>
    <w:rsid w:val="00795F04"/>
    <w:rsid w:val="00795FE4"/>
    <w:rsid w:val="007961C9"/>
    <w:rsid w:val="00796497"/>
    <w:rsid w:val="00796515"/>
    <w:rsid w:val="00796598"/>
    <w:rsid w:val="007965B1"/>
    <w:rsid w:val="007966AD"/>
    <w:rsid w:val="007967D9"/>
    <w:rsid w:val="00796831"/>
    <w:rsid w:val="00796AEC"/>
    <w:rsid w:val="00796D78"/>
    <w:rsid w:val="00796F25"/>
    <w:rsid w:val="00796FD3"/>
    <w:rsid w:val="0079721B"/>
    <w:rsid w:val="007973F6"/>
    <w:rsid w:val="00797815"/>
    <w:rsid w:val="0079785F"/>
    <w:rsid w:val="007978EA"/>
    <w:rsid w:val="00797B86"/>
    <w:rsid w:val="00797BA2"/>
    <w:rsid w:val="00797CF2"/>
    <w:rsid w:val="00797EFF"/>
    <w:rsid w:val="007A019A"/>
    <w:rsid w:val="007A0203"/>
    <w:rsid w:val="007A0300"/>
    <w:rsid w:val="007A0311"/>
    <w:rsid w:val="007A0482"/>
    <w:rsid w:val="007A0559"/>
    <w:rsid w:val="007A05B7"/>
    <w:rsid w:val="007A05E8"/>
    <w:rsid w:val="007A0661"/>
    <w:rsid w:val="007A068F"/>
    <w:rsid w:val="007A0804"/>
    <w:rsid w:val="007A082B"/>
    <w:rsid w:val="007A0960"/>
    <w:rsid w:val="007A0B21"/>
    <w:rsid w:val="007A0BC2"/>
    <w:rsid w:val="007A0E3A"/>
    <w:rsid w:val="007A0E45"/>
    <w:rsid w:val="007A10BA"/>
    <w:rsid w:val="007A1436"/>
    <w:rsid w:val="007A145B"/>
    <w:rsid w:val="007A1735"/>
    <w:rsid w:val="007A199D"/>
    <w:rsid w:val="007A1B33"/>
    <w:rsid w:val="007A1B7D"/>
    <w:rsid w:val="007A1C9F"/>
    <w:rsid w:val="007A1D22"/>
    <w:rsid w:val="007A217C"/>
    <w:rsid w:val="007A246B"/>
    <w:rsid w:val="007A26AA"/>
    <w:rsid w:val="007A27A5"/>
    <w:rsid w:val="007A27A7"/>
    <w:rsid w:val="007A2B17"/>
    <w:rsid w:val="007A2B6C"/>
    <w:rsid w:val="007A2B97"/>
    <w:rsid w:val="007A2EC8"/>
    <w:rsid w:val="007A304D"/>
    <w:rsid w:val="007A308D"/>
    <w:rsid w:val="007A30C4"/>
    <w:rsid w:val="007A3397"/>
    <w:rsid w:val="007A3467"/>
    <w:rsid w:val="007A35F1"/>
    <w:rsid w:val="007A3844"/>
    <w:rsid w:val="007A38C0"/>
    <w:rsid w:val="007A394C"/>
    <w:rsid w:val="007A3A8F"/>
    <w:rsid w:val="007A3E7E"/>
    <w:rsid w:val="007A3ED1"/>
    <w:rsid w:val="007A403C"/>
    <w:rsid w:val="007A4052"/>
    <w:rsid w:val="007A4092"/>
    <w:rsid w:val="007A4698"/>
    <w:rsid w:val="007A49AE"/>
    <w:rsid w:val="007A4A65"/>
    <w:rsid w:val="007A4B7A"/>
    <w:rsid w:val="007A4E3D"/>
    <w:rsid w:val="007A504C"/>
    <w:rsid w:val="007A5278"/>
    <w:rsid w:val="007A534B"/>
    <w:rsid w:val="007A53FA"/>
    <w:rsid w:val="007A5500"/>
    <w:rsid w:val="007A5659"/>
    <w:rsid w:val="007A5757"/>
    <w:rsid w:val="007A58C1"/>
    <w:rsid w:val="007A59BF"/>
    <w:rsid w:val="007A59D5"/>
    <w:rsid w:val="007A5A08"/>
    <w:rsid w:val="007A5C3A"/>
    <w:rsid w:val="007A5DC1"/>
    <w:rsid w:val="007A5FF3"/>
    <w:rsid w:val="007A61D3"/>
    <w:rsid w:val="007A62CD"/>
    <w:rsid w:val="007A6542"/>
    <w:rsid w:val="007A65B4"/>
    <w:rsid w:val="007A6890"/>
    <w:rsid w:val="007A68C9"/>
    <w:rsid w:val="007A6ACF"/>
    <w:rsid w:val="007A6D9D"/>
    <w:rsid w:val="007A6E7B"/>
    <w:rsid w:val="007A6FFE"/>
    <w:rsid w:val="007A74E8"/>
    <w:rsid w:val="007A7545"/>
    <w:rsid w:val="007A7558"/>
    <w:rsid w:val="007A77B2"/>
    <w:rsid w:val="007A78E7"/>
    <w:rsid w:val="007A7947"/>
    <w:rsid w:val="007A7F54"/>
    <w:rsid w:val="007B0046"/>
    <w:rsid w:val="007B0209"/>
    <w:rsid w:val="007B052D"/>
    <w:rsid w:val="007B0661"/>
    <w:rsid w:val="007B0696"/>
    <w:rsid w:val="007B0729"/>
    <w:rsid w:val="007B0730"/>
    <w:rsid w:val="007B0A60"/>
    <w:rsid w:val="007B0F3C"/>
    <w:rsid w:val="007B10CB"/>
    <w:rsid w:val="007B1736"/>
    <w:rsid w:val="007B17CA"/>
    <w:rsid w:val="007B1A03"/>
    <w:rsid w:val="007B1A5A"/>
    <w:rsid w:val="007B1AA0"/>
    <w:rsid w:val="007B1DB5"/>
    <w:rsid w:val="007B20BF"/>
    <w:rsid w:val="007B215A"/>
    <w:rsid w:val="007B21BA"/>
    <w:rsid w:val="007B22F9"/>
    <w:rsid w:val="007B24BC"/>
    <w:rsid w:val="007B25BD"/>
    <w:rsid w:val="007B2901"/>
    <w:rsid w:val="007B29B0"/>
    <w:rsid w:val="007B2B41"/>
    <w:rsid w:val="007B2DD9"/>
    <w:rsid w:val="007B2EEC"/>
    <w:rsid w:val="007B2F0A"/>
    <w:rsid w:val="007B2F7C"/>
    <w:rsid w:val="007B308B"/>
    <w:rsid w:val="007B3143"/>
    <w:rsid w:val="007B338F"/>
    <w:rsid w:val="007B3650"/>
    <w:rsid w:val="007B36AB"/>
    <w:rsid w:val="007B3784"/>
    <w:rsid w:val="007B38AE"/>
    <w:rsid w:val="007B39D4"/>
    <w:rsid w:val="007B3A74"/>
    <w:rsid w:val="007B3C24"/>
    <w:rsid w:val="007B3E70"/>
    <w:rsid w:val="007B438A"/>
    <w:rsid w:val="007B4439"/>
    <w:rsid w:val="007B4469"/>
    <w:rsid w:val="007B457B"/>
    <w:rsid w:val="007B45ED"/>
    <w:rsid w:val="007B467D"/>
    <w:rsid w:val="007B46F1"/>
    <w:rsid w:val="007B46FB"/>
    <w:rsid w:val="007B49D4"/>
    <w:rsid w:val="007B4DDD"/>
    <w:rsid w:val="007B4EE7"/>
    <w:rsid w:val="007B4FD9"/>
    <w:rsid w:val="007B5135"/>
    <w:rsid w:val="007B54FD"/>
    <w:rsid w:val="007B5720"/>
    <w:rsid w:val="007B5A0A"/>
    <w:rsid w:val="007B5C5B"/>
    <w:rsid w:val="007B5FB5"/>
    <w:rsid w:val="007B5FF5"/>
    <w:rsid w:val="007B60AB"/>
    <w:rsid w:val="007B62D1"/>
    <w:rsid w:val="007B64C9"/>
    <w:rsid w:val="007B658B"/>
    <w:rsid w:val="007B65A8"/>
    <w:rsid w:val="007B6F1D"/>
    <w:rsid w:val="007B7121"/>
    <w:rsid w:val="007B7267"/>
    <w:rsid w:val="007B740D"/>
    <w:rsid w:val="007B74FB"/>
    <w:rsid w:val="007B750E"/>
    <w:rsid w:val="007B757C"/>
    <w:rsid w:val="007B7702"/>
    <w:rsid w:val="007C034B"/>
    <w:rsid w:val="007C0718"/>
    <w:rsid w:val="007C08E7"/>
    <w:rsid w:val="007C08EF"/>
    <w:rsid w:val="007C0BCA"/>
    <w:rsid w:val="007C0BE7"/>
    <w:rsid w:val="007C0D69"/>
    <w:rsid w:val="007C0F11"/>
    <w:rsid w:val="007C1074"/>
    <w:rsid w:val="007C1089"/>
    <w:rsid w:val="007C131E"/>
    <w:rsid w:val="007C1667"/>
    <w:rsid w:val="007C1853"/>
    <w:rsid w:val="007C18ED"/>
    <w:rsid w:val="007C1A49"/>
    <w:rsid w:val="007C1AE7"/>
    <w:rsid w:val="007C1EF1"/>
    <w:rsid w:val="007C1F0D"/>
    <w:rsid w:val="007C1F79"/>
    <w:rsid w:val="007C20A8"/>
    <w:rsid w:val="007C23DF"/>
    <w:rsid w:val="007C25F7"/>
    <w:rsid w:val="007C2640"/>
    <w:rsid w:val="007C26FB"/>
    <w:rsid w:val="007C2711"/>
    <w:rsid w:val="007C2794"/>
    <w:rsid w:val="007C29AD"/>
    <w:rsid w:val="007C2AA6"/>
    <w:rsid w:val="007C2AE8"/>
    <w:rsid w:val="007C2CA9"/>
    <w:rsid w:val="007C2F30"/>
    <w:rsid w:val="007C2F79"/>
    <w:rsid w:val="007C3043"/>
    <w:rsid w:val="007C30B3"/>
    <w:rsid w:val="007C3473"/>
    <w:rsid w:val="007C34CE"/>
    <w:rsid w:val="007C34F2"/>
    <w:rsid w:val="007C3B13"/>
    <w:rsid w:val="007C3CCE"/>
    <w:rsid w:val="007C3EA7"/>
    <w:rsid w:val="007C405E"/>
    <w:rsid w:val="007C4061"/>
    <w:rsid w:val="007C4383"/>
    <w:rsid w:val="007C4471"/>
    <w:rsid w:val="007C4C53"/>
    <w:rsid w:val="007C4C64"/>
    <w:rsid w:val="007C4CDD"/>
    <w:rsid w:val="007C4F1E"/>
    <w:rsid w:val="007C5118"/>
    <w:rsid w:val="007C5362"/>
    <w:rsid w:val="007C5543"/>
    <w:rsid w:val="007C5585"/>
    <w:rsid w:val="007C55FB"/>
    <w:rsid w:val="007C5670"/>
    <w:rsid w:val="007C569B"/>
    <w:rsid w:val="007C58AE"/>
    <w:rsid w:val="007C5F0C"/>
    <w:rsid w:val="007C6145"/>
    <w:rsid w:val="007C62E7"/>
    <w:rsid w:val="007C659F"/>
    <w:rsid w:val="007C69F8"/>
    <w:rsid w:val="007C6B25"/>
    <w:rsid w:val="007C6F40"/>
    <w:rsid w:val="007C6FD6"/>
    <w:rsid w:val="007C708E"/>
    <w:rsid w:val="007C7195"/>
    <w:rsid w:val="007C71F1"/>
    <w:rsid w:val="007C721B"/>
    <w:rsid w:val="007C740B"/>
    <w:rsid w:val="007C769B"/>
    <w:rsid w:val="007C77C6"/>
    <w:rsid w:val="007C782A"/>
    <w:rsid w:val="007C798E"/>
    <w:rsid w:val="007C7B54"/>
    <w:rsid w:val="007C7D07"/>
    <w:rsid w:val="007C7E0B"/>
    <w:rsid w:val="007C7E8F"/>
    <w:rsid w:val="007D00E1"/>
    <w:rsid w:val="007D01C6"/>
    <w:rsid w:val="007D0212"/>
    <w:rsid w:val="007D0447"/>
    <w:rsid w:val="007D04A5"/>
    <w:rsid w:val="007D067D"/>
    <w:rsid w:val="007D06D9"/>
    <w:rsid w:val="007D0736"/>
    <w:rsid w:val="007D091B"/>
    <w:rsid w:val="007D0944"/>
    <w:rsid w:val="007D0A7C"/>
    <w:rsid w:val="007D0D5C"/>
    <w:rsid w:val="007D0FE1"/>
    <w:rsid w:val="007D1277"/>
    <w:rsid w:val="007D13CC"/>
    <w:rsid w:val="007D1513"/>
    <w:rsid w:val="007D186B"/>
    <w:rsid w:val="007D187E"/>
    <w:rsid w:val="007D19A6"/>
    <w:rsid w:val="007D19DB"/>
    <w:rsid w:val="007D1CAF"/>
    <w:rsid w:val="007D1E99"/>
    <w:rsid w:val="007D2083"/>
    <w:rsid w:val="007D21A8"/>
    <w:rsid w:val="007D224B"/>
    <w:rsid w:val="007D252F"/>
    <w:rsid w:val="007D26F6"/>
    <w:rsid w:val="007D2B58"/>
    <w:rsid w:val="007D2E91"/>
    <w:rsid w:val="007D2F73"/>
    <w:rsid w:val="007D3099"/>
    <w:rsid w:val="007D3185"/>
    <w:rsid w:val="007D33FB"/>
    <w:rsid w:val="007D360F"/>
    <w:rsid w:val="007D3BCB"/>
    <w:rsid w:val="007D3D34"/>
    <w:rsid w:val="007D3F8A"/>
    <w:rsid w:val="007D4424"/>
    <w:rsid w:val="007D4583"/>
    <w:rsid w:val="007D468E"/>
    <w:rsid w:val="007D4846"/>
    <w:rsid w:val="007D4B55"/>
    <w:rsid w:val="007D4CCB"/>
    <w:rsid w:val="007D4E60"/>
    <w:rsid w:val="007D4E79"/>
    <w:rsid w:val="007D4F08"/>
    <w:rsid w:val="007D5060"/>
    <w:rsid w:val="007D509D"/>
    <w:rsid w:val="007D5335"/>
    <w:rsid w:val="007D5770"/>
    <w:rsid w:val="007D59F8"/>
    <w:rsid w:val="007D5AA2"/>
    <w:rsid w:val="007D5B37"/>
    <w:rsid w:val="007D5C53"/>
    <w:rsid w:val="007D5C7A"/>
    <w:rsid w:val="007D5DCF"/>
    <w:rsid w:val="007D5EFB"/>
    <w:rsid w:val="007D6098"/>
    <w:rsid w:val="007D6486"/>
    <w:rsid w:val="007D65CD"/>
    <w:rsid w:val="007D6718"/>
    <w:rsid w:val="007D694B"/>
    <w:rsid w:val="007D6B20"/>
    <w:rsid w:val="007D6BA5"/>
    <w:rsid w:val="007D6C8F"/>
    <w:rsid w:val="007D6F2D"/>
    <w:rsid w:val="007D7234"/>
    <w:rsid w:val="007D7B6F"/>
    <w:rsid w:val="007D7D16"/>
    <w:rsid w:val="007D7D60"/>
    <w:rsid w:val="007D7D8C"/>
    <w:rsid w:val="007D7FA1"/>
    <w:rsid w:val="007DBCAA"/>
    <w:rsid w:val="007E01A5"/>
    <w:rsid w:val="007E0276"/>
    <w:rsid w:val="007E03C3"/>
    <w:rsid w:val="007E054D"/>
    <w:rsid w:val="007E0778"/>
    <w:rsid w:val="007E07A2"/>
    <w:rsid w:val="007E086F"/>
    <w:rsid w:val="007E09BE"/>
    <w:rsid w:val="007E0B86"/>
    <w:rsid w:val="007E0F94"/>
    <w:rsid w:val="007E1411"/>
    <w:rsid w:val="007E17C5"/>
    <w:rsid w:val="007E180D"/>
    <w:rsid w:val="007E1B30"/>
    <w:rsid w:val="007E1BCF"/>
    <w:rsid w:val="007E1D3D"/>
    <w:rsid w:val="007E1D76"/>
    <w:rsid w:val="007E1EE4"/>
    <w:rsid w:val="007E23B6"/>
    <w:rsid w:val="007E23C4"/>
    <w:rsid w:val="007E25E2"/>
    <w:rsid w:val="007E28E9"/>
    <w:rsid w:val="007E2901"/>
    <w:rsid w:val="007E2A6E"/>
    <w:rsid w:val="007E2B63"/>
    <w:rsid w:val="007E2D41"/>
    <w:rsid w:val="007E2D9A"/>
    <w:rsid w:val="007E2F01"/>
    <w:rsid w:val="007E335B"/>
    <w:rsid w:val="007E3464"/>
    <w:rsid w:val="007E3FA7"/>
    <w:rsid w:val="007E4520"/>
    <w:rsid w:val="007E479B"/>
    <w:rsid w:val="007E48A1"/>
    <w:rsid w:val="007E496E"/>
    <w:rsid w:val="007E4AEA"/>
    <w:rsid w:val="007E4C58"/>
    <w:rsid w:val="007E4F81"/>
    <w:rsid w:val="007E5143"/>
    <w:rsid w:val="007E5167"/>
    <w:rsid w:val="007E51AD"/>
    <w:rsid w:val="007E525F"/>
    <w:rsid w:val="007E52E1"/>
    <w:rsid w:val="007E52E2"/>
    <w:rsid w:val="007E549F"/>
    <w:rsid w:val="007E5501"/>
    <w:rsid w:val="007E56C9"/>
    <w:rsid w:val="007E5D70"/>
    <w:rsid w:val="007E5D9C"/>
    <w:rsid w:val="007E5FCE"/>
    <w:rsid w:val="007E5FD8"/>
    <w:rsid w:val="007E6065"/>
    <w:rsid w:val="007E616A"/>
    <w:rsid w:val="007E6325"/>
    <w:rsid w:val="007E6335"/>
    <w:rsid w:val="007E64F6"/>
    <w:rsid w:val="007E6854"/>
    <w:rsid w:val="007E6953"/>
    <w:rsid w:val="007E6AFB"/>
    <w:rsid w:val="007E6BCD"/>
    <w:rsid w:val="007E6CE1"/>
    <w:rsid w:val="007E6E2F"/>
    <w:rsid w:val="007E6F47"/>
    <w:rsid w:val="007E6F70"/>
    <w:rsid w:val="007E7047"/>
    <w:rsid w:val="007E705C"/>
    <w:rsid w:val="007E709F"/>
    <w:rsid w:val="007E7264"/>
    <w:rsid w:val="007E7373"/>
    <w:rsid w:val="007E7461"/>
    <w:rsid w:val="007E77D4"/>
    <w:rsid w:val="007E796B"/>
    <w:rsid w:val="007E7998"/>
    <w:rsid w:val="007E7C17"/>
    <w:rsid w:val="007E7CD0"/>
    <w:rsid w:val="007E7EAD"/>
    <w:rsid w:val="007F0077"/>
    <w:rsid w:val="007F032D"/>
    <w:rsid w:val="007F05F8"/>
    <w:rsid w:val="007F0826"/>
    <w:rsid w:val="007F0C73"/>
    <w:rsid w:val="007F0D17"/>
    <w:rsid w:val="007F1196"/>
    <w:rsid w:val="007F14D6"/>
    <w:rsid w:val="007F1515"/>
    <w:rsid w:val="007F16D6"/>
    <w:rsid w:val="007F1883"/>
    <w:rsid w:val="007F18D4"/>
    <w:rsid w:val="007F190D"/>
    <w:rsid w:val="007F1946"/>
    <w:rsid w:val="007F1D19"/>
    <w:rsid w:val="007F1D1A"/>
    <w:rsid w:val="007F1DCB"/>
    <w:rsid w:val="007F1ED2"/>
    <w:rsid w:val="007F1F02"/>
    <w:rsid w:val="007F1F56"/>
    <w:rsid w:val="007F1FD0"/>
    <w:rsid w:val="007F216D"/>
    <w:rsid w:val="007F24CD"/>
    <w:rsid w:val="007F29B9"/>
    <w:rsid w:val="007F2AB9"/>
    <w:rsid w:val="007F2AD3"/>
    <w:rsid w:val="007F2B3E"/>
    <w:rsid w:val="007F2B50"/>
    <w:rsid w:val="007F2F1F"/>
    <w:rsid w:val="007F2FBE"/>
    <w:rsid w:val="007F331A"/>
    <w:rsid w:val="007F341B"/>
    <w:rsid w:val="007F34CF"/>
    <w:rsid w:val="007F374B"/>
    <w:rsid w:val="007F37FD"/>
    <w:rsid w:val="007F39F9"/>
    <w:rsid w:val="007F3A9A"/>
    <w:rsid w:val="007F3AC7"/>
    <w:rsid w:val="007F3D1A"/>
    <w:rsid w:val="007F3D3C"/>
    <w:rsid w:val="007F3EC6"/>
    <w:rsid w:val="007F4734"/>
    <w:rsid w:val="007F4915"/>
    <w:rsid w:val="007F499B"/>
    <w:rsid w:val="007F4A8D"/>
    <w:rsid w:val="007F4D22"/>
    <w:rsid w:val="007F4F81"/>
    <w:rsid w:val="007F51C2"/>
    <w:rsid w:val="007F5395"/>
    <w:rsid w:val="007F57CE"/>
    <w:rsid w:val="007F58F0"/>
    <w:rsid w:val="007F5B7C"/>
    <w:rsid w:val="007F5BA0"/>
    <w:rsid w:val="007F5BBF"/>
    <w:rsid w:val="007F5CC8"/>
    <w:rsid w:val="007F600D"/>
    <w:rsid w:val="007F6547"/>
    <w:rsid w:val="007F6B29"/>
    <w:rsid w:val="007F6DB9"/>
    <w:rsid w:val="007F6DC5"/>
    <w:rsid w:val="007F6E7B"/>
    <w:rsid w:val="007F7314"/>
    <w:rsid w:val="007F73B5"/>
    <w:rsid w:val="007F743E"/>
    <w:rsid w:val="007F74F2"/>
    <w:rsid w:val="007F7976"/>
    <w:rsid w:val="007F7ABE"/>
    <w:rsid w:val="007F7B6E"/>
    <w:rsid w:val="007F7F77"/>
    <w:rsid w:val="007F7FC5"/>
    <w:rsid w:val="00800033"/>
    <w:rsid w:val="008003C5"/>
    <w:rsid w:val="00800440"/>
    <w:rsid w:val="00800755"/>
    <w:rsid w:val="008009FF"/>
    <w:rsid w:val="00800D22"/>
    <w:rsid w:val="00800F24"/>
    <w:rsid w:val="008010B5"/>
    <w:rsid w:val="008010C7"/>
    <w:rsid w:val="008012D2"/>
    <w:rsid w:val="008012E4"/>
    <w:rsid w:val="00801333"/>
    <w:rsid w:val="008017B1"/>
    <w:rsid w:val="008019D2"/>
    <w:rsid w:val="00801A9B"/>
    <w:rsid w:val="00801F82"/>
    <w:rsid w:val="00801F84"/>
    <w:rsid w:val="00801F8C"/>
    <w:rsid w:val="00802277"/>
    <w:rsid w:val="0080234B"/>
    <w:rsid w:val="00802478"/>
    <w:rsid w:val="008024D8"/>
    <w:rsid w:val="008025DE"/>
    <w:rsid w:val="0080261D"/>
    <w:rsid w:val="00802638"/>
    <w:rsid w:val="00802655"/>
    <w:rsid w:val="00802735"/>
    <w:rsid w:val="008027F6"/>
    <w:rsid w:val="0080281D"/>
    <w:rsid w:val="00802A11"/>
    <w:rsid w:val="00802DDC"/>
    <w:rsid w:val="00803017"/>
    <w:rsid w:val="0080302F"/>
    <w:rsid w:val="00803272"/>
    <w:rsid w:val="0080334B"/>
    <w:rsid w:val="00803377"/>
    <w:rsid w:val="00803406"/>
    <w:rsid w:val="008035C4"/>
    <w:rsid w:val="00803863"/>
    <w:rsid w:val="008039AA"/>
    <w:rsid w:val="008039D0"/>
    <w:rsid w:val="00803B85"/>
    <w:rsid w:val="00803C44"/>
    <w:rsid w:val="00803CC4"/>
    <w:rsid w:val="00803CDB"/>
    <w:rsid w:val="00803F94"/>
    <w:rsid w:val="008040A2"/>
    <w:rsid w:val="008041C2"/>
    <w:rsid w:val="008042BC"/>
    <w:rsid w:val="008042F8"/>
    <w:rsid w:val="00804331"/>
    <w:rsid w:val="00804744"/>
    <w:rsid w:val="00804A16"/>
    <w:rsid w:val="00804AD6"/>
    <w:rsid w:val="00804BC5"/>
    <w:rsid w:val="00804C61"/>
    <w:rsid w:val="00804D82"/>
    <w:rsid w:val="0080503A"/>
    <w:rsid w:val="00805697"/>
    <w:rsid w:val="00805B56"/>
    <w:rsid w:val="00805E4B"/>
    <w:rsid w:val="00806056"/>
    <w:rsid w:val="00806281"/>
    <w:rsid w:val="00806418"/>
    <w:rsid w:val="0080643E"/>
    <w:rsid w:val="008065C2"/>
    <w:rsid w:val="00806A55"/>
    <w:rsid w:val="00806A92"/>
    <w:rsid w:val="00806B10"/>
    <w:rsid w:val="00806C7C"/>
    <w:rsid w:val="00807160"/>
    <w:rsid w:val="0080719B"/>
    <w:rsid w:val="00807212"/>
    <w:rsid w:val="0080725B"/>
    <w:rsid w:val="008072A7"/>
    <w:rsid w:val="008072B1"/>
    <w:rsid w:val="00807611"/>
    <w:rsid w:val="008078DF"/>
    <w:rsid w:val="00807A9A"/>
    <w:rsid w:val="00807AE2"/>
    <w:rsid w:val="00807D18"/>
    <w:rsid w:val="00807D49"/>
    <w:rsid w:val="00807D91"/>
    <w:rsid w:val="00810007"/>
    <w:rsid w:val="00810515"/>
    <w:rsid w:val="00810B40"/>
    <w:rsid w:val="00810B6A"/>
    <w:rsid w:val="00810F09"/>
    <w:rsid w:val="0081103E"/>
    <w:rsid w:val="008110D7"/>
    <w:rsid w:val="008111D5"/>
    <w:rsid w:val="0081138F"/>
    <w:rsid w:val="0081159F"/>
    <w:rsid w:val="0081166C"/>
    <w:rsid w:val="008116D3"/>
    <w:rsid w:val="008119C4"/>
    <w:rsid w:val="00811A8E"/>
    <w:rsid w:val="00811D07"/>
    <w:rsid w:val="00811F4D"/>
    <w:rsid w:val="00811FC9"/>
    <w:rsid w:val="0081233A"/>
    <w:rsid w:val="0081237F"/>
    <w:rsid w:val="0081241D"/>
    <w:rsid w:val="0081266F"/>
    <w:rsid w:val="008128BD"/>
    <w:rsid w:val="008129E3"/>
    <w:rsid w:val="00812D78"/>
    <w:rsid w:val="00812E87"/>
    <w:rsid w:val="00812FD3"/>
    <w:rsid w:val="00813009"/>
    <w:rsid w:val="0081310D"/>
    <w:rsid w:val="0081317A"/>
    <w:rsid w:val="00813619"/>
    <w:rsid w:val="00813734"/>
    <w:rsid w:val="00813BD2"/>
    <w:rsid w:val="00813CBC"/>
    <w:rsid w:val="00813FE9"/>
    <w:rsid w:val="00814268"/>
    <w:rsid w:val="0081432B"/>
    <w:rsid w:val="008145CA"/>
    <w:rsid w:val="00814626"/>
    <w:rsid w:val="008146B4"/>
    <w:rsid w:val="008147BA"/>
    <w:rsid w:val="0081484C"/>
    <w:rsid w:val="00814EBC"/>
    <w:rsid w:val="00815131"/>
    <w:rsid w:val="008152A1"/>
    <w:rsid w:val="0081545B"/>
    <w:rsid w:val="0081554F"/>
    <w:rsid w:val="0081562B"/>
    <w:rsid w:val="0081565D"/>
    <w:rsid w:val="00815BB1"/>
    <w:rsid w:val="00815C28"/>
    <w:rsid w:val="00815E1A"/>
    <w:rsid w:val="008161D7"/>
    <w:rsid w:val="0081634F"/>
    <w:rsid w:val="008163E3"/>
    <w:rsid w:val="00816526"/>
    <w:rsid w:val="0081659B"/>
    <w:rsid w:val="00816A59"/>
    <w:rsid w:val="00816D9E"/>
    <w:rsid w:val="00816E32"/>
    <w:rsid w:val="00816FA7"/>
    <w:rsid w:val="00816FD2"/>
    <w:rsid w:val="00817377"/>
    <w:rsid w:val="0081755E"/>
    <w:rsid w:val="00817773"/>
    <w:rsid w:val="008177A8"/>
    <w:rsid w:val="00817803"/>
    <w:rsid w:val="00817A43"/>
    <w:rsid w:val="00817C6A"/>
    <w:rsid w:val="00817C9B"/>
    <w:rsid w:val="00817D86"/>
    <w:rsid w:val="0082005E"/>
    <w:rsid w:val="008200C2"/>
    <w:rsid w:val="008203CB"/>
    <w:rsid w:val="00820441"/>
    <w:rsid w:val="008204D8"/>
    <w:rsid w:val="0082053E"/>
    <w:rsid w:val="00820572"/>
    <w:rsid w:val="00820A17"/>
    <w:rsid w:val="00820A36"/>
    <w:rsid w:val="00820B49"/>
    <w:rsid w:val="00821398"/>
    <w:rsid w:val="00821840"/>
    <w:rsid w:val="00821871"/>
    <w:rsid w:val="008218F9"/>
    <w:rsid w:val="0082198F"/>
    <w:rsid w:val="008219B2"/>
    <w:rsid w:val="00821B93"/>
    <w:rsid w:val="00821D41"/>
    <w:rsid w:val="00821DD2"/>
    <w:rsid w:val="00821F69"/>
    <w:rsid w:val="0082206B"/>
    <w:rsid w:val="0082236A"/>
    <w:rsid w:val="008224FF"/>
    <w:rsid w:val="0082250C"/>
    <w:rsid w:val="0082254D"/>
    <w:rsid w:val="00822564"/>
    <w:rsid w:val="00822620"/>
    <w:rsid w:val="00822863"/>
    <w:rsid w:val="008229D1"/>
    <w:rsid w:val="00822A16"/>
    <w:rsid w:val="00822A67"/>
    <w:rsid w:val="00822B4B"/>
    <w:rsid w:val="00822CCD"/>
    <w:rsid w:val="00822CF6"/>
    <w:rsid w:val="00822D96"/>
    <w:rsid w:val="00822EB6"/>
    <w:rsid w:val="00822F09"/>
    <w:rsid w:val="008230F7"/>
    <w:rsid w:val="0082326C"/>
    <w:rsid w:val="008233C4"/>
    <w:rsid w:val="008237E8"/>
    <w:rsid w:val="008239BB"/>
    <w:rsid w:val="00823A2F"/>
    <w:rsid w:val="00823C7A"/>
    <w:rsid w:val="00823E0B"/>
    <w:rsid w:val="00824052"/>
    <w:rsid w:val="0082456F"/>
    <w:rsid w:val="00824624"/>
    <w:rsid w:val="008247DB"/>
    <w:rsid w:val="00824846"/>
    <w:rsid w:val="008248D2"/>
    <w:rsid w:val="00824A2D"/>
    <w:rsid w:val="00824AEF"/>
    <w:rsid w:val="00824AF5"/>
    <w:rsid w:val="008250AE"/>
    <w:rsid w:val="00825159"/>
    <w:rsid w:val="008251D9"/>
    <w:rsid w:val="00825200"/>
    <w:rsid w:val="008254E4"/>
    <w:rsid w:val="00825762"/>
    <w:rsid w:val="00825AB3"/>
    <w:rsid w:val="00825E08"/>
    <w:rsid w:val="008262C2"/>
    <w:rsid w:val="008265C6"/>
    <w:rsid w:val="008266EB"/>
    <w:rsid w:val="00826880"/>
    <w:rsid w:val="00826AC3"/>
    <w:rsid w:val="00826B0C"/>
    <w:rsid w:val="00826B7B"/>
    <w:rsid w:val="00826C90"/>
    <w:rsid w:val="00826CA0"/>
    <w:rsid w:val="00826CDB"/>
    <w:rsid w:val="00826D1C"/>
    <w:rsid w:val="00826F84"/>
    <w:rsid w:val="00827097"/>
    <w:rsid w:val="00827257"/>
    <w:rsid w:val="0082730A"/>
    <w:rsid w:val="008273BA"/>
    <w:rsid w:val="008274AB"/>
    <w:rsid w:val="00827762"/>
    <w:rsid w:val="008277E8"/>
    <w:rsid w:val="00830096"/>
    <w:rsid w:val="008301F2"/>
    <w:rsid w:val="008302C1"/>
    <w:rsid w:val="0083052D"/>
    <w:rsid w:val="00830681"/>
    <w:rsid w:val="00830C6B"/>
    <w:rsid w:val="00830DA5"/>
    <w:rsid w:val="0083124B"/>
    <w:rsid w:val="008312C4"/>
    <w:rsid w:val="00831759"/>
    <w:rsid w:val="008317D0"/>
    <w:rsid w:val="00831ABD"/>
    <w:rsid w:val="00831C84"/>
    <w:rsid w:val="00831CD7"/>
    <w:rsid w:val="00831CDD"/>
    <w:rsid w:val="00832136"/>
    <w:rsid w:val="0083235B"/>
    <w:rsid w:val="008323AC"/>
    <w:rsid w:val="008324DE"/>
    <w:rsid w:val="00832693"/>
    <w:rsid w:val="008326E3"/>
    <w:rsid w:val="00832986"/>
    <w:rsid w:val="00832BDC"/>
    <w:rsid w:val="00832D5E"/>
    <w:rsid w:val="00832E52"/>
    <w:rsid w:val="00832EC4"/>
    <w:rsid w:val="00832F47"/>
    <w:rsid w:val="00832FA1"/>
    <w:rsid w:val="0083376D"/>
    <w:rsid w:val="00833888"/>
    <w:rsid w:val="00833CBD"/>
    <w:rsid w:val="00833DB2"/>
    <w:rsid w:val="00833E28"/>
    <w:rsid w:val="00833E31"/>
    <w:rsid w:val="00834014"/>
    <w:rsid w:val="00834366"/>
    <w:rsid w:val="00834602"/>
    <w:rsid w:val="00834710"/>
    <w:rsid w:val="00834788"/>
    <w:rsid w:val="00834940"/>
    <w:rsid w:val="00834995"/>
    <w:rsid w:val="00834D4E"/>
    <w:rsid w:val="0083503A"/>
    <w:rsid w:val="0083512B"/>
    <w:rsid w:val="008351AF"/>
    <w:rsid w:val="008351CB"/>
    <w:rsid w:val="008353FB"/>
    <w:rsid w:val="00835760"/>
    <w:rsid w:val="00835903"/>
    <w:rsid w:val="00835AF2"/>
    <w:rsid w:val="00835B24"/>
    <w:rsid w:val="00835C61"/>
    <w:rsid w:val="00835C66"/>
    <w:rsid w:val="00835E57"/>
    <w:rsid w:val="00835F74"/>
    <w:rsid w:val="0083605B"/>
    <w:rsid w:val="00836277"/>
    <w:rsid w:val="00836413"/>
    <w:rsid w:val="008364BB"/>
    <w:rsid w:val="0083652F"/>
    <w:rsid w:val="00836669"/>
    <w:rsid w:val="00836734"/>
    <w:rsid w:val="008367C7"/>
    <w:rsid w:val="008367D5"/>
    <w:rsid w:val="00836829"/>
    <w:rsid w:val="008368AC"/>
    <w:rsid w:val="00836A33"/>
    <w:rsid w:val="00836B54"/>
    <w:rsid w:val="00836BD0"/>
    <w:rsid w:val="00836F35"/>
    <w:rsid w:val="00837011"/>
    <w:rsid w:val="008370A6"/>
    <w:rsid w:val="008373E9"/>
    <w:rsid w:val="00837503"/>
    <w:rsid w:val="00837653"/>
    <w:rsid w:val="00837A96"/>
    <w:rsid w:val="008403C0"/>
    <w:rsid w:val="00840531"/>
    <w:rsid w:val="00840539"/>
    <w:rsid w:val="0084065A"/>
    <w:rsid w:val="00840751"/>
    <w:rsid w:val="008407C9"/>
    <w:rsid w:val="00840995"/>
    <w:rsid w:val="00840AA7"/>
    <w:rsid w:val="00840D84"/>
    <w:rsid w:val="00840F0E"/>
    <w:rsid w:val="00840F63"/>
    <w:rsid w:val="0084128C"/>
    <w:rsid w:val="008412B7"/>
    <w:rsid w:val="00841826"/>
    <w:rsid w:val="008418E1"/>
    <w:rsid w:val="0084203C"/>
    <w:rsid w:val="0084210E"/>
    <w:rsid w:val="008422D6"/>
    <w:rsid w:val="0084253A"/>
    <w:rsid w:val="008425A5"/>
    <w:rsid w:val="008427D0"/>
    <w:rsid w:val="00842A3D"/>
    <w:rsid w:val="00842AC7"/>
    <w:rsid w:val="00842AFA"/>
    <w:rsid w:val="00842CD6"/>
    <w:rsid w:val="00842DF9"/>
    <w:rsid w:val="00842E1E"/>
    <w:rsid w:val="008431A2"/>
    <w:rsid w:val="00843320"/>
    <w:rsid w:val="008433DD"/>
    <w:rsid w:val="008436A2"/>
    <w:rsid w:val="00843726"/>
    <w:rsid w:val="00843966"/>
    <w:rsid w:val="00843E17"/>
    <w:rsid w:val="0084404C"/>
    <w:rsid w:val="00844448"/>
    <w:rsid w:val="00844617"/>
    <w:rsid w:val="00844651"/>
    <w:rsid w:val="0084470E"/>
    <w:rsid w:val="00844786"/>
    <w:rsid w:val="008448D5"/>
    <w:rsid w:val="008449E5"/>
    <w:rsid w:val="00844BC2"/>
    <w:rsid w:val="00844C4B"/>
    <w:rsid w:val="00844CD7"/>
    <w:rsid w:val="00844D7F"/>
    <w:rsid w:val="00845045"/>
    <w:rsid w:val="00845161"/>
    <w:rsid w:val="00845450"/>
    <w:rsid w:val="008454DD"/>
    <w:rsid w:val="00845644"/>
    <w:rsid w:val="00845CF2"/>
    <w:rsid w:val="00845D91"/>
    <w:rsid w:val="00845E53"/>
    <w:rsid w:val="00845EC8"/>
    <w:rsid w:val="00846091"/>
    <w:rsid w:val="008462C9"/>
    <w:rsid w:val="00846323"/>
    <w:rsid w:val="00846342"/>
    <w:rsid w:val="008465EE"/>
    <w:rsid w:val="00846676"/>
    <w:rsid w:val="00846890"/>
    <w:rsid w:val="00846ADE"/>
    <w:rsid w:val="00846BB4"/>
    <w:rsid w:val="00846CCA"/>
    <w:rsid w:val="00846DBF"/>
    <w:rsid w:val="00847017"/>
    <w:rsid w:val="008470C2"/>
    <w:rsid w:val="0084714F"/>
    <w:rsid w:val="00847413"/>
    <w:rsid w:val="008474B2"/>
    <w:rsid w:val="00847573"/>
    <w:rsid w:val="008475E0"/>
    <w:rsid w:val="0084770A"/>
    <w:rsid w:val="00847AF2"/>
    <w:rsid w:val="00847C51"/>
    <w:rsid w:val="0085006E"/>
    <w:rsid w:val="00850209"/>
    <w:rsid w:val="008503EE"/>
    <w:rsid w:val="0085053E"/>
    <w:rsid w:val="0085059E"/>
    <w:rsid w:val="00850860"/>
    <w:rsid w:val="00850B7A"/>
    <w:rsid w:val="00851375"/>
    <w:rsid w:val="0085156E"/>
    <w:rsid w:val="00851840"/>
    <w:rsid w:val="00851854"/>
    <w:rsid w:val="008518F5"/>
    <w:rsid w:val="00851947"/>
    <w:rsid w:val="00851A90"/>
    <w:rsid w:val="00851BB8"/>
    <w:rsid w:val="00851F0F"/>
    <w:rsid w:val="00851F20"/>
    <w:rsid w:val="00851FBB"/>
    <w:rsid w:val="00851FF8"/>
    <w:rsid w:val="0085215B"/>
    <w:rsid w:val="0085218D"/>
    <w:rsid w:val="0085225D"/>
    <w:rsid w:val="00852327"/>
    <w:rsid w:val="00852550"/>
    <w:rsid w:val="0085274C"/>
    <w:rsid w:val="0085279F"/>
    <w:rsid w:val="00852956"/>
    <w:rsid w:val="00852A63"/>
    <w:rsid w:val="00852A89"/>
    <w:rsid w:val="00852B9C"/>
    <w:rsid w:val="00852CB7"/>
    <w:rsid w:val="00852CD0"/>
    <w:rsid w:val="00852D3B"/>
    <w:rsid w:val="00852DC0"/>
    <w:rsid w:val="00852DEC"/>
    <w:rsid w:val="00852F05"/>
    <w:rsid w:val="00852F28"/>
    <w:rsid w:val="00852FC3"/>
    <w:rsid w:val="0085301C"/>
    <w:rsid w:val="0085319A"/>
    <w:rsid w:val="00853629"/>
    <w:rsid w:val="008536E8"/>
    <w:rsid w:val="0085399E"/>
    <w:rsid w:val="008539D2"/>
    <w:rsid w:val="00853CC3"/>
    <w:rsid w:val="00853D28"/>
    <w:rsid w:val="00853DD9"/>
    <w:rsid w:val="00853FCA"/>
    <w:rsid w:val="00853FD3"/>
    <w:rsid w:val="0085438B"/>
    <w:rsid w:val="00854402"/>
    <w:rsid w:val="00854564"/>
    <w:rsid w:val="008546FD"/>
    <w:rsid w:val="008548AB"/>
    <w:rsid w:val="008548EC"/>
    <w:rsid w:val="00854CC5"/>
    <w:rsid w:val="00854E58"/>
    <w:rsid w:val="008555C0"/>
    <w:rsid w:val="00855695"/>
    <w:rsid w:val="008556BC"/>
    <w:rsid w:val="008556BD"/>
    <w:rsid w:val="008556C8"/>
    <w:rsid w:val="00855A57"/>
    <w:rsid w:val="00855AB0"/>
    <w:rsid w:val="00855AF1"/>
    <w:rsid w:val="00855F06"/>
    <w:rsid w:val="00855F0C"/>
    <w:rsid w:val="00855F17"/>
    <w:rsid w:val="0085661C"/>
    <w:rsid w:val="008566B5"/>
    <w:rsid w:val="0085675C"/>
    <w:rsid w:val="008569CA"/>
    <w:rsid w:val="00856D7A"/>
    <w:rsid w:val="00856EB3"/>
    <w:rsid w:val="00856F16"/>
    <w:rsid w:val="00856F68"/>
    <w:rsid w:val="00856F71"/>
    <w:rsid w:val="008570AC"/>
    <w:rsid w:val="008572C8"/>
    <w:rsid w:val="00857311"/>
    <w:rsid w:val="00857354"/>
    <w:rsid w:val="008575CD"/>
    <w:rsid w:val="00857712"/>
    <w:rsid w:val="00857795"/>
    <w:rsid w:val="00857825"/>
    <w:rsid w:val="0085787F"/>
    <w:rsid w:val="0086051C"/>
    <w:rsid w:val="00860592"/>
    <w:rsid w:val="008605BF"/>
    <w:rsid w:val="0086086D"/>
    <w:rsid w:val="00860945"/>
    <w:rsid w:val="00860C1E"/>
    <w:rsid w:val="0086124A"/>
    <w:rsid w:val="00861268"/>
    <w:rsid w:val="00861273"/>
    <w:rsid w:val="008612F3"/>
    <w:rsid w:val="008614EB"/>
    <w:rsid w:val="008614F2"/>
    <w:rsid w:val="008615EA"/>
    <w:rsid w:val="00861743"/>
    <w:rsid w:val="008617BB"/>
    <w:rsid w:val="008619FB"/>
    <w:rsid w:val="00861A3A"/>
    <w:rsid w:val="00861B0F"/>
    <w:rsid w:val="00861C17"/>
    <w:rsid w:val="00861C41"/>
    <w:rsid w:val="00861D3A"/>
    <w:rsid w:val="00861EE0"/>
    <w:rsid w:val="0086205A"/>
    <w:rsid w:val="00862182"/>
    <w:rsid w:val="00862349"/>
    <w:rsid w:val="008626F4"/>
    <w:rsid w:val="008629E7"/>
    <w:rsid w:val="008629F5"/>
    <w:rsid w:val="00863069"/>
    <w:rsid w:val="0086320D"/>
    <w:rsid w:val="008632D6"/>
    <w:rsid w:val="0086330E"/>
    <w:rsid w:val="00863316"/>
    <w:rsid w:val="00863831"/>
    <w:rsid w:val="00863B7D"/>
    <w:rsid w:val="00863C99"/>
    <w:rsid w:val="00863D34"/>
    <w:rsid w:val="00863D67"/>
    <w:rsid w:val="00863DC9"/>
    <w:rsid w:val="00864064"/>
    <w:rsid w:val="008643BA"/>
    <w:rsid w:val="0086455B"/>
    <w:rsid w:val="008645F6"/>
    <w:rsid w:val="00864602"/>
    <w:rsid w:val="008646D4"/>
    <w:rsid w:val="0086489D"/>
    <w:rsid w:val="008648E8"/>
    <w:rsid w:val="00864A30"/>
    <w:rsid w:val="00864C2D"/>
    <w:rsid w:val="00864FEC"/>
    <w:rsid w:val="0086503D"/>
    <w:rsid w:val="0086509F"/>
    <w:rsid w:val="00865330"/>
    <w:rsid w:val="00865888"/>
    <w:rsid w:val="00865AB5"/>
    <w:rsid w:val="00865BD4"/>
    <w:rsid w:val="00865C78"/>
    <w:rsid w:val="00865D85"/>
    <w:rsid w:val="00865F96"/>
    <w:rsid w:val="00866042"/>
    <w:rsid w:val="00866170"/>
    <w:rsid w:val="008662C5"/>
    <w:rsid w:val="00866367"/>
    <w:rsid w:val="0086636B"/>
    <w:rsid w:val="00866527"/>
    <w:rsid w:val="00866643"/>
    <w:rsid w:val="0086690D"/>
    <w:rsid w:val="00866B76"/>
    <w:rsid w:val="00866D16"/>
    <w:rsid w:val="00867198"/>
    <w:rsid w:val="0086747A"/>
    <w:rsid w:val="008674A1"/>
    <w:rsid w:val="008674EA"/>
    <w:rsid w:val="00867529"/>
    <w:rsid w:val="008675E4"/>
    <w:rsid w:val="008676FC"/>
    <w:rsid w:val="00867707"/>
    <w:rsid w:val="008677F9"/>
    <w:rsid w:val="0086783F"/>
    <w:rsid w:val="00867883"/>
    <w:rsid w:val="00867B55"/>
    <w:rsid w:val="00867C9E"/>
    <w:rsid w:val="00867CD2"/>
    <w:rsid w:val="00867E1F"/>
    <w:rsid w:val="00870008"/>
    <w:rsid w:val="0087000A"/>
    <w:rsid w:val="008701CC"/>
    <w:rsid w:val="00870228"/>
    <w:rsid w:val="0087067B"/>
    <w:rsid w:val="008707F1"/>
    <w:rsid w:val="00870C59"/>
    <w:rsid w:val="00870DEE"/>
    <w:rsid w:val="008711F0"/>
    <w:rsid w:val="008713D3"/>
    <w:rsid w:val="0087156B"/>
    <w:rsid w:val="0087160F"/>
    <w:rsid w:val="008718B4"/>
    <w:rsid w:val="00871921"/>
    <w:rsid w:val="00871A31"/>
    <w:rsid w:val="00871B69"/>
    <w:rsid w:val="00871C53"/>
    <w:rsid w:val="00871F2D"/>
    <w:rsid w:val="00871F43"/>
    <w:rsid w:val="008720B4"/>
    <w:rsid w:val="00872151"/>
    <w:rsid w:val="008721A0"/>
    <w:rsid w:val="00872495"/>
    <w:rsid w:val="008724B3"/>
    <w:rsid w:val="00872798"/>
    <w:rsid w:val="0087287E"/>
    <w:rsid w:val="00872971"/>
    <w:rsid w:val="00872B3E"/>
    <w:rsid w:val="00872E5D"/>
    <w:rsid w:val="00872E94"/>
    <w:rsid w:val="00872FBF"/>
    <w:rsid w:val="008738FD"/>
    <w:rsid w:val="00873A5B"/>
    <w:rsid w:val="00873B1D"/>
    <w:rsid w:val="00873B33"/>
    <w:rsid w:val="00873BDD"/>
    <w:rsid w:val="00873C3E"/>
    <w:rsid w:val="00873D7F"/>
    <w:rsid w:val="00873DDB"/>
    <w:rsid w:val="00873F1C"/>
    <w:rsid w:val="0087405E"/>
    <w:rsid w:val="008740C3"/>
    <w:rsid w:val="00874221"/>
    <w:rsid w:val="008743C4"/>
    <w:rsid w:val="008743E1"/>
    <w:rsid w:val="0087446C"/>
    <w:rsid w:val="00874E53"/>
    <w:rsid w:val="00874E89"/>
    <w:rsid w:val="00875036"/>
    <w:rsid w:val="00875129"/>
    <w:rsid w:val="00875163"/>
    <w:rsid w:val="0087516B"/>
    <w:rsid w:val="0087522C"/>
    <w:rsid w:val="008754F1"/>
    <w:rsid w:val="00875794"/>
    <w:rsid w:val="00875B87"/>
    <w:rsid w:val="00875BC2"/>
    <w:rsid w:val="00875C1B"/>
    <w:rsid w:val="00875E19"/>
    <w:rsid w:val="00875EAC"/>
    <w:rsid w:val="008761BE"/>
    <w:rsid w:val="008762F3"/>
    <w:rsid w:val="00876353"/>
    <w:rsid w:val="00876A6A"/>
    <w:rsid w:val="00876B78"/>
    <w:rsid w:val="00876BFE"/>
    <w:rsid w:val="00876E7F"/>
    <w:rsid w:val="00876EF2"/>
    <w:rsid w:val="00876FB6"/>
    <w:rsid w:val="0087704C"/>
    <w:rsid w:val="00877289"/>
    <w:rsid w:val="00877363"/>
    <w:rsid w:val="00877488"/>
    <w:rsid w:val="00877598"/>
    <w:rsid w:val="008775F5"/>
    <w:rsid w:val="0087762D"/>
    <w:rsid w:val="008776BC"/>
    <w:rsid w:val="00877A8B"/>
    <w:rsid w:val="00877B6E"/>
    <w:rsid w:val="00877B9A"/>
    <w:rsid w:val="00877C20"/>
    <w:rsid w:val="00877D0D"/>
    <w:rsid w:val="00877D8B"/>
    <w:rsid w:val="00880008"/>
    <w:rsid w:val="008804AC"/>
    <w:rsid w:val="008804CB"/>
    <w:rsid w:val="00880532"/>
    <w:rsid w:val="008806B5"/>
    <w:rsid w:val="00880792"/>
    <w:rsid w:val="00880A7C"/>
    <w:rsid w:val="00880BB3"/>
    <w:rsid w:val="00880E97"/>
    <w:rsid w:val="008810E1"/>
    <w:rsid w:val="00881200"/>
    <w:rsid w:val="00881517"/>
    <w:rsid w:val="00881897"/>
    <w:rsid w:val="00881907"/>
    <w:rsid w:val="00881A19"/>
    <w:rsid w:val="00881D2E"/>
    <w:rsid w:val="00881D9E"/>
    <w:rsid w:val="00881E1D"/>
    <w:rsid w:val="00881F1A"/>
    <w:rsid w:val="00882027"/>
    <w:rsid w:val="0088211A"/>
    <w:rsid w:val="00882150"/>
    <w:rsid w:val="00882282"/>
    <w:rsid w:val="00882413"/>
    <w:rsid w:val="0088241A"/>
    <w:rsid w:val="00882448"/>
    <w:rsid w:val="0088249B"/>
    <w:rsid w:val="00882959"/>
    <w:rsid w:val="00882AAF"/>
    <w:rsid w:val="00882B01"/>
    <w:rsid w:val="00882E6E"/>
    <w:rsid w:val="00882E9C"/>
    <w:rsid w:val="00882F23"/>
    <w:rsid w:val="00883054"/>
    <w:rsid w:val="008831F0"/>
    <w:rsid w:val="00883213"/>
    <w:rsid w:val="0088328E"/>
    <w:rsid w:val="008834BE"/>
    <w:rsid w:val="008835DF"/>
    <w:rsid w:val="008836C4"/>
    <w:rsid w:val="0088374A"/>
    <w:rsid w:val="00883814"/>
    <w:rsid w:val="00883895"/>
    <w:rsid w:val="008838EA"/>
    <w:rsid w:val="008838F9"/>
    <w:rsid w:val="00883C43"/>
    <w:rsid w:val="00883D36"/>
    <w:rsid w:val="00883D37"/>
    <w:rsid w:val="00883F42"/>
    <w:rsid w:val="00884495"/>
    <w:rsid w:val="00884723"/>
    <w:rsid w:val="00884917"/>
    <w:rsid w:val="0088497D"/>
    <w:rsid w:val="00884989"/>
    <w:rsid w:val="00884A2D"/>
    <w:rsid w:val="00884C97"/>
    <w:rsid w:val="008851B1"/>
    <w:rsid w:val="0088574A"/>
    <w:rsid w:val="00885802"/>
    <w:rsid w:val="0088582E"/>
    <w:rsid w:val="0088592F"/>
    <w:rsid w:val="00885DE3"/>
    <w:rsid w:val="00885E64"/>
    <w:rsid w:val="00885F78"/>
    <w:rsid w:val="0088610B"/>
    <w:rsid w:val="00886415"/>
    <w:rsid w:val="0088650C"/>
    <w:rsid w:val="00886A71"/>
    <w:rsid w:val="00886A86"/>
    <w:rsid w:val="00886B66"/>
    <w:rsid w:val="00886C9B"/>
    <w:rsid w:val="00886CEC"/>
    <w:rsid w:val="00886D64"/>
    <w:rsid w:val="00887075"/>
    <w:rsid w:val="008872D1"/>
    <w:rsid w:val="008873B2"/>
    <w:rsid w:val="008877CE"/>
    <w:rsid w:val="0088796D"/>
    <w:rsid w:val="008879C0"/>
    <w:rsid w:val="00887C50"/>
    <w:rsid w:val="00887DFA"/>
    <w:rsid w:val="00887F21"/>
    <w:rsid w:val="008900A6"/>
    <w:rsid w:val="00890333"/>
    <w:rsid w:val="008903CB"/>
    <w:rsid w:val="00890437"/>
    <w:rsid w:val="00890611"/>
    <w:rsid w:val="00890726"/>
    <w:rsid w:val="008909A2"/>
    <w:rsid w:val="00890A66"/>
    <w:rsid w:val="00890F99"/>
    <w:rsid w:val="00890FF8"/>
    <w:rsid w:val="00891005"/>
    <w:rsid w:val="00891065"/>
    <w:rsid w:val="0089118F"/>
    <w:rsid w:val="0089144B"/>
    <w:rsid w:val="00891534"/>
    <w:rsid w:val="0089164B"/>
    <w:rsid w:val="00891987"/>
    <w:rsid w:val="00891A2C"/>
    <w:rsid w:val="00891B2B"/>
    <w:rsid w:val="00891B67"/>
    <w:rsid w:val="00891D25"/>
    <w:rsid w:val="008920E3"/>
    <w:rsid w:val="00892413"/>
    <w:rsid w:val="0089257F"/>
    <w:rsid w:val="00892610"/>
    <w:rsid w:val="00892938"/>
    <w:rsid w:val="00892993"/>
    <w:rsid w:val="00892DAB"/>
    <w:rsid w:val="00892DCA"/>
    <w:rsid w:val="00893380"/>
    <w:rsid w:val="008933F0"/>
    <w:rsid w:val="00893557"/>
    <w:rsid w:val="0089361B"/>
    <w:rsid w:val="0089366A"/>
    <w:rsid w:val="0089366D"/>
    <w:rsid w:val="0089368D"/>
    <w:rsid w:val="008936A9"/>
    <w:rsid w:val="00893738"/>
    <w:rsid w:val="00893A6D"/>
    <w:rsid w:val="00893D27"/>
    <w:rsid w:val="00893EC5"/>
    <w:rsid w:val="00893F6D"/>
    <w:rsid w:val="00893FD0"/>
    <w:rsid w:val="00894139"/>
    <w:rsid w:val="008942B3"/>
    <w:rsid w:val="008943D2"/>
    <w:rsid w:val="00894803"/>
    <w:rsid w:val="00894808"/>
    <w:rsid w:val="008949F3"/>
    <w:rsid w:val="00894A8C"/>
    <w:rsid w:val="00894AD6"/>
    <w:rsid w:val="00894DAC"/>
    <w:rsid w:val="00894E9D"/>
    <w:rsid w:val="008950DF"/>
    <w:rsid w:val="008952E6"/>
    <w:rsid w:val="00895549"/>
    <w:rsid w:val="00895706"/>
    <w:rsid w:val="00895926"/>
    <w:rsid w:val="00895BCC"/>
    <w:rsid w:val="00895BE5"/>
    <w:rsid w:val="00895ECB"/>
    <w:rsid w:val="00895EEB"/>
    <w:rsid w:val="00895F91"/>
    <w:rsid w:val="00896041"/>
    <w:rsid w:val="0089614C"/>
    <w:rsid w:val="0089637C"/>
    <w:rsid w:val="0089640C"/>
    <w:rsid w:val="008964A8"/>
    <w:rsid w:val="0089651F"/>
    <w:rsid w:val="00896548"/>
    <w:rsid w:val="008965E9"/>
    <w:rsid w:val="00896731"/>
    <w:rsid w:val="00896860"/>
    <w:rsid w:val="00896DD3"/>
    <w:rsid w:val="00897254"/>
    <w:rsid w:val="008973E6"/>
    <w:rsid w:val="00897759"/>
    <w:rsid w:val="0089784C"/>
    <w:rsid w:val="0089784F"/>
    <w:rsid w:val="00897AC5"/>
    <w:rsid w:val="00897D84"/>
    <w:rsid w:val="00897EE6"/>
    <w:rsid w:val="00897F1A"/>
    <w:rsid w:val="00897F50"/>
    <w:rsid w:val="00897F6F"/>
    <w:rsid w:val="00897F7F"/>
    <w:rsid w:val="008A0212"/>
    <w:rsid w:val="008A0217"/>
    <w:rsid w:val="008A0357"/>
    <w:rsid w:val="008A05B0"/>
    <w:rsid w:val="008A0862"/>
    <w:rsid w:val="008A0CE0"/>
    <w:rsid w:val="008A0EAF"/>
    <w:rsid w:val="008A0F80"/>
    <w:rsid w:val="008A125E"/>
    <w:rsid w:val="008A1565"/>
    <w:rsid w:val="008A15C9"/>
    <w:rsid w:val="008A1692"/>
    <w:rsid w:val="008A177D"/>
    <w:rsid w:val="008A17B1"/>
    <w:rsid w:val="008A191A"/>
    <w:rsid w:val="008A1C48"/>
    <w:rsid w:val="008A1CC6"/>
    <w:rsid w:val="008A1CEA"/>
    <w:rsid w:val="008A1FA0"/>
    <w:rsid w:val="008A1FAE"/>
    <w:rsid w:val="008A200F"/>
    <w:rsid w:val="008A20D2"/>
    <w:rsid w:val="008A20F6"/>
    <w:rsid w:val="008A21CF"/>
    <w:rsid w:val="008A22BF"/>
    <w:rsid w:val="008A22EC"/>
    <w:rsid w:val="008A2696"/>
    <w:rsid w:val="008A2B72"/>
    <w:rsid w:val="008A2C4A"/>
    <w:rsid w:val="008A2CA7"/>
    <w:rsid w:val="008A2D48"/>
    <w:rsid w:val="008A3243"/>
    <w:rsid w:val="008A32E2"/>
    <w:rsid w:val="008A343B"/>
    <w:rsid w:val="008A371E"/>
    <w:rsid w:val="008A3753"/>
    <w:rsid w:val="008A37DF"/>
    <w:rsid w:val="008A3A6C"/>
    <w:rsid w:val="008A3C3F"/>
    <w:rsid w:val="008A3D85"/>
    <w:rsid w:val="008A3DE8"/>
    <w:rsid w:val="008A4245"/>
    <w:rsid w:val="008A4257"/>
    <w:rsid w:val="008A430E"/>
    <w:rsid w:val="008A4422"/>
    <w:rsid w:val="008A44D1"/>
    <w:rsid w:val="008A47ED"/>
    <w:rsid w:val="008A4BA4"/>
    <w:rsid w:val="008A4C30"/>
    <w:rsid w:val="008A4E1D"/>
    <w:rsid w:val="008A4FBE"/>
    <w:rsid w:val="008A51E4"/>
    <w:rsid w:val="008A52C6"/>
    <w:rsid w:val="008A550B"/>
    <w:rsid w:val="008A5826"/>
    <w:rsid w:val="008A5BDF"/>
    <w:rsid w:val="008A6326"/>
    <w:rsid w:val="008A675B"/>
    <w:rsid w:val="008A6786"/>
    <w:rsid w:val="008A67EA"/>
    <w:rsid w:val="008A6B98"/>
    <w:rsid w:val="008A6DBB"/>
    <w:rsid w:val="008A6E53"/>
    <w:rsid w:val="008A70EF"/>
    <w:rsid w:val="008A757E"/>
    <w:rsid w:val="008A7AAB"/>
    <w:rsid w:val="008A7B2B"/>
    <w:rsid w:val="008A7BF2"/>
    <w:rsid w:val="008A7E17"/>
    <w:rsid w:val="008A7EF7"/>
    <w:rsid w:val="008B001E"/>
    <w:rsid w:val="008B01D9"/>
    <w:rsid w:val="008B03E0"/>
    <w:rsid w:val="008B0489"/>
    <w:rsid w:val="008B0840"/>
    <w:rsid w:val="008B0994"/>
    <w:rsid w:val="008B0C31"/>
    <w:rsid w:val="008B0C67"/>
    <w:rsid w:val="008B0D35"/>
    <w:rsid w:val="008B0D3C"/>
    <w:rsid w:val="008B0F8E"/>
    <w:rsid w:val="008B0FAC"/>
    <w:rsid w:val="008B143A"/>
    <w:rsid w:val="008B16D2"/>
    <w:rsid w:val="008B1A48"/>
    <w:rsid w:val="008B1A7F"/>
    <w:rsid w:val="008B1ACA"/>
    <w:rsid w:val="008B1AEA"/>
    <w:rsid w:val="008B21C0"/>
    <w:rsid w:val="008B2272"/>
    <w:rsid w:val="008B227F"/>
    <w:rsid w:val="008B2324"/>
    <w:rsid w:val="008B2351"/>
    <w:rsid w:val="008B28B6"/>
    <w:rsid w:val="008B28B7"/>
    <w:rsid w:val="008B28F2"/>
    <w:rsid w:val="008B2977"/>
    <w:rsid w:val="008B29FC"/>
    <w:rsid w:val="008B2E56"/>
    <w:rsid w:val="008B2FF6"/>
    <w:rsid w:val="008B310A"/>
    <w:rsid w:val="008B3190"/>
    <w:rsid w:val="008B3232"/>
    <w:rsid w:val="008B3358"/>
    <w:rsid w:val="008B346F"/>
    <w:rsid w:val="008B366D"/>
    <w:rsid w:val="008B3765"/>
    <w:rsid w:val="008B3800"/>
    <w:rsid w:val="008B3954"/>
    <w:rsid w:val="008B3DEF"/>
    <w:rsid w:val="008B4182"/>
    <w:rsid w:val="008B430D"/>
    <w:rsid w:val="008B441C"/>
    <w:rsid w:val="008B444E"/>
    <w:rsid w:val="008B4451"/>
    <w:rsid w:val="008B4504"/>
    <w:rsid w:val="008B4748"/>
    <w:rsid w:val="008B484A"/>
    <w:rsid w:val="008B49E5"/>
    <w:rsid w:val="008B4A0B"/>
    <w:rsid w:val="008B4A85"/>
    <w:rsid w:val="008B4E08"/>
    <w:rsid w:val="008B4EF9"/>
    <w:rsid w:val="008B5111"/>
    <w:rsid w:val="008B529B"/>
    <w:rsid w:val="008B5366"/>
    <w:rsid w:val="008B548E"/>
    <w:rsid w:val="008B5587"/>
    <w:rsid w:val="008B577D"/>
    <w:rsid w:val="008B57FD"/>
    <w:rsid w:val="008B587F"/>
    <w:rsid w:val="008B5A94"/>
    <w:rsid w:val="008B5AB9"/>
    <w:rsid w:val="008B5FE3"/>
    <w:rsid w:val="008B5FEF"/>
    <w:rsid w:val="008B6117"/>
    <w:rsid w:val="008B651F"/>
    <w:rsid w:val="008B6772"/>
    <w:rsid w:val="008B67D4"/>
    <w:rsid w:val="008B6A24"/>
    <w:rsid w:val="008B6D2C"/>
    <w:rsid w:val="008B6F65"/>
    <w:rsid w:val="008B70D2"/>
    <w:rsid w:val="008B719E"/>
    <w:rsid w:val="008B7321"/>
    <w:rsid w:val="008B74F1"/>
    <w:rsid w:val="008B753F"/>
    <w:rsid w:val="008B76DB"/>
    <w:rsid w:val="008B784D"/>
    <w:rsid w:val="008B7C35"/>
    <w:rsid w:val="008B7D72"/>
    <w:rsid w:val="008B7E2B"/>
    <w:rsid w:val="008B7F3A"/>
    <w:rsid w:val="008B7F4E"/>
    <w:rsid w:val="008C00C7"/>
    <w:rsid w:val="008C0213"/>
    <w:rsid w:val="008C02B0"/>
    <w:rsid w:val="008C03E7"/>
    <w:rsid w:val="008C066B"/>
    <w:rsid w:val="008C0676"/>
    <w:rsid w:val="008C07C3"/>
    <w:rsid w:val="008C0C7C"/>
    <w:rsid w:val="008C0EA4"/>
    <w:rsid w:val="008C1005"/>
    <w:rsid w:val="008C10E2"/>
    <w:rsid w:val="008C177E"/>
    <w:rsid w:val="008C1871"/>
    <w:rsid w:val="008C1A57"/>
    <w:rsid w:val="008C212D"/>
    <w:rsid w:val="008C2167"/>
    <w:rsid w:val="008C2A98"/>
    <w:rsid w:val="008C2C2A"/>
    <w:rsid w:val="008C2D78"/>
    <w:rsid w:val="008C2DA3"/>
    <w:rsid w:val="008C32EA"/>
    <w:rsid w:val="008C3505"/>
    <w:rsid w:val="008C35FB"/>
    <w:rsid w:val="008C3CA7"/>
    <w:rsid w:val="008C4020"/>
    <w:rsid w:val="008C43C4"/>
    <w:rsid w:val="008C43EC"/>
    <w:rsid w:val="008C44BA"/>
    <w:rsid w:val="008C4557"/>
    <w:rsid w:val="008C47CB"/>
    <w:rsid w:val="008C48D2"/>
    <w:rsid w:val="008C4BBD"/>
    <w:rsid w:val="008C4BEB"/>
    <w:rsid w:val="008C4F5C"/>
    <w:rsid w:val="008C5069"/>
    <w:rsid w:val="008C510B"/>
    <w:rsid w:val="008C512C"/>
    <w:rsid w:val="008C5316"/>
    <w:rsid w:val="008C53EB"/>
    <w:rsid w:val="008C5770"/>
    <w:rsid w:val="008C578F"/>
    <w:rsid w:val="008C5823"/>
    <w:rsid w:val="008C59B6"/>
    <w:rsid w:val="008C59F5"/>
    <w:rsid w:val="008C5CD5"/>
    <w:rsid w:val="008C5E6C"/>
    <w:rsid w:val="008C624B"/>
    <w:rsid w:val="008C6272"/>
    <w:rsid w:val="008C697A"/>
    <w:rsid w:val="008C70F5"/>
    <w:rsid w:val="008C7682"/>
    <w:rsid w:val="008C7795"/>
    <w:rsid w:val="008C790A"/>
    <w:rsid w:val="008C79EF"/>
    <w:rsid w:val="008C7A19"/>
    <w:rsid w:val="008C7E72"/>
    <w:rsid w:val="008D0053"/>
    <w:rsid w:val="008D0239"/>
    <w:rsid w:val="008D024D"/>
    <w:rsid w:val="008D0587"/>
    <w:rsid w:val="008D0695"/>
    <w:rsid w:val="008D071E"/>
    <w:rsid w:val="008D0B16"/>
    <w:rsid w:val="008D0B64"/>
    <w:rsid w:val="008D0B74"/>
    <w:rsid w:val="008D0C2C"/>
    <w:rsid w:val="008D12C4"/>
    <w:rsid w:val="008D14C1"/>
    <w:rsid w:val="008D1A0E"/>
    <w:rsid w:val="008D1BFD"/>
    <w:rsid w:val="008D1FBC"/>
    <w:rsid w:val="008D1FD1"/>
    <w:rsid w:val="008D20B4"/>
    <w:rsid w:val="008D2104"/>
    <w:rsid w:val="008D2238"/>
    <w:rsid w:val="008D239F"/>
    <w:rsid w:val="008D25F3"/>
    <w:rsid w:val="008D2A1E"/>
    <w:rsid w:val="008D2AEC"/>
    <w:rsid w:val="008D2B67"/>
    <w:rsid w:val="008D2C0D"/>
    <w:rsid w:val="008D2DEF"/>
    <w:rsid w:val="008D2EB0"/>
    <w:rsid w:val="008D2F17"/>
    <w:rsid w:val="008D375D"/>
    <w:rsid w:val="008D38F2"/>
    <w:rsid w:val="008D3973"/>
    <w:rsid w:val="008D3A57"/>
    <w:rsid w:val="008D3AE0"/>
    <w:rsid w:val="008D3BB8"/>
    <w:rsid w:val="008D3D84"/>
    <w:rsid w:val="008D3E52"/>
    <w:rsid w:val="008D3EE5"/>
    <w:rsid w:val="008D3F31"/>
    <w:rsid w:val="008D3F8F"/>
    <w:rsid w:val="008D43C2"/>
    <w:rsid w:val="008D44DD"/>
    <w:rsid w:val="008D4675"/>
    <w:rsid w:val="008D4743"/>
    <w:rsid w:val="008D48DA"/>
    <w:rsid w:val="008D4987"/>
    <w:rsid w:val="008D4A5B"/>
    <w:rsid w:val="008D4B32"/>
    <w:rsid w:val="008D4DD4"/>
    <w:rsid w:val="008D4EA5"/>
    <w:rsid w:val="008D530E"/>
    <w:rsid w:val="008D54C3"/>
    <w:rsid w:val="008D572F"/>
    <w:rsid w:val="008D594D"/>
    <w:rsid w:val="008D59F8"/>
    <w:rsid w:val="008D5A97"/>
    <w:rsid w:val="008D5B0F"/>
    <w:rsid w:val="008D5B26"/>
    <w:rsid w:val="008D5BFF"/>
    <w:rsid w:val="008D5C87"/>
    <w:rsid w:val="008D5CF8"/>
    <w:rsid w:val="008D5DE4"/>
    <w:rsid w:val="008D6285"/>
    <w:rsid w:val="008D6384"/>
    <w:rsid w:val="008D63EF"/>
    <w:rsid w:val="008D6683"/>
    <w:rsid w:val="008D68AA"/>
    <w:rsid w:val="008D6C4C"/>
    <w:rsid w:val="008D6C54"/>
    <w:rsid w:val="008D70D2"/>
    <w:rsid w:val="008D76BE"/>
    <w:rsid w:val="008D78C9"/>
    <w:rsid w:val="008D7D76"/>
    <w:rsid w:val="008D7F0A"/>
    <w:rsid w:val="008D7F49"/>
    <w:rsid w:val="008D7FE9"/>
    <w:rsid w:val="008E00E7"/>
    <w:rsid w:val="008E0478"/>
    <w:rsid w:val="008E04AA"/>
    <w:rsid w:val="008E05BA"/>
    <w:rsid w:val="008E077B"/>
    <w:rsid w:val="008E09DF"/>
    <w:rsid w:val="008E0A44"/>
    <w:rsid w:val="008E0AB1"/>
    <w:rsid w:val="008E0C31"/>
    <w:rsid w:val="008E0C60"/>
    <w:rsid w:val="008E0CDD"/>
    <w:rsid w:val="008E0F60"/>
    <w:rsid w:val="008E11CA"/>
    <w:rsid w:val="008E12AA"/>
    <w:rsid w:val="008E15A6"/>
    <w:rsid w:val="008E175A"/>
    <w:rsid w:val="008E1767"/>
    <w:rsid w:val="008E1891"/>
    <w:rsid w:val="008E1BCD"/>
    <w:rsid w:val="008E1C36"/>
    <w:rsid w:val="008E1F24"/>
    <w:rsid w:val="008E2036"/>
    <w:rsid w:val="008E2475"/>
    <w:rsid w:val="008E263C"/>
    <w:rsid w:val="008E2726"/>
    <w:rsid w:val="008E296E"/>
    <w:rsid w:val="008E2E67"/>
    <w:rsid w:val="008E2F9E"/>
    <w:rsid w:val="008E2FF8"/>
    <w:rsid w:val="008E30FE"/>
    <w:rsid w:val="008E336D"/>
    <w:rsid w:val="008E34E1"/>
    <w:rsid w:val="008E354B"/>
    <w:rsid w:val="008E376C"/>
    <w:rsid w:val="008E3A8C"/>
    <w:rsid w:val="008E3BA7"/>
    <w:rsid w:val="008E3E0C"/>
    <w:rsid w:val="008E3E5E"/>
    <w:rsid w:val="008E41E0"/>
    <w:rsid w:val="008E4361"/>
    <w:rsid w:val="008E4382"/>
    <w:rsid w:val="008E44C7"/>
    <w:rsid w:val="008E4544"/>
    <w:rsid w:val="008E464D"/>
    <w:rsid w:val="008E46CF"/>
    <w:rsid w:val="008E492F"/>
    <w:rsid w:val="008E4A09"/>
    <w:rsid w:val="008E521F"/>
    <w:rsid w:val="008E538D"/>
    <w:rsid w:val="008E54FB"/>
    <w:rsid w:val="008E560D"/>
    <w:rsid w:val="008E5635"/>
    <w:rsid w:val="008E57C4"/>
    <w:rsid w:val="008E5CB9"/>
    <w:rsid w:val="008E5D5D"/>
    <w:rsid w:val="008E5FC1"/>
    <w:rsid w:val="008E66EE"/>
    <w:rsid w:val="008E689C"/>
    <w:rsid w:val="008E6A5A"/>
    <w:rsid w:val="008E6BBD"/>
    <w:rsid w:val="008E6C01"/>
    <w:rsid w:val="008E6EA8"/>
    <w:rsid w:val="008E6F6D"/>
    <w:rsid w:val="008E6FE7"/>
    <w:rsid w:val="008E704E"/>
    <w:rsid w:val="008E7353"/>
    <w:rsid w:val="008E75C0"/>
    <w:rsid w:val="008E760B"/>
    <w:rsid w:val="008E764A"/>
    <w:rsid w:val="008E7B34"/>
    <w:rsid w:val="008E7CF5"/>
    <w:rsid w:val="008E7EEB"/>
    <w:rsid w:val="008F0004"/>
    <w:rsid w:val="008F0042"/>
    <w:rsid w:val="008F00EA"/>
    <w:rsid w:val="008F0273"/>
    <w:rsid w:val="008F027A"/>
    <w:rsid w:val="008F030C"/>
    <w:rsid w:val="008F038A"/>
    <w:rsid w:val="008F0479"/>
    <w:rsid w:val="008F07B5"/>
    <w:rsid w:val="008F07C5"/>
    <w:rsid w:val="008F08BC"/>
    <w:rsid w:val="008F08CD"/>
    <w:rsid w:val="008F09DE"/>
    <w:rsid w:val="008F0B07"/>
    <w:rsid w:val="008F0B64"/>
    <w:rsid w:val="008F0C3C"/>
    <w:rsid w:val="008F0DE1"/>
    <w:rsid w:val="008F1154"/>
    <w:rsid w:val="008F11D2"/>
    <w:rsid w:val="008F12C2"/>
    <w:rsid w:val="008F1308"/>
    <w:rsid w:val="008F16FA"/>
    <w:rsid w:val="008F1728"/>
    <w:rsid w:val="008F1760"/>
    <w:rsid w:val="008F17CB"/>
    <w:rsid w:val="008F18E3"/>
    <w:rsid w:val="008F1936"/>
    <w:rsid w:val="008F1993"/>
    <w:rsid w:val="008F19E3"/>
    <w:rsid w:val="008F1A50"/>
    <w:rsid w:val="008F1B49"/>
    <w:rsid w:val="008F1B92"/>
    <w:rsid w:val="008F1E20"/>
    <w:rsid w:val="008F1E27"/>
    <w:rsid w:val="008F1EB4"/>
    <w:rsid w:val="008F1ED9"/>
    <w:rsid w:val="008F2065"/>
    <w:rsid w:val="008F2174"/>
    <w:rsid w:val="008F21ED"/>
    <w:rsid w:val="008F23A9"/>
    <w:rsid w:val="008F24D8"/>
    <w:rsid w:val="008F2869"/>
    <w:rsid w:val="008F28CD"/>
    <w:rsid w:val="008F2984"/>
    <w:rsid w:val="008F2A03"/>
    <w:rsid w:val="008F2BA6"/>
    <w:rsid w:val="008F2BE3"/>
    <w:rsid w:val="008F2E56"/>
    <w:rsid w:val="008F3134"/>
    <w:rsid w:val="008F3265"/>
    <w:rsid w:val="008F335C"/>
    <w:rsid w:val="008F3511"/>
    <w:rsid w:val="008F3801"/>
    <w:rsid w:val="008F39D3"/>
    <w:rsid w:val="008F39D8"/>
    <w:rsid w:val="008F3AB0"/>
    <w:rsid w:val="008F3B01"/>
    <w:rsid w:val="008F3C23"/>
    <w:rsid w:val="008F3CDC"/>
    <w:rsid w:val="008F3E1A"/>
    <w:rsid w:val="008F3F43"/>
    <w:rsid w:val="008F45DB"/>
    <w:rsid w:val="008F4881"/>
    <w:rsid w:val="008F4A00"/>
    <w:rsid w:val="008F4A25"/>
    <w:rsid w:val="008F4F01"/>
    <w:rsid w:val="008F51A9"/>
    <w:rsid w:val="008F5683"/>
    <w:rsid w:val="008F5768"/>
    <w:rsid w:val="008F57E7"/>
    <w:rsid w:val="008F6079"/>
    <w:rsid w:val="008F6374"/>
    <w:rsid w:val="008F6497"/>
    <w:rsid w:val="008F6526"/>
    <w:rsid w:val="008F6596"/>
    <w:rsid w:val="008F67E8"/>
    <w:rsid w:val="008F691A"/>
    <w:rsid w:val="008F6B6D"/>
    <w:rsid w:val="008F6B8D"/>
    <w:rsid w:val="008F6BB8"/>
    <w:rsid w:val="008F6C4C"/>
    <w:rsid w:val="008F7035"/>
    <w:rsid w:val="008F7198"/>
    <w:rsid w:val="008F7241"/>
    <w:rsid w:val="008F7285"/>
    <w:rsid w:val="008F7315"/>
    <w:rsid w:val="008F773E"/>
    <w:rsid w:val="008F7A7C"/>
    <w:rsid w:val="008F7D17"/>
    <w:rsid w:val="00900148"/>
    <w:rsid w:val="00900398"/>
    <w:rsid w:val="009003DB"/>
    <w:rsid w:val="00900564"/>
    <w:rsid w:val="0090074B"/>
    <w:rsid w:val="00900A77"/>
    <w:rsid w:val="00900B62"/>
    <w:rsid w:val="00900C10"/>
    <w:rsid w:val="00901031"/>
    <w:rsid w:val="00901092"/>
    <w:rsid w:val="009010CC"/>
    <w:rsid w:val="009012C0"/>
    <w:rsid w:val="00901334"/>
    <w:rsid w:val="00901A52"/>
    <w:rsid w:val="00901AD9"/>
    <w:rsid w:val="00901B9A"/>
    <w:rsid w:val="00901CF2"/>
    <w:rsid w:val="00901D43"/>
    <w:rsid w:val="00901DD4"/>
    <w:rsid w:val="0090240F"/>
    <w:rsid w:val="0090257F"/>
    <w:rsid w:val="009027A3"/>
    <w:rsid w:val="009027BC"/>
    <w:rsid w:val="00902A1F"/>
    <w:rsid w:val="00902A67"/>
    <w:rsid w:val="00902B8E"/>
    <w:rsid w:val="00902BA1"/>
    <w:rsid w:val="00902D0F"/>
    <w:rsid w:val="00902DD5"/>
    <w:rsid w:val="00902E76"/>
    <w:rsid w:val="00902F9F"/>
    <w:rsid w:val="00903148"/>
    <w:rsid w:val="009031B3"/>
    <w:rsid w:val="009032C1"/>
    <w:rsid w:val="009034A9"/>
    <w:rsid w:val="009037F8"/>
    <w:rsid w:val="00903804"/>
    <w:rsid w:val="009039C7"/>
    <w:rsid w:val="00903EA4"/>
    <w:rsid w:val="00903F28"/>
    <w:rsid w:val="00903F45"/>
    <w:rsid w:val="00904067"/>
    <w:rsid w:val="00904284"/>
    <w:rsid w:val="009043FD"/>
    <w:rsid w:val="009044F8"/>
    <w:rsid w:val="00904B42"/>
    <w:rsid w:val="00904EF5"/>
    <w:rsid w:val="00905012"/>
    <w:rsid w:val="009050A9"/>
    <w:rsid w:val="009050B9"/>
    <w:rsid w:val="009050F3"/>
    <w:rsid w:val="00905191"/>
    <w:rsid w:val="0090519D"/>
    <w:rsid w:val="0090528B"/>
    <w:rsid w:val="009052BE"/>
    <w:rsid w:val="00905303"/>
    <w:rsid w:val="0090539E"/>
    <w:rsid w:val="00905BCD"/>
    <w:rsid w:val="00905C42"/>
    <w:rsid w:val="00905CC8"/>
    <w:rsid w:val="00905E4A"/>
    <w:rsid w:val="00905EA4"/>
    <w:rsid w:val="00905F2B"/>
    <w:rsid w:val="00905FDD"/>
    <w:rsid w:val="009064A9"/>
    <w:rsid w:val="009064FA"/>
    <w:rsid w:val="0090666A"/>
    <w:rsid w:val="009067C9"/>
    <w:rsid w:val="00906821"/>
    <w:rsid w:val="00906BD2"/>
    <w:rsid w:val="00906E88"/>
    <w:rsid w:val="0090725F"/>
    <w:rsid w:val="009072B0"/>
    <w:rsid w:val="0090758A"/>
    <w:rsid w:val="009075CD"/>
    <w:rsid w:val="00907674"/>
    <w:rsid w:val="0090783B"/>
    <w:rsid w:val="00907E03"/>
    <w:rsid w:val="0091000D"/>
    <w:rsid w:val="00910086"/>
    <w:rsid w:val="0091016E"/>
    <w:rsid w:val="009105F5"/>
    <w:rsid w:val="0091065F"/>
    <w:rsid w:val="009107F5"/>
    <w:rsid w:val="0091089C"/>
    <w:rsid w:val="00910A3A"/>
    <w:rsid w:val="00910A56"/>
    <w:rsid w:val="00910B4E"/>
    <w:rsid w:val="00910BC3"/>
    <w:rsid w:val="00910BEA"/>
    <w:rsid w:val="00910C2D"/>
    <w:rsid w:val="009112E9"/>
    <w:rsid w:val="0091157E"/>
    <w:rsid w:val="0091175C"/>
    <w:rsid w:val="009118C7"/>
    <w:rsid w:val="009119B4"/>
    <w:rsid w:val="00911C6D"/>
    <w:rsid w:val="00911CB2"/>
    <w:rsid w:val="00911E43"/>
    <w:rsid w:val="00912057"/>
    <w:rsid w:val="00912087"/>
    <w:rsid w:val="00912278"/>
    <w:rsid w:val="009122BD"/>
    <w:rsid w:val="00912366"/>
    <w:rsid w:val="009124F6"/>
    <w:rsid w:val="00912580"/>
    <w:rsid w:val="009125CF"/>
    <w:rsid w:val="009127EE"/>
    <w:rsid w:val="00912855"/>
    <w:rsid w:val="0091287B"/>
    <w:rsid w:val="009128C6"/>
    <w:rsid w:val="009128E7"/>
    <w:rsid w:val="009128F5"/>
    <w:rsid w:val="009128FE"/>
    <w:rsid w:val="0091295F"/>
    <w:rsid w:val="00912986"/>
    <w:rsid w:val="009129C3"/>
    <w:rsid w:val="00912A3F"/>
    <w:rsid w:val="00912DAB"/>
    <w:rsid w:val="00912E63"/>
    <w:rsid w:val="00912F36"/>
    <w:rsid w:val="00913055"/>
    <w:rsid w:val="00913282"/>
    <w:rsid w:val="00913A90"/>
    <w:rsid w:val="00913A96"/>
    <w:rsid w:val="00913B6D"/>
    <w:rsid w:val="00913B89"/>
    <w:rsid w:val="00913CBF"/>
    <w:rsid w:val="00913CF8"/>
    <w:rsid w:val="00913D9A"/>
    <w:rsid w:val="00914427"/>
    <w:rsid w:val="0091443A"/>
    <w:rsid w:val="00914442"/>
    <w:rsid w:val="0091472A"/>
    <w:rsid w:val="00914B48"/>
    <w:rsid w:val="00914B87"/>
    <w:rsid w:val="00914D4F"/>
    <w:rsid w:val="00914D80"/>
    <w:rsid w:val="0091500E"/>
    <w:rsid w:val="00915090"/>
    <w:rsid w:val="00915252"/>
    <w:rsid w:val="009153BF"/>
    <w:rsid w:val="00915535"/>
    <w:rsid w:val="00915673"/>
    <w:rsid w:val="00915B4C"/>
    <w:rsid w:val="00915F29"/>
    <w:rsid w:val="00916049"/>
    <w:rsid w:val="00916223"/>
    <w:rsid w:val="00916815"/>
    <w:rsid w:val="00916ACB"/>
    <w:rsid w:val="00916D07"/>
    <w:rsid w:val="009170FA"/>
    <w:rsid w:val="00917103"/>
    <w:rsid w:val="009176A6"/>
    <w:rsid w:val="0091791B"/>
    <w:rsid w:val="00917BC8"/>
    <w:rsid w:val="00917BE8"/>
    <w:rsid w:val="00917C74"/>
    <w:rsid w:val="00917F20"/>
    <w:rsid w:val="00917FCC"/>
    <w:rsid w:val="00920150"/>
    <w:rsid w:val="00920278"/>
    <w:rsid w:val="00920477"/>
    <w:rsid w:val="00920679"/>
    <w:rsid w:val="009207CE"/>
    <w:rsid w:val="00920A6C"/>
    <w:rsid w:val="00920F26"/>
    <w:rsid w:val="0092106A"/>
    <w:rsid w:val="0092144C"/>
    <w:rsid w:val="00921669"/>
    <w:rsid w:val="0092185A"/>
    <w:rsid w:val="00921926"/>
    <w:rsid w:val="0092192D"/>
    <w:rsid w:val="00921EA3"/>
    <w:rsid w:val="00922082"/>
    <w:rsid w:val="009222A9"/>
    <w:rsid w:val="009223EE"/>
    <w:rsid w:val="00922573"/>
    <w:rsid w:val="00922A6C"/>
    <w:rsid w:val="00922C25"/>
    <w:rsid w:val="00922D2A"/>
    <w:rsid w:val="00922EFA"/>
    <w:rsid w:val="0092329D"/>
    <w:rsid w:val="009236A3"/>
    <w:rsid w:val="0092392F"/>
    <w:rsid w:val="00923A20"/>
    <w:rsid w:val="00923BC4"/>
    <w:rsid w:val="00923E73"/>
    <w:rsid w:val="00924235"/>
    <w:rsid w:val="0092479A"/>
    <w:rsid w:val="009248BC"/>
    <w:rsid w:val="00924935"/>
    <w:rsid w:val="00924A4B"/>
    <w:rsid w:val="00924A80"/>
    <w:rsid w:val="00924D9D"/>
    <w:rsid w:val="009251A8"/>
    <w:rsid w:val="009252AF"/>
    <w:rsid w:val="00925369"/>
    <w:rsid w:val="0092545B"/>
    <w:rsid w:val="00925715"/>
    <w:rsid w:val="0092573A"/>
    <w:rsid w:val="009257A8"/>
    <w:rsid w:val="00925943"/>
    <w:rsid w:val="00925967"/>
    <w:rsid w:val="00925A1F"/>
    <w:rsid w:val="00925DA6"/>
    <w:rsid w:val="00925E05"/>
    <w:rsid w:val="00925F67"/>
    <w:rsid w:val="00925FDB"/>
    <w:rsid w:val="00925FE0"/>
    <w:rsid w:val="009260EE"/>
    <w:rsid w:val="00926126"/>
    <w:rsid w:val="00926152"/>
    <w:rsid w:val="00926233"/>
    <w:rsid w:val="009262EB"/>
    <w:rsid w:val="0092647B"/>
    <w:rsid w:val="009265B4"/>
    <w:rsid w:val="009266F8"/>
    <w:rsid w:val="00926A0D"/>
    <w:rsid w:val="00926B9B"/>
    <w:rsid w:val="00926C44"/>
    <w:rsid w:val="00926E16"/>
    <w:rsid w:val="009270BB"/>
    <w:rsid w:val="0092717F"/>
    <w:rsid w:val="00927456"/>
    <w:rsid w:val="0092753B"/>
    <w:rsid w:val="00927934"/>
    <w:rsid w:val="00927AEF"/>
    <w:rsid w:val="009300CC"/>
    <w:rsid w:val="009301BD"/>
    <w:rsid w:val="009304DE"/>
    <w:rsid w:val="009305D2"/>
    <w:rsid w:val="0093071D"/>
    <w:rsid w:val="00930CA0"/>
    <w:rsid w:val="00930F33"/>
    <w:rsid w:val="00930F85"/>
    <w:rsid w:val="0093106C"/>
    <w:rsid w:val="009312F5"/>
    <w:rsid w:val="009314A6"/>
    <w:rsid w:val="00931768"/>
    <w:rsid w:val="00931931"/>
    <w:rsid w:val="00931B16"/>
    <w:rsid w:val="00931BB1"/>
    <w:rsid w:val="00931CED"/>
    <w:rsid w:val="00931FC3"/>
    <w:rsid w:val="00932468"/>
    <w:rsid w:val="00932585"/>
    <w:rsid w:val="0093287A"/>
    <w:rsid w:val="00932966"/>
    <w:rsid w:val="009329BF"/>
    <w:rsid w:val="00932BF9"/>
    <w:rsid w:val="00932D6E"/>
    <w:rsid w:val="0093358F"/>
    <w:rsid w:val="009336B8"/>
    <w:rsid w:val="00933744"/>
    <w:rsid w:val="009339AD"/>
    <w:rsid w:val="00933A86"/>
    <w:rsid w:val="00933B46"/>
    <w:rsid w:val="00933B94"/>
    <w:rsid w:val="00933F0B"/>
    <w:rsid w:val="00933FB3"/>
    <w:rsid w:val="009341D3"/>
    <w:rsid w:val="00934736"/>
    <w:rsid w:val="009348BA"/>
    <w:rsid w:val="00934D1B"/>
    <w:rsid w:val="00934F88"/>
    <w:rsid w:val="00935346"/>
    <w:rsid w:val="0093577E"/>
    <w:rsid w:val="00935802"/>
    <w:rsid w:val="0093594F"/>
    <w:rsid w:val="009359E5"/>
    <w:rsid w:val="00935D32"/>
    <w:rsid w:val="00935D4F"/>
    <w:rsid w:val="00935EC0"/>
    <w:rsid w:val="00935FDD"/>
    <w:rsid w:val="0093614B"/>
    <w:rsid w:val="009361D9"/>
    <w:rsid w:val="00936253"/>
    <w:rsid w:val="009362E0"/>
    <w:rsid w:val="009362E6"/>
    <w:rsid w:val="00936520"/>
    <w:rsid w:val="00936593"/>
    <w:rsid w:val="00936846"/>
    <w:rsid w:val="00936BF6"/>
    <w:rsid w:val="00936CBD"/>
    <w:rsid w:val="00936CE1"/>
    <w:rsid w:val="00936D31"/>
    <w:rsid w:val="00936D76"/>
    <w:rsid w:val="00936D96"/>
    <w:rsid w:val="00936E7B"/>
    <w:rsid w:val="00936F0B"/>
    <w:rsid w:val="00937101"/>
    <w:rsid w:val="00937115"/>
    <w:rsid w:val="009371BE"/>
    <w:rsid w:val="00937448"/>
    <w:rsid w:val="00937603"/>
    <w:rsid w:val="00937C4E"/>
    <w:rsid w:val="00937F6E"/>
    <w:rsid w:val="00940154"/>
    <w:rsid w:val="00940172"/>
    <w:rsid w:val="0094029F"/>
    <w:rsid w:val="009406E6"/>
    <w:rsid w:val="0094085F"/>
    <w:rsid w:val="00940A1C"/>
    <w:rsid w:val="00940B02"/>
    <w:rsid w:val="00940CAE"/>
    <w:rsid w:val="00940CF0"/>
    <w:rsid w:val="00941026"/>
    <w:rsid w:val="00941138"/>
    <w:rsid w:val="0094124F"/>
    <w:rsid w:val="0094166F"/>
    <w:rsid w:val="0094167E"/>
    <w:rsid w:val="00941C09"/>
    <w:rsid w:val="00941D93"/>
    <w:rsid w:val="00941FFB"/>
    <w:rsid w:val="00942189"/>
    <w:rsid w:val="00942233"/>
    <w:rsid w:val="00942421"/>
    <w:rsid w:val="009426AF"/>
    <w:rsid w:val="009427F1"/>
    <w:rsid w:val="00942865"/>
    <w:rsid w:val="00942A0B"/>
    <w:rsid w:val="00942EFB"/>
    <w:rsid w:val="0094306F"/>
    <w:rsid w:val="00943217"/>
    <w:rsid w:val="009434EE"/>
    <w:rsid w:val="00943623"/>
    <w:rsid w:val="00943B56"/>
    <w:rsid w:val="00943B79"/>
    <w:rsid w:val="00943C97"/>
    <w:rsid w:val="00944165"/>
    <w:rsid w:val="0094420F"/>
    <w:rsid w:val="0094425C"/>
    <w:rsid w:val="009446B7"/>
    <w:rsid w:val="009446BD"/>
    <w:rsid w:val="0094481E"/>
    <w:rsid w:val="00944BC0"/>
    <w:rsid w:val="00944CA7"/>
    <w:rsid w:val="00944EA1"/>
    <w:rsid w:val="0094514B"/>
    <w:rsid w:val="00945157"/>
    <w:rsid w:val="0094571D"/>
    <w:rsid w:val="00945963"/>
    <w:rsid w:val="00945A05"/>
    <w:rsid w:val="00945DC1"/>
    <w:rsid w:val="00945F38"/>
    <w:rsid w:val="00946010"/>
    <w:rsid w:val="0094663B"/>
    <w:rsid w:val="00946A27"/>
    <w:rsid w:val="00946E50"/>
    <w:rsid w:val="00946F59"/>
    <w:rsid w:val="00946F65"/>
    <w:rsid w:val="00946FD9"/>
    <w:rsid w:val="0094711D"/>
    <w:rsid w:val="00947135"/>
    <w:rsid w:val="009473BC"/>
    <w:rsid w:val="00947739"/>
    <w:rsid w:val="00947847"/>
    <w:rsid w:val="009478C3"/>
    <w:rsid w:val="00947ACA"/>
    <w:rsid w:val="00947DA5"/>
    <w:rsid w:val="00947F8E"/>
    <w:rsid w:val="009500BF"/>
    <w:rsid w:val="0095029B"/>
    <w:rsid w:val="00950455"/>
    <w:rsid w:val="00950620"/>
    <w:rsid w:val="0095067A"/>
    <w:rsid w:val="0095070E"/>
    <w:rsid w:val="0095092A"/>
    <w:rsid w:val="00950B8D"/>
    <w:rsid w:val="00950E76"/>
    <w:rsid w:val="00950FF8"/>
    <w:rsid w:val="009511D7"/>
    <w:rsid w:val="00951233"/>
    <w:rsid w:val="00951252"/>
    <w:rsid w:val="009512CC"/>
    <w:rsid w:val="00951461"/>
    <w:rsid w:val="0095166E"/>
    <w:rsid w:val="00951A88"/>
    <w:rsid w:val="00951CD7"/>
    <w:rsid w:val="00951FF6"/>
    <w:rsid w:val="00952150"/>
    <w:rsid w:val="0095254B"/>
    <w:rsid w:val="0095269C"/>
    <w:rsid w:val="0095295B"/>
    <w:rsid w:val="0095299C"/>
    <w:rsid w:val="00952AC6"/>
    <w:rsid w:val="00952F73"/>
    <w:rsid w:val="0095328D"/>
    <w:rsid w:val="00953376"/>
    <w:rsid w:val="009535C8"/>
    <w:rsid w:val="00953613"/>
    <w:rsid w:val="00953AE2"/>
    <w:rsid w:val="00953D5A"/>
    <w:rsid w:val="00954136"/>
    <w:rsid w:val="00954139"/>
    <w:rsid w:val="0095420A"/>
    <w:rsid w:val="009543FA"/>
    <w:rsid w:val="00954490"/>
    <w:rsid w:val="00954596"/>
    <w:rsid w:val="009549D0"/>
    <w:rsid w:val="00954B45"/>
    <w:rsid w:val="00954BEC"/>
    <w:rsid w:val="00954F06"/>
    <w:rsid w:val="009550B8"/>
    <w:rsid w:val="00955288"/>
    <w:rsid w:val="009553C4"/>
    <w:rsid w:val="00955439"/>
    <w:rsid w:val="00955624"/>
    <w:rsid w:val="0095565C"/>
    <w:rsid w:val="009556A7"/>
    <w:rsid w:val="009557A9"/>
    <w:rsid w:val="009557FB"/>
    <w:rsid w:val="00955928"/>
    <w:rsid w:val="00955944"/>
    <w:rsid w:val="00955A2A"/>
    <w:rsid w:val="00955AF0"/>
    <w:rsid w:val="00955B91"/>
    <w:rsid w:val="00955C2C"/>
    <w:rsid w:val="00955F04"/>
    <w:rsid w:val="00956502"/>
    <w:rsid w:val="009568C0"/>
    <w:rsid w:val="009568C9"/>
    <w:rsid w:val="00956BAE"/>
    <w:rsid w:val="00956DE6"/>
    <w:rsid w:val="00956F79"/>
    <w:rsid w:val="00956FFC"/>
    <w:rsid w:val="009573AB"/>
    <w:rsid w:val="00957471"/>
    <w:rsid w:val="009577F2"/>
    <w:rsid w:val="00957833"/>
    <w:rsid w:val="00957865"/>
    <w:rsid w:val="0096014D"/>
    <w:rsid w:val="0096015F"/>
    <w:rsid w:val="009603D1"/>
    <w:rsid w:val="009603DB"/>
    <w:rsid w:val="009603F3"/>
    <w:rsid w:val="0096041D"/>
    <w:rsid w:val="009608E0"/>
    <w:rsid w:val="00960A93"/>
    <w:rsid w:val="00960BE0"/>
    <w:rsid w:val="00960BFB"/>
    <w:rsid w:val="00960E45"/>
    <w:rsid w:val="00961071"/>
    <w:rsid w:val="009610CF"/>
    <w:rsid w:val="00961234"/>
    <w:rsid w:val="009613B4"/>
    <w:rsid w:val="009616B3"/>
    <w:rsid w:val="00961753"/>
    <w:rsid w:val="00961B65"/>
    <w:rsid w:val="00961C55"/>
    <w:rsid w:val="00961D09"/>
    <w:rsid w:val="00961F65"/>
    <w:rsid w:val="00961F8B"/>
    <w:rsid w:val="0096210C"/>
    <w:rsid w:val="00962131"/>
    <w:rsid w:val="009621FD"/>
    <w:rsid w:val="0096238D"/>
    <w:rsid w:val="009623D6"/>
    <w:rsid w:val="0096267A"/>
    <w:rsid w:val="00962971"/>
    <w:rsid w:val="009629A5"/>
    <w:rsid w:val="009629DB"/>
    <w:rsid w:val="00962AB9"/>
    <w:rsid w:val="00962B02"/>
    <w:rsid w:val="00962F1E"/>
    <w:rsid w:val="00963132"/>
    <w:rsid w:val="00963373"/>
    <w:rsid w:val="009635EC"/>
    <w:rsid w:val="0096367A"/>
    <w:rsid w:val="00963700"/>
    <w:rsid w:val="0096370E"/>
    <w:rsid w:val="009637F7"/>
    <w:rsid w:val="009638BA"/>
    <w:rsid w:val="009639B9"/>
    <w:rsid w:val="00963A3C"/>
    <w:rsid w:val="00963DC8"/>
    <w:rsid w:val="00963DCC"/>
    <w:rsid w:val="009640A0"/>
    <w:rsid w:val="009640BB"/>
    <w:rsid w:val="009640E4"/>
    <w:rsid w:val="009644AE"/>
    <w:rsid w:val="00964764"/>
    <w:rsid w:val="00964AD7"/>
    <w:rsid w:val="00964D32"/>
    <w:rsid w:val="00964E7F"/>
    <w:rsid w:val="00964F93"/>
    <w:rsid w:val="0096545F"/>
    <w:rsid w:val="009658B6"/>
    <w:rsid w:val="00965969"/>
    <w:rsid w:val="00965B9A"/>
    <w:rsid w:val="00965CFA"/>
    <w:rsid w:val="00965D16"/>
    <w:rsid w:val="00965FCF"/>
    <w:rsid w:val="009660FE"/>
    <w:rsid w:val="009662F3"/>
    <w:rsid w:val="009665E9"/>
    <w:rsid w:val="00966920"/>
    <w:rsid w:val="00966C14"/>
    <w:rsid w:val="00966F3F"/>
    <w:rsid w:val="00966F82"/>
    <w:rsid w:val="00967078"/>
    <w:rsid w:val="00967131"/>
    <w:rsid w:val="00967172"/>
    <w:rsid w:val="009672F3"/>
    <w:rsid w:val="00967394"/>
    <w:rsid w:val="0096746A"/>
    <w:rsid w:val="009674DF"/>
    <w:rsid w:val="00967521"/>
    <w:rsid w:val="0096756B"/>
    <w:rsid w:val="00967DE5"/>
    <w:rsid w:val="00967F30"/>
    <w:rsid w:val="009703D0"/>
    <w:rsid w:val="00970574"/>
    <w:rsid w:val="00970782"/>
    <w:rsid w:val="00970821"/>
    <w:rsid w:val="00970BBE"/>
    <w:rsid w:val="00970C8D"/>
    <w:rsid w:val="00970D3A"/>
    <w:rsid w:val="00970FAA"/>
    <w:rsid w:val="00970FB9"/>
    <w:rsid w:val="00971113"/>
    <w:rsid w:val="009711C2"/>
    <w:rsid w:val="0097129F"/>
    <w:rsid w:val="0097142F"/>
    <w:rsid w:val="00971441"/>
    <w:rsid w:val="00971572"/>
    <w:rsid w:val="00971670"/>
    <w:rsid w:val="00971B59"/>
    <w:rsid w:val="00971BC4"/>
    <w:rsid w:val="00971C5D"/>
    <w:rsid w:val="00971DDD"/>
    <w:rsid w:val="009725AE"/>
    <w:rsid w:val="009725DC"/>
    <w:rsid w:val="009725FF"/>
    <w:rsid w:val="00972649"/>
    <w:rsid w:val="009726F5"/>
    <w:rsid w:val="00972789"/>
    <w:rsid w:val="009727B0"/>
    <w:rsid w:val="00972B47"/>
    <w:rsid w:val="00972C02"/>
    <w:rsid w:val="00972F1D"/>
    <w:rsid w:val="00973024"/>
    <w:rsid w:val="00973049"/>
    <w:rsid w:val="009731E4"/>
    <w:rsid w:val="0097335C"/>
    <w:rsid w:val="009733D8"/>
    <w:rsid w:val="00973546"/>
    <w:rsid w:val="009736CE"/>
    <w:rsid w:val="00973C24"/>
    <w:rsid w:val="00973C53"/>
    <w:rsid w:val="00973D1A"/>
    <w:rsid w:val="00973E1E"/>
    <w:rsid w:val="0097431F"/>
    <w:rsid w:val="00974431"/>
    <w:rsid w:val="0097460E"/>
    <w:rsid w:val="009746AE"/>
    <w:rsid w:val="00974859"/>
    <w:rsid w:val="00974B31"/>
    <w:rsid w:val="00974BA1"/>
    <w:rsid w:val="00974BA7"/>
    <w:rsid w:val="00974D05"/>
    <w:rsid w:val="00974D2F"/>
    <w:rsid w:val="00975224"/>
    <w:rsid w:val="009756CF"/>
    <w:rsid w:val="009757CD"/>
    <w:rsid w:val="00975D2D"/>
    <w:rsid w:val="00975D5A"/>
    <w:rsid w:val="00975E7F"/>
    <w:rsid w:val="00975EB4"/>
    <w:rsid w:val="00975F3E"/>
    <w:rsid w:val="00976754"/>
    <w:rsid w:val="00976986"/>
    <w:rsid w:val="00976AB9"/>
    <w:rsid w:val="00976D89"/>
    <w:rsid w:val="00976DF7"/>
    <w:rsid w:val="00976E29"/>
    <w:rsid w:val="009771AE"/>
    <w:rsid w:val="0097723E"/>
    <w:rsid w:val="009775C9"/>
    <w:rsid w:val="00977664"/>
    <w:rsid w:val="00977716"/>
    <w:rsid w:val="00977BBE"/>
    <w:rsid w:val="00977D4D"/>
    <w:rsid w:val="00977F1B"/>
    <w:rsid w:val="009801DF"/>
    <w:rsid w:val="00980345"/>
    <w:rsid w:val="00980408"/>
    <w:rsid w:val="00980472"/>
    <w:rsid w:val="00980597"/>
    <w:rsid w:val="00980958"/>
    <w:rsid w:val="009809A2"/>
    <w:rsid w:val="00980A2B"/>
    <w:rsid w:val="00980B80"/>
    <w:rsid w:val="00980C26"/>
    <w:rsid w:val="00980C84"/>
    <w:rsid w:val="00980DD8"/>
    <w:rsid w:val="0098135F"/>
    <w:rsid w:val="009814DC"/>
    <w:rsid w:val="009815C0"/>
    <w:rsid w:val="00981613"/>
    <w:rsid w:val="0098187C"/>
    <w:rsid w:val="00982057"/>
    <w:rsid w:val="009821FA"/>
    <w:rsid w:val="00982564"/>
    <w:rsid w:val="009826BA"/>
    <w:rsid w:val="00982A57"/>
    <w:rsid w:val="00982B71"/>
    <w:rsid w:val="00982CC8"/>
    <w:rsid w:val="00983293"/>
    <w:rsid w:val="00983496"/>
    <w:rsid w:val="009835BB"/>
    <w:rsid w:val="009836EF"/>
    <w:rsid w:val="00983A47"/>
    <w:rsid w:val="00983B11"/>
    <w:rsid w:val="00983ED4"/>
    <w:rsid w:val="009840AB"/>
    <w:rsid w:val="00984256"/>
    <w:rsid w:val="009842D4"/>
    <w:rsid w:val="009844A9"/>
    <w:rsid w:val="0098467D"/>
    <w:rsid w:val="00984692"/>
    <w:rsid w:val="0098472E"/>
    <w:rsid w:val="009848AD"/>
    <w:rsid w:val="00984E19"/>
    <w:rsid w:val="00984FDC"/>
    <w:rsid w:val="009854CD"/>
    <w:rsid w:val="00985628"/>
    <w:rsid w:val="00985857"/>
    <w:rsid w:val="009858D3"/>
    <w:rsid w:val="00985ABA"/>
    <w:rsid w:val="00985BEB"/>
    <w:rsid w:val="00985E14"/>
    <w:rsid w:val="00985E82"/>
    <w:rsid w:val="00985F74"/>
    <w:rsid w:val="00986164"/>
    <w:rsid w:val="00986218"/>
    <w:rsid w:val="0098644A"/>
    <w:rsid w:val="009866C7"/>
    <w:rsid w:val="00986820"/>
    <w:rsid w:val="00986CDC"/>
    <w:rsid w:val="009870A5"/>
    <w:rsid w:val="009870FB"/>
    <w:rsid w:val="00987153"/>
    <w:rsid w:val="0098740B"/>
    <w:rsid w:val="009876B2"/>
    <w:rsid w:val="0098795F"/>
    <w:rsid w:val="00987C04"/>
    <w:rsid w:val="00987C68"/>
    <w:rsid w:val="00987E8E"/>
    <w:rsid w:val="0099009D"/>
    <w:rsid w:val="009900B1"/>
    <w:rsid w:val="00990295"/>
    <w:rsid w:val="009902C8"/>
    <w:rsid w:val="009903D3"/>
    <w:rsid w:val="009907BB"/>
    <w:rsid w:val="00990888"/>
    <w:rsid w:val="009908D4"/>
    <w:rsid w:val="00990A05"/>
    <w:rsid w:val="00990A5F"/>
    <w:rsid w:val="00990CA0"/>
    <w:rsid w:val="00990EE5"/>
    <w:rsid w:val="00990F73"/>
    <w:rsid w:val="00991157"/>
    <w:rsid w:val="009914C0"/>
    <w:rsid w:val="009914EA"/>
    <w:rsid w:val="009916A3"/>
    <w:rsid w:val="009916D9"/>
    <w:rsid w:val="00991891"/>
    <w:rsid w:val="00991C30"/>
    <w:rsid w:val="00991D2A"/>
    <w:rsid w:val="00991DB4"/>
    <w:rsid w:val="0099214D"/>
    <w:rsid w:val="00992367"/>
    <w:rsid w:val="009923DB"/>
    <w:rsid w:val="00992433"/>
    <w:rsid w:val="0099247C"/>
    <w:rsid w:val="00992686"/>
    <w:rsid w:val="009926A0"/>
    <w:rsid w:val="00992848"/>
    <w:rsid w:val="0099286A"/>
    <w:rsid w:val="00992A33"/>
    <w:rsid w:val="00992AA8"/>
    <w:rsid w:val="00992E27"/>
    <w:rsid w:val="00992F93"/>
    <w:rsid w:val="009932D9"/>
    <w:rsid w:val="00993321"/>
    <w:rsid w:val="00993593"/>
    <w:rsid w:val="009936A9"/>
    <w:rsid w:val="009936EE"/>
    <w:rsid w:val="009937C0"/>
    <w:rsid w:val="00993A6D"/>
    <w:rsid w:val="00993BB0"/>
    <w:rsid w:val="00993C28"/>
    <w:rsid w:val="009943EC"/>
    <w:rsid w:val="00994852"/>
    <w:rsid w:val="00994942"/>
    <w:rsid w:val="00994BAB"/>
    <w:rsid w:val="00994D52"/>
    <w:rsid w:val="00994D5B"/>
    <w:rsid w:val="009951FA"/>
    <w:rsid w:val="009954EA"/>
    <w:rsid w:val="0099560C"/>
    <w:rsid w:val="00995671"/>
    <w:rsid w:val="00995CBE"/>
    <w:rsid w:val="00995D3E"/>
    <w:rsid w:val="00995E72"/>
    <w:rsid w:val="00995FA0"/>
    <w:rsid w:val="00995FE7"/>
    <w:rsid w:val="009960A3"/>
    <w:rsid w:val="009960E4"/>
    <w:rsid w:val="0099618C"/>
    <w:rsid w:val="009961B1"/>
    <w:rsid w:val="009961B8"/>
    <w:rsid w:val="00996307"/>
    <w:rsid w:val="00996435"/>
    <w:rsid w:val="00996773"/>
    <w:rsid w:val="009967CE"/>
    <w:rsid w:val="00996871"/>
    <w:rsid w:val="009968E3"/>
    <w:rsid w:val="00996B8D"/>
    <w:rsid w:val="00996D4E"/>
    <w:rsid w:val="00996FC6"/>
    <w:rsid w:val="0099709E"/>
    <w:rsid w:val="00997308"/>
    <w:rsid w:val="0099738E"/>
    <w:rsid w:val="0099742E"/>
    <w:rsid w:val="0099776D"/>
    <w:rsid w:val="00997847"/>
    <w:rsid w:val="00997ABB"/>
    <w:rsid w:val="00997B33"/>
    <w:rsid w:val="00997CD4"/>
    <w:rsid w:val="00997E7A"/>
    <w:rsid w:val="00997ED1"/>
    <w:rsid w:val="009A01F8"/>
    <w:rsid w:val="009A03BE"/>
    <w:rsid w:val="009A03CD"/>
    <w:rsid w:val="009A05AC"/>
    <w:rsid w:val="009A0734"/>
    <w:rsid w:val="009A088B"/>
    <w:rsid w:val="009A099E"/>
    <w:rsid w:val="009A0DA5"/>
    <w:rsid w:val="009A0F50"/>
    <w:rsid w:val="009A0F61"/>
    <w:rsid w:val="009A0FF1"/>
    <w:rsid w:val="009A1037"/>
    <w:rsid w:val="009A1096"/>
    <w:rsid w:val="009A1208"/>
    <w:rsid w:val="009A129B"/>
    <w:rsid w:val="009A12AA"/>
    <w:rsid w:val="009A1331"/>
    <w:rsid w:val="009A13D5"/>
    <w:rsid w:val="009A16E1"/>
    <w:rsid w:val="009A1730"/>
    <w:rsid w:val="009A17D7"/>
    <w:rsid w:val="009A1CFE"/>
    <w:rsid w:val="009A1D9C"/>
    <w:rsid w:val="009A20E0"/>
    <w:rsid w:val="009A226E"/>
    <w:rsid w:val="009A2383"/>
    <w:rsid w:val="009A24DF"/>
    <w:rsid w:val="009A272E"/>
    <w:rsid w:val="009A2A71"/>
    <w:rsid w:val="009A2ACE"/>
    <w:rsid w:val="009A2B73"/>
    <w:rsid w:val="009A2DC9"/>
    <w:rsid w:val="009A2DDF"/>
    <w:rsid w:val="009A2E3A"/>
    <w:rsid w:val="009A325C"/>
    <w:rsid w:val="009A358E"/>
    <w:rsid w:val="009A35B7"/>
    <w:rsid w:val="009A3750"/>
    <w:rsid w:val="009A3782"/>
    <w:rsid w:val="009A3829"/>
    <w:rsid w:val="009A39A6"/>
    <w:rsid w:val="009A4066"/>
    <w:rsid w:val="009A406E"/>
    <w:rsid w:val="009A4114"/>
    <w:rsid w:val="009A44C1"/>
    <w:rsid w:val="009A46E8"/>
    <w:rsid w:val="009A48C7"/>
    <w:rsid w:val="009A4D6F"/>
    <w:rsid w:val="009A4DB3"/>
    <w:rsid w:val="009A4E59"/>
    <w:rsid w:val="009A527A"/>
    <w:rsid w:val="009A5287"/>
    <w:rsid w:val="009A55EA"/>
    <w:rsid w:val="009A5615"/>
    <w:rsid w:val="009A5715"/>
    <w:rsid w:val="009A583D"/>
    <w:rsid w:val="009A58F3"/>
    <w:rsid w:val="009A5B2A"/>
    <w:rsid w:val="009A6308"/>
    <w:rsid w:val="009A63A0"/>
    <w:rsid w:val="009A650F"/>
    <w:rsid w:val="009A66E5"/>
    <w:rsid w:val="009A68FC"/>
    <w:rsid w:val="009A6A6F"/>
    <w:rsid w:val="009A6F0B"/>
    <w:rsid w:val="009A6FC8"/>
    <w:rsid w:val="009A7155"/>
    <w:rsid w:val="009A71E2"/>
    <w:rsid w:val="009A7238"/>
    <w:rsid w:val="009A738F"/>
    <w:rsid w:val="009A7392"/>
    <w:rsid w:val="009A7BB0"/>
    <w:rsid w:val="009A7C32"/>
    <w:rsid w:val="009A7D83"/>
    <w:rsid w:val="009B0215"/>
    <w:rsid w:val="009B0363"/>
    <w:rsid w:val="009B03FA"/>
    <w:rsid w:val="009B04B6"/>
    <w:rsid w:val="009B0771"/>
    <w:rsid w:val="009B087F"/>
    <w:rsid w:val="009B098D"/>
    <w:rsid w:val="009B0B52"/>
    <w:rsid w:val="009B0CB7"/>
    <w:rsid w:val="009B0DB2"/>
    <w:rsid w:val="009B0EB2"/>
    <w:rsid w:val="009B0FB3"/>
    <w:rsid w:val="009B117B"/>
    <w:rsid w:val="009B1345"/>
    <w:rsid w:val="009B1372"/>
    <w:rsid w:val="009B1447"/>
    <w:rsid w:val="009B16F8"/>
    <w:rsid w:val="009B1802"/>
    <w:rsid w:val="009B183A"/>
    <w:rsid w:val="009B190D"/>
    <w:rsid w:val="009B1F21"/>
    <w:rsid w:val="009B1FCA"/>
    <w:rsid w:val="009B205B"/>
    <w:rsid w:val="009B2736"/>
    <w:rsid w:val="009B29AE"/>
    <w:rsid w:val="009B2A36"/>
    <w:rsid w:val="009B2B4C"/>
    <w:rsid w:val="009B2C28"/>
    <w:rsid w:val="009B2D63"/>
    <w:rsid w:val="009B2DBE"/>
    <w:rsid w:val="009B3088"/>
    <w:rsid w:val="009B31D1"/>
    <w:rsid w:val="009B368F"/>
    <w:rsid w:val="009B3690"/>
    <w:rsid w:val="009B39AD"/>
    <w:rsid w:val="009B3BEA"/>
    <w:rsid w:val="009B3C9E"/>
    <w:rsid w:val="009B3D33"/>
    <w:rsid w:val="009B4200"/>
    <w:rsid w:val="009B439E"/>
    <w:rsid w:val="009B4504"/>
    <w:rsid w:val="009B462B"/>
    <w:rsid w:val="009B46AC"/>
    <w:rsid w:val="009B4910"/>
    <w:rsid w:val="009B49BB"/>
    <w:rsid w:val="009B4AC7"/>
    <w:rsid w:val="009B4B95"/>
    <w:rsid w:val="009B4CCE"/>
    <w:rsid w:val="009B50F5"/>
    <w:rsid w:val="009B5100"/>
    <w:rsid w:val="009B541B"/>
    <w:rsid w:val="009B571C"/>
    <w:rsid w:val="009B5722"/>
    <w:rsid w:val="009B587F"/>
    <w:rsid w:val="009B5A81"/>
    <w:rsid w:val="009B5C9E"/>
    <w:rsid w:val="009B5EBD"/>
    <w:rsid w:val="009B5F27"/>
    <w:rsid w:val="009B5F75"/>
    <w:rsid w:val="009B5FB8"/>
    <w:rsid w:val="009B63AA"/>
    <w:rsid w:val="009B662D"/>
    <w:rsid w:val="009B664A"/>
    <w:rsid w:val="009B6772"/>
    <w:rsid w:val="009B67F3"/>
    <w:rsid w:val="009B6AFE"/>
    <w:rsid w:val="009B6C87"/>
    <w:rsid w:val="009B6C89"/>
    <w:rsid w:val="009B6DCB"/>
    <w:rsid w:val="009B6E49"/>
    <w:rsid w:val="009B6FE1"/>
    <w:rsid w:val="009B70B3"/>
    <w:rsid w:val="009B7330"/>
    <w:rsid w:val="009B7505"/>
    <w:rsid w:val="009B75BD"/>
    <w:rsid w:val="009B7890"/>
    <w:rsid w:val="009B7C11"/>
    <w:rsid w:val="009B7D5D"/>
    <w:rsid w:val="009C077F"/>
    <w:rsid w:val="009C08AA"/>
    <w:rsid w:val="009C08C2"/>
    <w:rsid w:val="009C0A38"/>
    <w:rsid w:val="009C0B4B"/>
    <w:rsid w:val="009C0C34"/>
    <w:rsid w:val="009C0DDB"/>
    <w:rsid w:val="009C0E3F"/>
    <w:rsid w:val="009C0FBF"/>
    <w:rsid w:val="009C0FD8"/>
    <w:rsid w:val="009C109E"/>
    <w:rsid w:val="009C1442"/>
    <w:rsid w:val="009C166B"/>
    <w:rsid w:val="009C1801"/>
    <w:rsid w:val="009C18C8"/>
    <w:rsid w:val="009C1966"/>
    <w:rsid w:val="009C1C04"/>
    <w:rsid w:val="009C1CE2"/>
    <w:rsid w:val="009C1D89"/>
    <w:rsid w:val="009C1E66"/>
    <w:rsid w:val="009C1EB3"/>
    <w:rsid w:val="009C1F2C"/>
    <w:rsid w:val="009C23F3"/>
    <w:rsid w:val="009C240C"/>
    <w:rsid w:val="009C2479"/>
    <w:rsid w:val="009C24F9"/>
    <w:rsid w:val="009C2560"/>
    <w:rsid w:val="009C260B"/>
    <w:rsid w:val="009C2806"/>
    <w:rsid w:val="009C2992"/>
    <w:rsid w:val="009C2A40"/>
    <w:rsid w:val="009C2A4F"/>
    <w:rsid w:val="009C2A84"/>
    <w:rsid w:val="009C2C14"/>
    <w:rsid w:val="009C300E"/>
    <w:rsid w:val="009C3027"/>
    <w:rsid w:val="009C31EC"/>
    <w:rsid w:val="009C325B"/>
    <w:rsid w:val="009C37D9"/>
    <w:rsid w:val="009C3D38"/>
    <w:rsid w:val="009C3D44"/>
    <w:rsid w:val="009C3DA0"/>
    <w:rsid w:val="009C4234"/>
    <w:rsid w:val="009C4345"/>
    <w:rsid w:val="009C493D"/>
    <w:rsid w:val="009C4B3B"/>
    <w:rsid w:val="009C4C8B"/>
    <w:rsid w:val="009C4D41"/>
    <w:rsid w:val="009C4EFB"/>
    <w:rsid w:val="009C4FB3"/>
    <w:rsid w:val="009C50C0"/>
    <w:rsid w:val="009C524C"/>
    <w:rsid w:val="009C5259"/>
    <w:rsid w:val="009C5462"/>
    <w:rsid w:val="009C55C8"/>
    <w:rsid w:val="009C5666"/>
    <w:rsid w:val="009C57F3"/>
    <w:rsid w:val="009C5960"/>
    <w:rsid w:val="009C5C72"/>
    <w:rsid w:val="009C5CB9"/>
    <w:rsid w:val="009C5D5A"/>
    <w:rsid w:val="009C5E17"/>
    <w:rsid w:val="009C6132"/>
    <w:rsid w:val="009C668B"/>
    <w:rsid w:val="009C66EF"/>
    <w:rsid w:val="009C6756"/>
    <w:rsid w:val="009C68AF"/>
    <w:rsid w:val="009C68F0"/>
    <w:rsid w:val="009C6AF0"/>
    <w:rsid w:val="009C6BC1"/>
    <w:rsid w:val="009C6CA8"/>
    <w:rsid w:val="009C6DEA"/>
    <w:rsid w:val="009C71A7"/>
    <w:rsid w:val="009C74E0"/>
    <w:rsid w:val="009C7573"/>
    <w:rsid w:val="009C75CB"/>
    <w:rsid w:val="009C7631"/>
    <w:rsid w:val="009C7B35"/>
    <w:rsid w:val="009C7B90"/>
    <w:rsid w:val="009C7CA0"/>
    <w:rsid w:val="009D01F4"/>
    <w:rsid w:val="009D02E0"/>
    <w:rsid w:val="009D0306"/>
    <w:rsid w:val="009D03B7"/>
    <w:rsid w:val="009D0829"/>
    <w:rsid w:val="009D0C73"/>
    <w:rsid w:val="009D0CBA"/>
    <w:rsid w:val="009D0E05"/>
    <w:rsid w:val="009D0E0F"/>
    <w:rsid w:val="009D0F01"/>
    <w:rsid w:val="009D10A9"/>
    <w:rsid w:val="009D15F6"/>
    <w:rsid w:val="009D1B01"/>
    <w:rsid w:val="009D1CB6"/>
    <w:rsid w:val="009D1EBB"/>
    <w:rsid w:val="009D1F11"/>
    <w:rsid w:val="009D2282"/>
    <w:rsid w:val="009D2514"/>
    <w:rsid w:val="009D2779"/>
    <w:rsid w:val="009D2D49"/>
    <w:rsid w:val="009D2D55"/>
    <w:rsid w:val="009D2F03"/>
    <w:rsid w:val="009D2FB2"/>
    <w:rsid w:val="009D3042"/>
    <w:rsid w:val="009D31C2"/>
    <w:rsid w:val="009D31CC"/>
    <w:rsid w:val="009D33C4"/>
    <w:rsid w:val="009D344C"/>
    <w:rsid w:val="009D3512"/>
    <w:rsid w:val="009D37CF"/>
    <w:rsid w:val="009D3EE1"/>
    <w:rsid w:val="009D4020"/>
    <w:rsid w:val="009D4028"/>
    <w:rsid w:val="009D4152"/>
    <w:rsid w:val="009D423F"/>
    <w:rsid w:val="009D45BE"/>
    <w:rsid w:val="009D4827"/>
    <w:rsid w:val="009D4878"/>
    <w:rsid w:val="009D49AB"/>
    <w:rsid w:val="009D4ABB"/>
    <w:rsid w:val="009D4ACB"/>
    <w:rsid w:val="009D4B61"/>
    <w:rsid w:val="009D4BA4"/>
    <w:rsid w:val="009D4C7E"/>
    <w:rsid w:val="009D578E"/>
    <w:rsid w:val="009D5B3D"/>
    <w:rsid w:val="009D5DFC"/>
    <w:rsid w:val="009D5F98"/>
    <w:rsid w:val="009D622A"/>
    <w:rsid w:val="009D6340"/>
    <w:rsid w:val="009D653A"/>
    <w:rsid w:val="009D6BE9"/>
    <w:rsid w:val="009D6E72"/>
    <w:rsid w:val="009D6ED0"/>
    <w:rsid w:val="009D6F91"/>
    <w:rsid w:val="009D71A0"/>
    <w:rsid w:val="009D733A"/>
    <w:rsid w:val="009D7472"/>
    <w:rsid w:val="009D7530"/>
    <w:rsid w:val="009D7691"/>
    <w:rsid w:val="009D76EA"/>
    <w:rsid w:val="009D76F8"/>
    <w:rsid w:val="009D78F9"/>
    <w:rsid w:val="009D7B56"/>
    <w:rsid w:val="009D7BA4"/>
    <w:rsid w:val="009D7BCD"/>
    <w:rsid w:val="009D7D40"/>
    <w:rsid w:val="009D7DBD"/>
    <w:rsid w:val="009D7E45"/>
    <w:rsid w:val="009D7EB5"/>
    <w:rsid w:val="009E00BF"/>
    <w:rsid w:val="009E00C8"/>
    <w:rsid w:val="009E010F"/>
    <w:rsid w:val="009E05B1"/>
    <w:rsid w:val="009E0865"/>
    <w:rsid w:val="009E0921"/>
    <w:rsid w:val="009E09EC"/>
    <w:rsid w:val="009E0AE9"/>
    <w:rsid w:val="009E0D67"/>
    <w:rsid w:val="009E10F2"/>
    <w:rsid w:val="009E1823"/>
    <w:rsid w:val="009E19E6"/>
    <w:rsid w:val="009E1CFF"/>
    <w:rsid w:val="009E1DDB"/>
    <w:rsid w:val="009E1DEF"/>
    <w:rsid w:val="009E1F83"/>
    <w:rsid w:val="009E1FB2"/>
    <w:rsid w:val="009E21CB"/>
    <w:rsid w:val="009E24E3"/>
    <w:rsid w:val="009E253C"/>
    <w:rsid w:val="009E26CB"/>
    <w:rsid w:val="009E2BFC"/>
    <w:rsid w:val="009E2E69"/>
    <w:rsid w:val="009E2F55"/>
    <w:rsid w:val="009E2FC5"/>
    <w:rsid w:val="009E3033"/>
    <w:rsid w:val="009E31D9"/>
    <w:rsid w:val="009E3492"/>
    <w:rsid w:val="009E37AE"/>
    <w:rsid w:val="009E3AF5"/>
    <w:rsid w:val="009E3DFA"/>
    <w:rsid w:val="009E3F34"/>
    <w:rsid w:val="009E4053"/>
    <w:rsid w:val="009E40CB"/>
    <w:rsid w:val="009E47D1"/>
    <w:rsid w:val="009E4814"/>
    <w:rsid w:val="009E49DD"/>
    <w:rsid w:val="009E4B03"/>
    <w:rsid w:val="009E4B72"/>
    <w:rsid w:val="009E4BCA"/>
    <w:rsid w:val="009E4C8F"/>
    <w:rsid w:val="009E4FA2"/>
    <w:rsid w:val="009E4FA7"/>
    <w:rsid w:val="009E4FD8"/>
    <w:rsid w:val="009E52E2"/>
    <w:rsid w:val="009E541D"/>
    <w:rsid w:val="009E54E2"/>
    <w:rsid w:val="009E5516"/>
    <w:rsid w:val="009E5608"/>
    <w:rsid w:val="009E5821"/>
    <w:rsid w:val="009E5BC0"/>
    <w:rsid w:val="009E5D59"/>
    <w:rsid w:val="009E5E7E"/>
    <w:rsid w:val="009E5EDB"/>
    <w:rsid w:val="009E66B2"/>
    <w:rsid w:val="009E66C5"/>
    <w:rsid w:val="009E68B8"/>
    <w:rsid w:val="009E6C39"/>
    <w:rsid w:val="009E70CC"/>
    <w:rsid w:val="009E7147"/>
    <w:rsid w:val="009E722C"/>
    <w:rsid w:val="009E7440"/>
    <w:rsid w:val="009E764C"/>
    <w:rsid w:val="009E791F"/>
    <w:rsid w:val="009E7CC8"/>
    <w:rsid w:val="009E7EEF"/>
    <w:rsid w:val="009E7F8A"/>
    <w:rsid w:val="009E7FBC"/>
    <w:rsid w:val="009E7FE0"/>
    <w:rsid w:val="009F0006"/>
    <w:rsid w:val="009F003F"/>
    <w:rsid w:val="009F023B"/>
    <w:rsid w:val="009F0B43"/>
    <w:rsid w:val="009F0CD5"/>
    <w:rsid w:val="009F0E62"/>
    <w:rsid w:val="009F0E98"/>
    <w:rsid w:val="009F11FD"/>
    <w:rsid w:val="009F12EB"/>
    <w:rsid w:val="009F158C"/>
    <w:rsid w:val="009F1606"/>
    <w:rsid w:val="009F2010"/>
    <w:rsid w:val="009F238C"/>
    <w:rsid w:val="009F24B9"/>
    <w:rsid w:val="009F2519"/>
    <w:rsid w:val="009F252C"/>
    <w:rsid w:val="009F29C1"/>
    <w:rsid w:val="009F2A3B"/>
    <w:rsid w:val="009F2BFD"/>
    <w:rsid w:val="009F2F09"/>
    <w:rsid w:val="009F3264"/>
    <w:rsid w:val="009F397B"/>
    <w:rsid w:val="009F3F5F"/>
    <w:rsid w:val="009F3F86"/>
    <w:rsid w:val="009F3FCD"/>
    <w:rsid w:val="009F4038"/>
    <w:rsid w:val="009F4A26"/>
    <w:rsid w:val="009F4AFC"/>
    <w:rsid w:val="009F4C16"/>
    <w:rsid w:val="009F4DB3"/>
    <w:rsid w:val="009F4F6D"/>
    <w:rsid w:val="009F50BF"/>
    <w:rsid w:val="009F51B7"/>
    <w:rsid w:val="009F524D"/>
    <w:rsid w:val="009F5295"/>
    <w:rsid w:val="009F5479"/>
    <w:rsid w:val="009F555D"/>
    <w:rsid w:val="009F55B2"/>
    <w:rsid w:val="009F59EB"/>
    <w:rsid w:val="009F5A83"/>
    <w:rsid w:val="009F5C26"/>
    <w:rsid w:val="009F5E5D"/>
    <w:rsid w:val="009F5F35"/>
    <w:rsid w:val="009F605C"/>
    <w:rsid w:val="009F6108"/>
    <w:rsid w:val="009F6246"/>
    <w:rsid w:val="009F6283"/>
    <w:rsid w:val="009F635E"/>
    <w:rsid w:val="009F6783"/>
    <w:rsid w:val="009F6C5E"/>
    <w:rsid w:val="009F7095"/>
    <w:rsid w:val="009F7277"/>
    <w:rsid w:val="009F78BC"/>
    <w:rsid w:val="009F7D4B"/>
    <w:rsid w:val="009F7F6F"/>
    <w:rsid w:val="00A00118"/>
    <w:rsid w:val="00A00380"/>
    <w:rsid w:val="00A003D0"/>
    <w:rsid w:val="00A004DC"/>
    <w:rsid w:val="00A00588"/>
    <w:rsid w:val="00A006E9"/>
    <w:rsid w:val="00A0098D"/>
    <w:rsid w:val="00A00A11"/>
    <w:rsid w:val="00A00A77"/>
    <w:rsid w:val="00A00B5A"/>
    <w:rsid w:val="00A00DA6"/>
    <w:rsid w:val="00A0103B"/>
    <w:rsid w:val="00A01455"/>
    <w:rsid w:val="00A014BE"/>
    <w:rsid w:val="00A01519"/>
    <w:rsid w:val="00A01537"/>
    <w:rsid w:val="00A01654"/>
    <w:rsid w:val="00A01668"/>
    <w:rsid w:val="00A01AE9"/>
    <w:rsid w:val="00A01C0D"/>
    <w:rsid w:val="00A01EEA"/>
    <w:rsid w:val="00A0207A"/>
    <w:rsid w:val="00A02507"/>
    <w:rsid w:val="00A027ED"/>
    <w:rsid w:val="00A02840"/>
    <w:rsid w:val="00A02C78"/>
    <w:rsid w:val="00A02F5E"/>
    <w:rsid w:val="00A03124"/>
    <w:rsid w:val="00A036A6"/>
    <w:rsid w:val="00A0383C"/>
    <w:rsid w:val="00A0397B"/>
    <w:rsid w:val="00A039E3"/>
    <w:rsid w:val="00A03A0C"/>
    <w:rsid w:val="00A03A92"/>
    <w:rsid w:val="00A03DA6"/>
    <w:rsid w:val="00A03EAE"/>
    <w:rsid w:val="00A03F68"/>
    <w:rsid w:val="00A04033"/>
    <w:rsid w:val="00A0407F"/>
    <w:rsid w:val="00A04170"/>
    <w:rsid w:val="00A051CB"/>
    <w:rsid w:val="00A05347"/>
    <w:rsid w:val="00A0543F"/>
    <w:rsid w:val="00A05463"/>
    <w:rsid w:val="00A05879"/>
    <w:rsid w:val="00A05892"/>
    <w:rsid w:val="00A05EBF"/>
    <w:rsid w:val="00A06038"/>
    <w:rsid w:val="00A0637C"/>
    <w:rsid w:val="00A063DB"/>
    <w:rsid w:val="00A064A2"/>
    <w:rsid w:val="00A068B5"/>
    <w:rsid w:val="00A0699C"/>
    <w:rsid w:val="00A06A56"/>
    <w:rsid w:val="00A06EEC"/>
    <w:rsid w:val="00A070C0"/>
    <w:rsid w:val="00A071D7"/>
    <w:rsid w:val="00A07459"/>
    <w:rsid w:val="00A07550"/>
    <w:rsid w:val="00A07654"/>
    <w:rsid w:val="00A07695"/>
    <w:rsid w:val="00A07CD9"/>
    <w:rsid w:val="00A07DA9"/>
    <w:rsid w:val="00A07FE7"/>
    <w:rsid w:val="00A10089"/>
    <w:rsid w:val="00A101C7"/>
    <w:rsid w:val="00A10217"/>
    <w:rsid w:val="00A10626"/>
    <w:rsid w:val="00A10857"/>
    <w:rsid w:val="00A10C1C"/>
    <w:rsid w:val="00A10C2F"/>
    <w:rsid w:val="00A10DBB"/>
    <w:rsid w:val="00A11247"/>
    <w:rsid w:val="00A1143D"/>
    <w:rsid w:val="00A1148F"/>
    <w:rsid w:val="00A117AE"/>
    <w:rsid w:val="00A11E00"/>
    <w:rsid w:val="00A121A6"/>
    <w:rsid w:val="00A1230C"/>
    <w:rsid w:val="00A12537"/>
    <w:rsid w:val="00A125BC"/>
    <w:rsid w:val="00A125DE"/>
    <w:rsid w:val="00A125E4"/>
    <w:rsid w:val="00A126C6"/>
    <w:rsid w:val="00A129BE"/>
    <w:rsid w:val="00A12AD2"/>
    <w:rsid w:val="00A12BB4"/>
    <w:rsid w:val="00A13164"/>
    <w:rsid w:val="00A131A4"/>
    <w:rsid w:val="00A13406"/>
    <w:rsid w:val="00A13471"/>
    <w:rsid w:val="00A137BB"/>
    <w:rsid w:val="00A137CC"/>
    <w:rsid w:val="00A14166"/>
    <w:rsid w:val="00A14176"/>
    <w:rsid w:val="00A147CA"/>
    <w:rsid w:val="00A14987"/>
    <w:rsid w:val="00A14A9E"/>
    <w:rsid w:val="00A14AD8"/>
    <w:rsid w:val="00A14B32"/>
    <w:rsid w:val="00A14D41"/>
    <w:rsid w:val="00A14DEE"/>
    <w:rsid w:val="00A14FD7"/>
    <w:rsid w:val="00A1510F"/>
    <w:rsid w:val="00A15394"/>
    <w:rsid w:val="00A154A6"/>
    <w:rsid w:val="00A154CD"/>
    <w:rsid w:val="00A15781"/>
    <w:rsid w:val="00A15793"/>
    <w:rsid w:val="00A15A05"/>
    <w:rsid w:val="00A15B81"/>
    <w:rsid w:val="00A15DB6"/>
    <w:rsid w:val="00A15E1E"/>
    <w:rsid w:val="00A1612E"/>
    <w:rsid w:val="00A1627C"/>
    <w:rsid w:val="00A163A2"/>
    <w:rsid w:val="00A164C8"/>
    <w:rsid w:val="00A1653A"/>
    <w:rsid w:val="00A165C4"/>
    <w:rsid w:val="00A16616"/>
    <w:rsid w:val="00A1664A"/>
    <w:rsid w:val="00A16666"/>
    <w:rsid w:val="00A168FB"/>
    <w:rsid w:val="00A16A09"/>
    <w:rsid w:val="00A16A11"/>
    <w:rsid w:val="00A16A15"/>
    <w:rsid w:val="00A16B8D"/>
    <w:rsid w:val="00A16D60"/>
    <w:rsid w:val="00A16E58"/>
    <w:rsid w:val="00A1721F"/>
    <w:rsid w:val="00A17405"/>
    <w:rsid w:val="00A17865"/>
    <w:rsid w:val="00A1787B"/>
    <w:rsid w:val="00A178CD"/>
    <w:rsid w:val="00A1797C"/>
    <w:rsid w:val="00A17B35"/>
    <w:rsid w:val="00A2036F"/>
    <w:rsid w:val="00A203B6"/>
    <w:rsid w:val="00A2048D"/>
    <w:rsid w:val="00A20DB9"/>
    <w:rsid w:val="00A20DF8"/>
    <w:rsid w:val="00A20FFF"/>
    <w:rsid w:val="00A211E4"/>
    <w:rsid w:val="00A21236"/>
    <w:rsid w:val="00A212C3"/>
    <w:rsid w:val="00A212D3"/>
    <w:rsid w:val="00A21331"/>
    <w:rsid w:val="00A213E0"/>
    <w:rsid w:val="00A21403"/>
    <w:rsid w:val="00A21438"/>
    <w:rsid w:val="00A21463"/>
    <w:rsid w:val="00A2149D"/>
    <w:rsid w:val="00A2176D"/>
    <w:rsid w:val="00A219A2"/>
    <w:rsid w:val="00A219AF"/>
    <w:rsid w:val="00A21DED"/>
    <w:rsid w:val="00A21FED"/>
    <w:rsid w:val="00A22111"/>
    <w:rsid w:val="00A22214"/>
    <w:rsid w:val="00A22284"/>
    <w:rsid w:val="00A22385"/>
    <w:rsid w:val="00A226CB"/>
    <w:rsid w:val="00A2284C"/>
    <w:rsid w:val="00A22D77"/>
    <w:rsid w:val="00A22E2D"/>
    <w:rsid w:val="00A22FD0"/>
    <w:rsid w:val="00A231E3"/>
    <w:rsid w:val="00A232E9"/>
    <w:rsid w:val="00A23382"/>
    <w:rsid w:val="00A23871"/>
    <w:rsid w:val="00A239AC"/>
    <w:rsid w:val="00A23D83"/>
    <w:rsid w:val="00A23E49"/>
    <w:rsid w:val="00A2402D"/>
    <w:rsid w:val="00A24385"/>
    <w:rsid w:val="00A246B3"/>
    <w:rsid w:val="00A24971"/>
    <w:rsid w:val="00A24AAF"/>
    <w:rsid w:val="00A24B58"/>
    <w:rsid w:val="00A2505B"/>
    <w:rsid w:val="00A25098"/>
    <w:rsid w:val="00A252F3"/>
    <w:rsid w:val="00A255C8"/>
    <w:rsid w:val="00A2571B"/>
    <w:rsid w:val="00A25775"/>
    <w:rsid w:val="00A25783"/>
    <w:rsid w:val="00A25847"/>
    <w:rsid w:val="00A258C7"/>
    <w:rsid w:val="00A25A33"/>
    <w:rsid w:val="00A25C2D"/>
    <w:rsid w:val="00A25F6C"/>
    <w:rsid w:val="00A26022"/>
    <w:rsid w:val="00A26037"/>
    <w:rsid w:val="00A26081"/>
    <w:rsid w:val="00A260EE"/>
    <w:rsid w:val="00A26446"/>
    <w:rsid w:val="00A26497"/>
    <w:rsid w:val="00A26A35"/>
    <w:rsid w:val="00A26B2C"/>
    <w:rsid w:val="00A26E78"/>
    <w:rsid w:val="00A26F7E"/>
    <w:rsid w:val="00A27226"/>
    <w:rsid w:val="00A2730D"/>
    <w:rsid w:val="00A27A94"/>
    <w:rsid w:val="00A27C09"/>
    <w:rsid w:val="00A27D57"/>
    <w:rsid w:val="00A300E4"/>
    <w:rsid w:val="00A300F8"/>
    <w:rsid w:val="00A30246"/>
    <w:rsid w:val="00A3026D"/>
    <w:rsid w:val="00A303F8"/>
    <w:rsid w:val="00A3046A"/>
    <w:rsid w:val="00A305C4"/>
    <w:rsid w:val="00A30685"/>
    <w:rsid w:val="00A306D1"/>
    <w:rsid w:val="00A30808"/>
    <w:rsid w:val="00A30AF2"/>
    <w:rsid w:val="00A30CC7"/>
    <w:rsid w:val="00A30E15"/>
    <w:rsid w:val="00A30F15"/>
    <w:rsid w:val="00A31093"/>
    <w:rsid w:val="00A31122"/>
    <w:rsid w:val="00A311C1"/>
    <w:rsid w:val="00A3126D"/>
    <w:rsid w:val="00A3129E"/>
    <w:rsid w:val="00A313C3"/>
    <w:rsid w:val="00A31797"/>
    <w:rsid w:val="00A31A14"/>
    <w:rsid w:val="00A31DB4"/>
    <w:rsid w:val="00A320D9"/>
    <w:rsid w:val="00A32234"/>
    <w:rsid w:val="00A3278A"/>
    <w:rsid w:val="00A32AD2"/>
    <w:rsid w:val="00A32F7B"/>
    <w:rsid w:val="00A332B4"/>
    <w:rsid w:val="00A3340F"/>
    <w:rsid w:val="00A3341D"/>
    <w:rsid w:val="00A339E9"/>
    <w:rsid w:val="00A33A34"/>
    <w:rsid w:val="00A33D45"/>
    <w:rsid w:val="00A33E18"/>
    <w:rsid w:val="00A33FC4"/>
    <w:rsid w:val="00A34060"/>
    <w:rsid w:val="00A34286"/>
    <w:rsid w:val="00A34828"/>
    <w:rsid w:val="00A34930"/>
    <w:rsid w:val="00A34C4A"/>
    <w:rsid w:val="00A35194"/>
    <w:rsid w:val="00A35319"/>
    <w:rsid w:val="00A3536D"/>
    <w:rsid w:val="00A353FD"/>
    <w:rsid w:val="00A3541E"/>
    <w:rsid w:val="00A35533"/>
    <w:rsid w:val="00A3558D"/>
    <w:rsid w:val="00A35916"/>
    <w:rsid w:val="00A35943"/>
    <w:rsid w:val="00A35952"/>
    <w:rsid w:val="00A360D5"/>
    <w:rsid w:val="00A362CE"/>
    <w:rsid w:val="00A363A6"/>
    <w:rsid w:val="00A363BB"/>
    <w:rsid w:val="00A36787"/>
    <w:rsid w:val="00A36806"/>
    <w:rsid w:val="00A36A84"/>
    <w:rsid w:val="00A36A96"/>
    <w:rsid w:val="00A3721D"/>
    <w:rsid w:val="00A374B9"/>
    <w:rsid w:val="00A376B2"/>
    <w:rsid w:val="00A37D77"/>
    <w:rsid w:val="00A37EDC"/>
    <w:rsid w:val="00A37F24"/>
    <w:rsid w:val="00A400EE"/>
    <w:rsid w:val="00A40147"/>
    <w:rsid w:val="00A40452"/>
    <w:rsid w:val="00A406FC"/>
    <w:rsid w:val="00A407A8"/>
    <w:rsid w:val="00A409AE"/>
    <w:rsid w:val="00A409F5"/>
    <w:rsid w:val="00A40B06"/>
    <w:rsid w:val="00A40E7D"/>
    <w:rsid w:val="00A41041"/>
    <w:rsid w:val="00A41194"/>
    <w:rsid w:val="00A4125B"/>
    <w:rsid w:val="00A4180F"/>
    <w:rsid w:val="00A419A7"/>
    <w:rsid w:val="00A41B32"/>
    <w:rsid w:val="00A41BFF"/>
    <w:rsid w:val="00A41C43"/>
    <w:rsid w:val="00A41C67"/>
    <w:rsid w:val="00A41F28"/>
    <w:rsid w:val="00A41F46"/>
    <w:rsid w:val="00A4202C"/>
    <w:rsid w:val="00A4209A"/>
    <w:rsid w:val="00A4270F"/>
    <w:rsid w:val="00A42AD9"/>
    <w:rsid w:val="00A42BAC"/>
    <w:rsid w:val="00A434BA"/>
    <w:rsid w:val="00A435BD"/>
    <w:rsid w:val="00A438E0"/>
    <w:rsid w:val="00A43A0E"/>
    <w:rsid w:val="00A43B39"/>
    <w:rsid w:val="00A43C50"/>
    <w:rsid w:val="00A43D5C"/>
    <w:rsid w:val="00A43E8E"/>
    <w:rsid w:val="00A43F06"/>
    <w:rsid w:val="00A43F8B"/>
    <w:rsid w:val="00A441FE"/>
    <w:rsid w:val="00A44395"/>
    <w:rsid w:val="00A445D1"/>
    <w:rsid w:val="00A4467D"/>
    <w:rsid w:val="00A447A5"/>
    <w:rsid w:val="00A44B4A"/>
    <w:rsid w:val="00A44BB3"/>
    <w:rsid w:val="00A44BD9"/>
    <w:rsid w:val="00A44D27"/>
    <w:rsid w:val="00A44DFC"/>
    <w:rsid w:val="00A44EBE"/>
    <w:rsid w:val="00A44EC4"/>
    <w:rsid w:val="00A44EF1"/>
    <w:rsid w:val="00A44EFF"/>
    <w:rsid w:val="00A4536E"/>
    <w:rsid w:val="00A4540A"/>
    <w:rsid w:val="00A45956"/>
    <w:rsid w:val="00A45BAA"/>
    <w:rsid w:val="00A45EF6"/>
    <w:rsid w:val="00A461B8"/>
    <w:rsid w:val="00A46353"/>
    <w:rsid w:val="00A46382"/>
    <w:rsid w:val="00A46427"/>
    <w:rsid w:val="00A46770"/>
    <w:rsid w:val="00A468D9"/>
    <w:rsid w:val="00A4696B"/>
    <w:rsid w:val="00A4726D"/>
    <w:rsid w:val="00A47405"/>
    <w:rsid w:val="00A4742A"/>
    <w:rsid w:val="00A475BD"/>
    <w:rsid w:val="00A476D2"/>
    <w:rsid w:val="00A4779E"/>
    <w:rsid w:val="00A47A51"/>
    <w:rsid w:val="00A47C9E"/>
    <w:rsid w:val="00A47E53"/>
    <w:rsid w:val="00A47F49"/>
    <w:rsid w:val="00A500D1"/>
    <w:rsid w:val="00A50113"/>
    <w:rsid w:val="00A5028B"/>
    <w:rsid w:val="00A50291"/>
    <w:rsid w:val="00A502EE"/>
    <w:rsid w:val="00A50B82"/>
    <w:rsid w:val="00A50C1C"/>
    <w:rsid w:val="00A5114D"/>
    <w:rsid w:val="00A51187"/>
    <w:rsid w:val="00A5132D"/>
    <w:rsid w:val="00A513AE"/>
    <w:rsid w:val="00A51577"/>
    <w:rsid w:val="00A51C26"/>
    <w:rsid w:val="00A51EBA"/>
    <w:rsid w:val="00A51F41"/>
    <w:rsid w:val="00A51F6F"/>
    <w:rsid w:val="00A52019"/>
    <w:rsid w:val="00A523C0"/>
    <w:rsid w:val="00A524FF"/>
    <w:rsid w:val="00A5264E"/>
    <w:rsid w:val="00A52744"/>
    <w:rsid w:val="00A52C77"/>
    <w:rsid w:val="00A52CB4"/>
    <w:rsid w:val="00A52D90"/>
    <w:rsid w:val="00A52E12"/>
    <w:rsid w:val="00A5335D"/>
    <w:rsid w:val="00A53434"/>
    <w:rsid w:val="00A5356E"/>
    <w:rsid w:val="00A537DE"/>
    <w:rsid w:val="00A53B14"/>
    <w:rsid w:val="00A53BF5"/>
    <w:rsid w:val="00A53D1F"/>
    <w:rsid w:val="00A53E69"/>
    <w:rsid w:val="00A53F25"/>
    <w:rsid w:val="00A5423C"/>
    <w:rsid w:val="00A543D9"/>
    <w:rsid w:val="00A5456F"/>
    <w:rsid w:val="00A54D5F"/>
    <w:rsid w:val="00A54DB9"/>
    <w:rsid w:val="00A5536E"/>
    <w:rsid w:val="00A553EE"/>
    <w:rsid w:val="00A554BC"/>
    <w:rsid w:val="00A557F5"/>
    <w:rsid w:val="00A5592E"/>
    <w:rsid w:val="00A559BA"/>
    <w:rsid w:val="00A55A14"/>
    <w:rsid w:val="00A562EB"/>
    <w:rsid w:val="00A564E9"/>
    <w:rsid w:val="00A5651C"/>
    <w:rsid w:val="00A56676"/>
    <w:rsid w:val="00A5679E"/>
    <w:rsid w:val="00A56E29"/>
    <w:rsid w:val="00A56E86"/>
    <w:rsid w:val="00A57354"/>
    <w:rsid w:val="00A57417"/>
    <w:rsid w:val="00A57773"/>
    <w:rsid w:val="00A57972"/>
    <w:rsid w:val="00A579BC"/>
    <w:rsid w:val="00A57A96"/>
    <w:rsid w:val="00A57C3D"/>
    <w:rsid w:val="00A57EFD"/>
    <w:rsid w:val="00A601E0"/>
    <w:rsid w:val="00A6069B"/>
    <w:rsid w:val="00A6089F"/>
    <w:rsid w:val="00A60C7E"/>
    <w:rsid w:val="00A60D6C"/>
    <w:rsid w:val="00A60D8F"/>
    <w:rsid w:val="00A60E5A"/>
    <w:rsid w:val="00A60ECF"/>
    <w:rsid w:val="00A610A8"/>
    <w:rsid w:val="00A610EE"/>
    <w:rsid w:val="00A6152A"/>
    <w:rsid w:val="00A615C2"/>
    <w:rsid w:val="00A61763"/>
    <w:rsid w:val="00A61855"/>
    <w:rsid w:val="00A61B5C"/>
    <w:rsid w:val="00A62216"/>
    <w:rsid w:val="00A62625"/>
    <w:rsid w:val="00A62837"/>
    <w:rsid w:val="00A62FE8"/>
    <w:rsid w:val="00A632FA"/>
    <w:rsid w:val="00A6347C"/>
    <w:rsid w:val="00A635A3"/>
    <w:rsid w:val="00A6388E"/>
    <w:rsid w:val="00A63A6A"/>
    <w:rsid w:val="00A63AA3"/>
    <w:rsid w:val="00A63E8A"/>
    <w:rsid w:val="00A64026"/>
    <w:rsid w:val="00A64059"/>
    <w:rsid w:val="00A64097"/>
    <w:rsid w:val="00A6450C"/>
    <w:rsid w:val="00A647F1"/>
    <w:rsid w:val="00A648EC"/>
    <w:rsid w:val="00A64A29"/>
    <w:rsid w:val="00A64DEB"/>
    <w:rsid w:val="00A64F16"/>
    <w:rsid w:val="00A651F3"/>
    <w:rsid w:val="00A6528C"/>
    <w:rsid w:val="00A6544B"/>
    <w:rsid w:val="00A655D1"/>
    <w:rsid w:val="00A65746"/>
    <w:rsid w:val="00A65878"/>
    <w:rsid w:val="00A658C1"/>
    <w:rsid w:val="00A65A61"/>
    <w:rsid w:val="00A65AE6"/>
    <w:rsid w:val="00A65C3F"/>
    <w:rsid w:val="00A65DC9"/>
    <w:rsid w:val="00A6612A"/>
    <w:rsid w:val="00A6621C"/>
    <w:rsid w:val="00A66327"/>
    <w:rsid w:val="00A6634E"/>
    <w:rsid w:val="00A6639C"/>
    <w:rsid w:val="00A663BA"/>
    <w:rsid w:val="00A664A2"/>
    <w:rsid w:val="00A66820"/>
    <w:rsid w:val="00A66B0F"/>
    <w:rsid w:val="00A66C7D"/>
    <w:rsid w:val="00A66CA5"/>
    <w:rsid w:val="00A66CF1"/>
    <w:rsid w:val="00A66D46"/>
    <w:rsid w:val="00A673C1"/>
    <w:rsid w:val="00A67418"/>
    <w:rsid w:val="00A67505"/>
    <w:rsid w:val="00A6771E"/>
    <w:rsid w:val="00A6773E"/>
    <w:rsid w:val="00A67743"/>
    <w:rsid w:val="00A6790F"/>
    <w:rsid w:val="00A67A0C"/>
    <w:rsid w:val="00A67BDA"/>
    <w:rsid w:val="00A70121"/>
    <w:rsid w:val="00A70179"/>
    <w:rsid w:val="00A705EF"/>
    <w:rsid w:val="00A70776"/>
    <w:rsid w:val="00A70887"/>
    <w:rsid w:val="00A70924"/>
    <w:rsid w:val="00A70ABC"/>
    <w:rsid w:val="00A70BBA"/>
    <w:rsid w:val="00A70C8B"/>
    <w:rsid w:val="00A70CB0"/>
    <w:rsid w:val="00A70E7C"/>
    <w:rsid w:val="00A70EC6"/>
    <w:rsid w:val="00A70F6D"/>
    <w:rsid w:val="00A71183"/>
    <w:rsid w:val="00A713FD"/>
    <w:rsid w:val="00A716E6"/>
    <w:rsid w:val="00A717C6"/>
    <w:rsid w:val="00A71872"/>
    <w:rsid w:val="00A71B28"/>
    <w:rsid w:val="00A71C10"/>
    <w:rsid w:val="00A71CEA"/>
    <w:rsid w:val="00A7224F"/>
    <w:rsid w:val="00A7252D"/>
    <w:rsid w:val="00A725DC"/>
    <w:rsid w:val="00A72679"/>
    <w:rsid w:val="00A728E3"/>
    <w:rsid w:val="00A72A21"/>
    <w:rsid w:val="00A72B3F"/>
    <w:rsid w:val="00A72FB6"/>
    <w:rsid w:val="00A7305C"/>
    <w:rsid w:val="00A730A9"/>
    <w:rsid w:val="00A730B1"/>
    <w:rsid w:val="00A73112"/>
    <w:rsid w:val="00A731AA"/>
    <w:rsid w:val="00A731DC"/>
    <w:rsid w:val="00A731E5"/>
    <w:rsid w:val="00A733BE"/>
    <w:rsid w:val="00A733E6"/>
    <w:rsid w:val="00A73DD4"/>
    <w:rsid w:val="00A73F59"/>
    <w:rsid w:val="00A74085"/>
    <w:rsid w:val="00A74185"/>
    <w:rsid w:val="00A74335"/>
    <w:rsid w:val="00A745E4"/>
    <w:rsid w:val="00A74726"/>
    <w:rsid w:val="00A749B0"/>
    <w:rsid w:val="00A74A43"/>
    <w:rsid w:val="00A74C9F"/>
    <w:rsid w:val="00A74D58"/>
    <w:rsid w:val="00A74E3A"/>
    <w:rsid w:val="00A74F6B"/>
    <w:rsid w:val="00A74F6C"/>
    <w:rsid w:val="00A750AF"/>
    <w:rsid w:val="00A75AAB"/>
    <w:rsid w:val="00A75DA3"/>
    <w:rsid w:val="00A76000"/>
    <w:rsid w:val="00A76453"/>
    <w:rsid w:val="00A76492"/>
    <w:rsid w:val="00A76982"/>
    <w:rsid w:val="00A76990"/>
    <w:rsid w:val="00A76A73"/>
    <w:rsid w:val="00A76BF6"/>
    <w:rsid w:val="00A76C51"/>
    <w:rsid w:val="00A7786D"/>
    <w:rsid w:val="00A77950"/>
    <w:rsid w:val="00A779C6"/>
    <w:rsid w:val="00A77A83"/>
    <w:rsid w:val="00A800B6"/>
    <w:rsid w:val="00A8023A"/>
    <w:rsid w:val="00A80260"/>
    <w:rsid w:val="00A80444"/>
    <w:rsid w:val="00A8055A"/>
    <w:rsid w:val="00A8069F"/>
    <w:rsid w:val="00A80745"/>
    <w:rsid w:val="00A808F2"/>
    <w:rsid w:val="00A80926"/>
    <w:rsid w:val="00A80DC5"/>
    <w:rsid w:val="00A80EDF"/>
    <w:rsid w:val="00A8102E"/>
    <w:rsid w:val="00A81222"/>
    <w:rsid w:val="00A81496"/>
    <w:rsid w:val="00A81582"/>
    <w:rsid w:val="00A81616"/>
    <w:rsid w:val="00A816B8"/>
    <w:rsid w:val="00A81ED4"/>
    <w:rsid w:val="00A81F6C"/>
    <w:rsid w:val="00A820DD"/>
    <w:rsid w:val="00A82116"/>
    <w:rsid w:val="00A82143"/>
    <w:rsid w:val="00A826BA"/>
    <w:rsid w:val="00A827E1"/>
    <w:rsid w:val="00A82888"/>
    <w:rsid w:val="00A82A1E"/>
    <w:rsid w:val="00A82DC0"/>
    <w:rsid w:val="00A82E34"/>
    <w:rsid w:val="00A8322C"/>
    <w:rsid w:val="00A83300"/>
    <w:rsid w:val="00A835B2"/>
    <w:rsid w:val="00A8360F"/>
    <w:rsid w:val="00A8389E"/>
    <w:rsid w:val="00A83AA8"/>
    <w:rsid w:val="00A83CF1"/>
    <w:rsid w:val="00A83E3E"/>
    <w:rsid w:val="00A83E97"/>
    <w:rsid w:val="00A83ECC"/>
    <w:rsid w:val="00A83FD7"/>
    <w:rsid w:val="00A83FFF"/>
    <w:rsid w:val="00A84072"/>
    <w:rsid w:val="00A844DE"/>
    <w:rsid w:val="00A84677"/>
    <w:rsid w:val="00A84909"/>
    <w:rsid w:val="00A84A60"/>
    <w:rsid w:val="00A84ABD"/>
    <w:rsid w:val="00A84FB1"/>
    <w:rsid w:val="00A84FFE"/>
    <w:rsid w:val="00A85084"/>
    <w:rsid w:val="00A856C6"/>
    <w:rsid w:val="00A856E9"/>
    <w:rsid w:val="00A858C2"/>
    <w:rsid w:val="00A858ED"/>
    <w:rsid w:val="00A85927"/>
    <w:rsid w:val="00A85B7B"/>
    <w:rsid w:val="00A86151"/>
    <w:rsid w:val="00A861EC"/>
    <w:rsid w:val="00A865AB"/>
    <w:rsid w:val="00A8674A"/>
    <w:rsid w:val="00A868DC"/>
    <w:rsid w:val="00A869A2"/>
    <w:rsid w:val="00A86A42"/>
    <w:rsid w:val="00A86A8D"/>
    <w:rsid w:val="00A86D61"/>
    <w:rsid w:val="00A86E2E"/>
    <w:rsid w:val="00A86FC1"/>
    <w:rsid w:val="00A87280"/>
    <w:rsid w:val="00A872A6"/>
    <w:rsid w:val="00A87436"/>
    <w:rsid w:val="00A875E5"/>
    <w:rsid w:val="00A879B5"/>
    <w:rsid w:val="00A87E73"/>
    <w:rsid w:val="00A87E9C"/>
    <w:rsid w:val="00A87ED8"/>
    <w:rsid w:val="00A87F99"/>
    <w:rsid w:val="00A9014D"/>
    <w:rsid w:val="00A903BB"/>
    <w:rsid w:val="00A90404"/>
    <w:rsid w:val="00A90489"/>
    <w:rsid w:val="00A90555"/>
    <w:rsid w:val="00A9064A"/>
    <w:rsid w:val="00A90725"/>
    <w:rsid w:val="00A907C8"/>
    <w:rsid w:val="00A90B1C"/>
    <w:rsid w:val="00A90C1D"/>
    <w:rsid w:val="00A90CC6"/>
    <w:rsid w:val="00A90D74"/>
    <w:rsid w:val="00A90E45"/>
    <w:rsid w:val="00A9115C"/>
    <w:rsid w:val="00A911AA"/>
    <w:rsid w:val="00A9125A"/>
    <w:rsid w:val="00A91635"/>
    <w:rsid w:val="00A9177C"/>
    <w:rsid w:val="00A91912"/>
    <w:rsid w:val="00A91A99"/>
    <w:rsid w:val="00A91C82"/>
    <w:rsid w:val="00A91D7A"/>
    <w:rsid w:val="00A91E25"/>
    <w:rsid w:val="00A920DA"/>
    <w:rsid w:val="00A9210E"/>
    <w:rsid w:val="00A9222A"/>
    <w:rsid w:val="00A922EB"/>
    <w:rsid w:val="00A923F0"/>
    <w:rsid w:val="00A92402"/>
    <w:rsid w:val="00A92527"/>
    <w:rsid w:val="00A92769"/>
    <w:rsid w:val="00A92AC2"/>
    <w:rsid w:val="00A92D67"/>
    <w:rsid w:val="00A92EFE"/>
    <w:rsid w:val="00A93056"/>
    <w:rsid w:val="00A93300"/>
    <w:rsid w:val="00A93726"/>
    <w:rsid w:val="00A93850"/>
    <w:rsid w:val="00A93909"/>
    <w:rsid w:val="00A93DD9"/>
    <w:rsid w:val="00A93E12"/>
    <w:rsid w:val="00A93F1A"/>
    <w:rsid w:val="00A940D4"/>
    <w:rsid w:val="00A940D7"/>
    <w:rsid w:val="00A94364"/>
    <w:rsid w:val="00A9488B"/>
    <w:rsid w:val="00A94A3C"/>
    <w:rsid w:val="00A94B11"/>
    <w:rsid w:val="00A94C05"/>
    <w:rsid w:val="00A94DBA"/>
    <w:rsid w:val="00A95396"/>
    <w:rsid w:val="00A95473"/>
    <w:rsid w:val="00A959E1"/>
    <w:rsid w:val="00A95A9A"/>
    <w:rsid w:val="00A95B65"/>
    <w:rsid w:val="00A95BE6"/>
    <w:rsid w:val="00A95EC8"/>
    <w:rsid w:val="00A95F86"/>
    <w:rsid w:val="00A96318"/>
    <w:rsid w:val="00A963E7"/>
    <w:rsid w:val="00A9654F"/>
    <w:rsid w:val="00A96645"/>
    <w:rsid w:val="00A967D8"/>
    <w:rsid w:val="00A96FD3"/>
    <w:rsid w:val="00A97228"/>
    <w:rsid w:val="00A972C2"/>
    <w:rsid w:val="00A97393"/>
    <w:rsid w:val="00A97D11"/>
    <w:rsid w:val="00AA00CE"/>
    <w:rsid w:val="00AA014F"/>
    <w:rsid w:val="00AA034E"/>
    <w:rsid w:val="00AA072F"/>
    <w:rsid w:val="00AA074A"/>
    <w:rsid w:val="00AA0A01"/>
    <w:rsid w:val="00AA0E08"/>
    <w:rsid w:val="00AA0ED4"/>
    <w:rsid w:val="00AA0F13"/>
    <w:rsid w:val="00AA104F"/>
    <w:rsid w:val="00AA12E1"/>
    <w:rsid w:val="00AA1534"/>
    <w:rsid w:val="00AA15B2"/>
    <w:rsid w:val="00AA1772"/>
    <w:rsid w:val="00AA184D"/>
    <w:rsid w:val="00AA1999"/>
    <w:rsid w:val="00AA1A7F"/>
    <w:rsid w:val="00AA1CAA"/>
    <w:rsid w:val="00AA1D4D"/>
    <w:rsid w:val="00AA1E66"/>
    <w:rsid w:val="00AA2080"/>
    <w:rsid w:val="00AA2194"/>
    <w:rsid w:val="00AA2233"/>
    <w:rsid w:val="00AA2331"/>
    <w:rsid w:val="00AA2400"/>
    <w:rsid w:val="00AA25B3"/>
    <w:rsid w:val="00AA25C5"/>
    <w:rsid w:val="00AA2604"/>
    <w:rsid w:val="00AA263F"/>
    <w:rsid w:val="00AA2640"/>
    <w:rsid w:val="00AA26CE"/>
    <w:rsid w:val="00AA27F7"/>
    <w:rsid w:val="00AA2889"/>
    <w:rsid w:val="00AA2A33"/>
    <w:rsid w:val="00AA2B9C"/>
    <w:rsid w:val="00AA2CC5"/>
    <w:rsid w:val="00AA2D7D"/>
    <w:rsid w:val="00AA2F0B"/>
    <w:rsid w:val="00AA300F"/>
    <w:rsid w:val="00AA3028"/>
    <w:rsid w:val="00AA33E2"/>
    <w:rsid w:val="00AA343E"/>
    <w:rsid w:val="00AA381F"/>
    <w:rsid w:val="00AA3994"/>
    <w:rsid w:val="00AA3B30"/>
    <w:rsid w:val="00AA3C56"/>
    <w:rsid w:val="00AA3EE7"/>
    <w:rsid w:val="00AA3F71"/>
    <w:rsid w:val="00AA3F87"/>
    <w:rsid w:val="00AA4079"/>
    <w:rsid w:val="00AA429B"/>
    <w:rsid w:val="00AA4474"/>
    <w:rsid w:val="00AA47C4"/>
    <w:rsid w:val="00AA487B"/>
    <w:rsid w:val="00AA48C8"/>
    <w:rsid w:val="00AA48E8"/>
    <w:rsid w:val="00AA499A"/>
    <w:rsid w:val="00AA49A9"/>
    <w:rsid w:val="00AA4A73"/>
    <w:rsid w:val="00AA4EBF"/>
    <w:rsid w:val="00AA515A"/>
    <w:rsid w:val="00AA56A6"/>
    <w:rsid w:val="00AA56FE"/>
    <w:rsid w:val="00AA57E6"/>
    <w:rsid w:val="00AA5961"/>
    <w:rsid w:val="00AA5D1E"/>
    <w:rsid w:val="00AA5D21"/>
    <w:rsid w:val="00AA5FC3"/>
    <w:rsid w:val="00AA606B"/>
    <w:rsid w:val="00AA6257"/>
    <w:rsid w:val="00AA626B"/>
    <w:rsid w:val="00AA629B"/>
    <w:rsid w:val="00AA6358"/>
    <w:rsid w:val="00AA6535"/>
    <w:rsid w:val="00AA6678"/>
    <w:rsid w:val="00AA67BA"/>
    <w:rsid w:val="00AA6835"/>
    <w:rsid w:val="00AA6A84"/>
    <w:rsid w:val="00AA6BAC"/>
    <w:rsid w:val="00AA6CF7"/>
    <w:rsid w:val="00AA6E14"/>
    <w:rsid w:val="00AA6E97"/>
    <w:rsid w:val="00AA6EB2"/>
    <w:rsid w:val="00AA6EDA"/>
    <w:rsid w:val="00AA718F"/>
    <w:rsid w:val="00AA754B"/>
    <w:rsid w:val="00AA75DF"/>
    <w:rsid w:val="00AA7625"/>
    <w:rsid w:val="00AA7843"/>
    <w:rsid w:val="00AA78AF"/>
    <w:rsid w:val="00AA7DDF"/>
    <w:rsid w:val="00AB055D"/>
    <w:rsid w:val="00AB05B4"/>
    <w:rsid w:val="00AB0632"/>
    <w:rsid w:val="00AB0749"/>
    <w:rsid w:val="00AB07C4"/>
    <w:rsid w:val="00AB0D40"/>
    <w:rsid w:val="00AB0E70"/>
    <w:rsid w:val="00AB1370"/>
    <w:rsid w:val="00AB166F"/>
    <w:rsid w:val="00AB19D1"/>
    <w:rsid w:val="00AB1A54"/>
    <w:rsid w:val="00AB1C78"/>
    <w:rsid w:val="00AB1C7E"/>
    <w:rsid w:val="00AB1C83"/>
    <w:rsid w:val="00AB1D39"/>
    <w:rsid w:val="00AB21D0"/>
    <w:rsid w:val="00AB2584"/>
    <w:rsid w:val="00AB2745"/>
    <w:rsid w:val="00AB2876"/>
    <w:rsid w:val="00AB2FA2"/>
    <w:rsid w:val="00AB3282"/>
    <w:rsid w:val="00AB3510"/>
    <w:rsid w:val="00AB359C"/>
    <w:rsid w:val="00AB3651"/>
    <w:rsid w:val="00AB375F"/>
    <w:rsid w:val="00AB3832"/>
    <w:rsid w:val="00AB3A27"/>
    <w:rsid w:val="00AB3D25"/>
    <w:rsid w:val="00AB3E79"/>
    <w:rsid w:val="00AB3FBC"/>
    <w:rsid w:val="00AB437A"/>
    <w:rsid w:val="00AB44B9"/>
    <w:rsid w:val="00AB4687"/>
    <w:rsid w:val="00AB4762"/>
    <w:rsid w:val="00AB4833"/>
    <w:rsid w:val="00AB4C31"/>
    <w:rsid w:val="00AB4D8D"/>
    <w:rsid w:val="00AB4E49"/>
    <w:rsid w:val="00AB5285"/>
    <w:rsid w:val="00AB544E"/>
    <w:rsid w:val="00AB5658"/>
    <w:rsid w:val="00AB56B8"/>
    <w:rsid w:val="00AB570F"/>
    <w:rsid w:val="00AB5764"/>
    <w:rsid w:val="00AB57BD"/>
    <w:rsid w:val="00AB5A7D"/>
    <w:rsid w:val="00AB5A82"/>
    <w:rsid w:val="00AB5E71"/>
    <w:rsid w:val="00AB5EFD"/>
    <w:rsid w:val="00AB5FE5"/>
    <w:rsid w:val="00AB64C7"/>
    <w:rsid w:val="00AB66E5"/>
    <w:rsid w:val="00AB6956"/>
    <w:rsid w:val="00AB699E"/>
    <w:rsid w:val="00AB6C00"/>
    <w:rsid w:val="00AB6EFF"/>
    <w:rsid w:val="00AB7041"/>
    <w:rsid w:val="00AB70C6"/>
    <w:rsid w:val="00AB728D"/>
    <w:rsid w:val="00AB72A8"/>
    <w:rsid w:val="00AB7556"/>
    <w:rsid w:val="00AB75BD"/>
    <w:rsid w:val="00AB76DA"/>
    <w:rsid w:val="00AB7AFF"/>
    <w:rsid w:val="00AB7BC9"/>
    <w:rsid w:val="00AB7FD2"/>
    <w:rsid w:val="00AC07AA"/>
    <w:rsid w:val="00AC083B"/>
    <w:rsid w:val="00AC089E"/>
    <w:rsid w:val="00AC0936"/>
    <w:rsid w:val="00AC0A5A"/>
    <w:rsid w:val="00AC0C4F"/>
    <w:rsid w:val="00AC0D82"/>
    <w:rsid w:val="00AC0E29"/>
    <w:rsid w:val="00AC0F88"/>
    <w:rsid w:val="00AC1072"/>
    <w:rsid w:val="00AC1303"/>
    <w:rsid w:val="00AC13AA"/>
    <w:rsid w:val="00AC1461"/>
    <w:rsid w:val="00AC153E"/>
    <w:rsid w:val="00AC1A69"/>
    <w:rsid w:val="00AC1E34"/>
    <w:rsid w:val="00AC1E6A"/>
    <w:rsid w:val="00AC1EE0"/>
    <w:rsid w:val="00AC211A"/>
    <w:rsid w:val="00AC2497"/>
    <w:rsid w:val="00AC26ED"/>
    <w:rsid w:val="00AC2845"/>
    <w:rsid w:val="00AC2CDB"/>
    <w:rsid w:val="00AC3166"/>
    <w:rsid w:val="00AC33AF"/>
    <w:rsid w:val="00AC33DD"/>
    <w:rsid w:val="00AC34F4"/>
    <w:rsid w:val="00AC376B"/>
    <w:rsid w:val="00AC378C"/>
    <w:rsid w:val="00AC37AA"/>
    <w:rsid w:val="00AC3874"/>
    <w:rsid w:val="00AC38F3"/>
    <w:rsid w:val="00AC3B6F"/>
    <w:rsid w:val="00AC3F1B"/>
    <w:rsid w:val="00AC41B1"/>
    <w:rsid w:val="00AC4327"/>
    <w:rsid w:val="00AC4385"/>
    <w:rsid w:val="00AC4455"/>
    <w:rsid w:val="00AC481B"/>
    <w:rsid w:val="00AC49D3"/>
    <w:rsid w:val="00AC49E7"/>
    <w:rsid w:val="00AC4A9F"/>
    <w:rsid w:val="00AC4F24"/>
    <w:rsid w:val="00AC4F68"/>
    <w:rsid w:val="00AC5005"/>
    <w:rsid w:val="00AC5135"/>
    <w:rsid w:val="00AC5189"/>
    <w:rsid w:val="00AC5219"/>
    <w:rsid w:val="00AC5899"/>
    <w:rsid w:val="00AC5B04"/>
    <w:rsid w:val="00AC5B34"/>
    <w:rsid w:val="00AC5CCF"/>
    <w:rsid w:val="00AC5CF0"/>
    <w:rsid w:val="00AC5E5A"/>
    <w:rsid w:val="00AC5E85"/>
    <w:rsid w:val="00AC5EA7"/>
    <w:rsid w:val="00AC5EF7"/>
    <w:rsid w:val="00AC61FC"/>
    <w:rsid w:val="00AC650A"/>
    <w:rsid w:val="00AC664B"/>
    <w:rsid w:val="00AC6DE9"/>
    <w:rsid w:val="00AC6EBD"/>
    <w:rsid w:val="00AC6FBB"/>
    <w:rsid w:val="00AC7295"/>
    <w:rsid w:val="00AC7332"/>
    <w:rsid w:val="00AC7449"/>
    <w:rsid w:val="00AC75FF"/>
    <w:rsid w:val="00AC7610"/>
    <w:rsid w:val="00AC7728"/>
    <w:rsid w:val="00AC78A9"/>
    <w:rsid w:val="00AC7ABA"/>
    <w:rsid w:val="00AC7B31"/>
    <w:rsid w:val="00AC7E4F"/>
    <w:rsid w:val="00AC7E97"/>
    <w:rsid w:val="00AD0175"/>
    <w:rsid w:val="00AD0206"/>
    <w:rsid w:val="00AD0232"/>
    <w:rsid w:val="00AD038F"/>
    <w:rsid w:val="00AD03EB"/>
    <w:rsid w:val="00AD0574"/>
    <w:rsid w:val="00AD05AB"/>
    <w:rsid w:val="00AD0AB9"/>
    <w:rsid w:val="00AD0C33"/>
    <w:rsid w:val="00AD0DC2"/>
    <w:rsid w:val="00AD103D"/>
    <w:rsid w:val="00AD10EE"/>
    <w:rsid w:val="00AD1439"/>
    <w:rsid w:val="00AD16A0"/>
    <w:rsid w:val="00AD188E"/>
    <w:rsid w:val="00AD1BBA"/>
    <w:rsid w:val="00AD2086"/>
    <w:rsid w:val="00AD214D"/>
    <w:rsid w:val="00AD22B6"/>
    <w:rsid w:val="00AD25CF"/>
    <w:rsid w:val="00AD26A0"/>
    <w:rsid w:val="00AD29D8"/>
    <w:rsid w:val="00AD2A57"/>
    <w:rsid w:val="00AD2AB8"/>
    <w:rsid w:val="00AD2B1F"/>
    <w:rsid w:val="00AD2B8F"/>
    <w:rsid w:val="00AD2EC9"/>
    <w:rsid w:val="00AD2FA4"/>
    <w:rsid w:val="00AD3275"/>
    <w:rsid w:val="00AD33F1"/>
    <w:rsid w:val="00AD33FB"/>
    <w:rsid w:val="00AD3627"/>
    <w:rsid w:val="00AD3B43"/>
    <w:rsid w:val="00AD3C0B"/>
    <w:rsid w:val="00AD3DB5"/>
    <w:rsid w:val="00AD40DA"/>
    <w:rsid w:val="00AD41A0"/>
    <w:rsid w:val="00AD41E5"/>
    <w:rsid w:val="00AD43E7"/>
    <w:rsid w:val="00AD47FF"/>
    <w:rsid w:val="00AD49F8"/>
    <w:rsid w:val="00AD4AA1"/>
    <w:rsid w:val="00AD4CAD"/>
    <w:rsid w:val="00AD4CD2"/>
    <w:rsid w:val="00AD4F04"/>
    <w:rsid w:val="00AD5201"/>
    <w:rsid w:val="00AD5495"/>
    <w:rsid w:val="00AD5496"/>
    <w:rsid w:val="00AD55A7"/>
    <w:rsid w:val="00AD5667"/>
    <w:rsid w:val="00AD5AD8"/>
    <w:rsid w:val="00AD5ADE"/>
    <w:rsid w:val="00AD5E66"/>
    <w:rsid w:val="00AD6796"/>
    <w:rsid w:val="00AD67D9"/>
    <w:rsid w:val="00AD6842"/>
    <w:rsid w:val="00AD690C"/>
    <w:rsid w:val="00AD6BE8"/>
    <w:rsid w:val="00AD6C7C"/>
    <w:rsid w:val="00AD6E0B"/>
    <w:rsid w:val="00AD6E3A"/>
    <w:rsid w:val="00AD70B4"/>
    <w:rsid w:val="00AD7193"/>
    <w:rsid w:val="00AD7212"/>
    <w:rsid w:val="00AD73AE"/>
    <w:rsid w:val="00AD73CA"/>
    <w:rsid w:val="00AD748C"/>
    <w:rsid w:val="00AD7AD9"/>
    <w:rsid w:val="00AD7BD9"/>
    <w:rsid w:val="00AD7C9F"/>
    <w:rsid w:val="00AD7F57"/>
    <w:rsid w:val="00AE01BB"/>
    <w:rsid w:val="00AE0326"/>
    <w:rsid w:val="00AE042B"/>
    <w:rsid w:val="00AE05BC"/>
    <w:rsid w:val="00AE05FD"/>
    <w:rsid w:val="00AE069F"/>
    <w:rsid w:val="00AE0827"/>
    <w:rsid w:val="00AE0AB5"/>
    <w:rsid w:val="00AE0B6B"/>
    <w:rsid w:val="00AE0EB7"/>
    <w:rsid w:val="00AE107C"/>
    <w:rsid w:val="00AE1158"/>
    <w:rsid w:val="00AE12D5"/>
    <w:rsid w:val="00AE144E"/>
    <w:rsid w:val="00AE1490"/>
    <w:rsid w:val="00AE167A"/>
    <w:rsid w:val="00AE1692"/>
    <w:rsid w:val="00AE17E0"/>
    <w:rsid w:val="00AE1950"/>
    <w:rsid w:val="00AE1A46"/>
    <w:rsid w:val="00AE1BEF"/>
    <w:rsid w:val="00AE1CF3"/>
    <w:rsid w:val="00AE1D8A"/>
    <w:rsid w:val="00AE22D8"/>
    <w:rsid w:val="00AE24D3"/>
    <w:rsid w:val="00AE25AD"/>
    <w:rsid w:val="00AE261C"/>
    <w:rsid w:val="00AE2690"/>
    <w:rsid w:val="00AE2DBD"/>
    <w:rsid w:val="00AE3178"/>
    <w:rsid w:val="00AE3380"/>
    <w:rsid w:val="00AE353E"/>
    <w:rsid w:val="00AE36D8"/>
    <w:rsid w:val="00AE3721"/>
    <w:rsid w:val="00AE3934"/>
    <w:rsid w:val="00AE39F2"/>
    <w:rsid w:val="00AE3A2D"/>
    <w:rsid w:val="00AE3BBD"/>
    <w:rsid w:val="00AE3FF0"/>
    <w:rsid w:val="00AE403B"/>
    <w:rsid w:val="00AE4088"/>
    <w:rsid w:val="00AE413C"/>
    <w:rsid w:val="00AE43AA"/>
    <w:rsid w:val="00AE448C"/>
    <w:rsid w:val="00AE44F9"/>
    <w:rsid w:val="00AE468E"/>
    <w:rsid w:val="00AE4912"/>
    <w:rsid w:val="00AE4ABE"/>
    <w:rsid w:val="00AE4E46"/>
    <w:rsid w:val="00AE4EA5"/>
    <w:rsid w:val="00AE4FD2"/>
    <w:rsid w:val="00AE54B2"/>
    <w:rsid w:val="00AE5900"/>
    <w:rsid w:val="00AE5D82"/>
    <w:rsid w:val="00AE5F87"/>
    <w:rsid w:val="00AE6234"/>
    <w:rsid w:val="00AE6508"/>
    <w:rsid w:val="00AE6560"/>
    <w:rsid w:val="00AE65D8"/>
    <w:rsid w:val="00AE6624"/>
    <w:rsid w:val="00AE6A7D"/>
    <w:rsid w:val="00AE6ADE"/>
    <w:rsid w:val="00AE6B7C"/>
    <w:rsid w:val="00AE6D7D"/>
    <w:rsid w:val="00AE7203"/>
    <w:rsid w:val="00AE7236"/>
    <w:rsid w:val="00AE755A"/>
    <w:rsid w:val="00AE7632"/>
    <w:rsid w:val="00AE770F"/>
    <w:rsid w:val="00AE7711"/>
    <w:rsid w:val="00AE773C"/>
    <w:rsid w:val="00AE7A29"/>
    <w:rsid w:val="00AE7B19"/>
    <w:rsid w:val="00AE7B84"/>
    <w:rsid w:val="00AE7CDD"/>
    <w:rsid w:val="00AE7FF5"/>
    <w:rsid w:val="00AF0302"/>
    <w:rsid w:val="00AF04B6"/>
    <w:rsid w:val="00AF0BE0"/>
    <w:rsid w:val="00AF0D40"/>
    <w:rsid w:val="00AF0FBF"/>
    <w:rsid w:val="00AF127F"/>
    <w:rsid w:val="00AF1349"/>
    <w:rsid w:val="00AF16E4"/>
    <w:rsid w:val="00AF195E"/>
    <w:rsid w:val="00AF1B82"/>
    <w:rsid w:val="00AF1B95"/>
    <w:rsid w:val="00AF1F8F"/>
    <w:rsid w:val="00AF1FAB"/>
    <w:rsid w:val="00AF2209"/>
    <w:rsid w:val="00AF230F"/>
    <w:rsid w:val="00AF2390"/>
    <w:rsid w:val="00AF2887"/>
    <w:rsid w:val="00AF2E8D"/>
    <w:rsid w:val="00AF39C7"/>
    <w:rsid w:val="00AF3AE6"/>
    <w:rsid w:val="00AF3C64"/>
    <w:rsid w:val="00AF3EC2"/>
    <w:rsid w:val="00AF3F61"/>
    <w:rsid w:val="00AF3FF4"/>
    <w:rsid w:val="00AF4043"/>
    <w:rsid w:val="00AF4072"/>
    <w:rsid w:val="00AF40A9"/>
    <w:rsid w:val="00AF4216"/>
    <w:rsid w:val="00AF437A"/>
    <w:rsid w:val="00AF482A"/>
    <w:rsid w:val="00AF497C"/>
    <w:rsid w:val="00AF4B85"/>
    <w:rsid w:val="00AF4F1C"/>
    <w:rsid w:val="00AF4F6A"/>
    <w:rsid w:val="00AF50D1"/>
    <w:rsid w:val="00AF50D8"/>
    <w:rsid w:val="00AF53D3"/>
    <w:rsid w:val="00AF5428"/>
    <w:rsid w:val="00AF56CB"/>
    <w:rsid w:val="00AF5A64"/>
    <w:rsid w:val="00AF5FB0"/>
    <w:rsid w:val="00AF5FDC"/>
    <w:rsid w:val="00AF62C3"/>
    <w:rsid w:val="00AF6659"/>
    <w:rsid w:val="00AF668D"/>
    <w:rsid w:val="00AF670C"/>
    <w:rsid w:val="00AF672B"/>
    <w:rsid w:val="00AF67F9"/>
    <w:rsid w:val="00AF692E"/>
    <w:rsid w:val="00AF6A50"/>
    <w:rsid w:val="00AF6B4C"/>
    <w:rsid w:val="00AF6C62"/>
    <w:rsid w:val="00AF6E52"/>
    <w:rsid w:val="00AF6EE7"/>
    <w:rsid w:val="00AF703F"/>
    <w:rsid w:val="00AF704E"/>
    <w:rsid w:val="00AF717B"/>
    <w:rsid w:val="00AF73ED"/>
    <w:rsid w:val="00AF73F7"/>
    <w:rsid w:val="00AF7510"/>
    <w:rsid w:val="00AF75F9"/>
    <w:rsid w:val="00AF7BD2"/>
    <w:rsid w:val="00AF7D75"/>
    <w:rsid w:val="00AF7E26"/>
    <w:rsid w:val="00B00481"/>
    <w:rsid w:val="00B0094F"/>
    <w:rsid w:val="00B00A41"/>
    <w:rsid w:val="00B00ABF"/>
    <w:rsid w:val="00B00B0C"/>
    <w:rsid w:val="00B00B2E"/>
    <w:rsid w:val="00B00C06"/>
    <w:rsid w:val="00B00DCA"/>
    <w:rsid w:val="00B010F7"/>
    <w:rsid w:val="00B01284"/>
    <w:rsid w:val="00B01334"/>
    <w:rsid w:val="00B01347"/>
    <w:rsid w:val="00B01504"/>
    <w:rsid w:val="00B01813"/>
    <w:rsid w:val="00B018AF"/>
    <w:rsid w:val="00B01BE5"/>
    <w:rsid w:val="00B01EEB"/>
    <w:rsid w:val="00B020FA"/>
    <w:rsid w:val="00B02531"/>
    <w:rsid w:val="00B02698"/>
    <w:rsid w:val="00B026A7"/>
    <w:rsid w:val="00B0271F"/>
    <w:rsid w:val="00B02BE5"/>
    <w:rsid w:val="00B02C41"/>
    <w:rsid w:val="00B02FBC"/>
    <w:rsid w:val="00B0315D"/>
    <w:rsid w:val="00B0328E"/>
    <w:rsid w:val="00B0344A"/>
    <w:rsid w:val="00B034C9"/>
    <w:rsid w:val="00B0359D"/>
    <w:rsid w:val="00B035B7"/>
    <w:rsid w:val="00B0385A"/>
    <w:rsid w:val="00B039F1"/>
    <w:rsid w:val="00B03A87"/>
    <w:rsid w:val="00B03D30"/>
    <w:rsid w:val="00B03E14"/>
    <w:rsid w:val="00B03FE0"/>
    <w:rsid w:val="00B04067"/>
    <w:rsid w:val="00B04236"/>
    <w:rsid w:val="00B045CF"/>
    <w:rsid w:val="00B04738"/>
    <w:rsid w:val="00B04BDE"/>
    <w:rsid w:val="00B04CAA"/>
    <w:rsid w:val="00B04D9D"/>
    <w:rsid w:val="00B04EB1"/>
    <w:rsid w:val="00B050B5"/>
    <w:rsid w:val="00B05388"/>
    <w:rsid w:val="00B05E27"/>
    <w:rsid w:val="00B06098"/>
    <w:rsid w:val="00B067B3"/>
    <w:rsid w:val="00B0691C"/>
    <w:rsid w:val="00B06A0C"/>
    <w:rsid w:val="00B06A1A"/>
    <w:rsid w:val="00B06BEC"/>
    <w:rsid w:val="00B06F03"/>
    <w:rsid w:val="00B0707F"/>
    <w:rsid w:val="00B070D5"/>
    <w:rsid w:val="00B077E3"/>
    <w:rsid w:val="00B0798E"/>
    <w:rsid w:val="00B07AD1"/>
    <w:rsid w:val="00B07B7F"/>
    <w:rsid w:val="00B07DF0"/>
    <w:rsid w:val="00B07F28"/>
    <w:rsid w:val="00B10069"/>
    <w:rsid w:val="00B10363"/>
    <w:rsid w:val="00B103C9"/>
    <w:rsid w:val="00B10570"/>
    <w:rsid w:val="00B1066A"/>
    <w:rsid w:val="00B10725"/>
    <w:rsid w:val="00B1076F"/>
    <w:rsid w:val="00B108AA"/>
    <w:rsid w:val="00B10927"/>
    <w:rsid w:val="00B109A2"/>
    <w:rsid w:val="00B109B7"/>
    <w:rsid w:val="00B10A20"/>
    <w:rsid w:val="00B10A2B"/>
    <w:rsid w:val="00B10D6F"/>
    <w:rsid w:val="00B10EF0"/>
    <w:rsid w:val="00B10F69"/>
    <w:rsid w:val="00B111EA"/>
    <w:rsid w:val="00B11503"/>
    <w:rsid w:val="00B116A1"/>
    <w:rsid w:val="00B117D8"/>
    <w:rsid w:val="00B11A5B"/>
    <w:rsid w:val="00B11A7B"/>
    <w:rsid w:val="00B11A8E"/>
    <w:rsid w:val="00B11CDD"/>
    <w:rsid w:val="00B11FA4"/>
    <w:rsid w:val="00B1209B"/>
    <w:rsid w:val="00B12115"/>
    <w:rsid w:val="00B12116"/>
    <w:rsid w:val="00B12221"/>
    <w:rsid w:val="00B12274"/>
    <w:rsid w:val="00B12570"/>
    <w:rsid w:val="00B125D2"/>
    <w:rsid w:val="00B129A7"/>
    <w:rsid w:val="00B12B12"/>
    <w:rsid w:val="00B12B21"/>
    <w:rsid w:val="00B12C34"/>
    <w:rsid w:val="00B12DAA"/>
    <w:rsid w:val="00B12E3C"/>
    <w:rsid w:val="00B12E49"/>
    <w:rsid w:val="00B12FC2"/>
    <w:rsid w:val="00B1317E"/>
    <w:rsid w:val="00B131EA"/>
    <w:rsid w:val="00B132A6"/>
    <w:rsid w:val="00B132F5"/>
    <w:rsid w:val="00B1335D"/>
    <w:rsid w:val="00B135DE"/>
    <w:rsid w:val="00B13600"/>
    <w:rsid w:val="00B13618"/>
    <w:rsid w:val="00B13640"/>
    <w:rsid w:val="00B137C4"/>
    <w:rsid w:val="00B1382A"/>
    <w:rsid w:val="00B13C59"/>
    <w:rsid w:val="00B13EA2"/>
    <w:rsid w:val="00B14060"/>
    <w:rsid w:val="00B14409"/>
    <w:rsid w:val="00B149CF"/>
    <w:rsid w:val="00B14A9B"/>
    <w:rsid w:val="00B14B58"/>
    <w:rsid w:val="00B14B78"/>
    <w:rsid w:val="00B14BC2"/>
    <w:rsid w:val="00B14F3C"/>
    <w:rsid w:val="00B1514F"/>
    <w:rsid w:val="00B1523C"/>
    <w:rsid w:val="00B15412"/>
    <w:rsid w:val="00B1544F"/>
    <w:rsid w:val="00B15498"/>
    <w:rsid w:val="00B1555C"/>
    <w:rsid w:val="00B156B1"/>
    <w:rsid w:val="00B159E8"/>
    <w:rsid w:val="00B15E0B"/>
    <w:rsid w:val="00B15FE3"/>
    <w:rsid w:val="00B1619F"/>
    <w:rsid w:val="00B16270"/>
    <w:rsid w:val="00B16361"/>
    <w:rsid w:val="00B166E3"/>
    <w:rsid w:val="00B16B65"/>
    <w:rsid w:val="00B16DFE"/>
    <w:rsid w:val="00B16E80"/>
    <w:rsid w:val="00B1708C"/>
    <w:rsid w:val="00B173D5"/>
    <w:rsid w:val="00B178EC"/>
    <w:rsid w:val="00B17C3F"/>
    <w:rsid w:val="00B17CBF"/>
    <w:rsid w:val="00B17EAA"/>
    <w:rsid w:val="00B2017E"/>
    <w:rsid w:val="00B20197"/>
    <w:rsid w:val="00B201AE"/>
    <w:rsid w:val="00B201C1"/>
    <w:rsid w:val="00B20ABB"/>
    <w:rsid w:val="00B20CB9"/>
    <w:rsid w:val="00B20EC9"/>
    <w:rsid w:val="00B21081"/>
    <w:rsid w:val="00B211B3"/>
    <w:rsid w:val="00B213AF"/>
    <w:rsid w:val="00B213C1"/>
    <w:rsid w:val="00B214D8"/>
    <w:rsid w:val="00B214DF"/>
    <w:rsid w:val="00B2160D"/>
    <w:rsid w:val="00B21612"/>
    <w:rsid w:val="00B216E1"/>
    <w:rsid w:val="00B21722"/>
    <w:rsid w:val="00B21C11"/>
    <w:rsid w:val="00B21FEE"/>
    <w:rsid w:val="00B220F7"/>
    <w:rsid w:val="00B223A9"/>
    <w:rsid w:val="00B22487"/>
    <w:rsid w:val="00B22491"/>
    <w:rsid w:val="00B2288C"/>
    <w:rsid w:val="00B22CAC"/>
    <w:rsid w:val="00B22D10"/>
    <w:rsid w:val="00B2337F"/>
    <w:rsid w:val="00B23632"/>
    <w:rsid w:val="00B2368C"/>
    <w:rsid w:val="00B236B1"/>
    <w:rsid w:val="00B239C8"/>
    <w:rsid w:val="00B23AB0"/>
    <w:rsid w:val="00B23C8D"/>
    <w:rsid w:val="00B23D9A"/>
    <w:rsid w:val="00B23EAB"/>
    <w:rsid w:val="00B24130"/>
    <w:rsid w:val="00B24162"/>
    <w:rsid w:val="00B243F1"/>
    <w:rsid w:val="00B246FF"/>
    <w:rsid w:val="00B24A6C"/>
    <w:rsid w:val="00B24A7A"/>
    <w:rsid w:val="00B251D1"/>
    <w:rsid w:val="00B2541B"/>
    <w:rsid w:val="00B25559"/>
    <w:rsid w:val="00B25661"/>
    <w:rsid w:val="00B2577A"/>
    <w:rsid w:val="00B258C1"/>
    <w:rsid w:val="00B26259"/>
    <w:rsid w:val="00B262C4"/>
    <w:rsid w:val="00B26401"/>
    <w:rsid w:val="00B266AF"/>
    <w:rsid w:val="00B26787"/>
    <w:rsid w:val="00B26988"/>
    <w:rsid w:val="00B26D0A"/>
    <w:rsid w:val="00B26E93"/>
    <w:rsid w:val="00B26F7D"/>
    <w:rsid w:val="00B27123"/>
    <w:rsid w:val="00B27383"/>
    <w:rsid w:val="00B27454"/>
    <w:rsid w:val="00B27553"/>
    <w:rsid w:val="00B2771E"/>
    <w:rsid w:val="00B27748"/>
    <w:rsid w:val="00B278C4"/>
    <w:rsid w:val="00B27993"/>
    <w:rsid w:val="00B27F84"/>
    <w:rsid w:val="00B302E8"/>
    <w:rsid w:val="00B302F3"/>
    <w:rsid w:val="00B30554"/>
    <w:rsid w:val="00B30715"/>
    <w:rsid w:val="00B30A05"/>
    <w:rsid w:val="00B30DBB"/>
    <w:rsid w:val="00B30EB9"/>
    <w:rsid w:val="00B310B1"/>
    <w:rsid w:val="00B31252"/>
    <w:rsid w:val="00B31420"/>
    <w:rsid w:val="00B31621"/>
    <w:rsid w:val="00B318EB"/>
    <w:rsid w:val="00B31AA8"/>
    <w:rsid w:val="00B31B5A"/>
    <w:rsid w:val="00B3210B"/>
    <w:rsid w:val="00B32150"/>
    <w:rsid w:val="00B32208"/>
    <w:rsid w:val="00B323B5"/>
    <w:rsid w:val="00B324C9"/>
    <w:rsid w:val="00B324D2"/>
    <w:rsid w:val="00B32602"/>
    <w:rsid w:val="00B326AC"/>
    <w:rsid w:val="00B32B2C"/>
    <w:rsid w:val="00B335CC"/>
    <w:rsid w:val="00B3364C"/>
    <w:rsid w:val="00B33712"/>
    <w:rsid w:val="00B337BF"/>
    <w:rsid w:val="00B33877"/>
    <w:rsid w:val="00B339FD"/>
    <w:rsid w:val="00B33A0F"/>
    <w:rsid w:val="00B33C35"/>
    <w:rsid w:val="00B3454A"/>
    <w:rsid w:val="00B34567"/>
    <w:rsid w:val="00B345ED"/>
    <w:rsid w:val="00B346A9"/>
    <w:rsid w:val="00B34730"/>
    <w:rsid w:val="00B34788"/>
    <w:rsid w:val="00B34944"/>
    <w:rsid w:val="00B34B3F"/>
    <w:rsid w:val="00B34BB5"/>
    <w:rsid w:val="00B34F06"/>
    <w:rsid w:val="00B34F7E"/>
    <w:rsid w:val="00B35149"/>
    <w:rsid w:val="00B35366"/>
    <w:rsid w:val="00B35423"/>
    <w:rsid w:val="00B3553C"/>
    <w:rsid w:val="00B35629"/>
    <w:rsid w:val="00B356FE"/>
    <w:rsid w:val="00B35828"/>
    <w:rsid w:val="00B359AB"/>
    <w:rsid w:val="00B35C20"/>
    <w:rsid w:val="00B361E9"/>
    <w:rsid w:val="00B363CE"/>
    <w:rsid w:val="00B365D9"/>
    <w:rsid w:val="00B368F9"/>
    <w:rsid w:val="00B36A42"/>
    <w:rsid w:val="00B36B28"/>
    <w:rsid w:val="00B36C92"/>
    <w:rsid w:val="00B372FE"/>
    <w:rsid w:val="00B3799C"/>
    <w:rsid w:val="00B37D08"/>
    <w:rsid w:val="00B37D68"/>
    <w:rsid w:val="00B37DE1"/>
    <w:rsid w:val="00B37F3C"/>
    <w:rsid w:val="00B40116"/>
    <w:rsid w:val="00B40292"/>
    <w:rsid w:val="00B402A6"/>
    <w:rsid w:val="00B4032D"/>
    <w:rsid w:val="00B406DA"/>
    <w:rsid w:val="00B40945"/>
    <w:rsid w:val="00B40A5A"/>
    <w:rsid w:val="00B40B00"/>
    <w:rsid w:val="00B40DC9"/>
    <w:rsid w:val="00B40ED4"/>
    <w:rsid w:val="00B415A1"/>
    <w:rsid w:val="00B415FD"/>
    <w:rsid w:val="00B41791"/>
    <w:rsid w:val="00B418BC"/>
    <w:rsid w:val="00B41A35"/>
    <w:rsid w:val="00B41A4C"/>
    <w:rsid w:val="00B41B20"/>
    <w:rsid w:val="00B41BFD"/>
    <w:rsid w:val="00B41C2F"/>
    <w:rsid w:val="00B41D5A"/>
    <w:rsid w:val="00B420DE"/>
    <w:rsid w:val="00B4212E"/>
    <w:rsid w:val="00B422BF"/>
    <w:rsid w:val="00B422EE"/>
    <w:rsid w:val="00B4260E"/>
    <w:rsid w:val="00B42875"/>
    <w:rsid w:val="00B42A33"/>
    <w:rsid w:val="00B42A5C"/>
    <w:rsid w:val="00B42B33"/>
    <w:rsid w:val="00B42B55"/>
    <w:rsid w:val="00B42BA8"/>
    <w:rsid w:val="00B42E26"/>
    <w:rsid w:val="00B42F53"/>
    <w:rsid w:val="00B43130"/>
    <w:rsid w:val="00B432FD"/>
    <w:rsid w:val="00B43365"/>
    <w:rsid w:val="00B433C1"/>
    <w:rsid w:val="00B43534"/>
    <w:rsid w:val="00B43686"/>
    <w:rsid w:val="00B43A39"/>
    <w:rsid w:val="00B43BF4"/>
    <w:rsid w:val="00B43C2A"/>
    <w:rsid w:val="00B43C8E"/>
    <w:rsid w:val="00B43F7D"/>
    <w:rsid w:val="00B444B4"/>
    <w:rsid w:val="00B445B7"/>
    <w:rsid w:val="00B446D2"/>
    <w:rsid w:val="00B4477F"/>
    <w:rsid w:val="00B4499F"/>
    <w:rsid w:val="00B44D15"/>
    <w:rsid w:val="00B45319"/>
    <w:rsid w:val="00B4554B"/>
    <w:rsid w:val="00B455A2"/>
    <w:rsid w:val="00B455B8"/>
    <w:rsid w:val="00B45797"/>
    <w:rsid w:val="00B45919"/>
    <w:rsid w:val="00B45A13"/>
    <w:rsid w:val="00B45EDF"/>
    <w:rsid w:val="00B45FF2"/>
    <w:rsid w:val="00B46564"/>
    <w:rsid w:val="00B4664B"/>
    <w:rsid w:val="00B46723"/>
    <w:rsid w:val="00B46751"/>
    <w:rsid w:val="00B46766"/>
    <w:rsid w:val="00B468A4"/>
    <w:rsid w:val="00B46902"/>
    <w:rsid w:val="00B4695C"/>
    <w:rsid w:val="00B469E3"/>
    <w:rsid w:val="00B46A72"/>
    <w:rsid w:val="00B46FCA"/>
    <w:rsid w:val="00B47031"/>
    <w:rsid w:val="00B470FE"/>
    <w:rsid w:val="00B472A1"/>
    <w:rsid w:val="00B472EA"/>
    <w:rsid w:val="00B473B6"/>
    <w:rsid w:val="00B47491"/>
    <w:rsid w:val="00B47C6A"/>
    <w:rsid w:val="00B5030E"/>
    <w:rsid w:val="00B503F5"/>
    <w:rsid w:val="00B504C4"/>
    <w:rsid w:val="00B506AB"/>
    <w:rsid w:val="00B506C2"/>
    <w:rsid w:val="00B507AC"/>
    <w:rsid w:val="00B50A8F"/>
    <w:rsid w:val="00B50BA7"/>
    <w:rsid w:val="00B50CEF"/>
    <w:rsid w:val="00B50F5E"/>
    <w:rsid w:val="00B50F6C"/>
    <w:rsid w:val="00B50FDD"/>
    <w:rsid w:val="00B50FEA"/>
    <w:rsid w:val="00B51007"/>
    <w:rsid w:val="00B51177"/>
    <w:rsid w:val="00B51260"/>
    <w:rsid w:val="00B5131D"/>
    <w:rsid w:val="00B51329"/>
    <w:rsid w:val="00B5135D"/>
    <w:rsid w:val="00B51384"/>
    <w:rsid w:val="00B51412"/>
    <w:rsid w:val="00B5156B"/>
    <w:rsid w:val="00B51589"/>
    <w:rsid w:val="00B515B5"/>
    <w:rsid w:val="00B51663"/>
    <w:rsid w:val="00B518C7"/>
    <w:rsid w:val="00B51AEF"/>
    <w:rsid w:val="00B51BD3"/>
    <w:rsid w:val="00B51C13"/>
    <w:rsid w:val="00B51C21"/>
    <w:rsid w:val="00B51E4B"/>
    <w:rsid w:val="00B51ECB"/>
    <w:rsid w:val="00B51FD2"/>
    <w:rsid w:val="00B52492"/>
    <w:rsid w:val="00B52687"/>
    <w:rsid w:val="00B52850"/>
    <w:rsid w:val="00B529DF"/>
    <w:rsid w:val="00B52F43"/>
    <w:rsid w:val="00B531B5"/>
    <w:rsid w:val="00B531E9"/>
    <w:rsid w:val="00B5328A"/>
    <w:rsid w:val="00B53375"/>
    <w:rsid w:val="00B536F1"/>
    <w:rsid w:val="00B53856"/>
    <w:rsid w:val="00B538CD"/>
    <w:rsid w:val="00B53C6D"/>
    <w:rsid w:val="00B53D32"/>
    <w:rsid w:val="00B53E7A"/>
    <w:rsid w:val="00B53EBB"/>
    <w:rsid w:val="00B53EC6"/>
    <w:rsid w:val="00B541D9"/>
    <w:rsid w:val="00B545F4"/>
    <w:rsid w:val="00B5463D"/>
    <w:rsid w:val="00B54694"/>
    <w:rsid w:val="00B54998"/>
    <w:rsid w:val="00B54A4A"/>
    <w:rsid w:val="00B54C12"/>
    <w:rsid w:val="00B54D61"/>
    <w:rsid w:val="00B54FF7"/>
    <w:rsid w:val="00B551B1"/>
    <w:rsid w:val="00B551BF"/>
    <w:rsid w:val="00B5579B"/>
    <w:rsid w:val="00B5580D"/>
    <w:rsid w:val="00B55811"/>
    <w:rsid w:val="00B55A74"/>
    <w:rsid w:val="00B55EF7"/>
    <w:rsid w:val="00B55F84"/>
    <w:rsid w:val="00B560A9"/>
    <w:rsid w:val="00B56259"/>
    <w:rsid w:val="00B5659D"/>
    <w:rsid w:val="00B5665A"/>
    <w:rsid w:val="00B56660"/>
    <w:rsid w:val="00B56826"/>
    <w:rsid w:val="00B56970"/>
    <w:rsid w:val="00B56973"/>
    <w:rsid w:val="00B5699F"/>
    <w:rsid w:val="00B56A96"/>
    <w:rsid w:val="00B56B31"/>
    <w:rsid w:val="00B56C79"/>
    <w:rsid w:val="00B56EE1"/>
    <w:rsid w:val="00B57096"/>
    <w:rsid w:val="00B570D3"/>
    <w:rsid w:val="00B5712F"/>
    <w:rsid w:val="00B572B6"/>
    <w:rsid w:val="00B57B31"/>
    <w:rsid w:val="00B57C2E"/>
    <w:rsid w:val="00B57F7A"/>
    <w:rsid w:val="00B600A5"/>
    <w:rsid w:val="00B6020B"/>
    <w:rsid w:val="00B6037B"/>
    <w:rsid w:val="00B60536"/>
    <w:rsid w:val="00B60D1F"/>
    <w:rsid w:val="00B60D36"/>
    <w:rsid w:val="00B6131C"/>
    <w:rsid w:val="00B6139B"/>
    <w:rsid w:val="00B61727"/>
    <w:rsid w:val="00B61A58"/>
    <w:rsid w:val="00B61BB4"/>
    <w:rsid w:val="00B61E8D"/>
    <w:rsid w:val="00B62066"/>
    <w:rsid w:val="00B6239C"/>
    <w:rsid w:val="00B6254F"/>
    <w:rsid w:val="00B627BB"/>
    <w:rsid w:val="00B627E6"/>
    <w:rsid w:val="00B6280A"/>
    <w:rsid w:val="00B62AB8"/>
    <w:rsid w:val="00B62D8E"/>
    <w:rsid w:val="00B62FBD"/>
    <w:rsid w:val="00B6321C"/>
    <w:rsid w:val="00B6373B"/>
    <w:rsid w:val="00B637CF"/>
    <w:rsid w:val="00B637FD"/>
    <w:rsid w:val="00B63976"/>
    <w:rsid w:val="00B639F8"/>
    <w:rsid w:val="00B63AEC"/>
    <w:rsid w:val="00B63B0B"/>
    <w:rsid w:val="00B63B27"/>
    <w:rsid w:val="00B63D55"/>
    <w:rsid w:val="00B63FE5"/>
    <w:rsid w:val="00B64282"/>
    <w:rsid w:val="00B64387"/>
    <w:rsid w:val="00B64476"/>
    <w:rsid w:val="00B649C4"/>
    <w:rsid w:val="00B64B17"/>
    <w:rsid w:val="00B64BD1"/>
    <w:rsid w:val="00B64C9D"/>
    <w:rsid w:val="00B64CEE"/>
    <w:rsid w:val="00B64D9E"/>
    <w:rsid w:val="00B64EFB"/>
    <w:rsid w:val="00B65245"/>
    <w:rsid w:val="00B6533E"/>
    <w:rsid w:val="00B653A9"/>
    <w:rsid w:val="00B6545A"/>
    <w:rsid w:val="00B658BD"/>
    <w:rsid w:val="00B65909"/>
    <w:rsid w:val="00B65928"/>
    <w:rsid w:val="00B6596E"/>
    <w:rsid w:val="00B65CCE"/>
    <w:rsid w:val="00B65E0F"/>
    <w:rsid w:val="00B65EF8"/>
    <w:rsid w:val="00B66093"/>
    <w:rsid w:val="00B6612B"/>
    <w:rsid w:val="00B661BE"/>
    <w:rsid w:val="00B6622A"/>
    <w:rsid w:val="00B66791"/>
    <w:rsid w:val="00B66927"/>
    <w:rsid w:val="00B669C8"/>
    <w:rsid w:val="00B66DF8"/>
    <w:rsid w:val="00B66EBD"/>
    <w:rsid w:val="00B670D3"/>
    <w:rsid w:val="00B677DF"/>
    <w:rsid w:val="00B67A16"/>
    <w:rsid w:val="00B67A3D"/>
    <w:rsid w:val="00B67C90"/>
    <w:rsid w:val="00B67DE2"/>
    <w:rsid w:val="00B7001E"/>
    <w:rsid w:val="00B702B7"/>
    <w:rsid w:val="00B7031F"/>
    <w:rsid w:val="00B7035B"/>
    <w:rsid w:val="00B706C2"/>
    <w:rsid w:val="00B70735"/>
    <w:rsid w:val="00B70813"/>
    <w:rsid w:val="00B7081A"/>
    <w:rsid w:val="00B70870"/>
    <w:rsid w:val="00B70927"/>
    <w:rsid w:val="00B70940"/>
    <w:rsid w:val="00B70977"/>
    <w:rsid w:val="00B70C31"/>
    <w:rsid w:val="00B70C9B"/>
    <w:rsid w:val="00B70D71"/>
    <w:rsid w:val="00B70FBA"/>
    <w:rsid w:val="00B714AC"/>
    <w:rsid w:val="00B7172F"/>
    <w:rsid w:val="00B71960"/>
    <w:rsid w:val="00B71C94"/>
    <w:rsid w:val="00B71CDF"/>
    <w:rsid w:val="00B71DB0"/>
    <w:rsid w:val="00B7222D"/>
    <w:rsid w:val="00B72336"/>
    <w:rsid w:val="00B72385"/>
    <w:rsid w:val="00B723E2"/>
    <w:rsid w:val="00B72427"/>
    <w:rsid w:val="00B724B3"/>
    <w:rsid w:val="00B725CC"/>
    <w:rsid w:val="00B727EF"/>
    <w:rsid w:val="00B7280B"/>
    <w:rsid w:val="00B72820"/>
    <w:rsid w:val="00B72ABE"/>
    <w:rsid w:val="00B72AC0"/>
    <w:rsid w:val="00B72E28"/>
    <w:rsid w:val="00B72F34"/>
    <w:rsid w:val="00B7313F"/>
    <w:rsid w:val="00B733AD"/>
    <w:rsid w:val="00B7346F"/>
    <w:rsid w:val="00B734C8"/>
    <w:rsid w:val="00B734FA"/>
    <w:rsid w:val="00B735F8"/>
    <w:rsid w:val="00B73AF7"/>
    <w:rsid w:val="00B74378"/>
    <w:rsid w:val="00B74508"/>
    <w:rsid w:val="00B7462B"/>
    <w:rsid w:val="00B748A4"/>
    <w:rsid w:val="00B748A7"/>
    <w:rsid w:val="00B7496B"/>
    <w:rsid w:val="00B74DD0"/>
    <w:rsid w:val="00B74E11"/>
    <w:rsid w:val="00B7518D"/>
    <w:rsid w:val="00B753B7"/>
    <w:rsid w:val="00B7551A"/>
    <w:rsid w:val="00B757D6"/>
    <w:rsid w:val="00B75A75"/>
    <w:rsid w:val="00B76027"/>
    <w:rsid w:val="00B7604F"/>
    <w:rsid w:val="00B760E7"/>
    <w:rsid w:val="00B76373"/>
    <w:rsid w:val="00B76385"/>
    <w:rsid w:val="00B76C60"/>
    <w:rsid w:val="00B76CA6"/>
    <w:rsid w:val="00B76D82"/>
    <w:rsid w:val="00B76FA4"/>
    <w:rsid w:val="00B77125"/>
    <w:rsid w:val="00B7750E"/>
    <w:rsid w:val="00B7771B"/>
    <w:rsid w:val="00B7778D"/>
    <w:rsid w:val="00B77A79"/>
    <w:rsid w:val="00B77BA5"/>
    <w:rsid w:val="00B77CF6"/>
    <w:rsid w:val="00B77DA8"/>
    <w:rsid w:val="00B8003E"/>
    <w:rsid w:val="00B80060"/>
    <w:rsid w:val="00B808A1"/>
    <w:rsid w:val="00B809F4"/>
    <w:rsid w:val="00B80B45"/>
    <w:rsid w:val="00B80B8B"/>
    <w:rsid w:val="00B80F1D"/>
    <w:rsid w:val="00B81028"/>
    <w:rsid w:val="00B81076"/>
    <w:rsid w:val="00B814B2"/>
    <w:rsid w:val="00B8156E"/>
    <w:rsid w:val="00B81588"/>
    <w:rsid w:val="00B816E8"/>
    <w:rsid w:val="00B81914"/>
    <w:rsid w:val="00B81A5D"/>
    <w:rsid w:val="00B81AD4"/>
    <w:rsid w:val="00B81C1D"/>
    <w:rsid w:val="00B81D86"/>
    <w:rsid w:val="00B81EB3"/>
    <w:rsid w:val="00B81FA9"/>
    <w:rsid w:val="00B8219C"/>
    <w:rsid w:val="00B826AE"/>
    <w:rsid w:val="00B8278F"/>
    <w:rsid w:val="00B8287E"/>
    <w:rsid w:val="00B828D1"/>
    <w:rsid w:val="00B8290C"/>
    <w:rsid w:val="00B82A13"/>
    <w:rsid w:val="00B82D48"/>
    <w:rsid w:val="00B82DDC"/>
    <w:rsid w:val="00B83028"/>
    <w:rsid w:val="00B831DB"/>
    <w:rsid w:val="00B83215"/>
    <w:rsid w:val="00B83241"/>
    <w:rsid w:val="00B834EE"/>
    <w:rsid w:val="00B8357F"/>
    <w:rsid w:val="00B83652"/>
    <w:rsid w:val="00B83831"/>
    <w:rsid w:val="00B83B3D"/>
    <w:rsid w:val="00B83D47"/>
    <w:rsid w:val="00B83F46"/>
    <w:rsid w:val="00B83F61"/>
    <w:rsid w:val="00B84164"/>
    <w:rsid w:val="00B8436E"/>
    <w:rsid w:val="00B8468E"/>
    <w:rsid w:val="00B846EF"/>
    <w:rsid w:val="00B84ED1"/>
    <w:rsid w:val="00B84ED5"/>
    <w:rsid w:val="00B84F94"/>
    <w:rsid w:val="00B85091"/>
    <w:rsid w:val="00B853FE"/>
    <w:rsid w:val="00B85609"/>
    <w:rsid w:val="00B858D0"/>
    <w:rsid w:val="00B85B84"/>
    <w:rsid w:val="00B85F0A"/>
    <w:rsid w:val="00B86102"/>
    <w:rsid w:val="00B8655E"/>
    <w:rsid w:val="00B8685F"/>
    <w:rsid w:val="00B86FBF"/>
    <w:rsid w:val="00B872C5"/>
    <w:rsid w:val="00B87431"/>
    <w:rsid w:val="00B8754B"/>
    <w:rsid w:val="00B87578"/>
    <w:rsid w:val="00B876AB"/>
    <w:rsid w:val="00B8777A"/>
    <w:rsid w:val="00B87844"/>
    <w:rsid w:val="00B87888"/>
    <w:rsid w:val="00B87B08"/>
    <w:rsid w:val="00B87B1C"/>
    <w:rsid w:val="00B87B9A"/>
    <w:rsid w:val="00B87CD8"/>
    <w:rsid w:val="00B87D6C"/>
    <w:rsid w:val="00B90080"/>
    <w:rsid w:val="00B90435"/>
    <w:rsid w:val="00B9046B"/>
    <w:rsid w:val="00B904F5"/>
    <w:rsid w:val="00B906F9"/>
    <w:rsid w:val="00B910E1"/>
    <w:rsid w:val="00B912DD"/>
    <w:rsid w:val="00B917C1"/>
    <w:rsid w:val="00B91A0A"/>
    <w:rsid w:val="00B91AF0"/>
    <w:rsid w:val="00B91CB4"/>
    <w:rsid w:val="00B91E59"/>
    <w:rsid w:val="00B9200D"/>
    <w:rsid w:val="00B92151"/>
    <w:rsid w:val="00B921D9"/>
    <w:rsid w:val="00B92725"/>
    <w:rsid w:val="00B927A0"/>
    <w:rsid w:val="00B92903"/>
    <w:rsid w:val="00B92B2D"/>
    <w:rsid w:val="00B92E2E"/>
    <w:rsid w:val="00B932FC"/>
    <w:rsid w:val="00B93543"/>
    <w:rsid w:val="00B93CBA"/>
    <w:rsid w:val="00B93D0E"/>
    <w:rsid w:val="00B93E0B"/>
    <w:rsid w:val="00B944E0"/>
    <w:rsid w:val="00B946C5"/>
    <w:rsid w:val="00B94940"/>
    <w:rsid w:val="00B94C94"/>
    <w:rsid w:val="00B94CF2"/>
    <w:rsid w:val="00B94E01"/>
    <w:rsid w:val="00B95346"/>
    <w:rsid w:val="00B95452"/>
    <w:rsid w:val="00B9578A"/>
    <w:rsid w:val="00B958CE"/>
    <w:rsid w:val="00B9593E"/>
    <w:rsid w:val="00B95C18"/>
    <w:rsid w:val="00B95C24"/>
    <w:rsid w:val="00B960B1"/>
    <w:rsid w:val="00B96116"/>
    <w:rsid w:val="00B96151"/>
    <w:rsid w:val="00B9615E"/>
    <w:rsid w:val="00B9617A"/>
    <w:rsid w:val="00B962E0"/>
    <w:rsid w:val="00B9633F"/>
    <w:rsid w:val="00B963AC"/>
    <w:rsid w:val="00B9668A"/>
    <w:rsid w:val="00B96710"/>
    <w:rsid w:val="00B96713"/>
    <w:rsid w:val="00B9679B"/>
    <w:rsid w:val="00B96AD2"/>
    <w:rsid w:val="00B96AF4"/>
    <w:rsid w:val="00B96B0C"/>
    <w:rsid w:val="00B96BF0"/>
    <w:rsid w:val="00B96C6C"/>
    <w:rsid w:val="00B96F66"/>
    <w:rsid w:val="00B9722B"/>
    <w:rsid w:val="00B9736F"/>
    <w:rsid w:val="00B973FA"/>
    <w:rsid w:val="00B974CC"/>
    <w:rsid w:val="00B976D0"/>
    <w:rsid w:val="00B97A9D"/>
    <w:rsid w:val="00B97CB4"/>
    <w:rsid w:val="00B97DF9"/>
    <w:rsid w:val="00B97FB9"/>
    <w:rsid w:val="00BA003D"/>
    <w:rsid w:val="00BA00C8"/>
    <w:rsid w:val="00BA0108"/>
    <w:rsid w:val="00BA024B"/>
    <w:rsid w:val="00BA02FF"/>
    <w:rsid w:val="00BA0301"/>
    <w:rsid w:val="00BA05E6"/>
    <w:rsid w:val="00BA0A9E"/>
    <w:rsid w:val="00BA0AE4"/>
    <w:rsid w:val="00BA0B9F"/>
    <w:rsid w:val="00BA0E42"/>
    <w:rsid w:val="00BA118B"/>
    <w:rsid w:val="00BA14BD"/>
    <w:rsid w:val="00BA1800"/>
    <w:rsid w:val="00BA1AB7"/>
    <w:rsid w:val="00BA2089"/>
    <w:rsid w:val="00BA2161"/>
    <w:rsid w:val="00BA2234"/>
    <w:rsid w:val="00BA26CE"/>
    <w:rsid w:val="00BA2926"/>
    <w:rsid w:val="00BA2C91"/>
    <w:rsid w:val="00BA2CFB"/>
    <w:rsid w:val="00BA2FD7"/>
    <w:rsid w:val="00BA2FEE"/>
    <w:rsid w:val="00BA39AC"/>
    <w:rsid w:val="00BA3C77"/>
    <w:rsid w:val="00BA3FBE"/>
    <w:rsid w:val="00BA3FF0"/>
    <w:rsid w:val="00BA40BD"/>
    <w:rsid w:val="00BA4176"/>
    <w:rsid w:val="00BA41E7"/>
    <w:rsid w:val="00BA4217"/>
    <w:rsid w:val="00BA43C5"/>
    <w:rsid w:val="00BA44EE"/>
    <w:rsid w:val="00BA4666"/>
    <w:rsid w:val="00BA4927"/>
    <w:rsid w:val="00BA4F18"/>
    <w:rsid w:val="00BA4F74"/>
    <w:rsid w:val="00BA4FEF"/>
    <w:rsid w:val="00BA5097"/>
    <w:rsid w:val="00BA5121"/>
    <w:rsid w:val="00BA52AC"/>
    <w:rsid w:val="00BA551F"/>
    <w:rsid w:val="00BA5A22"/>
    <w:rsid w:val="00BA5BC0"/>
    <w:rsid w:val="00BA5E42"/>
    <w:rsid w:val="00BA6107"/>
    <w:rsid w:val="00BA62B7"/>
    <w:rsid w:val="00BA675C"/>
    <w:rsid w:val="00BA67E5"/>
    <w:rsid w:val="00BA6882"/>
    <w:rsid w:val="00BA6C7D"/>
    <w:rsid w:val="00BA6DC1"/>
    <w:rsid w:val="00BA6FDB"/>
    <w:rsid w:val="00BA7001"/>
    <w:rsid w:val="00BA724B"/>
    <w:rsid w:val="00BA72A2"/>
    <w:rsid w:val="00BA7461"/>
    <w:rsid w:val="00BA7503"/>
    <w:rsid w:val="00BA75AF"/>
    <w:rsid w:val="00BA75BF"/>
    <w:rsid w:val="00BA76B6"/>
    <w:rsid w:val="00BA7962"/>
    <w:rsid w:val="00BA7A2C"/>
    <w:rsid w:val="00BA7A3E"/>
    <w:rsid w:val="00BA7ABA"/>
    <w:rsid w:val="00BA7B34"/>
    <w:rsid w:val="00BA7DFE"/>
    <w:rsid w:val="00BA7EDF"/>
    <w:rsid w:val="00BB0226"/>
    <w:rsid w:val="00BB042A"/>
    <w:rsid w:val="00BB0526"/>
    <w:rsid w:val="00BB0612"/>
    <w:rsid w:val="00BB0944"/>
    <w:rsid w:val="00BB09FC"/>
    <w:rsid w:val="00BB0A25"/>
    <w:rsid w:val="00BB0EAE"/>
    <w:rsid w:val="00BB112D"/>
    <w:rsid w:val="00BB12B2"/>
    <w:rsid w:val="00BB1348"/>
    <w:rsid w:val="00BB157D"/>
    <w:rsid w:val="00BB174A"/>
    <w:rsid w:val="00BB1CB1"/>
    <w:rsid w:val="00BB1FBD"/>
    <w:rsid w:val="00BB1FCD"/>
    <w:rsid w:val="00BB258B"/>
    <w:rsid w:val="00BB265A"/>
    <w:rsid w:val="00BB27B6"/>
    <w:rsid w:val="00BB29AB"/>
    <w:rsid w:val="00BB2B22"/>
    <w:rsid w:val="00BB2BB3"/>
    <w:rsid w:val="00BB2BC3"/>
    <w:rsid w:val="00BB3246"/>
    <w:rsid w:val="00BB332B"/>
    <w:rsid w:val="00BB35EF"/>
    <w:rsid w:val="00BB36EE"/>
    <w:rsid w:val="00BB3774"/>
    <w:rsid w:val="00BB3820"/>
    <w:rsid w:val="00BB3999"/>
    <w:rsid w:val="00BB3B43"/>
    <w:rsid w:val="00BB3C75"/>
    <w:rsid w:val="00BB3EA3"/>
    <w:rsid w:val="00BB401A"/>
    <w:rsid w:val="00BB41E8"/>
    <w:rsid w:val="00BB43C6"/>
    <w:rsid w:val="00BB4439"/>
    <w:rsid w:val="00BB451D"/>
    <w:rsid w:val="00BB454A"/>
    <w:rsid w:val="00BB4B74"/>
    <w:rsid w:val="00BB4C09"/>
    <w:rsid w:val="00BB4C1F"/>
    <w:rsid w:val="00BB4C26"/>
    <w:rsid w:val="00BB4EAD"/>
    <w:rsid w:val="00BB4F55"/>
    <w:rsid w:val="00BB4FC7"/>
    <w:rsid w:val="00BB5063"/>
    <w:rsid w:val="00BB5154"/>
    <w:rsid w:val="00BB5319"/>
    <w:rsid w:val="00BB5726"/>
    <w:rsid w:val="00BB582E"/>
    <w:rsid w:val="00BB58C3"/>
    <w:rsid w:val="00BB58E1"/>
    <w:rsid w:val="00BB5A81"/>
    <w:rsid w:val="00BB5E1C"/>
    <w:rsid w:val="00BB5EE4"/>
    <w:rsid w:val="00BB5F44"/>
    <w:rsid w:val="00BB5FC7"/>
    <w:rsid w:val="00BB5FF8"/>
    <w:rsid w:val="00BB636A"/>
    <w:rsid w:val="00BB685E"/>
    <w:rsid w:val="00BB6A7A"/>
    <w:rsid w:val="00BB6CB2"/>
    <w:rsid w:val="00BB6CD8"/>
    <w:rsid w:val="00BB6EBB"/>
    <w:rsid w:val="00BB6F0A"/>
    <w:rsid w:val="00BB6F22"/>
    <w:rsid w:val="00BB6F63"/>
    <w:rsid w:val="00BB6F8F"/>
    <w:rsid w:val="00BB7240"/>
    <w:rsid w:val="00BB739B"/>
    <w:rsid w:val="00BB745A"/>
    <w:rsid w:val="00BB75D8"/>
    <w:rsid w:val="00BB7A72"/>
    <w:rsid w:val="00BB7A74"/>
    <w:rsid w:val="00BB7AE9"/>
    <w:rsid w:val="00BB7CEC"/>
    <w:rsid w:val="00BB7CFB"/>
    <w:rsid w:val="00BB7DA1"/>
    <w:rsid w:val="00BB7DA5"/>
    <w:rsid w:val="00BB7EAA"/>
    <w:rsid w:val="00BB7F21"/>
    <w:rsid w:val="00BC038C"/>
    <w:rsid w:val="00BC0403"/>
    <w:rsid w:val="00BC04EC"/>
    <w:rsid w:val="00BC0743"/>
    <w:rsid w:val="00BC0A3F"/>
    <w:rsid w:val="00BC0ABA"/>
    <w:rsid w:val="00BC0B1E"/>
    <w:rsid w:val="00BC1123"/>
    <w:rsid w:val="00BC1375"/>
    <w:rsid w:val="00BC13B4"/>
    <w:rsid w:val="00BC13BA"/>
    <w:rsid w:val="00BC1444"/>
    <w:rsid w:val="00BC17F0"/>
    <w:rsid w:val="00BC18E5"/>
    <w:rsid w:val="00BC1976"/>
    <w:rsid w:val="00BC1A06"/>
    <w:rsid w:val="00BC1A2E"/>
    <w:rsid w:val="00BC1A5C"/>
    <w:rsid w:val="00BC1BDB"/>
    <w:rsid w:val="00BC1CDC"/>
    <w:rsid w:val="00BC1D17"/>
    <w:rsid w:val="00BC247D"/>
    <w:rsid w:val="00BC24FC"/>
    <w:rsid w:val="00BC2568"/>
    <w:rsid w:val="00BC2664"/>
    <w:rsid w:val="00BC267C"/>
    <w:rsid w:val="00BC28DA"/>
    <w:rsid w:val="00BC2B5D"/>
    <w:rsid w:val="00BC319B"/>
    <w:rsid w:val="00BC32D8"/>
    <w:rsid w:val="00BC3338"/>
    <w:rsid w:val="00BC3439"/>
    <w:rsid w:val="00BC3834"/>
    <w:rsid w:val="00BC3872"/>
    <w:rsid w:val="00BC3C08"/>
    <w:rsid w:val="00BC3D67"/>
    <w:rsid w:val="00BC3D88"/>
    <w:rsid w:val="00BC3F42"/>
    <w:rsid w:val="00BC4168"/>
    <w:rsid w:val="00BC42AB"/>
    <w:rsid w:val="00BC4436"/>
    <w:rsid w:val="00BC4814"/>
    <w:rsid w:val="00BC4977"/>
    <w:rsid w:val="00BC49AD"/>
    <w:rsid w:val="00BC4DD6"/>
    <w:rsid w:val="00BC4E8D"/>
    <w:rsid w:val="00BC4F81"/>
    <w:rsid w:val="00BC5089"/>
    <w:rsid w:val="00BC5119"/>
    <w:rsid w:val="00BC519D"/>
    <w:rsid w:val="00BC543A"/>
    <w:rsid w:val="00BC553D"/>
    <w:rsid w:val="00BC554F"/>
    <w:rsid w:val="00BC55FF"/>
    <w:rsid w:val="00BC5827"/>
    <w:rsid w:val="00BC58B8"/>
    <w:rsid w:val="00BC594F"/>
    <w:rsid w:val="00BC5B64"/>
    <w:rsid w:val="00BC5BED"/>
    <w:rsid w:val="00BC619E"/>
    <w:rsid w:val="00BC6750"/>
    <w:rsid w:val="00BC6A5E"/>
    <w:rsid w:val="00BC6BD8"/>
    <w:rsid w:val="00BC6E77"/>
    <w:rsid w:val="00BC72AD"/>
    <w:rsid w:val="00BC7358"/>
    <w:rsid w:val="00BC74BE"/>
    <w:rsid w:val="00BC76FF"/>
    <w:rsid w:val="00BC7803"/>
    <w:rsid w:val="00BC7AB7"/>
    <w:rsid w:val="00BD025C"/>
    <w:rsid w:val="00BD033B"/>
    <w:rsid w:val="00BD060F"/>
    <w:rsid w:val="00BD064E"/>
    <w:rsid w:val="00BD06B7"/>
    <w:rsid w:val="00BD070E"/>
    <w:rsid w:val="00BD077A"/>
    <w:rsid w:val="00BD07F3"/>
    <w:rsid w:val="00BD084B"/>
    <w:rsid w:val="00BD09BA"/>
    <w:rsid w:val="00BD09D4"/>
    <w:rsid w:val="00BD0A3A"/>
    <w:rsid w:val="00BD0BBC"/>
    <w:rsid w:val="00BD0E52"/>
    <w:rsid w:val="00BD0EB7"/>
    <w:rsid w:val="00BD11D8"/>
    <w:rsid w:val="00BD1395"/>
    <w:rsid w:val="00BD1580"/>
    <w:rsid w:val="00BD19E2"/>
    <w:rsid w:val="00BD1B17"/>
    <w:rsid w:val="00BD1B96"/>
    <w:rsid w:val="00BD1BB1"/>
    <w:rsid w:val="00BD1CE1"/>
    <w:rsid w:val="00BD1E3D"/>
    <w:rsid w:val="00BD2192"/>
    <w:rsid w:val="00BD2608"/>
    <w:rsid w:val="00BD27F4"/>
    <w:rsid w:val="00BD27FE"/>
    <w:rsid w:val="00BD27FF"/>
    <w:rsid w:val="00BD28A0"/>
    <w:rsid w:val="00BD2A14"/>
    <w:rsid w:val="00BD2BAB"/>
    <w:rsid w:val="00BD2BED"/>
    <w:rsid w:val="00BD2D6C"/>
    <w:rsid w:val="00BD2DFE"/>
    <w:rsid w:val="00BD303E"/>
    <w:rsid w:val="00BD30AB"/>
    <w:rsid w:val="00BD39E7"/>
    <w:rsid w:val="00BD3B95"/>
    <w:rsid w:val="00BD3CB4"/>
    <w:rsid w:val="00BD3E3C"/>
    <w:rsid w:val="00BD4020"/>
    <w:rsid w:val="00BD4102"/>
    <w:rsid w:val="00BD413D"/>
    <w:rsid w:val="00BD41FB"/>
    <w:rsid w:val="00BD43E6"/>
    <w:rsid w:val="00BD4443"/>
    <w:rsid w:val="00BD4B14"/>
    <w:rsid w:val="00BD4EA7"/>
    <w:rsid w:val="00BD4FC9"/>
    <w:rsid w:val="00BD50F9"/>
    <w:rsid w:val="00BD5267"/>
    <w:rsid w:val="00BD5436"/>
    <w:rsid w:val="00BD5476"/>
    <w:rsid w:val="00BD598C"/>
    <w:rsid w:val="00BD5B1A"/>
    <w:rsid w:val="00BD5B39"/>
    <w:rsid w:val="00BD6035"/>
    <w:rsid w:val="00BD609C"/>
    <w:rsid w:val="00BD6348"/>
    <w:rsid w:val="00BD697B"/>
    <w:rsid w:val="00BD6BE5"/>
    <w:rsid w:val="00BD6DE1"/>
    <w:rsid w:val="00BD6E4F"/>
    <w:rsid w:val="00BD71DE"/>
    <w:rsid w:val="00BD7406"/>
    <w:rsid w:val="00BD77E9"/>
    <w:rsid w:val="00BD7813"/>
    <w:rsid w:val="00BD7BB8"/>
    <w:rsid w:val="00BD7C49"/>
    <w:rsid w:val="00BD7C6E"/>
    <w:rsid w:val="00BD7E76"/>
    <w:rsid w:val="00BE00E9"/>
    <w:rsid w:val="00BE0129"/>
    <w:rsid w:val="00BE0216"/>
    <w:rsid w:val="00BE072B"/>
    <w:rsid w:val="00BE072D"/>
    <w:rsid w:val="00BE083B"/>
    <w:rsid w:val="00BE08B5"/>
    <w:rsid w:val="00BE0BA9"/>
    <w:rsid w:val="00BE0BB1"/>
    <w:rsid w:val="00BE0E11"/>
    <w:rsid w:val="00BE0FCB"/>
    <w:rsid w:val="00BE1015"/>
    <w:rsid w:val="00BE1059"/>
    <w:rsid w:val="00BE115D"/>
    <w:rsid w:val="00BE15EE"/>
    <w:rsid w:val="00BE1A06"/>
    <w:rsid w:val="00BE2155"/>
    <w:rsid w:val="00BE21F3"/>
    <w:rsid w:val="00BE2379"/>
    <w:rsid w:val="00BE24CA"/>
    <w:rsid w:val="00BE250B"/>
    <w:rsid w:val="00BE2A68"/>
    <w:rsid w:val="00BE2B09"/>
    <w:rsid w:val="00BE2B84"/>
    <w:rsid w:val="00BE2D51"/>
    <w:rsid w:val="00BE2DC7"/>
    <w:rsid w:val="00BE2F27"/>
    <w:rsid w:val="00BE2F39"/>
    <w:rsid w:val="00BE302D"/>
    <w:rsid w:val="00BE303B"/>
    <w:rsid w:val="00BE3062"/>
    <w:rsid w:val="00BE307B"/>
    <w:rsid w:val="00BE3173"/>
    <w:rsid w:val="00BE31E8"/>
    <w:rsid w:val="00BE32E4"/>
    <w:rsid w:val="00BE33FC"/>
    <w:rsid w:val="00BE3411"/>
    <w:rsid w:val="00BE3451"/>
    <w:rsid w:val="00BE3679"/>
    <w:rsid w:val="00BE3682"/>
    <w:rsid w:val="00BE39DC"/>
    <w:rsid w:val="00BE3A69"/>
    <w:rsid w:val="00BE3B9E"/>
    <w:rsid w:val="00BE3EFF"/>
    <w:rsid w:val="00BE42F2"/>
    <w:rsid w:val="00BE4339"/>
    <w:rsid w:val="00BE46BA"/>
    <w:rsid w:val="00BE488C"/>
    <w:rsid w:val="00BE49F3"/>
    <w:rsid w:val="00BE4E02"/>
    <w:rsid w:val="00BE5087"/>
    <w:rsid w:val="00BE5322"/>
    <w:rsid w:val="00BE543B"/>
    <w:rsid w:val="00BE581B"/>
    <w:rsid w:val="00BE598C"/>
    <w:rsid w:val="00BE611E"/>
    <w:rsid w:val="00BE6571"/>
    <w:rsid w:val="00BE65B0"/>
    <w:rsid w:val="00BE6659"/>
    <w:rsid w:val="00BE6687"/>
    <w:rsid w:val="00BE6831"/>
    <w:rsid w:val="00BE684D"/>
    <w:rsid w:val="00BE6879"/>
    <w:rsid w:val="00BE69AB"/>
    <w:rsid w:val="00BE69FD"/>
    <w:rsid w:val="00BE6EE1"/>
    <w:rsid w:val="00BE6F41"/>
    <w:rsid w:val="00BE6F46"/>
    <w:rsid w:val="00BE6FF8"/>
    <w:rsid w:val="00BE726C"/>
    <w:rsid w:val="00BE7454"/>
    <w:rsid w:val="00BE78F9"/>
    <w:rsid w:val="00BE7A36"/>
    <w:rsid w:val="00BE7F4F"/>
    <w:rsid w:val="00BF00CA"/>
    <w:rsid w:val="00BF0320"/>
    <w:rsid w:val="00BF0695"/>
    <w:rsid w:val="00BF06C1"/>
    <w:rsid w:val="00BF07AF"/>
    <w:rsid w:val="00BF0D49"/>
    <w:rsid w:val="00BF0D92"/>
    <w:rsid w:val="00BF0E55"/>
    <w:rsid w:val="00BF10BA"/>
    <w:rsid w:val="00BF11C2"/>
    <w:rsid w:val="00BF1299"/>
    <w:rsid w:val="00BF130D"/>
    <w:rsid w:val="00BF1595"/>
    <w:rsid w:val="00BF15B9"/>
    <w:rsid w:val="00BF18FA"/>
    <w:rsid w:val="00BF1A37"/>
    <w:rsid w:val="00BF1C11"/>
    <w:rsid w:val="00BF1D4D"/>
    <w:rsid w:val="00BF1DF1"/>
    <w:rsid w:val="00BF1F57"/>
    <w:rsid w:val="00BF20F5"/>
    <w:rsid w:val="00BF2186"/>
    <w:rsid w:val="00BF223E"/>
    <w:rsid w:val="00BF24AC"/>
    <w:rsid w:val="00BF255F"/>
    <w:rsid w:val="00BF265E"/>
    <w:rsid w:val="00BF27EA"/>
    <w:rsid w:val="00BF29B4"/>
    <w:rsid w:val="00BF2A33"/>
    <w:rsid w:val="00BF2D9E"/>
    <w:rsid w:val="00BF2EB4"/>
    <w:rsid w:val="00BF2F7D"/>
    <w:rsid w:val="00BF3099"/>
    <w:rsid w:val="00BF324E"/>
    <w:rsid w:val="00BF358B"/>
    <w:rsid w:val="00BF3B68"/>
    <w:rsid w:val="00BF3BB1"/>
    <w:rsid w:val="00BF3DEC"/>
    <w:rsid w:val="00BF3F29"/>
    <w:rsid w:val="00BF415A"/>
    <w:rsid w:val="00BF42AC"/>
    <w:rsid w:val="00BF4307"/>
    <w:rsid w:val="00BF43C1"/>
    <w:rsid w:val="00BF4600"/>
    <w:rsid w:val="00BF48B3"/>
    <w:rsid w:val="00BF4BA5"/>
    <w:rsid w:val="00BF4C7F"/>
    <w:rsid w:val="00BF4D83"/>
    <w:rsid w:val="00BF4DAC"/>
    <w:rsid w:val="00BF4F7B"/>
    <w:rsid w:val="00BF5169"/>
    <w:rsid w:val="00BF5236"/>
    <w:rsid w:val="00BF52DB"/>
    <w:rsid w:val="00BF52E2"/>
    <w:rsid w:val="00BF53E1"/>
    <w:rsid w:val="00BF543D"/>
    <w:rsid w:val="00BF5744"/>
    <w:rsid w:val="00BF5828"/>
    <w:rsid w:val="00BF58FF"/>
    <w:rsid w:val="00BF598E"/>
    <w:rsid w:val="00BF5D55"/>
    <w:rsid w:val="00BF5DD1"/>
    <w:rsid w:val="00BF62B3"/>
    <w:rsid w:val="00BF649C"/>
    <w:rsid w:val="00BF6770"/>
    <w:rsid w:val="00BF6CA7"/>
    <w:rsid w:val="00BF6E07"/>
    <w:rsid w:val="00BF7273"/>
    <w:rsid w:val="00BF743F"/>
    <w:rsid w:val="00BF755E"/>
    <w:rsid w:val="00BF7A7A"/>
    <w:rsid w:val="00BF7E3F"/>
    <w:rsid w:val="00BF7EC6"/>
    <w:rsid w:val="00C00052"/>
    <w:rsid w:val="00C00190"/>
    <w:rsid w:val="00C003DE"/>
    <w:rsid w:val="00C0045C"/>
    <w:rsid w:val="00C0049D"/>
    <w:rsid w:val="00C0062B"/>
    <w:rsid w:val="00C006A5"/>
    <w:rsid w:val="00C00CBB"/>
    <w:rsid w:val="00C00D79"/>
    <w:rsid w:val="00C00F63"/>
    <w:rsid w:val="00C013F8"/>
    <w:rsid w:val="00C017FE"/>
    <w:rsid w:val="00C01A84"/>
    <w:rsid w:val="00C01B42"/>
    <w:rsid w:val="00C01CBB"/>
    <w:rsid w:val="00C01DB7"/>
    <w:rsid w:val="00C021CD"/>
    <w:rsid w:val="00C025A4"/>
    <w:rsid w:val="00C025C1"/>
    <w:rsid w:val="00C02A4B"/>
    <w:rsid w:val="00C02C74"/>
    <w:rsid w:val="00C02F7A"/>
    <w:rsid w:val="00C0326F"/>
    <w:rsid w:val="00C032C6"/>
    <w:rsid w:val="00C032CD"/>
    <w:rsid w:val="00C03350"/>
    <w:rsid w:val="00C0353D"/>
    <w:rsid w:val="00C03588"/>
    <w:rsid w:val="00C035A1"/>
    <w:rsid w:val="00C0362B"/>
    <w:rsid w:val="00C037E8"/>
    <w:rsid w:val="00C03854"/>
    <w:rsid w:val="00C03D13"/>
    <w:rsid w:val="00C03D56"/>
    <w:rsid w:val="00C03F64"/>
    <w:rsid w:val="00C04215"/>
    <w:rsid w:val="00C04284"/>
    <w:rsid w:val="00C043FC"/>
    <w:rsid w:val="00C04581"/>
    <w:rsid w:val="00C04797"/>
    <w:rsid w:val="00C04B54"/>
    <w:rsid w:val="00C04BC3"/>
    <w:rsid w:val="00C04DF3"/>
    <w:rsid w:val="00C04E40"/>
    <w:rsid w:val="00C050CE"/>
    <w:rsid w:val="00C05597"/>
    <w:rsid w:val="00C05764"/>
    <w:rsid w:val="00C0583A"/>
    <w:rsid w:val="00C059D7"/>
    <w:rsid w:val="00C05A20"/>
    <w:rsid w:val="00C05ACF"/>
    <w:rsid w:val="00C05BC3"/>
    <w:rsid w:val="00C06433"/>
    <w:rsid w:val="00C065C9"/>
    <w:rsid w:val="00C06656"/>
    <w:rsid w:val="00C068F6"/>
    <w:rsid w:val="00C06977"/>
    <w:rsid w:val="00C06BDB"/>
    <w:rsid w:val="00C06C18"/>
    <w:rsid w:val="00C06DD1"/>
    <w:rsid w:val="00C06F71"/>
    <w:rsid w:val="00C07325"/>
    <w:rsid w:val="00C07430"/>
    <w:rsid w:val="00C076FA"/>
    <w:rsid w:val="00C077ED"/>
    <w:rsid w:val="00C07865"/>
    <w:rsid w:val="00C07A24"/>
    <w:rsid w:val="00C07A32"/>
    <w:rsid w:val="00C07B67"/>
    <w:rsid w:val="00C07C0A"/>
    <w:rsid w:val="00C07C0D"/>
    <w:rsid w:val="00C10076"/>
    <w:rsid w:val="00C108E3"/>
    <w:rsid w:val="00C10A3C"/>
    <w:rsid w:val="00C10D18"/>
    <w:rsid w:val="00C10FB5"/>
    <w:rsid w:val="00C11186"/>
    <w:rsid w:val="00C1155B"/>
    <w:rsid w:val="00C11583"/>
    <w:rsid w:val="00C118D6"/>
    <w:rsid w:val="00C118FF"/>
    <w:rsid w:val="00C11955"/>
    <w:rsid w:val="00C11994"/>
    <w:rsid w:val="00C11996"/>
    <w:rsid w:val="00C11A6A"/>
    <w:rsid w:val="00C11B66"/>
    <w:rsid w:val="00C12660"/>
    <w:rsid w:val="00C1290A"/>
    <w:rsid w:val="00C12994"/>
    <w:rsid w:val="00C12A77"/>
    <w:rsid w:val="00C12BA5"/>
    <w:rsid w:val="00C12C1A"/>
    <w:rsid w:val="00C12DAF"/>
    <w:rsid w:val="00C12E58"/>
    <w:rsid w:val="00C13025"/>
    <w:rsid w:val="00C130B0"/>
    <w:rsid w:val="00C13123"/>
    <w:rsid w:val="00C1347A"/>
    <w:rsid w:val="00C1358F"/>
    <w:rsid w:val="00C1365B"/>
    <w:rsid w:val="00C13A62"/>
    <w:rsid w:val="00C13E7E"/>
    <w:rsid w:val="00C13ECA"/>
    <w:rsid w:val="00C14205"/>
    <w:rsid w:val="00C14266"/>
    <w:rsid w:val="00C146AE"/>
    <w:rsid w:val="00C14790"/>
    <w:rsid w:val="00C14877"/>
    <w:rsid w:val="00C14984"/>
    <w:rsid w:val="00C14AF4"/>
    <w:rsid w:val="00C14CBD"/>
    <w:rsid w:val="00C14D3B"/>
    <w:rsid w:val="00C14EC4"/>
    <w:rsid w:val="00C14F2B"/>
    <w:rsid w:val="00C14F45"/>
    <w:rsid w:val="00C15087"/>
    <w:rsid w:val="00C1509B"/>
    <w:rsid w:val="00C1534B"/>
    <w:rsid w:val="00C15406"/>
    <w:rsid w:val="00C15771"/>
    <w:rsid w:val="00C15D08"/>
    <w:rsid w:val="00C16170"/>
    <w:rsid w:val="00C16309"/>
    <w:rsid w:val="00C1667A"/>
    <w:rsid w:val="00C168F7"/>
    <w:rsid w:val="00C169D0"/>
    <w:rsid w:val="00C16E2D"/>
    <w:rsid w:val="00C16FA2"/>
    <w:rsid w:val="00C1701C"/>
    <w:rsid w:val="00C17248"/>
    <w:rsid w:val="00C174C5"/>
    <w:rsid w:val="00C175D4"/>
    <w:rsid w:val="00C176F7"/>
    <w:rsid w:val="00C17712"/>
    <w:rsid w:val="00C17BC4"/>
    <w:rsid w:val="00C17D09"/>
    <w:rsid w:val="00C17FDE"/>
    <w:rsid w:val="00C201D6"/>
    <w:rsid w:val="00C2033D"/>
    <w:rsid w:val="00C203AE"/>
    <w:rsid w:val="00C20561"/>
    <w:rsid w:val="00C207A6"/>
    <w:rsid w:val="00C20813"/>
    <w:rsid w:val="00C208E2"/>
    <w:rsid w:val="00C20B0C"/>
    <w:rsid w:val="00C20B1C"/>
    <w:rsid w:val="00C20C6F"/>
    <w:rsid w:val="00C20D65"/>
    <w:rsid w:val="00C20F36"/>
    <w:rsid w:val="00C20FCA"/>
    <w:rsid w:val="00C212E9"/>
    <w:rsid w:val="00C21338"/>
    <w:rsid w:val="00C2143E"/>
    <w:rsid w:val="00C21441"/>
    <w:rsid w:val="00C21450"/>
    <w:rsid w:val="00C214DA"/>
    <w:rsid w:val="00C21512"/>
    <w:rsid w:val="00C21697"/>
    <w:rsid w:val="00C21AF2"/>
    <w:rsid w:val="00C21B40"/>
    <w:rsid w:val="00C21C18"/>
    <w:rsid w:val="00C21C39"/>
    <w:rsid w:val="00C21CB0"/>
    <w:rsid w:val="00C21FCD"/>
    <w:rsid w:val="00C22216"/>
    <w:rsid w:val="00C2251A"/>
    <w:rsid w:val="00C22689"/>
    <w:rsid w:val="00C22711"/>
    <w:rsid w:val="00C22860"/>
    <w:rsid w:val="00C22D82"/>
    <w:rsid w:val="00C2329A"/>
    <w:rsid w:val="00C2336A"/>
    <w:rsid w:val="00C234B3"/>
    <w:rsid w:val="00C235C7"/>
    <w:rsid w:val="00C2369A"/>
    <w:rsid w:val="00C24879"/>
    <w:rsid w:val="00C25313"/>
    <w:rsid w:val="00C25322"/>
    <w:rsid w:val="00C25352"/>
    <w:rsid w:val="00C25415"/>
    <w:rsid w:val="00C254E6"/>
    <w:rsid w:val="00C25796"/>
    <w:rsid w:val="00C2599E"/>
    <w:rsid w:val="00C259ED"/>
    <w:rsid w:val="00C25AEA"/>
    <w:rsid w:val="00C25DB9"/>
    <w:rsid w:val="00C25F36"/>
    <w:rsid w:val="00C25F52"/>
    <w:rsid w:val="00C26016"/>
    <w:rsid w:val="00C2616D"/>
    <w:rsid w:val="00C26501"/>
    <w:rsid w:val="00C2659D"/>
    <w:rsid w:val="00C26713"/>
    <w:rsid w:val="00C26783"/>
    <w:rsid w:val="00C269C9"/>
    <w:rsid w:val="00C26A87"/>
    <w:rsid w:val="00C26C26"/>
    <w:rsid w:val="00C27074"/>
    <w:rsid w:val="00C270D1"/>
    <w:rsid w:val="00C27112"/>
    <w:rsid w:val="00C272DB"/>
    <w:rsid w:val="00C273AF"/>
    <w:rsid w:val="00C27410"/>
    <w:rsid w:val="00C27768"/>
    <w:rsid w:val="00C277FF"/>
    <w:rsid w:val="00C27820"/>
    <w:rsid w:val="00C27A1B"/>
    <w:rsid w:val="00C27A42"/>
    <w:rsid w:val="00C27DD9"/>
    <w:rsid w:val="00C27ED7"/>
    <w:rsid w:val="00C27F68"/>
    <w:rsid w:val="00C3074A"/>
    <w:rsid w:val="00C30D0F"/>
    <w:rsid w:val="00C30D4F"/>
    <w:rsid w:val="00C30DC1"/>
    <w:rsid w:val="00C30E17"/>
    <w:rsid w:val="00C30E1C"/>
    <w:rsid w:val="00C3123A"/>
    <w:rsid w:val="00C31368"/>
    <w:rsid w:val="00C31848"/>
    <w:rsid w:val="00C318CB"/>
    <w:rsid w:val="00C318F7"/>
    <w:rsid w:val="00C31BD8"/>
    <w:rsid w:val="00C32046"/>
    <w:rsid w:val="00C322D3"/>
    <w:rsid w:val="00C3231F"/>
    <w:rsid w:val="00C323FD"/>
    <w:rsid w:val="00C3250A"/>
    <w:rsid w:val="00C328DD"/>
    <w:rsid w:val="00C32FE8"/>
    <w:rsid w:val="00C33253"/>
    <w:rsid w:val="00C3358E"/>
    <w:rsid w:val="00C335BC"/>
    <w:rsid w:val="00C3361C"/>
    <w:rsid w:val="00C338B1"/>
    <w:rsid w:val="00C33AED"/>
    <w:rsid w:val="00C33C61"/>
    <w:rsid w:val="00C33D60"/>
    <w:rsid w:val="00C33E7D"/>
    <w:rsid w:val="00C33EFA"/>
    <w:rsid w:val="00C34408"/>
    <w:rsid w:val="00C3453F"/>
    <w:rsid w:val="00C34577"/>
    <w:rsid w:val="00C3480A"/>
    <w:rsid w:val="00C348E0"/>
    <w:rsid w:val="00C34A76"/>
    <w:rsid w:val="00C34B1D"/>
    <w:rsid w:val="00C34CB2"/>
    <w:rsid w:val="00C34D61"/>
    <w:rsid w:val="00C34DE0"/>
    <w:rsid w:val="00C3531B"/>
    <w:rsid w:val="00C35533"/>
    <w:rsid w:val="00C3556F"/>
    <w:rsid w:val="00C35798"/>
    <w:rsid w:val="00C35846"/>
    <w:rsid w:val="00C35A7C"/>
    <w:rsid w:val="00C35BD9"/>
    <w:rsid w:val="00C35DB4"/>
    <w:rsid w:val="00C35E58"/>
    <w:rsid w:val="00C36058"/>
    <w:rsid w:val="00C361AA"/>
    <w:rsid w:val="00C36259"/>
    <w:rsid w:val="00C36879"/>
    <w:rsid w:val="00C36A91"/>
    <w:rsid w:val="00C36B0B"/>
    <w:rsid w:val="00C36B20"/>
    <w:rsid w:val="00C36CBE"/>
    <w:rsid w:val="00C36D24"/>
    <w:rsid w:val="00C36E05"/>
    <w:rsid w:val="00C36E07"/>
    <w:rsid w:val="00C370E8"/>
    <w:rsid w:val="00C37101"/>
    <w:rsid w:val="00C37225"/>
    <w:rsid w:val="00C376BB"/>
    <w:rsid w:val="00C378FB"/>
    <w:rsid w:val="00C37BE1"/>
    <w:rsid w:val="00C37BF9"/>
    <w:rsid w:val="00C37C95"/>
    <w:rsid w:val="00C37CA2"/>
    <w:rsid w:val="00C37CED"/>
    <w:rsid w:val="00C37D75"/>
    <w:rsid w:val="00C37DBC"/>
    <w:rsid w:val="00C37ECB"/>
    <w:rsid w:val="00C400A8"/>
    <w:rsid w:val="00C40140"/>
    <w:rsid w:val="00C405A1"/>
    <w:rsid w:val="00C4065D"/>
    <w:rsid w:val="00C4068B"/>
    <w:rsid w:val="00C406DE"/>
    <w:rsid w:val="00C4082E"/>
    <w:rsid w:val="00C4088F"/>
    <w:rsid w:val="00C40CD5"/>
    <w:rsid w:val="00C40DD4"/>
    <w:rsid w:val="00C40F2A"/>
    <w:rsid w:val="00C413A9"/>
    <w:rsid w:val="00C4164E"/>
    <w:rsid w:val="00C416DC"/>
    <w:rsid w:val="00C41CC0"/>
    <w:rsid w:val="00C41CFB"/>
    <w:rsid w:val="00C41DC4"/>
    <w:rsid w:val="00C41DDD"/>
    <w:rsid w:val="00C41E83"/>
    <w:rsid w:val="00C41EE7"/>
    <w:rsid w:val="00C41F24"/>
    <w:rsid w:val="00C41F5C"/>
    <w:rsid w:val="00C42034"/>
    <w:rsid w:val="00C420A9"/>
    <w:rsid w:val="00C426F2"/>
    <w:rsid w:val="00C426F4"/>
    <w:rsid w:val="00C4270F"/>
    <w:rsid w:val="00C427CD"/>
    <w:rsid w:val="00C429A7"/>
    <w:rsid w:val="00C42C82"/>
    <w:rsid w:val="00C42D31"/>
    <w:rsid w:val="00C431BF"/>
    <w:rsid w:val="00C432CE"/>
    <w:rsid w:val="00C434A4"/>
    <w:rsid w:val="00C4389F"/>
    <w:rsid w:val="00C43E8F"/>
    <w:rsid w:val="00C44467"/>
    <w:rsid w:val="00C44586"/>
    <w:rsid w:val="00C44831"/>
    <w:rsid w:val="00C44939"/>
    <w:rsid w:val="00C44A5B"/>
    <w:rsid w:val="00C44F8B"/>
    <w:rsid w:val="00C450A3"/>
    <w:rsid w:val="00C45128"/>
    <w:rsid w:val="00C452E5"/>
    <w:rsid w:val="00C45338"/>
    <w:rsid w:val="00C45464"/>
    <w:rsid w:val="00C454CD"/>
    <w:rsid w:val="00C455CF"/>
    <w:rsid w:val="00C45A8A"/>
    <w:rsid w:val="00C45D31"/>
    <w:rsid w:val="00C46292"/>
    <w:rsid w:val="00C46372"/>
    <w:rsid w:val="00C464DD"/>
    <w:rsid w:val="00C46B00"/>
    <w:rsid w:val="00C46CAC"/>
    <w:rsid w:val="00C46CD1"/>
    <w:rsid w:val="00C46D20"/>
    <w:rsid w:val="00C46D83"/>
    <w:rsid w:val="00C471BE"/>
    <w:rsid w:val="00C471C5"/>
    <w:rsid w:val="00C471D4"/>
    <w:rsid w:val="00C473E2"/>
    <w:rsid w:val="00C47885"/>
    <w:rsid w:val="00C47E02"/>
    <w:rsid w:val="00C47EC3"/>
    <w:rsid w:val="00C47F83"/>
    <w:rsid w:val="00C47FE7"/>
    <w:rsid w:val="00C5007F"/>
    <w:rsid w:val="00C500F7"/>
    <w:rsid w:val="00C502AA"/>
    <w:rsid w:val="00C50567"/>
    <w:rsid w:val="00C5060A"/>
    <w:rsid w:val="00C508AA"/>
    <w:rsid w:val="00C50C26"/>
    <w:rsid w:val="00C50CBA"/>
    <w:rsid w:val="00C50F9F"/>
    <w:rsid w:val="00C51145"/>
    <w:rsid w:val="00C5115C"/>
    <w:rsid w:val="00C51381"/>
    <w:rsid w:val="00C517F3"/>
    <w:rsid w:val="00C518DA"/>
    <w:rsid w:val="00C51A09"/>
    <w:rsid w:val="00C51A8F"/>
    <w:rsid w:val="00C51C89"/>
    <w:rsid w:val="00C522CD"/>
    <w:rsid w:val="00C52383"/>
    <w:rsid w:val="00C523EA"/>
    <w:rsid w:val="00C52534"/>
    <w:rsid w:val="00C52728"/>
    <w:rsid w:val="00C527FE"/>
    <w:rsid w:val="00C52857"/>
    <w:rsid w:val="00C52879"/>
    <w:rsid w:val="00C528CC"/>
    <w:rsid w:val="00C52A5D"/>
    <w:rsid w:val="00C52B42"/>
    <w:rsid w:val="00C52B8D"/>
    <w:rsid w:val="00C52F67"/>
    <w:rsid w:val="00C52F85"/>
    <w:rsid w:val="00C52FEA"/>
    <w:rsid w:val="00C530D3"/>
    <w:rsid w:val="00C530EF"/>
    <w:rsid w:val="00C53392"/>
    <w:rsid w:val="00C533F6"/>
    <w:rsid w:val="00C53461"/>
    <w:rsid w:val="00C53697"/>
    <w:rsid w:val="00C53859"/>
    <w:rsid w:val="00C53EDB"/>
    <w:rsid w:val="00C53F9B"/>
    <w:rsid w:val="00C54052"/>
    <w:rsid w:val="00C540E3"/>
    <w:rsid w:val="00C5413F"/>
    <w:rsid w:val="00C54246"/>
    <w:rsid w:val="00C5436E"/>
    <w:rsid w:val="00C543A8"/>
    <w:rsid w:val="00C543F4"/>
    <w:rsid w:val="00C5459A"/>
    <w:rsid w:val="00C549D8"/>
    <w:rsid w:val="00C549F5"/>
    <w:rsid w:val="00C54D2F"/>
    <w:rsid w:val="00C54E12"/>
    <w:rsid w:val="00C54F5D"/>
    <w:rsid w:val="00C55044"/>
    <w:rsid w:val="00C552E7"/>
    <w:rsid w:val="00C55636"/>
    <w:rsid w:val="00C55724"/>
    <w:rsid w:val="00C557EF"/>
    <w:rsid w:val="00C55804"/>
    <w:rsid w:val="00C55873"/>
    <w:rsid w:val="00C55EDA"/>
    <w:rsid w:val="00C55F8C"/>
    <w:rsid w:val="00C56057"/>
    <w:rsid w:val="00C56140"/>
    <w:rsid w:val="00C56263"/>
    <w:rsid w:val="00C56294"/>
    <w:rsid w:val="00C56797"/>
    <w:rsid w:val="00C567B9"/>
    <w:rsid w:val="00C56954"/>
    <w:rsid w:val="00C56A48"/>
    <w:rsid w:val="00C56BE2"/>
    <w:rsid w:val="00C56FD0"/>
    <w:rsid w:val="00C5701E"/>
    <w:rsid w:val="00C57176"/>
    <w:rsid w:val="00C571AF"/>
    <w:rsid w:val="00C573DE"/>
    <w:rsid w:val="00C5750D"/>
    <w:rsid w:val="00C57569"/>
    <w:rsid w:val="00C576CC"/>
    <w:rsid w:val="00C57781"/>
    <w:rsid w:val="00C57868"/>
    <w:rsid w:val="00C57A79"/>
    <w:rsid w:val="00C57AA2"/>
    <w:rsid w:val="00C602A1"/>
    <w:rsid w:val="00C6044F"/>
    <w:rsid w:val="00C605CB"/>
    <w:rsid w:val="00C606C3"/>
    <w:rsid w:val="00C60803"/>
    <w:rsid w:val="00C6087C"/>
    <w:rsid w:val="00C60949"/>
    <w:rsid w:val="00C60959"/>
    <w:rsid w:val="00C609B3"/>
    <w:rsid w:val="00C60BCA"/>
    <w:rsid w:val="00C60BD4"/>
    <w:rsid w:val="00C60F21"/>
    <w:rsid w:val="00C60F76"/>
    <w:rsid w:val="00C614BE"/>
    <w:rsid w:val="00C61B3B"/>
    <w:rsid w:val="00C61C01"/>
    <w:rsid w:val="00C61DA0"/>
    <w:rsid w:val="00C61E65"/>
    <w:rsid w:val="00C6210E"/>
    <w:rsid w:val="00C62156"/>
    <w:rsid w:val="00C6220B"/>
    <w:rsid w:val="00C6226F"/>
    <w:rsid w:val="00C6257E"/>
    <w:rsid w:val="00C62588"/>
    <w:rsid w:val="00C6263F"/>
    <w:rsid w:val="00C62707"/>
    <w:rsid w:val="00C628CF"/>
    <w:rsid w:val="00C62A4A"/>
    <w:rsid w:val="00C62A99"/>
    <w:rsid w:val="00C62BC1"/>
    <w:rsid w:val="00C62C61"/>
    <w:rsid w:val="00C63173"/>
    <w:rsid w:val="00C63688"/>
    <w:rsid w:val="00C6381C"/>
    <w:rsid w:val="00C638C7"/>
    <w:rsid w:val="00C63B44"/>
    <w:rsid w:val="00C63BFB"/>
    <w:rsid w:val="00C63D5F"/>
    <w:rsid w:val="00C63E00"/>
    <w:rsid w:val="00C63E6C"/>
    <w:rsid w:val="00C63F69"/>
    <w:rsid w:val="00C644B1"/>
    <w:rsid w:val="00C64641"/>
    <w:rsid w:val="00C6468E"/>
    <w:rsid w:val="00C64801"/>
    <w:rsid w:val="00C64B4A"/>
    <w:rsid w:val="00C64C6E"/>
    <w:rsid w:val="00C64D96"/>
    <w:rsid w:val="00C64F7D"/>
    <w:rsid w:val="00C650D2"/>
    <w:rsid w:val="00C650D9"/>
    <w:rsid w:val="00C6534D"/>
    <w:rsid w:val="00C656FE"/>
    <w:rsid w:val="00C65922"/>
    <w:rsid w:val="00C659A3"/>
    <w:rsid w:val="00C659B9"/>
    <w:rsid w:val="00C659E5"/>
    <w:rsid w:val="00C65A58"/>
    <w:rsid w:val="00C65E83"/>
    <w:rsid w:val="00C65E96"/>
    <w:rsid w:val="00C65ECC"/>
    <w:rsid w:val="00C65FAA"/>
    <w:rsid w:val="00C66133"/>
    <w:rsid w:val="00C66402"/>
    <w:rsid w:val="00C66706"/>
    <w:rsid w:val="00C6679B"/>
    <w:rsid w:val="00C66C61"/>
    <w:rsid w:val="00C670B1"/>
    <w:rsid w:val="00C6716D"/>
    <w:rsid w:val="00C67259"/>
    <w:rsid w:val="00C6735F"/>
    <w:rsid w:val="00C676A8"/>
    <w:rsid w:val="00C6797E"/>
    <w:rsid w:val="00C67BC9"/>
    <w:rsid w:val="00C67DD8"/>
    <w:rsid w:val="00C701EF"/>
    <w:rsid w:val="00C702B3"/>
    <w:rsid w:val="00C70568"/>
    <w:rsid w:val="00C705A9"/>
    <w:rsid w:val="00C7065A"/>
    <w:rsid w:val="00C70986"/>
    <w:rsid w:val="00C70B67"/>
    <w:rsid w:val="00C70C8B"/>
    <w:rsid w:val="00C70D93"/>
    <w:rsid w:val="00C70FBC"/>
    <w:rsid w:val="00C71047"/>
    <w:rsid w:val="00C7104E"/>
    <w:rsid w:val="00C71278"/>
    <w:rsid w:val="00C7136D"/>
    <w:rsid w:val="00C714A6"/>
    <w:rsid w:val="00C714B5"/>
    <w:rsid w:val="00C715F5"/>
    <w:rsid w:val="00C71668"/>
    <w:rsid w:val="00C716AD"/>
    <w:rsid w:val="00C71705"/>
    <w:rsid w:val="00C71B54"/>
    <w:rsid w:val="00C71BBC"/>
    <w:rsid w:val="00C71BC7"/>
    <w:rsid w:val="00C71E9F"/>
    <w:rsid w:val="00C720F9"/>
    <w:rsid w:val="00C722CA"/>
    <w:rsid w:val="00C726DC"/>
    <w:rsid w:val="00C72783"/>
    <w:rsid w:val="00C72A46"/>
    <w:rsid w:val="00C72AFC"/>
    <w:rsid w:val="00C72B3A"/>
    <w:rsid w:val="00C72C0B"/>
    <w:rsid w:val="00C72C51"/>
    <w:rsid w:val="00C7317D"/>
    <w:rsid w:val="00C73358"/>
    <w:rsid w:val="00C7357F"/>
    <w:rsid w:val="00C73A65"/>
    <w:rsid w:val="00C73AC2"/>
    <w:rsid w:val="00C73AFB"/>
    <w:rsid w:val="00C73C97"/>
    <w:rsid w:val="00C73CFD"/>
    <w:rsid w:val="00C73DE1"/>
    <w:rsid w:val="00C73FCF"/>
    <w:rsid w:val="00C74316"/>
    <w:rsid w:val="00C74460"/>
    <w:rsid w:val="00C74D0E"/>
    <w:rsid w:val="00C74DBC"/>
    <w:rsid w:val="00C74E8A"/>
    <w:rsid w:val="00C74FE7"/>
    <w:rsid w:val="00C750DD"/>
    <w:rsid w:val="00C75415"/>
    <w:rsid w:val="00C7588D"/>
    <w:rsid w:val="00C75EE4"/>
    <w:rsid w:val="00C75F6C"/>
    <w:rsid w:val="00C75FFA"/>
    <w:rsid w:val="00C760A4"/>
    <w:rsid w:val="00C76315"/>
    <w:rsid w:val="00C765E6"/>
    <w:rsid w:val="00C767FC"/>
    <w:rsid w:val="00C7680D"/>
    <w:rsid w:val="00C76ADE"/>
    <w:rsid w:val="00C7716B"/>
    <w:rsid w:val="00C7722D"/>
    <w:rsid w:val="00C772A0"/>
    <w:rsid w:val="00C772DB"/>
    <w:rsid w:val="00C77304"/>
    <w:rsid w:val="00C77318"/>
    <w:rsid w:val="00C77621"/>
    <w:rsid w:val="00C776C2"/>
    <w:rsid w:val="00C77B83"/>
    <w:rsid w:val="00C77C81"/>
    <w:rsid w:val="00C77E2E"/>
    <w:rsid w:val="00C80170"/>
    <w:rsid w:val="00C8018D"/>
    <w:rsid w:val="00C8033B"/>
    <w:rsid w:val="00C803F7"/>
    <w:rsid w:val="00C8051B"/>
    <w:rsid w:val="00C80589"/>
    <w:rsid w:val="00C805AF"/>
    <w:rsid w:val="00C806F7"/>
    <w:rsid w:val="00C80826"/>
    <w:rsid w:val="00C809DF"/>
    <w:rsid w:val="00C80FC0"/>
    <w:rsid w:val="00C812A5"/>
    <w:rsid w:val="00C8130F"/>
    <w:rsid w:val="00C8161F"/>
    <w:rsid w:val="00C81676"/>
    <w:rsid w:val="00C81709"/>
    <w:rsid w:val="00C81719"/>
    <w:rsid w:val="00C8183F"/>
    <w:rsid w:val="00C81BE6"/>
    <w:rsid w:val="00C81C2B"/>
    <w:rsid w:val="00C81CA6"/>
    <w:rsid w:val="00C81EA9"/>
    <w:rsid w:val="00C81EC0"/>
    <w:rsid w:val="00C81F0C"/>
    <w:rsid w:val="00C82004"/>
    <w:rsid w:val="00C8202D"/>
    <w:rsid w:val="00C8230C"/>
    <w:rsid w:val="00C82767"/>
    <w:rsid w:val="00C82BE0"/>
    <w:rsid w:val="00C83032"/>
    <w:rsid w:val="00C830E8"/>
    <w:rsid w:val="00C833FD"/>
    <w:rsid w:val="00C834B6"/>
    <w:rsid w:val="00C83523"/>
    <w:rsid w:val="00C835F9"/>
    <w:rsid w:val="00C8373D"/>
    <w:rsid w:val="00C83785"/>
    <w:rsid w:val="00C838F1"/>
    <w:rsid w:val="00C83922"/>
    <w:rsid w:val="00C84057"/>
    <w:rsid w:val="00C840E4"/>
    <w:rsid w:val="00C84393"/>
    <w:rsid w:val="00C8465E"/>
    <w:rsid w:val="00C8468F"/>
    <w:rsid w:val="00C846AB"/>
    <w:rsid w:val="00C84816"/>
    <w:rsid w:val="00C84E3B"/>
    <w:rsid w:val="00C85087"/>
    <w:rsid w:val="00C8509B"/>
    <w:rsid w:val="00C851C3"/>
    <w:rsid w:val="00C851C5"/>
    <w:rsid w:val="00C8528F"/>
    <w:rsid w:val="00C855C8"/>
    <w:rsid w:val="00C85891"/>
    <w:rsid w:val="00C858A8"/>
    <w:rsid w:val="00C85ACD"/>
    <w:rsid w:val="00C85C55"/>
    <w:rsid w:val="00C85C79"/>
    <w:rsid w:val="00C85D1B"/>
    <w:rsid w:val="00C85D47"/>
    <w:rsid w:val="00C85E52"/>
    <w:rsid w:val="00C86149"/>
    <w:rsid w:val="00C86254"/>
    <w:rsid w:val="00C86349"/>
    <w:rsid w:val="00C8649D"/>
    <w:rsid w:val="00C864DF"/>
    <w:rsid w:val="00C865CA"/>
    <w:rsid w:val="00C86773"/>
    <w:rsid w:val="00C86873"/>
    <w:rsid w:val="00C86961"/>
    <w:rsid w:val="00C869EC"/>
    <w:rsid w:val="00C86A5E"/>
    <w:rsid w:val="00C86AED"/>
    <w:rsid w:val="00C86B9B"/>
    <w:rsid w:val="00C8728B"/>
    <w:rsid w:val="00C874D2"/>
    <w:rsid w:val="00C87508"/>
    <w:rsid w:val="00C87746"/>
    <w:rsid w:val="00C87B96"/>
    <w:rsid w:val="00C87C42"/>
    <w:rsid w:val="00C87CAA"/>
    <w:rsid w:val="00C87CC4"/>
    <w:rsid w:val="00C87D6A"/>
    <w:rsid w:val="00C87D90"/>
    <w:rsid w:val="00C900EC"/>
    <w:rsid w:val="00C90542"/>
    <w:rsid w:val="00C90853"/>
    <w:rsid w:val="00C90891"/>
    <w:rsid w:val="00C90A0E"/>
    <w:rsid w:val="00C90B1E"/>
    <w:rsid w:val="00C90DB6"/>
    <w:rsid w:val="00C90EFA"/>
    <w:rsid w:val="00C91372"/>
    <w:rsid w:val="00C91547"/>
    <w:rsid w:val="00C91577"/>
    <w:rsid w:val="00C9158B"/>
    <w:rsid w:val="00C915C2"/>
    <w:rsid w:val="00C917C1"/>
    <w:rsid w:val="00C91928"/>
    <w:rsid w:val="00C91B9B"/>
    <w:rsid w:val="00C91C4D"/>
    <w:rsid w:val="00C91D87"/>
    <w:rsid w:val="00C920B0"/>
    <w:rsid w:val="00C921B3"/>
    <w:rsid w:val="00C921BF"/>
    <w:rsid w:val="00C922C4"/>
    <w:rsid w:val="00C9251A"/>
    <w:rsid w:val="00C92585"/>
    <w:rsid w:val="00C92719"/>
    <w:rsid w:val="00C92781"/>
    <w:rsid w:val="00C928FF"/>
    <w:rsid w:val="00C92A58"/>
    <w:rsid w:val="00C92A90"/>
    <w:rsid w:val="00C92DDD"/>
    <w:rsid w:val="00C92DE9"/>
    <w:rsid w:val="00C92E05"/>
    <w:rsid w:val="00C930C9"/>
    <w:rsid w:val="00C9317F"/>
    <w:rsid w:val="00C935E9"/>
    <w:rsid w:val="00C93764"/>
    <w:rsid w:val="00C93841"/>
    <w:rsid w:val="00C93D69"/>
    <w:rsid w:val="00C93E23"/>
    <w:rsid w:val="00C93F08"/>
    <w:rsid w:val="00C94035"/>
    <w:rsid w:val="00C9408B"/>
    <w:rsid w:val="00C940BC"/>
    <w:rsid w:val="00C9435B"/>
    <w:rsid w:val="00C943C6"/>
    <w:rsid w:val="00C9448F"/>
    <w:rsid w:val="00C946F9"/>
    <w:rsid w:val="00C94769"/>
    <w:rsid w:val="00C94883"/>
    <w:rsid w:val="00C94955"/>
    <w:rsid w:val="00C94B7E"/>
    <w:rsid w:val="00C94C64"/>
    <w:rsid w:val="00C94CE1"/>
    <w:rsid w:val="00C94FDE"/>
    <w:rsid w:val="00C9505A"/>
    <w:rsid w:val="00C951F7"/>
    <w:rsid w:val="00C953A0"/>
    <w:rsid w:val="00C953D9"/>
    <w:rsid w:val="00C958F2"/>
    <w:rsid w:val="00C95B39"/>
    <w:rsid w:val="00C95CA6"/>
    <w:rsid w:val="00C95D9E"/>
    <w:rsid w:val="00C95ECE"/>
    <w:rsid w:val="00C95F52"/>
    <w:rsid w:val="00C96039"/>
    <w:rsid w:val="00C962D5"/>
    <w:rsid w:val="00C968FE"/>
    <w:rsid w:val="00C9694F"/>
    <w:rsid w:val="00C96ED7"/>
    <w:rsid w:val="00C96F4D"/>
    <w:rsid w:val="00C970A4"/>
    <w:rsid w:val="00C970F0"/>
    <w:rsid w:val="00C973D5"/>
    <w:rsid w:val="00C977A6"/>
    <w:rsid w:val="00C977F7"/>
    <w:rsid w:val="00C97877"/>
    <w:rsid w:val="00C97B17"/>
    <w:rsid w:val="00C97BAB"/>
    <w:rsid w:val="00C97C25"/>
    <w:rsid w:val="00C97D60"/>
    <w:rsid w:val="00C97DD9"/>
    <w:rsid w:val="00CA05E2"/>
    <w:rsid w:val="00CA070E"/>
    <w:rsid w:val="00CA0743"/>
    <w:rsid w:val="00CA0A1F"/>
    <w:rsid w:val="00CA0BAA"/>
    <w:rsid w:val="00CA1059"/>
    <w:rsid w:val="00CA10B1"/>
    <w:rsid w:val="00CA1176"/>
    <w:rsid w:val="00CA11AC"/>
    <w:rsid w:val="00CA170E"/>
    <w:rsid w:val="00CA1823"/>
    <w:rsid w:val="00CA1AA0"/>
    <w:rsid w:val="00CA1DAC"/>
    <w:rsid w:val="00CA1FC2"/>
    <w:rsid w:val="00CA229C"/>
    <w:rsid w:val="00CA2582"/>
    <w:rsid w:val="00CA2C09"/>
    <w:rsid w:val="00CA2F15"/>
    <w:rsid w:val="00CA3175"/>
    <w:rsid w:val="00CA323E"/>
    <w:rsid w:val="00CA32C2"/>
    <w:rsid w:val="00CA34F8"/>
    <w:rsid w:val="00CA3640"/>
    <w:rsid w:val="00CA3709"/>
    <w:rsid w:val="00CA380C"/>
    <w:rsid w:val="00CA38FB"/>
    <w:rsid w:val="00CA3926"/>
    <w:rsid w:val="00CA3961"/>
    <w:rsid w:val="00CA3E41"/>
    <w:rsid w:val="00CA423F"/>
    <w:rsid w:val="00CA4276"/>
    <w:rsid w:val="00CA43A6"/>
    <w:rsid w:val="00CA43E8"/>
    <w:rsid w:val="00CA458E"/>
    <w:rsid w:val="00CA47D1"/>
    <w:rsid w:val="00CA48C8"/>
    <w:rsid w:val="00CA4A87"/>
    <w:rsid w:val="00CA4CBA"/>
    <w:rsid w:val="00CA4DA8"/>
    <w:rsid w:val="00CA4E77"/>
    <w:rsid w:val="00CA5547"/>
    <w:rsid w:val="00CA55CD"/>
    <w:rsid w:val="00CA56F4"/>
    <w:rsid w:val="00CA573B"/>
    <w:rsid w:val="00CA575F"/>
    <w:rsid w:val="00CA5816"/>
    <w:rsid w:val="00CA5925"/>
    <w:rsid w:val="00CA60CB"/>
    <w:rsid w:val="00CA6141"/>
    <w:rsid w:val="00CA61B6"/>
    <w:rsid w:val="00CA64D5"/>
    <w:rsid w:val="00CA67A2"/>
    <w:rsid w:val="00CA696B"/>
    <w:rsid w:val="00CA6B55"/>
    <w:rsid w:val="00CA6EB8"/>
    <w:rsid w:val="00CA6F06"/>
    <w:rsid w:val="00CA6F64"/>
    <w:rsid w:val="00CA709A"/>
    <w:rsid w:val="00CA7179"/>
    <w:rsid w:val="00CA732F"/>
    <w:rsid w:val="00CA7575"/>
    <w:rsid w:val="00CA7577"/>
    <w:rsid w:val="00CA76D3"/>
    <w:rsid w:val="00CA76DB"/>
    <w:rsid w:val="00CA7784"/>
    <w:rsid w:val="00CA7969"/>
    <w:rsid w:val="00CA79CE"/>
    <w:rsid w:val="00CA7A25"/>
    <w:rsid w:val="00CA7A36"/>
    <w:rsid w:val="00CA7A85"/>
    <w:rsid w:val="00CA7C98"/>
    <w:rsid w:val="00CA7E8B"/>
    <w:rsid w:val="00CB018B"/>
    <w:rsid w:val="00CB0221"/>
    <w:rsid w:val="00CB0586"/>
    <w:rsid w:val="00CB058B"/>
    <w:rsid w:val="00CB08E7"/>
    <w:rsid w:val="00CB0C09"/>
    <w:rsid w:val="00CB0DF0"/>
    <w:rsid w:val="00CB0E1F"/>
    <w:rsid w:val="00CB0E80"/>
    <w:rsid w:val="00CB0F83"/>
    <w:rsid w:val="00CB1007"/>
    <w:rsid w:val="00CB103D"/>
    <w:rsid w:val="00CB10E0"/>
    <w:rsid w:val="00CB1167"/>
    <w:rsid w:val="00CB1198"/>
    <w:rsid w:val="00CB1249"/>
    <w:rsid w:val="00CB139E"/>
    <w:rsid w:val="00CB14EB"/>
    <w:rsid w:val="00CB1AC1"/>
    <w:rsid w:val="00CB1B08"/>
    <w:rsid w:val="00CB1C71"/>
    <w:rsid w:val="00CB1CDF"/>
    <w:rsid w:val="00CB1DA9"/>
    <w:rsid w:val="00CB1E01"/>
    <w:rsid w:val="00CB1F2A"/>
    <w:rsid w:val="00CB1F6B"/>
    <w:rsid w:val="00CB216E"/>
    <w:rsid w:val="00CB2605"/>
    <w:rsid w:val="00CB26BF"/>
    <w:rsid w:val="00CB2713"/>
    <w:rsid w:val="00CB2834"/>
    <w:rsid w:val="00CB2956"/>
    <w:rsid w:val="00CB29C9"/>
    <w:rsid w:val="00CB29DB"/>
    <w:rsid w:val="00CB2AA3"/>
    <w:rsid w:val="00CB2ACE"/>
    <w:rsid w:val="00CB2BE0"/>
    <w:rsid w:val="00CB2C45"/>
    <w:rsid w:val="00CB2EB9"/>
    <w:rsid w:val="00CB3008"/>
    <w:rsid w:val="00CB30A0"/>
    <w:rsid w:val="00CB3443"/>
    <w:rsid w:val="00CB35DA"/>
    <w:rsid w:val="00CB377C"/>
    <w:rsid w:val="00CB3974"/>
    <w:rsid w:val="00CB3E8E"/>
    <w:rsid w:val="00CB3FC7"/>
    <w:rsid w:val="00CB4268"/>
    <w:rsid w:val="00CB42C1"/>
    <w:rsid w:val="00CB43A3"/>
    <w:rsid w:val="00CB456F"/>
    <w:rsid w:val="00CB4734"/>
    <w:rsid w:val="00CB48A7"/>
    <w:rsid w:val="00CB4930"/>
    <w:rsid w:val="00CB4949"/>
    <w:rsid w:val="00CB4D95"/>
    <w:rsid w:val="00CB4FAB"/>
    <w:rsid w:val="00CB524C"/>
    <w:rsid w:val="00CB5268"/>
    <w:rsid w:val="00CB5442"/>
    <w:rsid w:val="00CB5443"/>
    <w:rsid w:val="00CB5691"/>
    <w:rsid w:val="00CB56A3"/>
    <w:rsid w:val="00CB580E"/>
    <w:rsid w:val="00CB5988"/>
    <w:rsid w:val="00CB5AE6"/>
    <w:rsid w:val="00CB5B42"/>
    <w:rsid w:val="00CB5BEC"/>
    <w:rsid w:val="00CB5C0D"/>
    <w:rsid w:val="00CB5C91"/>
    <w:rsid w:val="00CB5E06"/>
    <w:rsid w:val="00CB5EC2"/>
    <w:rsid w:val="00CB5F66"/>
    <w:rsid w:val="00CB6509"/>
    <w:rsid w:val="00CB6604"/>
    <w:rsid w:val="00CB664B"/>
    <w:rsid w:val="00CB6953"/>
    <w:rsid w:val="00CB6C99"/>
    <w:rsid w:val="00CB6EA4"/>
    <w:rsid w:val="00CB71E8"/>
    <w:rsid w:val="00CB75C4"/>
    <w:rsid w:val="00CB7703"/>
    <w:rsid w:val="00CB77ED"/>
    <w:rsid w:val="00CB7B81"/>
    <w:rsid w:val="00CB7C4A"/>
    <w:rsid w:val="00CB7EB1"/>
    <w:rsid w:val="00CB7ED0"/>
    <w:rsid w:val="00CB7F46"/>
    <w:rsid w:val="00CC002C"/>
    <w:rsid w:val="00CC0372"/>
    <w:rsid w:val="00CC03D1"/>
    <w:rsid w:val="00CC0691"/>
    <w:rsid w:val="00CC0884"/>
    <w:rsid w:val="00CC0B26"/>
    <w:rsid w:val="00CC0C16"/>
    <w:rsid w:val="00CC0C72"/>
    <w:rsid w:val="00CC0CEC"/>
    <w:rsid w:val="00CC0D05"/>
    <w:rsid w:val="00CC13CE"/>
    <w:rsid w:val="00CC142A"/>
    <w:rsid w:val="00CC1C08"/>
    <w:rsid w:val="00CC1E71"/>
    <w:rsid w:val="00CC2053"/>
    <w:rsid w:val="00CC2084"/>
    <w:rsid w:val="00CC2530"/>
    <w:rsid w:val="00CC294F"/>
    <w:rsid w:val="00CC2BAB"/>
    <w:rsid w:val="00CC2C43"/>
    <w:rsid w:val="00CC2C92"/>
    <w:rsid w:val="00CC2E88"/>
    <w:rsid w:val="00CC2ECD"/>
    <w:rsid w:val="00CC30CB"/>
    <w:rsid w:val="00CC33C5"/>
    <w:rsid w:val="00CC348C"/>
    <w:rsid w:val="00CC3535"/>
    <w:rsid w:val="00CC35B9"/>
    <w:rsid w:val="00CC35E8"/>
    <w:rsid w:val="00CC369E"/>
    <w:rsid w:val="00CC37E8"/>
    <w:rsid w:val="00CC385B"/>
    <w:rsid w:val="00CC38C5"/>
    <w:rsid w:val="00CC3A4E"/>
    <w:rsid w:val="00CC3BC4"/>
    <w:rsid w:val="00CC3C71"/>
    <w:rsid w:val="00CC4093"/>
    <w:rsid w:val="00CC40EA"/>
    <w:rsid w:val="00CC4AFB"/>
    <w:rsid w:val="00CC4BEE"/>
    <w:rsid w:val="00CC4BFC"/>
    <w:rsid w:val="00CC4CA6"/>
    <w:rsid w:val="00CC4CE0"/>
    <w:rsid w:val="00CC4E88"/>
    <w:rsid w:val="00CC4EB4"/>
    <w:rsid w:val="00CC5054"/>
    <w:rsid w:val="00CC5150"/>
    <w:rsid w:val="00CC52A5"/>
    <w:rsid w:val="00CC52A9"/>
    <w:rsid w:val="00CC53F9"/>
    <w:rsid w:val="00CC597A"/>
    <w:rsid w:val="00CC59CD"/>
    <w:rsid w:val="00CC5A67"/>
    <w:rsid w:val="00CC5B1A"/>
    <w:rsid w:val="00CC5D65"/>
    <w:rsid w:val="00CC60DE"/>
    <w:rsid w:val="00CC6138"/>
    <w:rsid w:val="00CC626B"/>
    <w:rsid w:val="00CC6280"/>
    <w:rsid w:val="00CC630D"/>
    <w:rsid w:val="00CC6514"/>
    <w:rsid w:val="00CC6656"/>
    <w:rsid w:val="00CC69A1"/>
    <w:rsid w:val="00CC6CD9"/>
    <w:rsid w:val="00CC6D24"/>
    <w:rsid w:val="00CC7152"/>
    <w:rsid w:val="00CC7572"/>
    <w:rsid w:val="00CC78E7"/>
    <w:rsid w:val="00CC7A0E"/>
    <w:rsid w:val="00CC7A3B"/>
    <w:rsid w:val="00CC7A5E"/>
    <w:rsid w:val="00CC7CF9"/>
    <w:rsid w:val="00CC7D2E"/>
    <w:rsid w:val="00CC7E20"/>
    <w:rsid w:val="00CC7E58"/>
    <w:rsid w:val="00CD0618"/>
    <w:rsid w:val="00CD0862"/>
    <w:rsid w:val="00CD0B38"/>
    <w:rsid w:val="00CD0BAD"/>
    <w:rsid w:val="00CD0BC1"/>
    <w:rsid w:val="00CD0BE5"/>
    <w:rsid w:val="00CD0F2D"/>
    <w:rsid w:val="00CD119F"/>
    <w:rsid w:val="00CD1614"/>
    <w:rsid w:val="00CD1A2C"/>
    <w:rsid w:val="00CD1DA9"/>
    <w:rsid w:val="00CD2093"/>
    <w:rsid w:val="00CD2265"/>
    <w:rsid w:val="00CD22D0"/>
    <w:rsid w:val="00CD2623"/>
    <w:rsid w:val="00CD26F5"/>
    <w:rsid w:val="00CD2A7B"/>
    <w:rsid w:val="00CD2AF7"/>
    <w:rsid w:val="00CD2FB5"/>
    <w:rsid w:val="00CD2FC1"/>
    <w:rsid w:val="00CD3315"/>
    <w:rsid w:val="00CD3333"/>
    <w:rsid w:val="00CD336D"/>
    <w:rsid w:val="00CD3554"/>
    <w:rsid w:val="00CD3662"/>
    <w:rsid w:val="00CD38C9"/>
    <w:rsid w:val="00CD3A77"/>
    <w:rsid w:val="00CD3CAE"/>
    <w:rsid w:val="00CD3D23"/>
    <w:rsid w:val="00CD40CD"/>
    <w:rsid w:val="00CD4123"/>
    <w:rsid w:val="00CD41E1"/>
    <w:rsid w:val="00CD4322"/>
    <w:rsid w:val="00CD4383"/>
    <w:rsid w:val="00CD4452"/>
    <w:rsid w:val="00CD452F"/>
    <w:rsid w:val="00CD4699"/>
    <w:rsid w:val="00CD46CC"/>
    <w:rsid w:val="00CD4702"/>
    <w:rsid w:val="00CD470F"/>
    <w:rsid w:val="00CD498C"/>
    <w:rsid w:val="00CD499E"/>
    <w:rsid w:val="00CD4B3C"/>
    <w:rsid w:val="00CD4C1B"/>
    <w:rsid w:val="00CD4CFB"/>
    <w:rsid w:val="00CD4F7A"/>
    <w:rsid w:val="00CD508E"/>
    <w:rsid w:val="00CD50A3"/>
    <w:rsid w:val="00CD517E"/>
    <w:rsid w:val="00CD51B4"/>
    <w:rsid w:val="00CD52A5"/>
    <w:rsid w:val="00CD559A"/>
    <w:rsid w:val="00CD579E"/>
    <w:rsid w:val="00CD5834"/>
    <w:rsid w:val="00CD5B00"/>
    <w:rsid w:val="00CD5B4B"/>
    <w:rsid w:val="00CD5BAD"/>
    <w:rsid w:val="00CD5CDF"/>
    <w:rsid w:val="00CD5D74"/>
    <w:rsid w:val="00CD5E47"/>
    <w:rsid w:val="00CD61A0"/>
    <w:rsid w:val="00CD620E"/>
    <w:rsid w:val="00CD63F8"/>
    <w:rsid w:val="00CD6538"/>
    <w:rsid w:val="00CD661F"/>
    <w:rsid w:val="00CD668E"/>
    <w:rsid w:val="00CD66BF"/>
    <w:rsid w:val="00CD6766"/>
    <w:rsid w:val="00CD67DB"/>
    <w:rsid w:val="00CD6B16"/>
    <w:rsid w:val="00CD6B28"/>
    <w:rsid w:val="00CD6BAE"/>
    <w:rsid w:val="00CD6CD8"/>
    <w:rsid w:val="00CD6CE4"/>
    <w:rsid w:val="00CD6DAC"/>
    <w:rsid w:val="00CD70A9"/>
    <w:rsid w:val="00CD716F"/>
    <w:rsid w:val="00CD7220"/>
    <w:rsid w:val="00CD7299"/>
    <w:rsid w:val="00CD79D2"/>
    <w:rsid w:val="00CE00A8"/>
    <w:rsid w:val="00CE00CF"/>
    <w:rsid w:val="00CE027D"/>
    <w:rsid w:val="00CE07FE"/>
    <w:rsid w:val="00CE08CD"/>
    <w:rsid w:val="00CE0A1A"/>
    <w:rsid w:val="00CE0AC0"/>
    <w:rsid w:val="00CE0C48"/>
    <w:rsid w:val="00CE1020"/>
    <w:rsid w:val="00CE1070"/>
    <w:rsid w:val="00CE1130"/>
    <w:rsid w:val="00CE13C5"/>
    <w:rsid w:val="00CE13C6"/>
    <w:rsid w:val="00CE1576"/>
    <w:rsid w:val="00CE18F7"/>
    <w:rsid w:val="00CE1A47"/>
    <w:rsid w:val="00CE1B88"/>
    <w:rsid w:val="00CE1CC3"/>
    <w:rsid w:val="00CE1E59"/>
    <w:rsid w:val="00CE20C5"/>
    <w:rsid w:val="00CE2180"/>
    <w:rsid w:val="00CE2212"/>
    <w:rsid w:val="00CE2307"/>
    <w:rsid w:val="00CE252A"/>
    <w:rsid w:val="00CE282A"/>
    <w:rsid w:val="00CE2A47"/>
    <w:rsid w:val="00CE2D1F"/>
    <w:rsid w:val="00CE2EEE"/>
    <w:rsid w:val="00CE3125"/>
    <w:rsid w:val="00CE32E6"/>
    <w:rsid w:val="00CE3536"/>
    <w:rsid w:val="00CE355F"/>
    <w:rsid w:val="00CE3A1E"/>
    <w:rsid w:val="00CE3B91"/>
    <w:rsid w:val="00CE3C01"/>
    <w:rsid w:val="00CE3C9E"/>
    <w:rsid w:val="00CE40A5"/>
    <w:rsid w:val="00CE4120"/>
    <w:rsid w:val="00CE4158"/>
    <w:rsid w:val="00CE447C"/>
    <w:rsid w:val="00CE47CE"/>
    <w:rsid w:val="00CE494E"/>
    <w:rsid w:val="00CE49DD"/>
    <w:rsid w:val="00CE4BE9"/>
    <w:rsid w:val="00CE4C50"/>
    <w:rsid w:val="00CE4EE4"/>
    <w:rsid w:val="00CE50FE"/>
    <w:rsid w:val="00CE531C"/>
    <w:rsid w:val="00CE5697"/>
    <w:rsid w:val="00CE59D0"/>
    <w:rsid w:val="00CE59F7"/>
    <w:rsid w:val="00CE5B02"/>
    <w:rsid w:val="00CE5D24"/>
    <w:rsid w:val="00CE6154"/>
    <w:rsid w:val="00CE6266"/>
    <w:rsid w:val="00CE6447"/>
    <w:rsid w:val="00CE64B6"/>
    <w:rsid w:val="00CE66E4"/>
    <w:rsid w:val="00CE6976"/>
    <w:rsid w:val="00CE699E"/>
    <w:rsid w:val="00CE6AF8"/>
    <w:rsid w:val="00CE6E05"/>
    <w:rsid w:val="00CE7013"/>
    <w:rsid w:val="00CE7098"/>
    <w:rsid w:val="00CE717E"/>
    <w:rsid w:val="00CE71AC"/>
    <w:rsid w:val="00CE7202"/>
    <w:rsid w:val="00CE73BB"/>
    <w:rsid w:val="00CE744A"/>
    <w:rsid w:val="00CE75B0"/>
    <w:rsid w:val="00CE7910"/>
    <w:rsid w:val="00CE7948"/>
    <w:rsid w:val="00CE794E"/>
    <w:rsid w:val="00CE7A20"/>
    <w:rsid w:val="00CE7A5B"/>
    <w:rsid w:val="00CE7BB8"/>
    <w:rsid w:val="00CE7E21"/>
    <w:rsid w:val="00CE7E9D"/>
    <w:rsid w:val="00CE7F54"/>
    <w:rsid w:val="00CF0055"/>
    <w:rsid w:val="00CF00E4"/>
    <w:rsid w:val="00CF02CC"/>
    <w:rsid w:val="00CF035D"/>
    <w:rsid w:val="00CF036B"/>
    <w:rsid w:val="00CF04B3"/>
    <w:rsid w:val="00CF0530"/>
    <w:rsid w:val="00CF093C"/>
    <w:rsid w:val="00CF0ACE"/>
    <w:rsid w:val="00CF0EB1"/>
    <w:rsid w:val="00CF0FAA"/>
    <w:rsid w:val="00CF1096"/>
    <w:rsid w:val="00CF11B1"/>
    <w:rsid w:val="00CF1212"/>
    <w:rsid w:val="00CF162A"/>
    <w:rsid w:val="00CF1807"/>
    <w:rsid w:val="00CF1810"/>
    <w:rsid w:val="00CF182B"/>
    <w:rsid w:val="00CF1A07"/>
    <w:rsid w:val="00CF1AA7"/>
    <w:rsid w:val="00CF1AAE"/>
    <w:rsid w:val="00CF1EB6"/>
    <w:rsid w:val="00CF1EF5"/>
    <w:rsid w:val="00CF1FF8"/>
    <w:rsid w:val="00CF2189"/>
    <w:rsid w:val="00CF230F"/>
    <w:rsid w:val="00CF264E"/>
    <w:rsid w:val="00CF26A9"/>
    <w:rsid w:val="00CF2947"/>
    <w:rsid w:val="00CF299B"/>
    <w:rsid w:val="00CF2AEF"/>
    <w:rsid w:val="00CF2D35"/>
    <w:rsid w:val="00CF2D3B"/>
    <w:rsid w:val="00CF3054"/>
    <w:rsid w:val="00CF30B3"/>
    <w:rsid w:val="00CF3192"/>
    <w:rsid w:val="00CF319A"/>
    <w:rsid w:val="00CF31A4"/>
    <w:rsid w:val="00CF337D"/>
    <w:rsid w:val="00CF3647"/>
    <w:rsid w:val="00CF38CA"/>
    <w:rsid w:val="00CF3987"/>
    <w:rsid w:val="00CF3BAC"/>
    <w:rsid w:val="00CF42F1"/>
    <w:rsid w:val="00CF433A"/>
    <w:rsid w:val="00CF47FB"/>
    <w:rsid w:val="00CF4B5A"/>
    <w:rsid w:val="00CF5133"/>
    <w:rsid w:val="00CF519A"/>
    <w:rsid w:val="00CF51F0"/>
    <w:rsid w:val="00CF532B"/>
    <w:rsid w:val="00CF5424"/>
    <w:rsid w:val="00CF5595"/>
    <w:rsid w:val="00CF570E"/>
    <w:rsid w:val="00CF5B32"/>
    <w:rsid w:val="00CF5B82"/>
    <w:rsid w:val="00CF5C87"/>
    <w:rsid w:val="00CF5D10"/>
    <w:rsid w:val="00CF5DB7"/>
    <w:rsid w:val="00CF5E5E"/>
    <w:rsid w:val="00CF5EA4"/>
    <w:rsid w:val="00CF62D2"/>
    <w:rsid w:val="00CF65DA"/>
    <w:rsid w:val="00CF6782"/>
    <w:rsid w:val="00CF67F2"/>
    <w:rsid w:val="00CF692A"/>
    <w:rsid w:val="00CF6950"/>
    <w:rsid w:val="00CF6DBD"/>
    <w:rsid w:val="00CF6F94"/>
    <w:rsid w:val="00CF6FB4"/>
    <w:rsid w:val="00CF7278"/>
    <w:rsid w:val="00CF739F"/>
    <w:rsid w:val="00CF7404"/>
    <w:rsid w:val="00CF7EFC"/>
    <w:rsid w:val="00D0013E"/>
    <w:rsid w:val="00D004C8"/>
    <w:rsid w:val="00D00536"/>
    <w:rsid w:val="00D00D5E"/>
    <w:rsid w:val="00D00E10"/>
    <w:rsid w:val="00D0108A"/>
    <w:rsid w:val="00D0122C"/>
    <w:rsid w:val="00D01D06"/>
    <w:rsid w:val="00D023AC"/>
    <w:rsid w:val="00D02641"/>
    <w:rsid w:val="00D02767"/>
    <w:rsid w:val="00D02914"/>
    <w:rsid w:val="00D02AFC"/>
    <w:rsid w:val="00D02BE3"/>
    <w:rsid w:val="00D03027"/>
    <w:rsid w:val="00D03055"/>
    <w:rsid w:val="00D0338B"/>
    <w:rsid w:val="00D03750"/>
    <w:rsid w:val="00D0384D"/>
    <w:rsid w:val="00D03A66"/>
    <w:rsid w:val="00D03A74"/>
    <w:rsid w:val="00D03BD5"/>
    <w:rsid w:val="00D03C17"/>
    <w:rsid w:val="00D03C85"/>
    <w:rsid w:val="00D040AE"/>
    <w:rsid w:val="00D044BC"/>
    <w:rsid w:val="00D046FD"/>
    <w:rsid w:val="00D047E6"/>
    <w:rsid w:val="00D04B65"/>
    <w:rsid w:val="00D04C09"/>
    <w:rsid w:val="00D04FB2"/>
    <w:rsid w:val="00D050F3"/>
    <w:rsid w:val="00D0540D"/>
    <w:rsid w:val="00D055B6"/>
    <w:rsid w:val="00D05960"/>
    <w:rsid w:val="00D05BB1"/>
    <w:rsid w:val="00D05BEC"/>
    <w:rsid w:val="00D05C7F"/>
    <w:rsid w:val="00D05D0D"/>
    <w:rsid w:val="00D05DFE"/>
    <w:rsid w:val="00D05EE3"/>
    <w:rsid w:val="00D05F86"/>
    <w:rsid w:val="00D06049"/>
    <w:rsid w:val="00D061F4"/>
    <w:rsid w:val="00D06335"/>
    <w:rsid w:val="00D0662A"/>
    <w:rsid w:val="00D06AC5"/>
    <w:rsid w:val="00D06B2D"/>
    <w:rsid w:val="00D06EF8"/>
    <w:rsid w:val="00D06F15"/>
    <w:rsid w:val="00D07103"/>
    <w:rsid w:val="00D0720F"/>
    <w:rsid w:val="00D07375"/>
    <w:rsid w:val="00D074BB"/>
    <w:rsid w:val="00D0755F"/>
    <w:rsid w:val="00D07563"/>
    <w:rsid w:val="00D075BE"/>
    <w:rsid w:val="00D0784C"/>
    <w:rsid w:val="00D0787A"/>
    <w:rsid w:val="00D07A09"/>
    <w:rsid w:val="00D07B01"/>
    <w:rsid w:val="00D07B4C"/>
    <w:rsid w:val="00D07B87"/>
    <w:rsid w:val="00D07C4B"/>
    <w:rsid w:val="00D07D5C"/>
    <w:rsid w:val="00D07E19"/>
    <w:rsid w:val="00D101A1"/>
    <w:rsid w:val="00D10236"/>
    <w:rsid w:val="00D10529"/>
    <w:rsid w:val="00D1057B"/>
    <w:rsid w:val="00D105F9"/>
    <w:rsid w:val="00D10DCF"/>
    <w:rsid w:val="00D110DF"/>
    <w:rsid w:val="00D110EF"/>
    <w:rsid w:val="00D111B7"/>
    <w:rsid w:val="00D1125E"/>
    <w:rsid w:val="00D113F2"/>
    <w:rsid w:val="00D115F8"/>
    <w:rsid w:val="00D1161E"/>
    <w:rsid w:val="00D116D2"/>
    <w:rsid w:val="00D1179B"/>
    <w:rsid w:val="00D11AF5"/>
    <w:rsid w:val="00D11C17"/>
    <w:rsid w:val="00D11C8E"/>
    <w:rsid w:val="00D11CA6"/>
    <w:rsid w:val="00D11CFB"/>
    <w:rsid w:val="00D11D31"/>
    <w:rsid w:val="00D11DEF"/>
    <w:rsid w:val="00D11F37"/>
    <w:rsid w:val="00D11FE5"/>
    <w:rsid w:val="00D12128"/>
    <w:rsid w:val="00D1218A"/>
    <w:rsid w:val="00D12261"/>
    <w:rsid w:val="00D1268F"/>
    <w:rsid w:val="00D1272E"/>
    <w:rsid w:val="00D1286D"/>
    <w:rsid w:val="00D12A50"/>
    <w:rsid w:val="00D12A7B"/>
    <w:rsid w:val="00D12AC1"/>
    <w:rsid w:val="00D12F8F"/>
    <w:rsid w:val="00D13161"/>
    <w:rsid w:val="00D137AF"/>
    <w:rsid w:val="00D138AA"/>
    <w:rsid w:val="00D13970"/>
    <w:rsid w:val="00D1398E"/>
    <w:rsid w:val="00D13A25"/>
    <w:rsid w:val="00D13A65"/>
    <w:rsid w:val="00D141CF"/>
    <w:rsid w:val="00D14296"/>
    <w:rsid w:val="00D14356"/>
    <w:rsid w:val="00D143F2"/>
    <w:rsid w:val="00D144F7"/>
    <w:rsid w:val="00D146D3"/>
    <w:rsid w:val="00D146ED"/>
    <w:rsid w:val="00D1486A"/>
    <w:rsid w:val="00D14907"/>
    <w:rsid w:val="00D1495A"/>
    <w:rsid w:val="00D14B5A"/>
    <w:rsid w:val="00D15077"/>
    <w:rsid w:val="00D150B3"/>
    <w:rsid w:val="00D1512D"/>
    <w:rsid w:val="00D1522E"/>
    <w:rsid w:val="00D15358"/>
    <w:rsid w:val="00D154E7"/>
    <w:rsid w:val="00D15557"/>
    <w:rsid w:val="00D1567F"/>
    <w:rsid w:val="00D15862"/>
    <w:rsid w:val="00D158B1"/>
    <w:rsid w:val="00D158CC"/>
    <w:rsid w:val="00D15A94"/>
    <w:rsid w:val="00D15B36"/>
    <w:rsid w:val="00D15DF8"/>
    <w:rsid w:val="00D15E5F"/>
    <w:rsid w:val="00D162D4"/>
    <w:rsid w:val="00D16381"/>
    <w:rsid w:val="00D164C8"/>
    <w:rsid w:val="00D16B08"/>
    <w:rsid w:val="00D16B74"/>
    <w:rsid w:val="00D16C12"/>
    <w:rsid w:val="00D16CB6"/>
    <w:rsid w:val="00D16E15"/>
    <w:rsid w:val="00D17696"/>
    <w:rsid w:val="00D176A4"/>
    <w:rsid w:val="00D176E4"/>
    <w:rsid w:val="00D177DA"/>
    <w:rsid w:val="00D17963"/>
    <w:rsid w:val="00D17EE5"/>
    <w:rsid w:val="00D20018"/>
    <w:rsid w:val="00D200BB"/>
    <w:rsid w:val="00D2067F"/>
    <w:rsid w:val="00D208D2"/>
    <w:rsid w:val="00D20B7B"/>
    <w:rsid w:val="00D20C20"/>
    <w:rsid w:val="00D20C73"/>
    <w:rsid w:val="00D20EF5"/>
    <w:rsid w:val="00D2111B"/>
    <w:rsid w:val="00D214EA"/>
    <w:rsid w:val="00D215ED"/>
    <w:rsid w:val="00D21691"/>
    <w:rsid w:val="00D2179B"/>
    <w:rsid w:val="00D21988"/>
    <w:rsid w:val="00D2210E"/>
    <w:rsid w:val="00D221D3"/>
    <w:rsid w:val="00D224B2"/>
    <w:rsid w:val="00D225A5"/>
    <w:rsid w:val="00D2284F"/>
    <w:rsid w:val="00D22875"/>
    <w:rsid w:val="00D22965"/>
    <w:rsid w:val="00D22B00"/>
    <w:rsid w:val="00D23341"/>
    <w:rsid w:val="00D235B1"/>
    <w:rsid w:val="00D237BB"/>
    <w:rsid w:val="00D23E95"/>
    <w:rsid w:val="00D23ED7"/>
    <w:rsid w:val="00D244C1"/>
    <w:rsid w:val="00D2476D"/>
    <w:rsid w:val="00D24793"/>
    <w:rsid w:val="00D24987"/>
    <w:rsid w:val="00D24A00"/>
    <w:rsid w:val="00D24A97"/>
    <w:rsid w:val="00D24EF8"/>
    <w:rsid w:val="00D24F1E"/>
    <w:rsid w:val="00D2509C"/>
    <w:rsid w:val="00D2513F"/>
    <w:rsid w:val="00D2517D"/>
    <w:rsid w:val="00D254BB"/>
    <w:rsid w:val="00D257AA"/>
    <w:rsid w:val="00D258DC"/>
    <w:rsid w:val="00D259D0"/>
    <w:rsid w:val="00D25E11"/>
    <w:rsid w:val="00D25E85"/>
    <w:rsid w:val="00D26185"/>
    <w:rsid w:val="00D264E7"/>
    <w:rsid w:val="00D2650D"/>
    <w:rsid w:val="00D26639"/>
    <w:rsid w:val="00D268EC"/>
    <w:rsid w:val="00D269EA"/>
    <w:rsid w:val="00D26A67"/>
    <w:rsid w:val="00D26D60"/>
    <w:rsid w:val="00D26E32"/>
    <w:rsid w:val="00D27000"/>
    <w:rsid w:val="00D2705A"/>
    <w:rsid w:val="00D27066"/>
    <w:rsid w:val="00D274D7"/>
    <w:rsid w:val="00D27519"/>
    <w:rsid w:val="00D275BE"/>
    <w:rsid w:val="00D27639"/>
    <w:rsid w:val="00D27A00"/>
    <w:rsid w:val="00D27A08"/>
    <w:rsid w:val="00D27AD8"/>
    <w:rsid w:val="00D27C30"/>
    <w:rsid w:val="00D27D86"/>
    <w:rsid w:val="00D27DCA"/>
    <w:rsid w:val="00D27ECD"/>
    <w:rsid w:val="00D27F03"/>
    <w:rsid w:val="00D30063"/>
    <w:rsid w:val="00D30360"/>
    <w:rsid w:val="00D3039B"/>
    <w:rsid w:val="00D3065C"/>
    <w:rsid w:val="00D306DF"/>
    <w:rsid w:val="00D307FD"/>
    <w:rsid w:val="00D3084E"/>
    <w:rsid w:val="00D30DF2"/>
    <w:rsid w:val="00D311D7"/>
    <w:rsid w:val="00D31202"/>
    <w:rsid w:val="00D312EE"/>
    <w:rsid w:val="00D314EF"/>
    <w:rsid w:val="00D31A2B"/>
    <w:rsid w:val="00D31B26"/>
    <w:rsid w:val="00D31DFA"/>
    <w:rsid w:val="00D31F28"/>
    <w:rsid w:val="00D31F6B"/>
    <w:rsid w:val="00D32BF2"/>
    <w:rsid w:val="00D32F75"/>
    <w:rsid w:val="00D32F7A"/>
    <w:rsid w:val="00D32F9C"/>
    <w:rsid w:val="00D3304D"/>
    <w:rsid w:val="00D330BE"/>
    <w:rsid w:val="00D33383"/>
    <w:rsid w:val="00D33715"/>
    <w:rsid w:val="00D3376D"/>
    <w:rsid w:val="00D338D5"/>
    <w:rsid w:val="00D33AEB"/>
    <w:rsid w:val="00D33DC4"/>
    <w:rsid w:val="00D340A6"/>
    <w:rsid w:val="00D340C6"/>
    <w:rsid w:val="00D340E4"/>
    <w:rsid w:val="00D341C8"/>
    <w:rsid w:val="00D34285"/>
    <w:rsid w:val="00D342A9"/>
    <w:rsid w:val="00D343AA"/>
    <w:rsid w:val="00D344D1"/>
    <w:rsid w:val="00D344F8"/>
    <w:rsid w:val="00D3457D"/>
    <w:rsid w:val="00D34719"/>
    <w:rsid w:val="00D34C19"/>
    <w:rsid w:val="00D34C24"/>
    <w:rsid w:val="00D34C2A"/>
    <w:rsid w:val="00D34CE4"/>
    <w:rsid w:val="00D34EE8"/>
    <w:rsid w:val="00D35391"/>
    <w:rsid w:val="00D35411"/>
    <w:rsid w:val="00D35519"/>
    <w:rsid w:val="00D3558B"/>
    <w:rsid w:val="00D358F7"/>
    <w:rsid w:val="00D35913"/>
    <w:rsid w:val="00D35CDC"/>
    <w:rsid w:val="00D35E2B"/>
    <w:rsid w:val="00D36153"/>
    <w:rsid w:val="00D36314"/>
    <w:rsid w:val="00D365CD"/>
    <w:rsid w:val="00D3680A"/>
    <w:rsid w:val="00D36837"/>
    <w:rsid w:val="00D36C48"/>
    <w:rsid w:val="00D3700A"/>
    <w:rsid w:val="00D37153"/>
    <w:rsid w:val="00D3721B"/>
    <w:rsid w:val="00D37348"/>
    <w:rsid w:val="00D3748A"/>
    <w:rsid w:val="00D374B8"/>
    <w:rsid w:val="00D37586"/>
    <w:rsid w:val="00D376E1"/>
    <w:rsid w:val="00D37B06"/>
    <w:rsid w:val="00D37BE0"/>
    <w:rsid w:val="00D37D73"/>
    <w:rsid w:val="00D400C2"/>
    <w:rsid w:val="00D406A7"/>
    <w:rsid w:val="00D4074A"/>
    <w:rsid w:val="00D40763"/>
    <w:rsid w:val="00D408E3"/>
    <w:rsid w:val="00D409D9"/>
    <w:rsid w:val="00D411BF"/>
    <w:rsid w:val="00D413CA"/>
    <w:rsid w:val="00D4152A"/>
    <w:rsid w:val="00D4161E"/>
    <w:rsid w:val="00D417AD"/>
    <w:rsid w:val="00D419CC"/>
    <w:rsid w:val="00D41D6C"/>
    <w:rsid w:val="00D41DC5"/>
    <w:rsid w:val="00D41EE8"/>
    <w:rsid w:val="00D42098"/>
    <w:rsid w:val="00D4227D"/>
    <w:rsid w:val="00D423AD"/>
    <w:rsid w:val="00D42600"/>
    <w:rsid w:val="00D429F3"/>
    <w:rsid w:val="00D42A70"/>
    <w:rsid w:val="00D42B95"/>
    <w:rsid w:val="00D42C82"/>
    <w:rsid w:val="00D42CFD"/>
    <w:rsid w:val="00D42D28"/>
    <w:rsid w:val="00D42E48"/>
    <w:rsid w:val="00D42EDF"/>
    <w:rsid w:val="00D42EE2"/>
    <w:rsid w:val="00D431F1"/>
    <w:rsid w:val="00D43410"/>
    <w:rsid w:val="00D437E0"/>
    <w:rsid w:val="00D4388B"/>
    <w:rsid w:val="00D43A8A"/>
    <w:rsid w:val="00D43AC4"/>
    <w:rsid w:val="00D43B10"/>
    <w:rsid w:val="00D43BAD"/>
    <w:rsid w:val="00D43CB5"/>
    <w:rsid w:val="00D43E89"/>
    <w:rsid w:val="00D4405B"/>
    <w:rsid w:val="00D440ED"/>
    <w:rsid w:val="00D4422F"/>
    <w:rsid w:val="00D442C4"/>
    <w:rsid w:val="00D44703"/>
    <w:rsid w:val="00D44837"/>
    <w:rsid w:val="00D449E7"/>
    <w:rsid w:val="00D44D79"/>
    <w:rsid w:val="00D45010"/>
    <w:rsid w:val="00D451FD"/>
    <w:rsid w:val="00D4520A"/>
    <w:rsid w:val="00D45367"/>
    <w:rsid w:val="00D45743"/>
    <w:rsid w:val="00D458B8"/>
    <w:rsid w:val="00D458DB"/>
    <w:rsid w:val="00D45B88"/>
    <w:rsid w:val="00D45C0F"/>
    <w:rsid w:val="00D45D97"/>
    <w:rsid w:val="00D460DB"/>
    <w:rsid w:val="00D464D1"/>
    <w:rsid w:val="00D4659A"/>
    <w:rsid w:val="00D46730"/>
    <w:rsid w:val="00D46A29"/>
    <w:rsid w:val="00D46D4D"/>
    <w:rsid w:val="00D46DDD"/>
    <w:rsid w:val="00D46DE4"/>
    <w:rsid w:val="00D46E9D"/>
    <w:rsid w:val="00D46F63"/>
    <w:rsid w:val="00D474EF"/>
    <w:rsid w:val="00D4755D"/>
    <w:rsid w:val="00D4794F"/>
    <w:rsid w:val="00D47ADB"/>
    <w:rsid w:val="00D47FB8"/>
    <w:rsid w:val="00D501A1"/>
    <w:rsid w:val="00D5038B"/>
    <w:rsid w:val="00D505C1"/>
    <w:rsid w:val="00D50632"/>
    <w:rsid w:val="00D50683"/>
    <w:rsid w:val="00D506CB"/>
    <w:rsid w:val="00D50902"/>
    <w:rsid w:val="00D50AC1"/>
    <w:rsid w:val="00D50B71"/>
    <w:rsid w:val="00D50B9E"/>
    <w:rsid w:val="00D50EFB"/>
    <w:rsid w:val="00D516FB"/>
    <w:rsid w:val="00D51AA8"/>
    <w:rsid w:val="00D51AC6"/>
    <w:rsid w:val="00D51BB2"/>
    <w:rsid w:val="00D51E0A"/>
    <w:rsid w:val="00D5210A"/>
    <w:rsid w:val="00D5224B"/>
    <w:rsid w:val="00D52273"/>
    <w:rsid w:val="00D52297"/>
    <w:rsid w:val="00D52590"/>
    <w:rsid w:val="00D527E2"/>
    <w:rsid w:val="00D528E2"/>
    <w:rsid w:val="00D52901"/>
    <w:rsid w:val="00D5296B"/>
    <w:rsid w:val="00D52A81"/>
    <w:rsid w:val="00D52D27"/>
    <w:rsid w:val="00D52D5D"/>
    <w:rsid w:val="00D52DAE"/>
    <w:rsid w:val="00D52DF8"/>
    <w:rsid w:val="00D52E4C"/>
    <w:rsid w:val="00D52E91"/>
    <w:rsid w:val="00D53241"/>
    <w:rsid w:val="00D532A2"/>
    <w:rsid w:val="00D533E1"/>
    <w:rsid w:val="00D535AC"/>
    <w:rsid w:val="00D536E2"/>
    <w:rsid w:val="00D53A65"/>
    <w:rsid w:val="00D53CCA"/>
    <w:rsid w:val="00D53DE4"/>
    <w:rsid w:val="00D53E76"/>
    <w:rsid w:val="00D53EBB"/>
    <w:rsid w:val="00D53F24"/>
    <w:rsid w:val="00D5417B"/>
    <w:rsid w:val="00D5418F"/>
    <w:rsid w:val="00D54228"/>
    <w:rsid w:val="00D543BD"/>
    <w:rsid w:val="00D54408"/>
    <w:rsid w:val="00D5441C"/>
    <w:rsid w:val="00D546B2"/>
    <w:rsid w:val="00D546F6"/>
    <w:rsid w:val="00D54A73"/>
    <w:rsid w:val="00D54AD8"/>
    <w:rsid w:val="00D54ADB"/>
    <w:rsid w:val="00D54B84"/>
    <w:rsid w:val="00D54BBB"/>
    <w:rsid w:val="00D54D4D"/>
    <w:rsid w:val="00D54F44"/>
    <w:rsid w:val="00D54FCB"/>
    <w:rsid w:val="00D55015"/>
    <w:rsid w:val="00D5515B"/>
    <w:rsid w:val="00D553E4"/>
    <w:rsid w:val="00D55645"/>
    <w:rsid w:val="00D55899"/>
    <w:rsid w:val="00D55B9A"/>
    <w:rsid w:val="00D55C8D"/>
    <w:rsid w:val="00D55EC4"/>
    <w:rsid w:val="00D55F35"/>
    <w:rsid w:val="00D55FF0"/>
    <w:rsid w:val="00D560D9"/>
    <w:rsid w:val="00D56482"/>
    <w:rsid w:val="00D56767"/>
    <w:rsid w:val="00D56958"/>
    <w:rsid w:val="00D56A10"/>
    <w:rsid w:val="00D56A56"/>
    <w:rsid w:val="00D56D32"/>
    <w:rsid w:val="00D5743D"/>
    <w:rsid w:val="00D57495"/>
    <w:rsid w:val="00D57599"/>
    <w:rsid w:val="00D5769E"/>
    <w:rsid w:val="00D578D9"/>
    <w:rsid w:val="00D57944"/>
    <w:rsid w:val="00D57B41"/>
    <w:rsid w:val="00D57C5E"/>
    <w:rsid w:val="00D57D57"/>
    <w:rsid w:val="00D57EEB"/>
    <w:rsid w:val="00D57F0D"/>
    <w:rsid w:val="00D57F5B"/>
    <w:rsid w:val="00D57FAD"/>
    <w:rsid w:val="00D60076"/>
    <w:rsid w:val="00D60078"/>
    <w:rsid w:val="00D6011E"/>
    <w:rsid w:val="00D602E6"/>
    <w:rsid w:val="00D6040D"/>
    <w:rsid w:val="00D6044E"/>
    <w:rsid w:val="00D604D3"/>
    <w:rsid w:val="00D606F3"/>
    <w:rsid w:val="00D60744"/>
    <w:rsid w:val="00D607E1"/>
    <w:rsid w:val="00D609E1"/>
    <w:rsid w:val="00D60BE3"/>
    <w:rsid w:val="00D61006"/>
    <w:rsid w:val="00D6105E"/>
    <w:rsid w:val="00D61427"/>
    <w:rsid w:val="00D6175D"/>
    <w:rsid w:val="00D61816"/>
    <w:rsid w:val="00D61858"/>
    <w:rsid w:val="00D61943"/>
    <w:rsid w:val="00D61A1C"/>
    <w:rsid w:val="00D61B4E"/>
    <w:rsid w:val="00D62100"/>
    <w:rsid w:val="00D62431"/>
    <w:rsid w:val="00D62552"/>
    <w:rsid w:val="00D6273B"/>
    <w:rsid w:val="00D6293D"/>
    <w:rsid w:val="00D62BE3"/>
    <w:rsid w:val="00D62BF1"/>
    <w:rsid w:val="00D62D5B"/>
    <w:rsid w:val="00D62E52"/>
    <w:rsid w:val="00D6313B"/>
    <w:rsid w:val="00D63154"/>
    <w:rsid w:val="00D631DC"/>
    <w:rsid w:val="00D6335F"/>
    <w:rsid w:val="00D633C9"/>
    <w:rsid w:val="00D6350F"/>
    <w:rsid w:val="00D6364E"/>
    <w:rsid w:val="00D639CC"/>
    <w:rsid w:val="00D63BAF"/>
    <w:rsid w:val="00D63C97"/>
    <w:rsid w:val="00D63DC6"/>
    <w:rsid w:val="00D63E96"/>
    <w:rsid w:val="00D64071"/>
    <w:rsid w:val="00D645A7"/>
    <w:rsid w:val="00D64760"/>
    <w:rsid w:val="00D64798"/>
    <w:rsid w:val="00D64C24"/>
    <w:rsid w:val="00D64F84"/>
    <w:rsid w:val="00D6512F"/>
    <w:rsid w:val="00D6545C"/>
    <w:rsid w:val="00D654C8"/>
    <w:rsid w:val="00D65667"/>
    <w:rsid w:val="00D656CE"/>
    <w:rsid w:val="00D65711"/>
    <w:rsid w:val="00D65761"/>
    <w:rsid w:val="00D658D8"/>
    <w:rsid w:val="00D65BAC"/>
    <w:rsid w:val="00D65D3E"/>
    <w:rsid w:val="00D65ED8"/>
    <w:rsid w:val="00D66012"/>
    <w:rsid w:val="00D66342"/>
    <w:rsid w:val="00D66391"/>
    <w:rsid w:val="00D664B3"/>
    <w:rsid w:val="00D66708"/>
    <w:rsid w:val="00D66790"/>
    <w:rsid w:val="00D6698F"/>
    <w:rsid w:val="00D66BA2"/>
    <w:rsid w:val="00D66F08"/>
    <w:rsid w:val="00D67050"/>
    <w:rsid w:val="00D670E4"/>
    <w:rsid w:val="00D672E1"/>
    <w:rsid w:val="00D67407"/>
    <w:rsid w:val="00D674A5"/>
    <w:rsid w:val="00D67670"/>
    <w:rsid w:val="00D678B3"/>
    <w:rsid w:val="00D67A02"/>
    <w:rsid w:val="00D67C52"/>
    <w:rsid w:val="00D67D8B"/>
    <w:rsid w:val="00D70010"/>
    <w:rsid w:val="00D70572"/>
    <w:rsid w:val="00D706C4"/>
    <w:rsid w:val="00D7094C"/>
    <w:rsid w:val="00D70971"/>
    <w:rsid w:val="00D70A2B"/>
    <w:rsid w:val="00D70B1B"/>
    <w:rsid w:val="00D70B92"/>
    <w:rsid w:val="00D70C27"/>
    <w:rsid w:val="00D70CEE"/>
    <w:rsid w:val="00D70D45"/>
    <w:rsid w:val="00D70DB5"/>
    <w:rsid w:val="00D70E39"/>
    <w:rsid w:val="00D7123A"/>
    <w:rsid w:val="00D71308"/>
    <w:rsid w:val="00D713FE"/>
    <w:rsid w:val="00D71486"/>
    <w:rsid w:val="00D717F6"/>
    <w:rsid w:val="00D71B7E"/>
    <w:rsid w:val="00D71D8E"/>
    <w:rsid w:val="00D71DB4"/>
    <w:rsid w:val="00D722C2"/>
    <w:rsid w:val="00D723DE"/>
    <w:rsid w:val="00D7276C"/>
    <w:rsid w:val="00D72C47"/>
    <w:rsid w:val="00D73133"/>
    <w:rsid w:val="00D731EE"/>
    <w:rsid w:val="00D732FE"/>
    <w:rsid w:val="00D7337A"/>
    <w:rsid w:val="00D7345B"/>
    <w:rsid w:val="00D73621"/>
    <w:rsid w:val="00D737B4"/>
    <w:rsid w:val="00D73A86"/>
    <w:rsid w:val="00D73C1C"/>
    <w:rsid w:val="00D73C84"/>
    <w:rsid w:val="00D73D41"/>
    <w:rsid w:val="00D73D57"/>
    <w:rsid w:val="00D73EB3"/>
    <w:rsid w:val="00D73F01"/>
    <w:rsid w:val="00D73FDC"/>
    <w:rsid w:val="00D7406B"/>
    <w:rsid w:val="00D740B7"/>
    <w:rsid w:val="00D74151"/>
    <w:rsid w:val="00D74204"/>
    <w:rsid w:val="00D7431D"/>
    <w:rsid w:val="00D74592"/>
    <w:rsid w:val="00D74631"/>
    <w:rsid w:val="00D74687"/>
    <w:rsid w:val="00D748E9"/>
    <w:rsid w:val="00D74A4A"/>
    <w:rsid w:val="00D74B00"/>
    <w:rsid w:val="00D74BD2"/>
    <w:rsid w:val="00D74D32"/>
    <w:rsid w:val="00D74D43"/>
    <w:rsid w:val="00D751F3"/>
    <w:rsid w:val="00D75572"/>
    <w:rsid w:val="00D756CF"/>
    <w:rsid w:val="00D7576F"/>
    <w:rsid w:val="00D75780"/>
    <w:rsid w:val="00D757F5"/>
    <w:rsid w:val="00D75D6F"/>
    <w:rsid w:val="00D75EA8"/>
    <w:rsid w:val="00D76168"/>
    <w:rsid w:val="00D761A5"/>
    <w:rsid w:val="00D7620D"/>
    <w:rsid w:val="00D76260"/>
    <w:rsid w:val="00D766AC"/>
    <w:rsid w:val="00D766C4"/>
    <w:rsid w:val="00D76B9B"/>
    <w:rsid w:val="00D76CCD"/>
    <w:rsid w:val="00D76D87"/>
    <w:rsid w:val="00D76EF4"/>
    <w:rsid w:val="00D76EFE"/>
    <w:rsid w:val="00D76FCC"/>
    <w:rsid w:val="00D7727D"/>
    <w:rsid w:val="00D773A7"/>
    <w:rsid w:val="00D77857"/>
    <w:rsid w:val="00D77896"/>
    <w:rsid w:val="00D7794C"/>
    <w:rsid w:val="00D77991"/>
    <w:rsid w:val="00D779A1"/>
    <w:rsid w:val="00D779A2"/>
    <w:rsid w:val="00D77A5D"/>
    <w:rsid w:val="00D77BF5"/>
    <w:rsid w:val="00D77CEC"/>
    <w:rsid w:val="00D77F7F"/>
    <w:rsid w:val="00D8001E"/>
    <w:rsid w:val="00D804A6"/>
    <w:rsid w:val="00D805C9"/>
    <w:rsid w:val="00D808AD"/>
    <w:rsid w:val="00D80AE7"/>
    <w:rsid w:val="00D80B6F"/>
    <w:rsid w:val="00D80C16"/>
    <w:rsid w:val="00D80C5C"/>
    <w:rsid w:val="00D80D3A"/>
    <w:rsid w:val="00D80D8A"/>
    <w:rsid w:val="00D80E25"/>
    <w:rsid w:val="00D80E8D"/>
    <w:rsid w:val="00D80FE6"/>
    <w:rsid w:val="00D81562"/>
    <w:rsid w:val="00D815F8"/>
    <w:rsid w:val="00D81644"/>
    <w:rsid w:val="00D819B4"/>
    <w:rsid w:val="00D81A80"/>
    <w:rsid w:val="00D81AE4"/>
    <w:rsid w:val="00D81B8C"/>
    <w:rsid w:val="00D81CE5"/>
    <w:rsid w:val="00D81DB0"/>
    <w:rsid w:val="00D82084"/>
    <w:rsid w:val="00D82238"/>
    <w:rsid w:val="00D8245E"/>
    <w:rsid w:val="00D82739"/>
    <w:rsid w:val="00D827F4"/>
    <w:rsid w:val="00D82860"/>
    <w:rsid w:val="00D828C0"/>
    <w:rsid w:val="00D82A07"/>
    <w:rsid w:val="00D82B29"/>
    <w:rsid w:val="00D82B37"/>
    <w:rsid w:val="00D82E72"/>
    <w:rsid w:val="00D82F10"/>
    <w:rsid w:val="00D82F6E"/>
    <w:rsid w:val="00D83395"/>
    <w:rsid w:val="00D83444"/>
    <w:rsid w:val="00D834F0"/>
    <w:rsid w:val="00D8354A"/>
    <w:rsid w:val="00D8368D"/>
    <w:rsid w:val="00D83786"/>
    <w:rsid w:val="00D839D1"/>
    <w:rsid w:val="00D83AB4"/>
    <w:rsid w:val="00D83B62"/>
    <w:rsid w:val="00D83B80"/>
    <w:rsid w:val="00D83BEC"/>
    <w:rsid w:val="00D83DFE"/>
    <w:rsid w:val="00D83FFB"/>
    <w:rsid w:val="00D8417C"/>
    <w:rsid w:val="00D84521"/>
    <w:rsid w:val="00D8453D"/>
    <w:rsid w:val="00D8492D"/>
    <w:rsid w:val="00D84A5B"/>
    <w:rsid w:val="00D84E8E"/>
    <w:rsid w:val="00D85816"/>
    <w:rsid w:val="00D85981"/>
    <w:rsid w:val="00D85ADB"/>
    <w:rsid w:val="00D85E93"/>
    <w:rsid w:val="00D85EC2"/>
    <w:rsid w:val="00D86094"/>
    <w:rsid w:val="00D8618F"/>
    <w:rsid w:val="00D86228"/>
    <w:rsid w:val="00D8623B"/>
    <w:rsid w:val="00D863E9"/>
    <w:rsid w:val="00D865B5"/>
    <w:rsid w:val="00D866BF"/>
    <w:rsid w:val="00D867BD"/>
    <w:rsid w:val="00D868F0"/>
    <w:rsid w:val="00D86BD6"/>
    <w:rsid w:val="00D86D2C"/>
    <w:rsid w:val="00D86D6D"/>
    <w:rsid w:val="00D86EAA"/>
    <w:rsid w:val="00D86F42"/>
    <w:rsid w:val="00D86FD0"/>
    <w:rsid w:val="00D87408"/>
    <w:rsid w:val="00D8764C"/>
    <w:rsid w:val="00D8779D"/>
    <w:rsid w:val="00D8798C"/>
    <w:rsid w:val="00D87A96"/>
    <w:rsid w:val="00D87FAD"/>
    <w:rsid w:val="00D903D9"/>
    <w:rsid w:val="00D9054A"/>
    <w:rsid w:val="00D90701"/>
    <w:rsid w:val="00D909BC"/>
    <w:rsid w:val="00D90A6D"/>
    <w:rsid w:val="00D9121C"/>
    <w:rsid w:val="00D91297"/>
    <w:rsid w:val="00D9136A"/>
    <w:rsid w:val="00D91536"/>
    <w:rsid w:val="00D91930"/>
    <w:rsid w:val="00D9193C"/>
    <w:rsid w:val="00D91981"/>
    <w:rsid w:val="00D91AFE"/>
    <w:rsid w:val="00D91E0D"/>
    <w:rsid w:val="00D91F43"/>
    <w:rsid w:val="00D920D4"/>
    <w:rsid w:val="00D920E9"/>
    <w:rsid w:val="00D92545"/>
    <w:rsid w:val="00D92581"/>
    <w:rsid w:val="00D925C8"/>
    <w:rsid w:val="00D92AC9"/>
    <w:rsid w:val="00D92E0D"/>
    <w:rsid w:val="00D92F09"/>
    <w:rsid w:val="00D93131"/>
    <w:rsid w:val="00D931F1"/>
    <w:rsid w:val="00D93276"/>
    <w:rsid w:val="00D9332D"/>
    <w:rsid w:val="00D9379C"/>
    <w:rsid w:val="00D93B63"/>
    <w:rsid w:val="00D93B95"/>
    <w:rsid w:val="00D93C82"/>
    <w:rsid w:val="00D93D1C"/>
    <w:rsid w:val="00D93DFA"/>
    <w:rsid w:val="00D93EEC"/>
    <w:rsid w:val="00D93F71"/>
    <w:rsid w:val="00D94009"/>
    <w:rsid w:val="00D947BE"/>
    <w:rsid w:val="00D94A01"/>
    <w:rsid w:val="00D94B6B"/>
    <w:rsid w:val="00D94C97"/>
    <w:rsid w:val="00D95017"/>
    <w:rsid w:val="00D951AB"/>
    <w:rsid w:val="00D95324"/>
    <w:rsid w:val="00D9537F"/>
    <w:rsid w:val="00D955A0"/>
    <w:rsid w:val="00D958EC"/>
    <w:rsid w:val="00D95973"/>
    <w:rsid w:val="00D95CC3"/>
    <w:rsid w:val="00D95E2F"/>
    <w:rsid w:val="00D95F12"/>
    <w:rsid w:val="00D960CA"/>
    <w:rsid w:val="00D961E4"/>
    <w:rsid w:val="00D966FD"/>
    <w:rsid w:val="00D96968"/>
    <w:rsid w:val="00D96A5C"/>
    <w:rsid w:val="00D96CE0"/>
    <w:rsid w:val="00D96F2A"/>
    <w:rsid w:val="00D970EC"/>
    <w:rsid w:val="00D97103"/>
    <w:rsid w:val="00D97106"/>
    <w:rsid w:val="00D97217"/>
    <w:rsid w:val="00D9731A"/>
    <w:rsid w:val="00D97321"/>
    <w:rsid w:val="00D974A2"/>
    <w:rsid w:val="00D9754B"/>
    <w:rsid w:val="00D976C8"/>
    <w:rsid w:val="00D9786C"/>
    <w:rsid w:val="00D97AB8"/>
    <w:rsid w:val="00D97BC3"/>
    <w:rsid w:val="00D97C1C"/>
    <w:rsid w:val="00D97D84"/>
    <w:rsid w:val="00D97F77"/>
    <w:rsid w:val="00DA01A1"/>
    <w:rsid w:val="00DA0334"/>
    <w:rsid w:val="00DA049E"/>
    <w:rsid w:val="00DA04AF"/>
    <w:rsid w:val="00DA0711"/>
    <w:rsid w:val="00DA07BB"/>
    <w:rsid w:val="00DA0967"/>
    <w:rsid w:val="00DA0994"/>
    <w:rsid w:val="00DA0B35"/>
    <w:rsid w:val="00DA11E6"/>
    <w:rsid w:val="00DA13FB"/>
    <w:rsid w:val="00DA15BC"/>
    <w:rsid w:val="00DA16C5"/>
    <w:rsid w:val="00DA1819"/>
    <w:rsid w:val="00DA18F4"/>
    <w:rsid w:val="00DA1DC8"/>
    <w:rsid w:val="00DA1F20"/>
    <w:rsid w:val="00DA2153"/>
    <w:rsid w:val="00DA2481"/>
    <w:rsid w:val="00DA2522"/>
    <w:rsid w:val="00DA25E9"/>
    <w:rsid w:val="00DA2666"/>
    <w:rsid w:val="00DA27DC"/>
    <w:rsid w:val="00DA2B5D"/>
    <w:rsid w:val="00DA2BE0"/>
    <w:rsid w:val="00DA2BE5"/>
    <w:rsid w:val="00DA2CAF"/>
    <w:rsid w:val="00DA2CBA"/>
    <w:rsid w:val="00DA312A"/>
    <w:rsid w:val="00DA31CD"/>
    <w:rsid w:val="00DA3649"/>
    <w:rsid w:val="00DA36DB"/>
    <w:rsid w:val="00DA3908"/>
    <w:rsid w:val="00DA3981"/>
    <w:rsid w:val="00DA39F8"/>
    <w:rsid w:val="00DA3A20"/>
    <w:rsid w:val="00DA3BCF"/>
    <w:rsid w:val="00DA3C4B"/>
    <w:rsid w:val="00DA3C7C"/>
    <w:rsid w:val="00DA3D50"/>
    <w:rsid w:val="00DA3F6A"/>
    <w:rsid w:val="00DA420A"/>
    <w:rsid w:val="00DA42D0"/>
    <w:rsid w:val="00DA43C5"/>
    <w:rsid w:val="00DA477C"/>
    <w:rsid w:val="00DA484F"/>
    <w:rsid w:val="00DA4906"/>
    <w:rsid w:val="00DA4A55"/>
    <w:rsid w:val="00DA4BC6"/>
    <w:rsid w:val="00DA4C0B"/>
    <w:rsid w:val="00DA4C8B"/>
    <w:rsid w:val="00DA4D54"/>
    <w:rsid w:val="00DA4E0A"/>
    <w:rsid w:val="00DA4E44"/>
    <w:rsid w:val="00DA500E"/>
    <w:rsid w:val="00DA51A6"/>
    <w:rsid w:val="00DA5219"/>
    <w:rsid w:val="00DA5475"/>
    <w:rsid w:val="00DA547C"/>
    <w:rsid w:val="00DA58EB"/>
    <w:rsid w:val="00DA5931"/>
    <w:rsid w:val="00DA5A50"/>
    <w:rsid w:val="00DA5AB0"/>
    <w:rsid w:val="00DA62BE"/>
    <w:rsid w:val="00DA65EE"/>
    <w:rsid w:val="00DA6680"/>
    <w:rsid w:val="00DA68B7"/>
    <w:rsid w:val="00DA68EC"/>
    <w:rsid w:val="00DA6B2F"/>
    <w:rsid w:val="00DA6B6E"/>
    <w:rsid w:val="00DA6DC8"/>
    <w:rsid w:val="00DA71A0"/>
    <w:rsid w:val="00DA737B"/>
    <w:rsid w:val="00DA74F9"/>
    <w:rsid w:val="00DA7920"/>
    <w:rsid w:val="00DA79B7"/>
    <w:rsid w:val="00DA7C16"/>
    <w:rsid w:val="00DA7C7A"/>
    <w:rsid w:val="00DA7DC9"/>
    <w:rsid w:val="00DA7E7E"/>
    <w:rsid w:val="00DA7FE5"/>
    <w:rsid w:val="00DB0671"/>
    <w:rsid w:val="00DB06A9"/>
    <w:rsid w:val="00DB0833"/>
    <w:rsid w:val="00DB0CFD"/>
    <w:rsid w:val="00DB15D7"/>
    <w:rsid w:val="00DB18BF"/>
    <w:rsid w:val="00DB1907"/>
    <w:rsid w:val="00DB1A3C"/>
    <w:rsid w:val="00DB1A3E"/>
    <w:rsid w:val="00DB1A4A"/>
    <w:rsid w:val="00DB1C7A"/>
    <w:rsid w:val="00DB1D67"/>
    <w:rsid w:val="00DB1EFA"/>
    <w:rsid w:val="00DB2175"/>
    <w:rsid w:val="00DB223C"/>
    <w:rsid w:val="00DB22E5"/>
    <w:rsid w:val="00DB26F9"/>
    <w:rsid w:val="00DB2AD5"/>
    <w:rsid w:val="00DB2DD3"/>
    <w:rsid w:val="00DB2DD8"/>
    <w:rsid w:val="00DB3110"/>
    <w:rsid w:val="00DB31E8"/>
    <w:rsid w:val="00DB38FF"/>
    <w:rsid w:val="00DB3A22"/>
    <w:rsid w:val="00DB3FCE"/>
    <w:rsid w:val="00DB3FE2"/>
    <w:rsid w:val="00DB42FB"/>
    <w:rsid w:val="00DB4684"/>
    <w:rsid w:val="00DB46D7"/>
    <w:rsid w:val="00DB491B"/>
    <w:rsid w:val="00DB49C0"/>
    <w:rsid w:val="00DB4B29"/>
    <w:rsid w:val="00DB4CF7"/>
    <w:rsid w:val="00DB4D62"/>
    <w:rsid w:val="00DB4FCB"/>
    <w:rsid w:val="00DB4FD4"/>
    <w:rsid w:val="00DB5097"/>
    <w:rsid w:val="00DB5098"/>
    <w:rsid w:val="00DB5661"/>
    <w:rsid w:val="00DB59B7"/>
    <w:rsid w:val="00DB5BF2"/>
    <w:rsid w:val="00DB5C4F"/>
    <w:rsid w:val="00DB5DF4"/>
    <w:rsid w:val="00DB5E41"/>
    <w:rsid w:val="00DB5F58"/>
    <w:rsid w:val="00DB5FF3"/>
    <w:rsid w:val="00DB601E"/>
    <w:rsid w:val="00DB62B8"/>
    <w:rsid w:val="00DB649E"/>
    <w:rsid w:val="00DB668C"/>
    <w:rsid w:val="00DB6971"/>
    <w:rsid w:val="00DB6ABF"/>
    <w:rsid w:val="00DB6B48"/>
    <w:rsid w:val="00DB6B92"/>
    <w:rsid w:val="00DB6D08"/>
    <w:rsid w:val="00DB6DB5"/>
    <w:rsid w:val="00DB6DF1"/>
    <w:rsid w:val="00DB6E95"/>
    <w:rsid w:val="00DB728C"/>
    <w:rsid w:val="00DB7614"/>
    <w:rsid w:val="00DB781E"/>
    <w:rsid w:val="00DB7876"/>
    <w:rsid w:val="00DB79F4"/>
    <w:rsid w:val="00DB7A90"/>
    <w:rsid w:val="00DB7C2A"/>
    <w:rsid w:val="00DB7ECE"/>
    <w:rsid w:val="00DB7ED6"/>
    <w:rsid w:val="00DC000A"/>
    <w:rsid w:val="00DC03F6"/>
    <w:rsid w:val="00DC04BE"/>
    <w:rsid w:val="00DC0582"/>
    <w:rsid w:val="00DC062F"/>
    <w:rsid w:val="00DC068D"/>
    <w:rsid w:val="00DC06AE"/>
    <w:rsid w:val="00DC077D"/>
    <w:rsid w:val="00DC08DD"/>
    <w:rsid w:val="00DC0D91"/>
    <w:rsid w:val="00DC0E63"/>
    <w:rsid w:val="00DC1015"/>
    <w:rsid w:val="00DC1233"/>
    <w:rsid w:val="00DC138D"/>
    <w:rsid w:val="00DC141C"/>
    <w:rsid w:val="00DC145E"/>
    <w:rsid w:val="00DC162D"/>
    <w:rsid w:val="00DC1BBF"/>
    <w:rsid w:val="00DC1D53"/>
    <w:rsid w:val="00DC1D58"/>
    <w:rsid w:val="00DC2024"/>
    <w:rsid w:val="00DC2045"/>
    <w:rsid w:val="00DC20D6"/>
    <w:rsid w:val="00DC21B7"/>
    <w:rsid w:val="00DC2483"/>
    <w:rsid w:val="00DC24AB"/>
    <w:rsid w:val="00DC2565"/>
    <w:rsid w:val="00DC28F1"/>
    <w:rsid w:val="00DC297B"/>
    <w:rsid w:val="00DC29E1"/>
    <w:rsid w:val="00DC2A73"/>
    <w:rsid w:val="00DC2AB3"/>
    <w:rsid w:val="00DC3829"/>
    <w:rsid w:val="00DC383F"/>
    <w:rsid w:val="00DC3905"/>
    <w:rsid w:val="00DC394D"/>
    <w:rsid w:val="00DC3A0C"/>
    <w:rsid w:val="00DC3AF5"/>
    <w:rsid w:val="00DC3E04"/>
    <w:rsid w:val="00DC3E8C"/>
    <w:rsid w:val="00DC42C2"/>
    <w:rsid w:val="00DC44B5"/>
    <w:rsid w:val="00DC44BA"/>
    <w:rsid w:val="00DC4653"/>
    <w:rsid w:val="00DC4B27"/>
    <w:rsid w:val="00DC4D87"/>
    <w:rsid w:val="00DC511A"/>
    <w:rsid w:val="00DC5542"/>
    <w:rsid w:val="00DC570F"/>
    <w:rsid w:val="00DC576A"/>
    <w:rsid w:val="00DC58C1"/>
    <w:rsid w:val="00DC5C3A"/>
    <w:rsid w:val="00DC5D13"/>
    <w:rsid w:val="00DC67D2"/>
    <w:rsid w:val="00DC68B5"/>
    <w:rsid w:val="00DC69D3"/>
    <w:rsid w:val="00DC6ADC"/>
    <w:rsid w:val="00DC6BBC"/>
    <w:rsid w:val="00DC6C9F"/>
    <w:rsid w:val="00DC6CDE"/>
    <w:rsid w:val="00DC6D1F"/>
    <w:rsid w:val="00DC6D64"/>
    <w:rsid w:val="00DC6DFD"/>
    <w:rsid w:val="00DC70A9"/>
    <w:rsid w:val="00DC7247"/>
    <w:rsid w:val="00DC73AE"/>
    <w:rsid w:val="00DC741F"/>
    <w:rsid w:val="00DC7490"/>
    <w:rsid w:val="00DC76EE"/>
    <w:rsid w:val="00DC7740"/>
    <w:rsid w:val="00DC7A03"/>
    <w:rsid w:val="00DC7A19"/>
    <w:rsid w:val="00DC7AF2"/>
    <w:rsid w:val="00DC7C31"/>
    <w:rsid w:val="00DC7D67"/>
    <w:rsid w:val="00DD00EC"/>
    <w:rsid w:val="00DD03EA"/>
    <w:rsid w:val="00DD0473"/>
    <w:rsid w:val="00DD0665"/>
    <w:rsid w:val="00DD06C9"/>
    <w:rsid w:val="00DD0BAE"/>
    <w:rsid w:val="00DD0C62"/>
    <w:rsid w:val="00DD0D34"/>
    <w:rsid w:val="00DD0FBE"/>
    <w:rsid w:val="00DD11F3"/>
    <w:rsid w:val="00DD11F7"/>
    <w:rsid w:val="00DD13BE"/>
    <w:rsid w:val="00DD1746"/>
    <w:rsid w:val="00DD1CE5"/>
    <w:rsid w:val="00DD1DBB"/>
    <w:rsid w:val="00DD2071"/>
    <w:rsid w:val="00DD2106"/>
    <w:rsid w:val="00DD2138"/>
    <w:rsid w:val="00DD2296"/>
    <w:rsid w:val="00DD2480"/>
    <w:rsid w:val="00DD24D4"/>
    <w:rsid w:val="00DD25BC"/>
    <w:rsid w:val="00DD2639"/>
    <w:rsid w:val="00DD2978"/>
    <w:rsid w:val="00DD29F7"/>
    <w:rsid w:val="00DD2D01"/>
    <w:rsid w:val="00DD2F89"/>
    <w:rsid w:val="00DD2FF5"/>
    <w:rsid w:val="00DD30A7"/>
    <w:rsid w:val="00DD34A6"/>
    <w:rsid w:val="00DD3570"/>
    <w:rsid w:val="00DD3D13"/>
    <w:rsid w:val="00DD3D7D"/>
    <w:rsid w:val="00DD3D82"/>
    <w:rsid w:val="00DD3F2A"/>
    <w:rsid w:val="00DD3FBF"/>
    <w:rsid w:val="00DD40C9"/>
    <w:rsid w:val="00DD413D"/>
    <w:rsid w:val="00DD418B"/>
    <w:rsid w:val="00DD4193"/>
    <w:rsid w:val="00DD4417"/>
    <w:rsid w:val="00DD4491"/>
    <w:rsid w:val="00DD47C2"/>
    <w:rsid w:val="00DD4855"/>
    <w:rsid w:val="00DD4CA8"/>
    <w:rsid w:val="00DD4E7F"/>
    <w:rsid w:val="00DD4FF9"/>
    <w:rsid w:val="00DD5016"/>
    <w:rsid w:val="00DD5543"/>
    <w:rsid w:val="00DD57F0"/>
    <w:rsid w:val="00DD5898"/>
    <w:rsid w:val="00DD5AD0"/>
    <w:rsid w:val="00DD5B8A"/>
    <w:rsid w:val="00DD6052"/>
    <w:rsid w:val="00DD6064"/>
    <w:rsid w:val="00DD642B"/>
    <w:rsid w:val="00DD6618"/>
    <w:rsid w:val="00DD6706"/>
    <w:rsid w:val="00DD6737"/>
    <w:rsid w:val="00DD6B15"/>
    <w:rsid w:val="00DD6D5C"/>
    <w:rsid w:val="00DD6EE3"/>
    <w:rsid w:val="00DD7193"/>
    <w:rsid w:val="00DD7227"/>
    <w:rsid w:val="00DD76D4"/>
    <w:rsid w:val="00DD76F8"/>
    <w:rsid w:val="00DD7717"/>
    <w:rsid w:val="00DD7970"/>
    <w:rsid w:val="00DD79C7"/>
    <w:rsid w:val="00DD7A46"/>
    <w:rsid w:val="00DD7A56"/>
    <w:rsid w:val="00DD7B65"/>
    <w:rsid w:val="00DD7CBA"/>
    <w:rsid w:val="00DD7D0A"/>
    <w:rsid w:val="00DE0088"/>
    <w:rsid w:val="00DE00B4"/>
    <w:rsid w:val="00DE0345"/>
    <w:rsid w:val="00DE05CB"/>
    <w:rsid w:val="00DE05FD"/>
    <w:rsid w:val="00DE08B3"/>
    <w:rsid w:val="00DE08B7"/>
    <w:rsid w:val="00DE09C5"/>
    <w:rsid w:val="00DE0CA6"/>
    <w:rsid w:val="00DE0F43"/>
    <w:rsid w:val="00DE1203"/>
    <w:rsid w:val="00DE129A"/>
    <w:rsid w:val="00DE1340"/>
    <w:rsid w:val="00DE136D"/>
    <w:rsid w:val="00DE1892"/>
    <w:rsid w:val="00DE1B30"/>
    <w:rsid w:val="00DE1BB3"/>
    <w:rsid w:val="00DE1DA6"/>
    <w:rsid w:val="00DE1DF7"/>
    <w:rsid w:val="00DE1ECA"/>
    <w:rsid w:val="00DE1F0E"/>
    <w:rsid w:val="00DE1F22"/>
    <w:rsid w:val="00DE1FFA"/>
    <w:rsid w:val="00DE2043"/>
    <w:rsid w:val="00DE22BD"/>
    <w:rsid w:val="00DE23FD"/>
    <w:rsid w:val="00DE2400"/>
    <w:rsid w:val="00DE2559"/>
    <w:rsid w:val="00DE25EE"/>
    <w:rsid w:val="00DE2B08"/>
    <w:rsid w:val="00DE2D20"/>
    <w:rsid w:val="00DE2D51"/>
    <w:rsid w:val="00DE2D57"/>
    <w:rsid w:val="00DE3204"/>
    <w:rsid w:val="00DE325E"/>
    <w:rsid w:val="00DE32EA"/>
    <w:rsid w:val="00DE339B"/>
    <w:rsid w:val="00DE35D7"/>
    <w:rsid w:val="00DE372F"/>
    <w:rsid w:val="00DE38B0"/>
    <w:rsid w:val="00DE3951"/>
    <w:rsid w:val="00DE39CA"/>
    <w:rsid w:val="00DE3A48"/>
    <w:rsid w:val="00DE3A70"/>
    <w:rsid w:val="00DE3C2E"/>
    <w:rsid w:val="00DE3C3A"/>
    <w:rsid w:val="00DE3EF1"/>
    <w:rsid w:val="00DE3F09"/>
    <w:rsid w:val="00DE4066"/>
    <w:rsid w:val="00DE433E"/>
    <w:rsid w:val="00DE4449"/>
    <w:rsid w:val="00DE46DA"/>
    <w:rsid w:val="00DE4B33"/>
    <w:rsid w:val="00DE4C0A"/>
    <w:rsid w:val="00DE4C0C"/>
    <w:rsid w:val="00DE4DA6"/>
    <w:rsid w:val="00DE4E4F"/>
    <w:rsid w:val="00DE4F3A"/>
    <w:rsid w:val="00DE4FC5"/>
    <w:rsid w:val="00DE5016"/>
    <w:rsid w:val="00DE5066"/>
    <w:rsid w:val="00DE5315"/>
    <w:rsid w:val="00DE5356"/>
    <w:rsid w:val="00DE5418"/>
    <w:rsid w:val="00DE5502"/>
    <w:rsid w:val="00DE57AA"/>
    <w:rsid w:val="00DE5875"/>
    <w:rsid w:val="00DE5C83"/>
    <w:rsid w:val="00DE5FD2"/>
    <w:rsid w:val="00DE6403"/>
    <w:rsid w:val="00DE6878"/>
    <w:rsid w:val="00DE688A"/>
    <w:rsid w:val="00DE69FB"/>
    <w:rsid w:val="00DE6A1B"/>
    <w:rsid w:val="00DE6C5A"/>
    <w:rsid w:val="00DE6CB3"/>
    <w:rsid w:val="00DE6DBA"/>
    <w:rsid w:val="00DE6F8A"/>
    <w:rsid w:val="00DE723F"/>
    <w:rsid w:val="00DE7317"/>
    <w:rsid w:val="00DE74A7"/>
    <w:rsid w:val="00DE7B90"/>
    <w:rsid w:val="00DE7BDA"/>
    <w:rsid w:val="00DE7C8F"/>
    <w:rsid w:val="00DE7D2B"/>
    <w:rsid w:val="00DE7F03"/>
    <w:rsid w:val="00DF00AF"/>
    <w:rsid w:val="00DF01CA"/>
    <w:rsid w:val="00DF029D"/>
    <w:rsid w:val="00DF035B"/>
    <w:rsid w:val="00DF052A"/>
    <w:rsid w:val="00DF0597"/>
    <w:rsid w:val="00DF0753"/>
    <w:rsid w:val="00DF0757"/>
    <w:rsid w:val="00DF0944"/>
    <w:rsid w:val="00DF0977"/>
    <w:rsid w:val="00DF09FB"/>
    <w:rsid w:val="00DF0AD9"/>
    <w:rsid w:val="00DF0B6A"/>
    <w:rsid w:val="00DF0C64"/>
    <w:rsid w:val="00DF0F2B"/>
    <w:rsid w:val="00DF10F1"/>
    <w:rsid w:val="00DF1294"/>
    <w:rsid w:val="00DF159B"/>
    <w:rsid w:val="00DF177A"/>
    <w:rsid w:val="00DF18AD"/>
    <w:rsid w:val="00DF1AA6"/>
    <w:rsid w:val="00DF1B46"/>
    <w:rsid w:val="00DF1DB3"/>
    <w:rsid w:val="00DF1DF3"/>
    <w:rsid w:val="00DF2207"/>
    <w:rsid w:val="00DF22E1"/>
    <w:rsid w:val="00DF26DD"/>
    <w:rsid w:val="00DF278E"/>
    <w:rsid w:val="00DF2AA6"/>
    <w:rsid w:val="00DF2D5D"/>
    <w:rsid w:val="00DF2DD8"/>
    <w:rsid w:val="00DF2FB2"/>
    <w:rsid w:val="00DF3143"/>
    <w:rsid w:val="00DF3247"/>
    <w:rsid w:val="00DF3288"/>
    <w:rsid w:val="00DF37CE"/>
    <w:rsid w:val="00DF3A39"/>
    <w:rsid w:val="00DF3CAE"/>
    <w:rsid w:val="00DF40DF"/>
    <w:rsid w:val="00DF429C"/>
    <w:rsid w:val="00DF4372"/>
    <w:rsid w:val="00DF467D"/>
    <w:rsid w:val="00DF4D9F"/>
    <w:rsid w:val="00DF4E51"/>
    <w:rsid w:val="00DF4F0B"/>
    <w:rsid w:val="00DF4FB0"/>
    <w:rsid w:val="00DF503B"/>
    <w:rsid w:val="00DF510A"/>
    <w:rsid w:val="00DF51BD"/>
    <w:rsid w:val="00DF5328"/>
    <w:rsid w:val="00DF53D6"/>
    <w:rsid w:val="00DF5493"/>
    <w:rsid w:val="00DF561A"/>
    <w:rsid w:val="00DF5653"/>
    <w:rsid w:val="00DF592E"/>
    <w:rsid w:val="00DF59F3"/>
    <w:rsid w:val="00DF5D54"/>
    <w:rsid w:val="00DF61AE"/>
    <w:rsid w:val="00DF61F4"/>
    <w:rsid w:val="00DF6399"/>
    <w:rsid w:val="00DF6513"/>
    <w:rsid w:val="00DF6717"/>
    <w:rsid w:val="00DF677C"/>
    <w:rsid w:val="00DF6A2E"/>
    <w:rsid w:val="00DF6B1C"/>
    <w:rsid w:val="00DF6C23"/>
    <w:rsid w:val="00DF6EDD"/>
    <w:rsid w:val="00DF6FAC"/>
    <w:rsid w:val="00DF7274"/>
    <w:rsid w:val="00DF7352"/>
    <w:rsid w:val="00DF7356"/>
    <w:rsid w:val="00DF73F5"/>
    <w:rsid w:val="00DF7498"/>
    <w:rsid w:val="00DF760D"/>
    <w:rsid w:val="00DF7979"/>
    <w:rsid w:val="00DF7ACA"/>
    <w:rsid w:val="00DF7B51"/>
    <w:rsid w:val="00DF7C4E"/>
    <w:rsid w:val="00DF7E1C"/>
    <w:rsid w:val="00DF7E31"/>
    <w:rsid w:val="00E00152"/>
    <w:rsid w:val="00E001A9"/>
    <w:rsid w:val="00E00226"/>
    <w:rsid w:val="00E00304"/>
    <w:rsid w:val="00E009D0"/>
    <w:rsid w:val="00E00A82"/>
    <w:rsid w:val="00E00FFF"/>
    <w:rsid w:val="00E011AF"/>
    <w:rsid w:val="00E013E5"/>
    <w:rsid w:val="00E014F1"/>
    <w:rsid w:val="00E018BB"/>
    <w:rsid w:val="00E01BDB"/>
    <w:rsid w:val="00E01EE0"/>
    <w:rsid w:val="00E02357"/>
    <w:rsid w:val="00E023B0"/>
    <w:rsid w:val="00E02A28"/>
    <w:rsid w:val="00E02ABC"/>
    <w:rsid w:val="00E02B0B"/>
    <w:rsid w:val="00E02B9A"/>
    <w:rsid w:val="00E0336D"/>
    <w:rsid w:val="00E033C8"/>
    <w:rsid w:val="00E035C9"/>
    <w:rsid w:val="00E03D6D"/>
    <w:rsid w:val="00E03D93"/>
    <w:rsid w:val="00E03EB0"/>
    <w:rsid w:val="00E0424D"/>
    <w:rsid w:val="00E04455"/>
    <w:rsid w:val="00E04502"/>
    <w:rsid w:val="00E045CE"/>
    <w:rsid w:val="00E04A9D"/>
    <w:rsid w:val="00E04D10"/>
    <w:rsid w:val="00E04D6F"/>
    <w:rsid w:val="00E04DE8"/>
    <w:rsid w:val="00E04E03"/>
    <w:rsid w:val="00E05154"/>
    <w:rsid w:val="00E05164"/>
    <w:rsid w:val="00E05503"/>
    <w:rsid w:val="00E0557D"/>
    <w:rsid w:val="00E05643"/>
    <w:rsid w:val="00E05644"/>
    <w:rsid w:val="00E057A9"/>
    <w:rsid w:val="00E05912"/>
    <w:rsid w:val="00E059E0"/>
    <w:rsid w:val="00E05C16"/>
    <w:rsid w:val="00E05D2C"/>
    <w:rsid w:val="00E05E83"/>
    <w:rsid w:val="00E063AF"/>
    <w:rsid w:val="00E06991"/>
    <w:rsid w:val="00E069AD"/>
    <w:rsid w:val="00E06A63"/>
    <w:rsid w:val="00E06BA1"/>
    <w:rsid w:val="00E06E1F"/>
    <w:rsid w:val="00E06EEE"/>
    <w:rsid w:val="00E074D6"/>
    <w:rsid w:val="00E0755B"/>
    <w:rsid w:val="00E0783C"/>
    <w:rsid w:val="00E07917"/>
    <w:rsid w:val="00E0796E"/>
    <w:rsid w:val="00E07A9E"/>
    <w:rsid w:val="00E07D0F"/>
    <w:rsid w:val="00E07D17"/>
    <w:rsid w:val="00E07D51"/>
    <w:rsid w:val="00E07EE4"/>
    <w:rsid w:val="00E07FEA"/>
    <w:rsid w:val="00E100C7"/>
    <w:rsid w:val="00E101F6"/>
    <w:rsid w:val="00E102B8"/>
    <w:rsid w:val="00E10371"/>
    <w:rsid w:val="00E1054C"/>
    <w:rsid w:val="00E1078B"/>
    <w:rsid w:val="00E10B7E"/>
    <w:rsid w:val="00E10E5E"/>
    <w:rsid w:val="00E110CC"/>
    <w:rsid w:val="00E115D0"/>
    <w:rsid w:val="00E117B4"/>
    <w:rsid w:val="00E118F7"/>
    <w:rsid w:val="00E11A0D"/>
    <w:rsid w:val="00E11A15"/>
    <w:rsid w:val="00E11E05"/>
    <w:rsid w:val="00E11F09"/>
    <w:rsid w:val="00E12200"/>
    <w:rsid w:val="00E122A6"/>
    <w:rsid w:val="00E122BD"/>
    <w:rsid w:val="00E122F4"/>
    <w:rsid w:val="00E12405"/>
    <w:rsid w:val="00E1251A"/>
    <w:rsid w:val="00E1260A"/>
    <w:rsid w:val="00E1289B"/>
    <w:rsid w:val="00E12C04"/>
    <w:rsid w:val="00E12C2A"/>
    <w:rsid w:val="00E12DA1"/>
    <w:rsid w:val="00E12DC2"/>
    <w:rsid w:val="00E12E2B"/>
    <w:rsid w:val="00E12E52"/>
    <w:rsid w:val="00E12F5E"/>
    <w:rsid w:val="00E12FCB"/>
    <w:rsid w:val="00E1304B"/>
    <w:rsid w:val="00E1311C"/>
    <w:rsid w:val="00E133DF"/>
    <w:rsid w:val="00E135B2"/>
    <w:rsid w:val="00E135EC"/>
    <w:rsid w:val="00E13888"/>
    <w:rsid w:val="00E13CEB"/>
    <w:rsid w:val="00E13DB1"/>
    <w:rsid w:val="00E13EA7"/>
    <w:rsid w:val="00E13EE4"/>
    <w:rsid w:val="00E14101"/>
    <w:rsid w:val="00E14390"/>
    <w:rsid w:val="00E1439A"/>
    <w:rsid w:val="00E1452D"/>
    <w:rsid w:val="00E14637"/>
    <w:rsid w:val="00E14916"/>
    <w:rsid w:val="00E14958"/>
    <w:rsid w:val="00E14C5A"/>
    <w:rsid w:val="00E14E9A"/>
    <w:rsid w:val="00E1502E"/>
    <w:rsid w:val="00E1503C"/>
    <w:rsid w:val="00E1521E"/>
    <w:rsid w:val="00E153DB"/>
    <w:rsid w:val="00E15493"/>
    <w:rsid w:val="00E154B4"/>
    <w:rsid w:val="00E154FF"/>
    <w:rsid w:val="00E15595"/>
    <w:rsid w:val="00E1566E"/>
    <w:rsid w:val="00E15790"/>
    <w:rsid w:val="00E15792"/>
    <w:rsid w:val="00E159D0"/>
    <w:rsid w:val="00E15A7B"/>
    <w:rsid w:val="00E15C29"/>
    <w:rsid w:val="00E15F1D"/>
    <w:rsid w:val="00E160E0"/>
    <w:rsid w:val="00E16185"/>
    <w:rsid w:val="00E16320"/>
    <w:rsid w:val="00E163AC"/>
    <w:rsid w:val="00E163C7"/>
    <w:rsid w:val="00E1668D"/>
    <w:rsid w:val="00E1678A"/>
    <w:rsid w:val="00E1679C"/>
    <w:rsid w:val="00E16C60"/>
    <w:rsid w:val="00E16CF8"/>
    <w:rsid w:val="00E17230"/>
    <w:rsid w:val="00E173F7"/>
    <w:rsid w:val="00E1778B"/>
    <w:rsid w:val="00E17893"/>
    <w:rsid w:val="00E17CFA"/>
    <w:rsid w:val="00E17E7E"/>
    <w:rsid w:val="00E200B4"/>
    <w:rsid w:val="00E2014B"/>
    <w:rsid w:val="00E20150"/>
    <w:rsid w:val="00E202DE"/>
    <w:rsid w:val="00E2039C"/>
    <w:rsid w:val="00E203BE"/>
    <w:rsid w:val="00E204C1"/>
    <w:rsid w:val="00E204C5"/>
    <w:rsid w:val="00E20597"/>
    <w:rsid w:val="00E205F9"/>
    <w:rsid w:val="00E20ABD"/>
    <w:rsid w:val="00E20C4F"/>
    <w:rsid w:val="00E20D42"/>
    <w:rsid w:val="00E216E6"/>
    <w:rsid w:val="00E21B57"/>
    <w:rsid w:val="00E21C38"/>
    <w:rsid w:val="00E21E9A"/>
    <w:rsid w:val="00E21ED0"/>
    <w:rsid w:val="00E2222C"/>
    <w:rsid w:val="00E2289B"/>
    <w:rsid w:val="00E228EF"/>
    <w:rsid w:val="00E22909"/>
    <w:rsid w:val="00E2296D"/>
    <w:rsid w:val="00E22ACB"/>
    <w:rsid w:val="00E22BAD"/>
    <w:rsid w:val="00E22C2F"/>
    <w:rsid w:val="00E232E4"/>
    <w:rsid w:val="00E2346C"/>
    <w:rsid w:val="00E234DF"/>
    <w:rsid w:val="00E235AD"/>
    <w:rsid w:val="00E236E9"/>
    <w:rsid w:val="00E23791"/>
    <w:rsid w:val="00E23846"/>
    <w:rsid w:val="00E23A70"/>
    <w:rsid w:val="00E23BCE"/>
    <w:rsid w:val="00E23CCE"/>
    <w:rsid w:val="00E23DBF"/>
    <w:rsid w:val="00E23F77"/>
    <w:rsid w:val="00E243D6"/>
    <w:rsid w:val="00E24468"/>
    <w:rsid w:val="00E24526"/>
    <w:rsid w:val="00E24554"/>
    <w:rsid w:val="00E24727"/>
    <w:rsid w:val="00E24788"/>
    <w:rsid w:val="00E247A3"/>
    <w:rsid w:val="00E247B1"/>
    <w:rsid w:val="00E247B3"/>
    <w:rsid w:val="00E24A52"/>
    <w:rsid w:val="00E24D5B"/>
    <w:rsid w:val="00E24DE0"/>
    <w:rsid w:val="00E24F03"/>
    <w:rsid w:val="00E24FF9"/>
    <w:rsid w:val="00E2521D"/>
    <w:rsid w:val="00E25357"/>
    <w:rsid w:val="00E25463"/>
    <w:rsid w:val="00E25495"/>
    <w:rsid w:val="00E2557B"/>
    <w:rsid w:val="00E257FE"/>
    <w:rsid w:val="00E25814"/>
    <w:rsid w:val="00E25880"/>
    <w:rsid w:val="00E25A44"/>
    <w:rsid w:val="00E25C7D"/>
    <w:rsid w:val="00E25CCA"/>
    <w:rsid w:val="00E25D19"/>
    <w:rsid w:val="00E25D33"/>
    <w:rsid w:val="00E25D4A"/>
    <w:rsid w:val="00E260F8"/>
    <w:rsid w:val="00E264F5"/>
    <w:rsid w:val="00E265D1"/>
    <w:rsid w:val="00E26699"/>
    <w:rsid w:val="00E268F5"/>
    <w:rsid w:val="00E2691F"/>
    <w:rsid w:val="00E2693C"/>
    <w:rsid w:val="00E26BCD"/>
    <w:rsid w:val="00E27245"/>
    <w:rsid w:val="00E27312"/>
    <w:rsid w:val="00E27516"/>
    <w:rsid w:val="00E2755E"/>
    <w:rsid w:val="00E2758C"/>
    <w:rsid w:val="00E27AF8"/>
    <w:rsid w:val="00E27B0E"/>
    <w:rsid w:val="00E27B52"/>
    <w:rsid w:val="00E27D3F"/>
    <w:rsid w:val="00E27FAB"/>
    <w:rsid w:val="00E3004B"/>
    <w:rsid w:val="00E3007F"/>
    <w:rsid w:val="00E30289"/>
    <w:rsid w:val="00E30552"/>
    <w:rsid w:val="00E3078E"/>
    <w:rsid w:val="00E30876"/>
    <w:rsid w:val="00E30A7B"/>
    <w:rsid w:val="00E30B60"/>
    <w:rsid w:val="00E30D2F"/>
    <w:rsid w:val="00E30E09"/>
    <w:rsid w:val="00E30ECD"/>
    <w:rsid w:val="00E311FA"/>
    <w:rsid w:val="00E312C6"/>
    <w:rsid w:val="00E312FA"/>
    <w:rsid w:val="00E3149E"/>
    <w:rsid w:val="00E3179E"/>
    <w:rsid w:val="00E318B6"/>
    <w:rsid w:val="00E31A1A"/>
    <w:rsid w:val="00E31B14"/>
    <w:rsid w:val="00E31BBC"/>
    <w:rsid w:val="00E31DC5"/>
    <w:rsid w:val="00E31DCC"/>
    <w:rsid w:val="00E32006"/>
    <w:rsid w:val="00E3221A"/>
    <w:rsid w:val="00E323E0"/>
    <w:rsid w:val="00E324C0"/>
    <w:rsid w:val="00E3269C"/>
    <w:rsid w:val="00E3289A"/>
    <w:rsid w:val="00E32B7F"/>
    <w:rsid w:val="00E32C5B"/>
    <w:rsid w:val="00E32F02"/>
    <w:rsid w:val="00E32F2F"/>
    <w:rsid w:val="00E3304E"/>
    <w:rsid w:val="00E33939"/>
    <w:rsid w:val="00E33C40"/>
    <w:rsid w:val="00E33E42"/>
    <w:rsid w:val="00E3444F"/>
    <w:rsid w:val="00E34807"/>
    <w:rsid w:val="00E3482C"/>
    <w:rsid w:val="00E34904"/>
    <w:rsid w:val="00E34985"/>
    <w:rsid w:val="00E34A52"/>
    <w:rsid w:val="00E34D68"/>
    <w:rsid w:val="00E34D94"/>
    <w:rsid w:val="00E34FF3"/>
    <w:rsid w:val="00E350B5"/>
    <w:rsid w:val="00E35258"/>
    <w:rsid w:val="00E352BA"/>
    <w:rsid w:val="00E355DF"/>
    <w:rsid w:val="00E355E0"/>
    <w:rsid w:val="00E355F4"/>
    <w:rsid w:val="00E3562B"/>
    <w:rsid w:val="00E35802"/>
    <w:rsid w:val="00E3592F"/>
    <w:rsid w:val="00E35B5C"/>
    <w:rsid w:val="00E35C48"/>
    <w:rsid w:val="00E35C8B"/>
    <w:rsid w:val="00E36426"/>
    <w:rsid w:val="00E3643F"/>
    <w:rsid w:val="00E3670F"/>
    <w:rsid w:val="00E3677E"/>
    <w:rsid w:val="00E3702F"/>
    <w:rsid w:val="00E37592"/>
    <w:rsid w:val="00E37607"/>
    <w:rsid w:val="00E3771B"/>
    <w:rsid w:val="00E377C5"/>
    <w:rsid w:val="00E377D0"/>
    <w:rsid w:val="00E37807"/>
    <w:rsid w:val="00E3782C"/>
    <w:rsid w:val="00E37941"/>
    <w:rsid w:val="00E37948"/>
    <w:rsid w:val="00E37E16"/>
    <w:rsid w:val="00E400A7"/>
    <w:rsid w:val="00E402F9"/>
    <w:rsid w:val="00E403D2"/>
    <w:rsid w:val="00E4047A"/>
    <w:rsid w:val="00E40497"/>
    <w:rsid w:val="00E405C3"/>
    <w:rsid w:val="00E40972"/>
    <w:rsid w:val="00E4098E"/>
    <w:rsid w:val="00E40996"/>
    <w:rsid w:val="00E40B4C"/>
    <w:rsid w:val="00E40EA4"/>
    <w:rsid w:val="00E412F1"/>
    <w:rsid w:val="00E41728"/>
    <w:rsid w:val="00E4177C"/>
    <w:rsid w:val="00E41924"/>
    <w:rsid w:val="00E41F33"/>
    <w:rsid w:val="00E42012"/>
    <w:rsid w:val="00E4209C"/>
    <w:rsid w:val="00E4220C"/>
    <w:rsid w:val="00E422DB"/>
    <w:rsid w:val="00E42407"/>
    <w:rsid w:val="00E4247B"/>
    <w:rsid w:val="00E42521"/>
    <w:rsid w:val="00E429F2"/>
    <w:rsid w:val="00E42AE7"/>
    <w:rsid w:val="00E43077"/>
    <w:rsid w:val="00E433A8"/>
    <w:rsid w:val="00E43640"/>
    <w:rsid w:val="00E43662"/>
    <w:rsid w:val="00E437A8"/>
    <w:rsid w:val="00E4387F"/>
    <w:rsid w:val="00E438E4"/>
    <w:rsid w:val="00E439E7"/>
    <w:rsid w:val="00E43A29"/>
    <w:rsid w:val="00E43B43"/>
    <w:rsid w:val="00E43CCE"/>
    <w:rsid w:val="00E43F81"/>
    <w:rsid w:val="00E43FB4"/>
    <w:rsid w:val="00E44068"/>
    <w:rsid w:val="00E440A7"/>
    <w:rsid w:val="00E446EA"/>
    <w:rsid w:val="00E447BC"/>
    <w:rsid w:val="00E447E0"/>
    <w:rsid w:val="00E44950"/>
    <w:rsid w:val="00E44B6A"/>
    <w:rsid w:val="00E453AA"/>
    <w:rsid w:val="00E455B5"/>
    <w:rsid w:val="00E455CD"/>
    <w:rsid w:val="00E4573B"/>
    <w:rsid w:val="00E45BD8"/>
    <w:rsid w:val="00E45CBF"/>
    <w:rsid w:val="00E45F45"/>
    <w:rsid w:val="00E462A4"/>
    <w:rsid w:val="00E464E7"/>
    <w:rsid w:val="00E465AD"/>
    <w:rsid w:val="00E465BD"/>
    <w:rsid w:val="00E46729"/>
    <w:rsid w:val="00E46969"/>
    <w:rsid w:val="00E469C2"/>
    <w:rsid w:val="00E46C0E"/>
    <w:rsid w:val="00E46D26"/>
    <w:rsid w:val="00E47049"/>
    <w:rsid w:val="00E47375"/>
    <w:rsid w:val="00E473C1"/>
    <w:rsid w:val="00E474BF"/>
    <w:rsid w:val="00E474FC"/>
    <w:rsid w:val="00E478F7"/>
    <w:rsid w:val="00E479BE"/>
    <w:rsid w:val="00E47DA4"/>
    <w:rsid w:val="00E47DAA"/>
    <w:rsid w:val="00E47F80"/>
    <w:rsid w:val="00E4CCBA"/>
    <w:rsid w:val="00E50054"/>
    <w:rsid w:val="00E50093"/>
    <w:rsid w:val="00E5026E"/>
    <w:rsid w:val="00E50291"/>
    <w:rsid w:val="00E502B2"/>
    <w:rsid w:val="00E5067E"/>
    <w:rsid w:val="00E5068F"/>
    <w:rsid w:val="00E5073A"/>
    <w:rsid w:val="00E507C3"/>
    <w:rsid w:val="00E50A22"/>
    <w:rsid w:val="00E50AA3"/>
    <w:rsid w:val="00E50B76"/>
    <w:rsid w:val="00E50CB9"/>
    <w:rsid w:val="00E50E57"/>
    <w:rsid w:val="00E50E70"/>
    <w:rsid w:val="00E50F58"/>
    <w:rsid w:val="00E50FD3"/>
    <w:rsid w:val="00E51092"/>
    <w:rsid w:val="00E510E3"/>
    <w:rsid w:val="00E5115A"/>
    <w:rsid w:val="00E5142A"/>
    <w:rsid w:val="00E51497"/>
    <w:rsid w:val="00E516C3"/>
    <w:rsid w:val="00E516EF"/>
    <w:rsid w:val="00E51AE5"/>
    <w:rsid w:val="00E51DA7"/>
    <w:rsid w:val="00E51DE6"/>
    <w:rsid w:val="00E51EDD"/>
    <w:rsid w:val="00E51F05"/>
    <w:rsid w:val="00E51F0F"/>
    <w:rsid w:val="00E52253"/>
    <w:rsid w:val="00E5251C"/>
    <w:rsid w:val="00E5292A"/>
    <w:rsid w:val="00E5308A"/>
    <w:rsid w:val="00E53518"/>
    <w:rsid w:val="00E53906"/>
    <w:rsid w:val="00E5392B"/>
    <w:rsid w:val="00E53ABB"/>
    <w:rsid w:val="00E53D5B"/>
    <w:rsid w:val="00E53F83"/>
    <w:rsid w:val="00E54664"/>
    <w:rsid w:val="00E54937"/>
    <w:rsid w:val="00E54960"/>
    <w:rsid w:val="00E54A1A"/>
    <w:rsid w:val="00E54CFE"/>
    <w:rsid w:val="00E54DA1"/>
    <w:rsid w:val="00E54DCD"/>
    <w:rsid w:val="00E54E7C"/>
    <w:rsid w:val="00E54ED6"/>
    <w:rsid w:val="00E5503B"/>
    <w:rsid w:val="00E551F3"/>
    <w:rsid w:val="00E552D9"/>
    <w:rsid w:val="00E553EE"/>
    <w:rsid w:val="00E55464"/>
    <w:rsid w:val="00E555DA"/>
    <w:rsid w:val="00E55C7F"/>
    <w:rsid w:val="00E55EB6"/>
    <w:rsid w:val="00E5618B"/>
    <w:rsid w:val="00E562E2"/>
    <w:rsid w:val="00E56380"/>
    <w:rsid w:val="00E563A8"/>
    <w:rsid w:val="00E56877"/>
    <w:rsid w:val="00E568DF"/>
    <w:rsid w:val="00E569E6"/>
    <w:rsid w:val="00E56E04"/>
    <w:rsid w:val="00E57045"/>
    <w:rsid w:val="00E57199"/>
    <w:rsid w:val="00E57387"/>
    <w:rsid w:val="00E57417"/>
    <w:rsid w:val="00E57847"/>
    <w:rsid w:val="00E578E5"/>
    <w:rsid w:val="00E57BAC"/>
    <w:rsid w:val="00E57F65"/>
    <w:rsid w:val="00E60241"/>
    <w:rsid w:val="00E60671"/>
    <w:rsid w:val="00E60698"/>
    <w:rsid w:val="00E60765"/>
    <w:rsid w:val="00E60A58"/>
    <w:rsid w:val="00E60B27"/>
    <w:rsid w:val="00E60BBD"/>
    <w:rsid w:val="00E60CA6"/>
    <w:rsid w:val="00E60E0A"/>
    <w:rsid w:val="00E611BE"/>
    <w:rsid w:val="00E611ED"/>
    <w:rsid w:val="00E6129F"/>
    <w:rsid w:val="00E613BA"/>
    <w:rsid w:val="00E61514"/>
    <w:rsid w:val="00E6196B"/>
    <w:rsid w:val="00E61B4D"/>
    <w:rsid w:val="00E61D6A"/>
    <w:rsid w:val="00E61F4C"/>
    <w:rsid w:val="00E62066"/>
    <w:rsid w:val="00E62237"/>
    <w:rsid w:val="00E625BB"/>
    <w:rsid w:val="00E6297D"/>
    <w:rsid w:val="00E62A84"/>
    <w:rsid w:val="00E62A9B"/>
    <w:rsid w:val="00E62B94"/>
    <w:rsid w:val="00E62C42"/>
    <w:rsid w:val="00E62C83"/>
    <w:rsid w:val="00E631A4"/>
    <w:rsid w:val="00E6322F"/>
    <w:rsid w:val="00E6337D"/>
    <w:rsid w:val="00E63430"/>
    <w:rsid w:val="00E63497"/>
    <w:rsid w:val="00E63979"/>
    <w:rsid w:val="00E63BE5"/>
    <w:rsid w:val="00E6421B"/>
    <w:rsid w:val="00E642D5"/>
    <w:rsid w:val="00E643C8"/>
    <w:rsid w:val="00E6452B"/>
    <w:rsid w:val="00E645FE"/>
    <w:rsid w:val="00E647EC"/>
    <w:rsid w:val="00E6483A"/>
    <w:rsid w:val="00E6492E"/>
    <w:rsid w:val="00E64962"/>
    <w:rsid w:val="00E64BFF"/>
    <w:rsid w:val="00E64CBB"/>
    <w:rsid w:val="00E64E9A"/>
    <w:rsid w:val="00E651AA"/>
    <w:rsid w:val="00E65319"/>
    <w:rsid w:val="00E6531E"/>
    <w:rsid w:val="00E654CF"/>
    <w:rsid w:val="00E6579B"/>
    <w:rsid w:val="00E65A13"/>
    <w:rsid w:val="00E65A22"/>
    <w:rsid w:val="00E65BF8"/>
    <w:rsid w:val="00E65D76"/>
    <w:rsid w:val="00E65EF4"/>
    <w:rsid w:val="00E6616B"/>
    <w:rsid w:val="00E66278"/>
    <w:rsid w:val="00E6646B"/>
    <w:rsid w:val="00E66727"/>
    <w:rsid w:val="00E669B0"/>
    <w:rsid w:val="00E669BB"/>
    <w:rsid w:val="00E66BA4"/>
    <w:rsid w:val="00E66E1C"/>
    <w:rsid w:val="00E66F8F"/>
    <w:rsid w:val="00E66F92"/>
    <w:rsid w:val="00E67127"/>
    <w:rsid w:val="00E673DA"/>
    <w:rsid w:val="00E675B7"/>
    <w:rsid w:val="00E67648"/>
    <w:rsid w:val="00E676D2"/>
    <w:rsid w:val="00E6775C"/>
    <w:rsid w:val="00E67F0F"/>
    <w:rsid w:val="00E70566"/>
    <w:rsid w:val="00E70598"/>
    <w:rsid w:val="00E709F6"/>
    <w:rsid w:val="00E70C64"/>
    <w:rsid w:val="00E70E66"/>
    <w:rsid w:val="00E70E91"/>
    <w:rsid w:val="00E70F97"/>
    <w:rsid w:val="00E715BE"/>
    <w:rsid w:val="00E71926"/>
    <w:rsid w:val="00E71B08"/>
    <w:rsid w:val="00E71DDF"/>
    <w:rsid w:val="00E71F63"/>
    <w:rsid w:val="00E71FC3"/>
    <w:rsid w:val="00E72267"/>
    <w:rsid w:val="00E7238C"/>
    <w:rsid w:val="00E72393"/>
    <w:rsid w:val="00E7247B"/>
    <w:rsid w:val="00E72665"/>
    <w:rsid w:val="00E726E5"/>
    <w:rsid w:val="00E7298E"/>
    <w:rsid w:val="00E7299F"/>
    <w:rsid w:val="00E729C4"/>
    <w:rsid w:val="00E72E45"/>
    <w:rsid w:val="00E72E67"/>
    <w:rsid w:val="00E7302F"/>
    <w:rsid w:val="00E733B1"/>
    <w:rsid w:val="00E73789"/>
    <w:rsid w:val="00E73845"/>
    <w:rsid w:val="00E7386D"/>
    <w:rsid w:val="00E738A0"/>
    <w:rsid w:val="00E73AD6"/>
    <w:rsid w:val="00E73BB6"/>
    <w:rsid w:val="00E73D53"/>
    <w:rsid w:val="00E74193"/>
    <w:rsid w:val="00E741A2"/>
    <w:rsid w:val="00E7461B"/>
    <w:rsid w:val="00E74DCE"/>
    <w:rsid w:val="00E74EE3"/>
    <w:rsid w:val="00E75068"/>
    <w:rsid w:val="00E75163"/>
    <w:rsid w:val="00E751C6"/>
    <w:rsid w:val="00E754F0"/>
    <w:rsid w:val="00E7563B"/>
    <w:rsid w:val="00E75790"/>
    <w:rsid w:val="00E7587D"/>
    <w:rsid w:val="00E75AC1"/>
    <w:rsid w:val="00E75B4B"/>
    <w:rsid w:val="00E75BED"/>
    <w:rsid w:val="00E75F48"/>
    <w:rsid w:val="00E761BD"/>
    <w:rsid w:val="00E76300"/>
    <w:rsid w:val="00E76440"/>
    <w:rsid w:val="00E7649C"/>
    <w:rsid w:val="00E76595"/>
    <w:rsid w:val="00E76B74"/>
    <w:rsid w:val="00E76CF9"/>
    <w:rsid w:val="00E76ECF"/>
    <w:rsid w:val="00E76F4F"/>
    <w:rsid w:val="00E76FC9"/>
    <w:rsid w:val="00E770B3"/>
    <w:rsid w:val="00E7721A"/>
    <w:rsid w:val="00E7741A"/>
    <w:rsid w:val="00E774E9"/>
    <w:rsid w:val="00E77511"/>
    <w:rsid w:val="00E77569"/>
    <w:rsid w:val="00E775A6"/>
    <w:rsid w:val="00E7764C"/>
    <w:rsid w:val="00E776A7"/>
    <w:rsid w:val="00E776F6"/>
    <w:rsid w:val="00E77743"/>
    <w:rsid w:val="00E778B9"/>
    <w:rsid w:val="00E77971"/>
    <w:rsid w:val="00E77C26"/>
    <w:rsid w:val="00E77CCD"/>
    <w:rsid w:val="00E80001"/>
    <w:rsid w:val="00E80087"/>
    <w:rsid w:val="00E8009C"/>
    <w:rsid w:val="00E800CF"/>
    <w:rsid w:val="00E802A4"/>
    <w:rsid w:val="00E802D3"/>
    <w:rsid w:val="00E80453"/>
    <w:rsid w:val="00E804C5"/>
    <w:rsid w:val="00E807AE"/>
    <w:rsid w:val="00E8083A"/>
    <w:rsid w:val="00E80991"/>
    <w:rsid w:val="00E809F7"/>
    <w:rsid w:val="00E80ABB"/>
    <w:rsid w:val="00E80AF4"/>
    <w:rsid w:val="00E80E80"/>
    <w:rsid w:val="00E80E96"/>
    <w:rsid w:val="00E80EE5"/>
    <w:rsid w:val="00E80F30"/>
    <w:rsid w:val="00E8104C"/>
    <w:rsid w:val="00E81268"/>
    <w:rsid w:val="00E81425"/>
    <w:rsid w:val="00E8143E"/>
    <w:rsid w:val="00E816ED"/>
    <w:rsid w:val="00E81A93"/>
    <w:rsid w:val="00E81CD4"/>
    <w:rsid w:val="00E81CFE"/>
    <w:rsid w:val="00E81FBC"/>
    <w:rsid w:val="00E82004"/>
    <w:rsid w:val="00E820A4"/>
    <w:rsid w:val="00E820EF"/>
    <w:rsid w:val="00E821AF"/>
    <w:rsid w:val="00E824B0"/>
    <w:rsid w:val="00E8256F"/>
    <w:rsid w:val="00E8262B"/>
    <w:rsid w:val="00E826FE"/>
    <w:rsid w:val="00E8276F"/>
    <w:rsid w:val="00E82960"/>
    <w:rsid w:val="00E82AE5"/>
    <w:rsid w:val="00E83067"/>
    <w:rsid w:val="00E830D4"/>
    <w:rsid w:val="00E831FC"/>
    <w:rsid w:val="00E838BF"/>
    <w:rsid w:val="00E839F4"/>
    <w:rsid w:val="00E84178"/>
    <w:rsid w:val="00E84263"/>
    <w:rsid w:val="00E843DB"/>
    <w:rsid w:val="00E84C90"/>
    <w:rsid w:val="00E84F72"/>
    <w:rsid w:val="00E84FCD"/>
    <w:rsid w:val="00E857F9"/>
    <w:rsid w:val="00E85802"/>
    <w:rsid w:val="00E8588C"/>
    <w:rsid w:val="00E8592C"/>
    <w:rsid w:val="00E85A88"/>
    <w:rsid w:val="00E85C29"/>
    <w:rsid w:val="00E85C4A"/>
    <w:rsid w:val="00E85D47"/>
    <w:rsid w:val="00E85D4D"/>
    <w:rsid w:val="00E85E9A"/>
    <w:rsid w:val="00E85E9B"/>
    <w:rsid w:val="00E86387"/>
    <w:rsid w:val="00E86796"/>
    <w:rsid w:val="00E868A8"/>
    <w:rsid w:val="00E869A3"/>
    <w:rsid w:val="00E86A61"/>
    <w:rsid w:val="00E86ABF"/>
    <w:rsid w:val="00E86B5A"/>
    <w:rsid w:val="00E86E2C"/>
    <w:rsid w:val="00E86F9B"/>
    <w:rsid w:val="00E86FC2"/>
    <w:rsid w:val="00E86FCF"/>
    <w:rsid w:val="00E870AD"/>
    <w:rsid w:val="00E871D4"/>
    <w:rsid w:val="00E876C5"/>
    <w:rsid w:val="00E8773A"/>
    <w:rsid w:val="00E87750"/>
    <w:rsid w:val="00E878AC"/>
    <w:rsid w:val="00E8790A"/>
    <w:rsid w:val="00E87989"/>
    <w:rsid w:val="00E87F86"/>
    <w:rsid w:val="00E9020A"/>
    <w:rsid w:val="00E906FB"/>
    <w:rsid w:val="00E90718"/>
    <w:rsid w:val="00E9093F"/>
    <w:rsid w:val="00E90960"/>
    <w:rsid w:val="00E90AEE"/>
    <w:rsid w:val="00E90BDE"/>
    <w:rsid w:val="00E90CB3"/>
    <w:rsid w:val="00E90E1E"/>
    <w:rsid w:val="00E90F25"/>
    <w:rsid w:val="00E90F80"/>
    <w:rsid w:val="00E91181"/>
    <w:rsid w:val="00E91591"/>
    <w:rsid w:val="00E915CF"/>
    <w:rsid w:val="00E916BB"/>
    <w:rsid w:val="00E916FC"/>
    <w:rsid w:val="00E919AD"/>
    <w:rsid w:val="00E919E5"/>
    <w:rsid w:val="00E91AF8"/>
    <w:rsid w:val="00E91BAD"/>
    <w:rsid w:val="00E91E6E"/>
    <w:rsid w:val="00E91FB7"/>
    <w:rsid w:val="00E920E9"/>
    <w:rsid w:val="00E9219B"/>
    <w:rsid w:val="00E921FE"/>
    <w:rsid w:val="00E92258"/>
    <w:rsid w:val="00E924BC"/>
    <w:rsid w:val="00E92515"/>
    <w:rsid w:val="00E92536"/>
    <w:rsid w:val="00E9258D"/>
    <w:rsid w:val="00E925B6"/>
    <w:rsid w:val="00E926A0"/>
    <w:rsid w:val="00E92724"/>
    <w:rsid w:val="00E92728"/>
    <w:rsid w:val="00E929FB"/>
    <w:rsid w:val="00E92A64"/>
    <w:rsid w:val="00E9335E"/>
    <w:rsid w:val="00E9340F"/>
    <w:rsid w:val="00E93636"/>
    <w:rsid w:val="00E938E1"/>
    <w:rsid w:val="00E93B43"/>
    <w:rsid w:val="00E93C65"/>
    <w:rsid w:val="00E93C78"/>
    <w:rsid w:val="00E93D8C"/>
    <w:rsid w:val="00E94025"/>
    <w:rsid w:val="00E940BD"/>
    <w:rsid w:val="00E94591"/>
    <w:rsid w:val="00E945F8"/>
    <w:rsid w:val="00E94A26"/>
    <w:rsid w:val="00E94C05"/>
    <w:rsid w:val="00E94D0B"/>
    <w:rsid w:val="00E95101"/>
    <w:rsid w:val="00E954C9"/>
    <w:rsid w:val="00E958EC"/>
    <w:rsid w:val="00E9597A"/>
    <w:rsid w:val="00E95AC7"/>
    <w:rsid w:val="00E95B79"/>
    <w:rsid w:val="00E95CDE"/>
    <w:rsid w:val="00E95ECC"/>
    <w:rsid w:val="00E964DA"/>
    <w:rsid w:val="00E96CB5"/>
    <w:rsid w:val="00E96DD4"/>
    <w:rsid w:val="00E96E29"/>
    <w:rsid w:val="00E97060"/>
    <w:rsid w:val="00E973EE"/>
    <w:rsid w:val="00E97726"/>
    <w:rsid w:val="00E97966"/>
    <w:rsid w:val="00E97A98"/>
    <w:rsid w:val="00E97D1C"/>
    <w:rsid w:val="00EA03C9"/>
    <w:rsid w:val="00EA0851"/>
    <w:rsid w:val="00EA0958"/>
    <w:rsid w:val="00EA09D2"/>
    <w:rsid w:val="00EA0D36"/>
    <w:rsid w:val="00EA0D9E"/>
    <w:rsid w:val="00EA0E19"/>
    <w:rsid w:val="00EA1027"/>
    <w:rsid w:val="00EA1094"/>
    <w:rsid w:val="00EA128D"/>
    <w:rsid w:val="00EA12ED"/>
    <w:rsid w:val="00EA1441"/>
    <w:rsid w:val="00EA14F3"/>
    <w:rsid w:val="00EA1C6D"/>
    <w:rsid w:val="00EA1D5E"/>
    <w:rsid w:val="00EA23D8"/>
    <w:rsid w:val="00EA2423"/>
    <w:rsid w:val="00EA247D"/>
    <w:rsid w:val="00EA2650"/>
    <w:rsid w:val="00EA2986"/>
    <w:rsid w:val="00EA2D7C"/>
    <w:rsid w:val="00EA2D82"/>
    <w:rsid w:val="00EA2E8C"/>
    <w:rsid w:val="00EA3379"/>
    <w:rsid w:val="00EA34C0"/>
    <w:rsid w:val="00EA35E0"/>
    <w:rsid w:val="00EA35FE"/>
    <w:rsid w:val="00EA380D"/>
    <w:rsid w:val="00EA3ACB"/>
    <w:rsid w:val="00EA4075"/>
    <w:rsid w:val="00EA4218"/>
    <w:rsid w:val="00EA4220"/>
    <w:rsid w:val="00EA42E6"/>
    <w:rsid w:val="00EA489C"/>
    <w:rsid w:val="00EA48A5"/>
    <w:rsid w:val="00EA4BB1"/>
    <w:rsid w:val="00EA4CED"/>
    <w:rsid w:val="00EA4F01"/>
    <w:rsid w:val="00EA5069"/>
    <w:rsid w:val="00EA51D3"/>
    <w:rsid w:val="00EA5783"/>
    <w:rsid w:val="00EA580D"/>
    <w:rsid w:val="00EA5926"/>
    <w:rsid w:val="00EA5ADF"/>
    <w:rsid w:val="00EA5CAE"/>
    <w:rsid w:val="00EA6602"/>
    <w:rsid w:val="00EA6ABA"/>
    <w:rsid w:val="00EA6B65"/>
    <w:rsid w:val="00EA6C04"/>
    <w:rsid w:val="00EA6C43"/>
    <w:rsid w:val="00EA6EA2"/>
    <w:rsid w:val="00EA7014"/>
    <w:rsid w:val="00EA7206"/>
    <w:rsid w:val="00EA74FC"/>
    <w:rsid w:val="00EA759B"/>
    <w:rsid w:val="00EA76BA"/>
    <w:rsid w:val="00EA7BDC"/>
    <w:rsid w:val="00EA7BE6"/>
    <w:rsid w:val="00EA7D8F"/>
    <w:rsid w:val="00EA7DA3"/>
    <w:rsid w:val="00EB011C"/>
    <w:rsid w:val="00EB02D4"/>
    <w:rsid w:val="00EB0335"/>
    <w:rsid w:val="00EB04ED"/>
    <w:rsid w:val="00EB0563"/>
    <w:rsid w:val="00EB0720"/>
    <w:rsid w:val="00EB0A8D"/>
    <w:rsid w:val="00EB11A1"/>
    <w:rsid w:val="00EB12AE"/>
    <w:rsid w:val="00EB12CF"/>
    <w:rsid w:val="00EB1302"/>
    <w:rsid w:val="00EB1326"/>
    <w:rsid w:val="00EB1449"/>
    <w:rsid w:val="00EB1495"/>
    <w:rsid w:val="00EB155F"/>
    <w:rsid w:val="00EB1576"/>
    <w:rsid w:val="00EB1621"/>
    <w:rsid w:val="00EB19F8"/>
    <w:rsid w:val="00EB1BBC"/>
    <w:rsid w:val="00EB1BCA"/>
    <w:rsid w:val="00EB1E17"/>
    <w:rsid w:val="00EB1F02"/>
    <w:rsid w:val="00EB1F38"/>
    <w:rsid w:val="00EB1FA1"/>
    <w:rsid w:val="00EB2240"/>
    <w:rsid w:val="00EB2535"/>
    <w:rsid w:val="00EB2656"/>
    <w:rsid w:val="00EB2815"/>
    <w:rsid w:val="00EB2A50"/>
    <w:rsid w:val="00EB2BAD"/>
    <w:rsid w:val="00EB2CEE"/>
    <w:rsid w:val="00EB2F52"/>
    <w:rsid w:val="00EB30F0"/>
    <w:rsid w:val="00EB3207"/>
    <w:rsid w:val="00EB32C9"/>
    <w:rsid w:val="00EB337C"/>
    <w:rsid w:val="00EB3424"/>
    <w:rsid w:val="00EB3463"/>
    <w:rsid w:val="00EB3856"/>
    <w:rsid w:val="00EB3978"/>
    <w:rsid w:val="00EB3A15"/>
    <w:rsid w:val="00EB3A76"/>
    <w:rsid w:val="00EB3C10"/>
    <w:rsid w:val="00EB4408"/>
    <w:rsid w:val="00EB456F"/>
    <w:rsid w:val="00EB458D"/>
    <w:rsid w:val="00EB45C1"/>
    <w:rsid w:val="00EB462A"/>
    <w:rsid w:val="00EB46F4"/>
    <w:rsid w:val="00EB48F7"/>
    <w:rsid w:val="00EB49DE"/>
    <w:rsid w:val="00EB4E04"/>
    <w:rsid w:val="00EB4E40"/>
    <w:rsid w:val="00EB4F00"/>
    <w:rsid w:val="00EB5196"/>
    <w:rsid w:val="00EB52EE"/>
    <w:rsid w:val="00EB57A0"/>
    <w:rsid w:val="00EB588E"/>
    <w:rsid w:val="00EB5A3A"/>
    <w:rsid w:val="00EB5A78"/>
    <w:rsid w:val="00EB5ABF"/>
    <w:rsid w:val="00EB5ADF"/>
    <w:rsid w:val="00EB61B9"/>
    <w:rsid w:val="00EB63CC"/>
    <w:rsid w:val="00EB654E"/>
    <w:rsid w:val="00EB6690"/>
    <w:rsid w:val="00EB66C0"/>
    <w:rsid w:val="00EB68AE"/>
    <w:rsid w:val="00EB6B3B"/>
    <w:rsid w:val="00EB6B4E"/>
    <w:rsid w:val="00EB6BBA"/>
    <w:rsid w:val="00EB70EE"/>
    <w:rsid w:val="00EB7559"/>
    <w:rsid w:val="00EB75CA"/>
    <w:rsid w:val="00EB7604"/>
    <w:rsid w:val="00EB7AA3"/>
    <w:rsid w:val="00EB7ADF"/>
    <w:rsid w:val="00EB7C02"/>
    <w:rsid w:val="00EB7E41"/>
    <w:rsid w:val="00EC0076"/>
    <w:rsid w:val="00EC05E0"/>
    <w:rsid w:val="00EC068E"/>
    <w:rsid w:val="00EC0869"/>
    <w:rsid w:val="00EC0C5C"/>
    <w:rsid w:val="00EC0DAE"/>
    <w:rsid w:val="00EC0E7C"/>
    <w:rsid w:val="00EC1523"/>
    <w:rsid w:val="00EC1AB6"/>
    <w:rsid w:val="00EC1AF5"/>
    <w:rsid w:val="00EC1B02"/>
    <w:rsid w:val="00EC1C94"/>
    <w:rsid w:val="00EC1F0E"/>
    <w:rsid w:val="00EC1FBB"/>
    <w:rsid w:val="00EC207C"/>
    <w:rsid w:val="00EC26CA"/>
    <w:rsid w:val="00EC2A1B"/>
    <w:rsid w:val="00EC2A1E"/>
    <w:rsid w:val="00EC2AC1"/>
    <w:rsid w:val="00EC2B29"/>
    <w:rsid w:val="00EC2DB1"/>
    <w:rsid w:val="00EC3148"/>
    <w:rsid w:val="00EC3569"/>
    <w:rsid w:val="00EC3DFA"/>
    <w:rsid w:val="00EC4260"/>
    <w:rsid w:val="00EC4574"/>
    <w:rsid w:val="00EC49DC"/>
    <w:rsid w:val="00EC4A5F"/>
    <w:rsid w:val="00EC4B39"/>
    <w:rsid w:val="00EC4E3F"/>
    <w:rsid w:val="00EC4FB8"/>
    <w:rsid w:val="00EC51BF"/>
    <w:rsid w:val="00EC54F2"/>
    <w:rsid w:val="00EC558E"/>
    <w:rsid w:val="00EC56A4"/>
    <w:rsid w:val="00EC56F9"/>
    <w:rsid w:val="00EC580E"/>
    <w:rsid w:val="00EC58E2"/>
    <w:rsid w:val="00EC601E"/>
    <w:rsid w:val="00EC6388"/>
    <w:rsid w:val="00EC639E"/>
    <w:rsid w:val="00EC63DD"/>
    <w:rsid w:val="00EC6493"/>
    <w:rsid w:val="00EC66B3"/>
    <w:rsid w:val="00EC67A3"/>
    <w:rsid w:val="00EC6918"/>
    <w:rsid w:val="00EC69E7"/>
    <w:rsid w:val="00EC6BB8"/>
    <w:rsid w:val="00EC6CCB"/>
    <w:rsid w:val="00EC6DB3"/>
    <w:rsid w:val="00EC7020"/>
    <w:rsid w:val="00EC7275"/>
    <w:rsid w:val="00EC73ED"/>
    <w:rsid w:val="00EC7777"/>
    <w:rsid w:val="00EC7AAF"/>
    <w:rsid w:val="00EC7C73"/>
    <w:rsid w:val="00EC7CE4"/>
    <w:rsid w:val="00EC7D88"/>
    <w:rsid w:val="00EC7E9F"/>
    <w:rsid w:val="00ED02EB"/>
    <w:rsid w:val="00ED033D"/>
    <w:rsid w:val="00ED05A0"/>
    <w:rsid w:val="00ED0635"/>
    <w:rsid w:val="00ED068E"/>
    <w:rsid w:val="00ED06A4"/>
    <w:rsid w:val="00ED0759"/>
    <w:rsid w:val="00ED077F"/>
    <w:rsid w:val="00ED08BC"/>
    <w:rsid w:val="00ED0A17"/>
    <w:rsid w:val="00ED0A91"/>
    <w:rsid w:val="00ED0B0F"/>
    <w:rsid w:val="00ED0D38"/>
    <w:rsid w:val="00ED0E65"/>
    <w:rsid w:val="00ED0EF4"/>
    <w:rsid w:val="00ED148B"/>
    <w:rsid w:val="00ED15EB"/>
    <w:rsid w:val="00ED1BBA"/>
    <w:rsid w:val="00ED1F7B"/>
    <w:rsid w:val="00ED2038"/>
    <w:rsid w:val="00ED2151"/>
    <w:rsid w:val="00ED2214"/>
    <w:rsid w:val="00ED2452"/>
    <w:rsid w:val="00ED24CA"/>
    <w:rsid w:val="00ED24CC"/>
    <w:rsid w:val="00ED24DF"/>
    <w:rsid w:val="00ED2578"/>
    <w:rsid w:val="00ED2794"/>
    <w:rsid w:val="00ED2A39"/>
    <w:rsid w:val="00ED2AB6"/>
    <w:rsid w:val="00ED2E71"/>
    <w:rsid w:val="00ED3022"/>
    <w:rsid w:val="00ED314E"/>
    <w:rsid w:val="00ED31A6"/>
    <w:rsid w:val="00ED379D"/>
    <w:rsid w:val="00ED385A"/>
    <w:rsid w:val="00ED38B7"/>
    <w:rsid w:val="00ED3B4B"/>
    <w:rsid w:val="00ED3B91"/>
    <w:rsid w:val="00ED3BA0"/>
    <w:rsid w:val="00ED4154"/>
    <w:rsid w:val="00ED436C"/>
    <w:rsid w:val="00ED43C7"/>
    <w:rsid w:val="00ED445A"/>
    <w:rsid w:val="00ED4586"/>
    <w:rsid w:val="00ED4A12"/>
    <w:rsid w:val="00ED4BC5"/>
    <w:rsid w:val="00ED4DAC"/>
    <w:rsid w:val="00ED52DD"/>
    <w:rsid w:val="00ED550C"/>
    <w:rsid w:val="00ED568F"/>
    <w:rsid w:val="00ED56AB"/>
    <w:rsid w:val="00ED58A5"/>
    <w:rsid w:val="00ED59AA"/>
    <w:rsid w:val="00ED5C3C"/>
    <w:rsid w:val="00ED5CD9"/>
    <w:rsid w:val="00ED5D24"/>
    <w:rsid w:val="00ED5F4B"/>
    <w:rsid w:val="00ED63F0"/>
    <w:rsid w:val="00ED65AA"/>
    <w:rsid w:val="00ED6818"/>
    <w:rsid w:val="00ED69BF"/>
    <w:rsid w:val="00ED6F12"/>
    <w:rsid w:val="00ED6F98"/>
    <w:rsid w:val="00ED7025"/>
    <w:rsid w:val="00ED71AF"/>
    <w:rsid w:val="00ED73B0"/>
    <w:rsid w:val="00ED73C6"/>
    <w:rsid w:val="00ED74C8"/>
    <w:rsid w:val="00ED74F2"/>
    <w:rsid w:val="00ED766D"/>
    <w:rsid w:val="00ED77F4"/>
    <w:rsid w:val="00ED7877"/>
    <w:rsid w:val="00ED7EFE"/>
    <w:rsid w:val="00EE006A"/>
    <w:rsid w:val="00EE0352"/>
    <w:rsid w:val="00EE03CB"/>
    <w:rsid w:val="00EE048D"/>
    <w:rsid w:val="00EE04ED"/>
    <w:rsid w:val="00EE090F"/>
    <w:rsid w:val="00EE09F1"/>
    <w:rsid w:val="00EE0AEE"/>
    <w:rsid w:val="00EE0BDA"/>
    <w:rsid w:val="00EE1499"/>
    <w:rsid w:val="00EE15E6"/>
    <w:rsid w:val="00EE225C"/>
    <w:rsid w:val="00EE226B"/>
    <w:rsid w:val="00EE25CA"/>
    <w:rsid w:val="00EE274D"/>
    <w:rsid w:val="00EE28E9"/>
    <w:rsid w:val="00EE2ABB"/>
    <w:rsid w:val="00EE2D97"/>
    <w:rsid w:val="00EE303D"/>
    <w:rsid w:val="00EE346E"/>
    <w:rsid w:val="00EE350C"/>
    <w:rsid w:val="00EE3539"/>
    <w:rsid w:val="00EE37C8"/>
    <w:rsid w:val="00EE3D78"/>
    <w:rsid w:val="00EE3D80"/>
    <w:rsid w:val="00EE3EF8"/>
    <w:rsid w:val="00EE3F9D"/>
    <w:rsid w:val="00EE42F5"/>
    <w:rsid w:val="00EE488A"/>
    <w:rsid w:val="00EE48B6"/>
    <w:rsid w:val="00EE4919"/>
    <w:rsid w:val="00EE4BB8"/>
    <w:rsid w:val="00EE500C"/>
    <w:rsid w:val="00EE5062"/>
    <w:rsid w:val="00EE5389"/>
    <w:rsid w:val="00EE5435"/>
    <w:rsid w:val="00EE5562"/>
    <w:rsid w:val="00EE55B3"/>
    <w:rsid w:val="00EE5605"/>
    <w:rsid w:val="00EE57CB"/>
    <w:rsid w:val="00EE586F"/>
    <w:rsid w:val="00EE5965"/>
    <w:rsid w:val="00EE5B1F"/>
    <w:rsid w:val="00EE5F48"/>
    <w:rsid w:val="00EE5F9D"/>
    <w:rsid w:val="00EE647A"/>
    <w:rsid w:val="00EE6B87"/>
    <w:rsid w:val="00EE6DBC"/>
    <w:rsid w:val="00EE6E7F"/>
    <w:rsid w:val="00EE6F0A"/>
    <w:rsid w:val="00EE705C"/>
    <w:rsid w:val="00EE70E9"/>
    <w:rsid w:val="00EE7714"/>
    <w:rsid w:val="00EE7CFF"/>
    <w:rsid w:val="00EE7E87"/>
    <w:rsid w:val="00EF016F"/>
    <w:rsid w:val="00EF0662"/>
    <w:rsid w:val="00EF06A6"/>
    <w:rsid w:val="00EF08CF"/>
    <w:rsid w:val="00EF091C"/>
    <w:rsid w:val="00EF0940"/>
    <w:rsid w:val="00EF098E"/>
    <w:rsid w:val="00EF0B53"/>
    <w:rsid w:val="00EF0C6C"/>
    <w:rsid w:val="00EF10AB"/>
    <w:rsid w:val="00EF10DD"/>
    <w:rsid w:val="00EF1171"/>
    <w:rsid w:val="00EF1226"/>
    <w:rsid w:val="00EF17C7"/>
    <w:rsid w:val="00EF187B"/>
    <w:rsid w:val="00EF18AE"/>
    <w:rsid w:val="00EF19D8"/>
    <w:rsid w:val="00EF1AF7"/>
    <w:rsid w:val="00EF1BCA"/>
    <w:rsid w:val="00EF1C8B"/>
    <w:rsid w:val="00EF1EDE"/>
    <w:rsid w:val="00EF1FD6"/>
    <w:rsid w:val="00EF2030"/>
    <w:rsid w:val="00EF2065"/>
    <w:rsid w:val="00EF2262"/>
    <w:rsid w:val="00EF2F04"/>
    <w:rsid w:val="00EF3360"/>
    <w:rsid w:val="00EF359C"/>
    <w:rsid w:val="00EF3A24"/>
    <w:rsid w:val="00EF3E53"/>
    <w:rsid w:val="00EF3EE5"/>
    <w:rsid w:val="00EF44B4"/>
    <w:rsid w:val="00EF4628"/>
    <w:rsid w:val="00EF46C7"/>
    <w:rsid w:val="00EF48F3"/>
    <w:rsid w:val="00EF48FA"/>
    <w:rsid w:val="00EF490E"/>
    <w:rsid w:val="00EF4935"/>
    <w:rsid w:val="00EF496D"/>
    <w:rsid w:val="00EF4A99"/>
    <w:rsid w:val="00EF4C96"/>
    <w:rsid w:val="00EF4CA2"/>
    <w:rsid w:val="00EF4F84"/>
    <w:rsid w:val="00EF51AB"/>
    <w:rsid w:val="00EF523F"/>
    <w:rsid w:val="00EF53DB"/>
    <w:rsid w:val="00EF53E7"/>
    <w:rsid w:val="00EF54DE"/>
    <w:rsid w:val="00EF5579"/>
    <w:rsid w:val="00EF569D"/>
    <w:rsid w:val="00EF58BA"/>
    <w:rsid w:val="00EF58EA"/>
    <w:rsid w:val="00EF5C44"/>
    <w:rsid w:val="00EF5CC7"/>
    <w:rsid w:val="00EF5DB2"/>
    <w:rsid w:val="00EF5FD7"/>
    <w:rsid w:val="00EF60C9"/>
    <w:rsid w:val="00EF6301"/>
    <w:rsid w:val="00EF637F"/>
    <w:rsid w:val="00EF6849"/>
    <w:rsid w:val="00EF6BBF"/>
    <w:rsid w:val="00EF720D"/>
    <w:rsid w:val="00EF726A"/>
    <w:rsid w:val="00EF72D4"/>
    <w:rsid w:val="00EF746B"/>
    <w:rsid w:val="00EF7582"/>
    <w:rsid w:val="00EF7673"/>
    <w:rsid w:val="00EF7720"/>
    <w:rsid w:val="00EF7760"/>
    <w:rsid w:val="00EF785C"/>
    <w:rsid w:val="00EF799F"/>
    <w:rsid w:val="00EF7B07"/>
    <w:rsid w:val="00EF7CB3"/>
    <w:rsid w:val="00EF7F1A"/>
    <w:rsid w:val="00EF7FF2"/>
    <w:rsid w:val="00F00078"/>
    <w:rsid w:val="00F002FC"/>
    <w:rsid w:val="00F00478"/>
    <w:rsid w:val="00F00668"/>
    <w:rsid w:val="00F006B4"/>
    <w:rsid w:val="00F007D0"/>
    <w:rsid w:val="00F0088E"/>
    <w:rsid w:val="00F0094C"/>
    <w:rsid w:val="00F00A9B"/>
    <w:rsid w:val="00F00CAA"/>
    <w:rsid w:val="00F00E00"/>
    <w:rsid w:val="00F00FDA"/>
    <w:rsid w:val="00F0118D"/>
    <w:rsid w:val="00F01397"/>
    <w:rsid w:val="00F017D9"/>
    <w:rsid w:val="00F01866"/>
    <w:rsid w:val="00F01924"/>
    <w:rsid w:val="00F0197C"/>
    <w:rsid w:val="00F01BCD"/>
    <w:rsid w:val="00F01CE1"/>
    <w:rsid w:val="00F01CFA"/>
    <w:rsid w:val="00F01D4F"/>
    <w:rsid w:val="00F01E28"/>
    <w:rsid w:val="00F01F74"/>
    <w:rsid w:val="00F02338"/>
    <w:rsid w:val="00F02372"/>
    <w:rsid w:val="00F02395"/>
    <w:rsid w:val="00F0282E"/>
    <w:rsid w:val="00F02AE7"/>
    <w:rsid w:val="00F02D77"/>
    <w:rsid w:val="00F02E5E"/>
    <w:rsid w:val="00F02FB6"/>
    <w:rsid w:val="00F03165"/>
    <w:rsid w:val="00F03328"/>
    <w:rsid w:val="00F033FB"/>
    <w:rsid w:val="00F03644"/>
    <w:rsid w:val="00F037F4"/>
    <w:rsid w:val="00F0390D"/>
    <w:rsid w:val="00F03944"/>
    <w:rsid w:val="00F03AC9"/>
    <w:rsid w:val="00F03BFD"/>
    <w:rsid w:val="00F03FA6"/>
    <w:rsid w:val="00F04353"/>
    <w:rsid w:val="00F047C6"/>
    <w:rsid w:val="00F04862"/>
    <w:rsid w:val="00F0487E"/>
    <w:rsid w:val="00F04F6D"/>
    <w:rsid w:val="00F0520B"/>
    <w:rsid w:val="00F05414"/>
    <w:rsid w:val="00F057F3"/>
    <w:rsid w:val="00F05D0E"/>
    <w:rsid w:val="00F05E6D"/>
    <w:rsid w:val="00F05FEA"/>
    <w:rsid w:val="00F06058"/>
    <w:rsid w:val="00F06171"/>
    <w:rsid w:val="00F0628B"/>
    <w:rsid w:val="00F062A8"/>
    <w:rsid w:val="00F062AE"/>
    <w:rsid w:val="00F062CF"/>
    <w:rsid w:val="00F065A4"/>
    <w:rsid w:val="00F06780"/>
    <w:rsid w:val="00F0681B"/>
    <w:rsid w:val="00F06997"/>
    <w:rsid w:val="00F069FF"/>
    <w:rsid w:val="00F06BF7"/>
    <w:rsid w:val="00F06D13"/>
    <w:rsid w:val="00F06E28"/>
    <w:rsid w:val="00F06E69"/>
    <w:rsid w:val="00F06F57"/>
    <w:rsid w:val="00F0719F"/>
    <w:rsid w:val="00F071CA"/>
    <w:rsid w:val="00F0747B"/>
    <w:rsid w:val="00F07495"/>
    <w:rsid w:val="00F074F2"/>
    <w:rsid w:val="00F07909"/>
    <w:rsid w:val="00F07A90"/>
    <w:rsid w:val="00F07AED"/>
    <w:rsid w:val="00F07BEE"/>
    <w:rsid w:val="00F07E63"/>
    <w:rsid w:val="00F10011"/>
    <w:rsid w:val="00F10284"/>
    <w:rsid w:val="00F102E1"/>
    <w:rsid w:val="00F10330"/>
    <w:rsid w:val="00F10573"/>
    <w:rsid w:val="00F106D6"/>
    <w:rsid w:val="00F106DB"/>
    <w:rsid w:val="00F10A43"/>
    <w:rsid w:val="00F11040"/>
    <w:rsid w:val="00F112BA"/>
    <w:rsid w:val="00F11325"/>
    <w:rsid w:val="00F113B8"/>
    <w:rsid w:val="00F113FB"/>
    <w:rsid w:val="00F114CE"/>
    <w:rsid w:val="00F115F8"/>
    <w:rsid w:val="00F11746"/>
    <w:rsid w:val="00F1174E"/>
    <w:rsid w:val="00F11E8F"/>
    <w:rsid w:val="00F11F37"/>
    <w:rsid w:val="00F12003"/>
    <w:rsid w:val="00F12324"/>
    <w:rsid w:val="00F12438"/>
    <w:rsid w:val="00F12A23"/>
    <w:rsid w:val="00F12A8F"/>
    <w:rsid w:val="00F12B12"/>
    <w:rsid w:val="00F12B2F"/>
    <w:rsid w:val="00F12CC7"/>
    <w:rsid w:val="00F12CF8"/>
    <w:rsid w:val="00F12E43"/>
    <w:rsid w:val="00F12F19"/>
    <w:rsid w:val="00F12FB9"/>
    <w:rsid w:val="00F1309F"/>
    <w:rsid w:val="00F1331F"/>
    <w:rsid w:val="00F1357C"/>
    <w:rsid w:val="00F136DB"/>
    <w:rsid w:val="00F13827"/>
    <w:rsid w:val="00F13841"/>
    <w:rsid w:val="00F1408F"/>
    <w:rsid w:val="00F141FD"/>
    <w:rsid w:val="00F1422A"/>
    <w:rsid w:val="00F14515"/>
    <w:rsid w:val="00F145F4"/>
    <w:rsid w:val="00F14640"/>
    <w:rsid w:val="00F14C51"/>
    <w:rsid w:val="00F15087"/>
    <w:rsid w:val="00F150AB"/>
    <w:rsid w:val="00F15404"/>
    <w:rsid w:val="00F157C5"/>
    <w:rsid w:val="00F15842"/>
    <w:rsid w:val="00F15B80"/>
    <w:rsid w:val="00F1611D"/>
    <w:rsid w:val="00F161E2"/>
    <w:rsid w:val="00F16315"/>
    <w:rsid w:val="00F16434"/>
    <w:rsid w:val="00F16703"/>
    <w:rsid w:val="00F16859"/>
    <w:rsid w:val="00F169A2"/>
    <w:rsid w:val="00F16AE8"/>
    <w:rsid w:val="00F16C9F"/>
    <w:rsid w:val="00F16E53"/>
    <w:rsid w:val="00F1717B"/>
    <w:rsid w:val="00F172FC"/>
    <w:rsid w:val="00F17316"/>
    <w:rsid w:val="00F17393"/>
    <w:rsid w:val="00F17395"/>
    <w:rsid w:val="00F1765F"/>
    <w:rsid w:val="00F177CD"/>
    <w:rsid w:val="00F17841"/>
    <w:rsid w:val="00F17F35"/>
    <w:rsid w:val="00F17FAB"/>
    <w:rsid w:val="00F20015"/>
    <w:rsid w:val="00F201F0"/>
    <w:rsid w:val="00F2055D"/>
    <w:rsid w:val="00F208BA"/>
    <w:rsid w:val="00F208F3"/>
    <w:rsid w:val="00F2093C"/>
    <w:rsid w:val="00F20990"/>
    <w:rsid w:val="00F20A71"/>
    <w:rsid w:val="00F20B3B"/>
    <w:rsid w:val="00F20B8D"/>
    <w:rsid w:val="00F20BB4"/>
    <w:rsid w:val="00F20C48"/>
    <w:rsid w:val="00F20C9A"/>
    <w:rsid w:val="00F20CFD"/>
    <w:rsid w:val="00F20E7A"/>
    <w:rsid w:val="00F21126"/>
    <w:rsid w:val="00F220CD"/>
    <w:rsid w:val="00F221E7"/>
    <w:rsid w:val="00F22203"/>
    <w:rsid w:val="00F22222"/>
    <w:rsid w:val="00F22302"/>
    <w:rsid w:val="00F22322"/>
    <w:rsid w:val="00F2261F"/>
    <w:rsid w:val="00F226C6"/>
    <w:rsid w:val="00F226F5"/>
    <w:rsid w:val="00F22A5A"/>
    <w:rsid w:val="00F22B8F"/>
    <w:rsid w:val="00F22D27"/>
    <w:rsid w:val="00F22DC2"/>
    <w:rsid w:val="00F23150"/>
    <w:rsid w:val="00F231B5"/>
    <w:rsid w:val="00F23271"/>
    <w:rsid w:val="00F2329B"/>
    <w:rsid w:val="00F23572"/>
    <w:rsid w:val="00F235B5"/>
    <w:rsid w:val="00F237DC"/>
    <w:rsid w:val="00F23943"/>
    <w:rsid w:val="00F23989"/>
    <w:rsid w:val="00F23BE1"/>
    <w:rsid w:val="00F23E8C"/>
    <w:rsid w:val="00F23FA1"/>
    <w:rsid w:val="00F240C0"/>
    <w:rsid w:val="00F24111"/>
    <w:rsid w:val="00F242C5"/>
    <w:rsid w:val="00F243A7"/>
    <w:rsid w:val="00F243CD"/>
    <w:rsid w:val="00F2443A"/>
    <w:rsid w:val="00F246B7"/>
    <w:rsid w:val="00F2489B"/>
    <w:rsid w:val="00F24B02"/>
    <w:rsid w:val="00F2531E"/>
    <w:rsid w:val="00F25700"/>
    <w:rsid w:val="00F25888"/>
    <w:rsid w:val="00F259B7"/>
    <w:rsid w:val="00F25A7D"/>
    <w:rsid w:val="00F25A9F"/>
    <w:rsid w:val="00F25BFB"/>
    <w:rsid w:val="00F25C69"/>
    <w:rsid w:val="00F25F2B"/>
    <w:rsid w:val="00F26130"/>
    <w:rsid w:val="00F2613B"/>
    <w:rsid w:val="00F26480"/>
    <w:rsid w:val="00F26626"/>
    <w:rsid w:val="00F26827"/>
    <w:rsid w:val="00F26A59"/>
    <w:rsid w:val="00F26A82"/>
    <w:rsid w:val="00F26A95"/>
    <w:rsid w:val="00F26B1E"/>
    <w:rsid w:val="00F26BE3"/>
    <w:rsid w:val="00F26C37"/>
    <w:rsid w:val="00F26C4F"/>
    <w:rsid w:val="00F26CFE"/>
    <w:rsid w:val="00F26E28"/>
    <w:rsid w:val="00F26F9D"/>
    <w:rsid w:val="00F273BD"/>
    <w:rsid w:val="00F274BD"/>
    <w:rsid w:val="00F276D2"/>
    <w:rsid w:val="00F278BB"/>
    <w:rsid w:val="00F279E6"/>
    <w:rsid w:val="00F27B53"/>
    <w:rsid w:val="00F27BE5"/>
    <w:rsid w:val="00F27ECE"/>
    <w:rsid w:val="00F27F31"/>
    <w:rsid w:val="00F30042"/>
    <w:rsid w:val="00F300A9"/>
    <w:rsid w:val="00F30169"/>
    <w:rsid w:val="00F301AE"/>
    <w:rsid w:val="00F30211"/>
    <w:rsid w:val="00F30420"/>
    <w:rsid w:val="00F30485"/>
    <w:rsid w:val="00F30653"/>
    <w:rsid w:val="00F30689"/>
    <w:rsid w:val="00F30B81"/>
    <w:rsid w:val="00F30F21"/>
    <w:rsid w:val="00F310FB"/>
    <w:rsid w:val="00F31186"/>
    <w:rsid w:val="00F31190"/>
    <w:rsid w:val="00F31297"/>
    <w:rsid w:val="00F3130D"/>
    <w:rsid w:val="00F31415"/>
    <w:rsid w:val="00F31675"/>
    <w:rsid w:val="00F3187D"/>
    <w:rsid w:val="00F31DD7"/>
    <w:rsid w:val="00F31E1E"/>
    <w:rsid w:val="00F32432"/>
    <w:rsid w:val="00F324E0"/>
    <w:rsid w:val="00F32679"/>
    <w:rsid w:val="00F32842"/>
    <w:rsid w:val="00F328D6"/>
    <w:rsid w:val="00F32981"/>
    <w:rsid w:val="00F32C5F"/>
    <w:rsid w:val="00F32E3F"/>
    <w:rsid w:val="00F32E7A"/>
    <w:rsid w:val="00F3315D"/>
    <w:rsid w:val="00F3338F"/>
    <w:rsid w:val="00F3350E"/>
    <w:rsid w:val="00F33517"/>
    <w:rsid w:val="00F335F5"/>
    <w:rsid w:val="00F3365A"/>
    <w:rsid w:val="00F336B2"/>
    <w:rsid w:val="00F33A3E"/>
    <w:rsid w:val="00F33B79"/>
    <w:rsid w:val="00F33E6F"/>
    <w:rsid w:val="00F33EFF"/>
    <w:rsid w:val="00F33FB5"/>
    <w:rsid w:val="00F33FD1"/>
    <w:rsid w:val="00F341FD"/>
    <w:rsid w:val="00F3440A"/>
    <w:rsid w:val="00F34CF3"/>
    <w:rsid w:val="00F35118"/>
    <w:rsid w:val="00F356B7"/>
    <w:rsid w:val="00F35832"/>
    <w:rsid w:val="00F35A04"/>
    <w:rsid w:val="00F35C42"/>
    <w:rsid w:val="00F35F86"/>
    <w:rsid w:val="00F360A7"/>
    <w:rsid w:val="00F36551"/>
    <w:rsid w:val="00F3669E"/>
    <w:rsid w:val="00F36822"/>
    <w:rsid w:val="00F368D9"/>
    <w:rsid w:val="00F36965"/>
    <w:rsid w:val="00F36C97"/>
    <w:rsid w:val="00F36E3E"/>
    <w:rsid w:val="00F37127"/>
    <w:rsid w:val="00F37131"/>
    <w:rsid w:val="00F37167"/>
    <w:rsid w:val="00F373EF"/>
    <w:rsid w:val="00F37469"/>
    <w:rsid w:val="00F3758B"/>
    <w:rsid w:val="00F37698"/>
    <w:rsid w:val="00F377FA"/>
    <w:rsid w:val="00F37A89"/>
    <w:rsid w:val="00F37B1E"/>
    <w:rsid w:val="00F37C47"/>
    <w:rsid w:val="00F37C6B"/>
    <w:rsid w:val="00F37CEF"/>
    <w:rsid w:val="00F402D8"/>
    <w:rsid w:val="00F4043C"/>
    <w:rsid w:val="00F404B6"/>
    <w:rsid w:val="00F4054A"/>
    <w:rsid w:val="00F40555"/>
    <w:rsid w:val="00F40617"/>
    <w:rsid w:val="00F40720"/>
    <w:rsid w:val="00F40797"/>
    <w:rsid w:val="00F40CEE"/>
    <w:rsid w:val="00F40D5E"/>
    <w:rsid w:val="00F40DFC"/>
    <w:rsid w:val="00F40E0E"/>
    <w:rsid w:val="00F410CB"/>
    <w:rsid w:val="00F41435"/>
    <w:rsid w:val="00F414F6"/>
    <w:rsid w:val="00F415D7"/>
    <w:rsid w:val="00F4176E"/>
    <w:rsid w:val="00F419B4"/>
    <w:rsid w:val="00F419EA"/>
    <w:rsid w:val="00F420FB"/>
    <w:rsid w:val="00F42117"/>
    <w:rsid w:val="00F4227B"/>
    <w:rsid w:val="00F4250F"/>
    <w:rsid w:val="00F4257B"/>
    <w:rsid w:val="00F425F4"/>
    <w:rsid w:val="00F42619"/>
    <w:rsid w:val="00F426B5"/>
    <w:rsid w:val="00F42966"/>
    <w:rsid w:val="00F42A75"/>
    <w:rsid w:val="00F42A7E"/>
    <w:rsid w:val="00F42D76"/>
    <w:rsid w:val="00F42FDB"/>
    <w:rsid w:val="00F42FF8"/>
    <w:rsid w:val="00F43126"/>
    <w:rsid w:val="00F43164"/>
    <w:rsid w:val="00F439C1"/>
    <w:rsid w:val="00F439ED"/>
    <w:rsid w:val="00F43A85"/>
    <w:rsid w:val="00F43C61"/>
    <w:rsid w:val="00F43C8A"/>
    <w:rsid w:val="00F43CC2"/>
    <w:rsid w:val="00F43D27"/>
    <w:rsid w:val="00F43EF9"/>
    <w:rsid w:val="00F43F9D"/>
    <w:rsid w:val="00F441A2"/>
    <w:rsid w:val="00F441AE"/>
    <w:rsid w:val="00F4423F"/>
    <w:rsid w:val="00F4431C"/>
    <w:rsid w:val="00F443A9"/>
    <w:rsid w:val="00F44ABB"/>
    <w:rsid w:val="00F44B4D"/>
    <w:rsid w:val="00F44B83"/>
    <w:rsid w:val="00F44DE6"/>
    <w:rsid w:val="00F44E06"/>
    <w:rsid w:val="00F44E11"/>
    <w:rsid w:val="00F4515E"/>
    <w:rsid w:val="00F4521E"/>
    <w:rsid w:val="00F45390"/>
    <w:rsid w:val="00F453D5"/>
    <w:rsid w:val="00F4541D"/>
    <w:rsid w:val="00F454A1"/>
    <w:rsid w:val="00F4556F"/>
    <w:rsid w:val="00F45574"/>
    <w:rsid w:val="00F45966"/>
    <w:rsid w:val="00F45AA5"/>
    <w:rsid w:val="00F45C60"/>
    <w:rsid w:val="00F45D8B"/>
    <w:rsid w:val="00F45FCB"/>
    <w:rsid w:val="00F467FF"/>
    <w:rsid w:val="00F4681C"/>
    <w:rsid w:val="00F46956"/>
    <w:rsid w:val="00F47146"/>
    <w:rsid w:val="00F47321"/>
    <w:rsid w:val="00F47622"/>
    <w:rsid w:val="00F4773B"/>
    <w:rsid w:val="00F47AB6"/>
    <w:rsid w:val="00F47D6A"/>
    <w:rsid w:val="00F47E3A"/>
    <w:rsid w:val="00F47EE2"/>
    <w:rsid w:val="00F501DA"/>
    <w:rsid w:val="00F5026B"/>
    <w:rsid w:val="00F50274"/>
    <w:rsid w:val="00F5058D"/>
    <w:rsid w:val="00F507C3"/>
    <w:rsid w:val="00F50820"/>
    <w:rsid w:val="00F50DAA"/>
    <w:rsid w:val="00F50E04"/>
    <w:rsid w:val="00F50E39"/>
    <w:rsid w:val="00F5105E"/>
    <w:rsid w:val="00F51187"/>
    <w:rsid w:val="00F512AF"/>
    <w:rsid w:val="00F514DF"/>
    <w:rsid w:val="00F5168A"/>
    <w:rsid w:val="00F517B2"/>
    <w:rsid w:val="00F51A4B"/>
    <w:rsid w:val="00F51C42"/>
    <w:rsid w:val="00F51DB6"/>
    <w:rsid w:val="00F51E06"/>
    <w:rsid w:val="00F52253"/>
    <w:rsid w:val="00F523E9"/>
    <w:rsid w:val="00F52747"/>
    <w:rsid w:val="00F52777"/>
    <w:rsid w:val="00F52A26"/>
    <w:rsid w:val="00F52AD2"/>
    <w:rsid w:val="00F531CB"/>
    <w:rsid w:val="00F53239"/>
    <w:rsid w:val="00F532AA"/>
    <w:rsid w:val="00F53555"/>
    <w:rsid w:val="00F535CC"/>
    <w:rsid w:val="00F535EF"/>
    <w:rsid w:val="00F53668"/>
    <w:rsid w:val="00F5382A"/>
    <w:rsid w:val="00F538C7"/>
    <w:rsid w:val="00F53A84"/>
    <w:rsid w:val="00F53F3F"/>
    <w:rsid w:val="00F54009"/>
    <w:rsid w:val="00F541CE"/>
    <w:rsid w:val="00F542D5"/>
    <w:rsid w:val="00F544E3"/>
    <w:rsid w:val="00F54B4E"/>
    <w:rsid w:val="00F54BA1"/>
    <w:rsid w:val="00F55104"/>
    <w:rsid w:val="00F557ED"/>
    <w:rsid w:val="00F5589E"/>
    <w:rsid w:val="00F558B4"/>
    <w:rsid w:val="00F55B24"/>
    <w:rsid w:val="00F55C11"/>
    <w:rsid w:val="00F55C5C"/>
    <w:rsid w:val="00F55CF0"/>
    <w:rsid w:val="00F55F81"/>
    <w:rsid w:val="00F56064"/>
    <w:rsid w:val="00F560A9"/>
    <w:rsid w:val="00F56447"/>
    <w:rsid w:val="00F5654B"/>
    <w:rsid w:val="00F56665"/>
    <w:rsid w:val="00F568FA"/>
    <w:rsid w:val="00F56A72"/>
    <w:rsid w:val="00F56BC0"/>
    <w:rsid w:val="00F56F87"/>
    <w:rsid w:val="00F57130"/>
    <w:rsid w:val="00F57175"/>
    <w:rsid w:val="00F571B2"/>
    <w:rsid w:val="00F57253"/>
    <w:rsid w:val="00F5741A"/>
    <w:rsid w:val="00F57729"/>
    <w:rsid w:val="00F57A25"/>
    <w:rsid w:val="00F57BD5"/>
    <w:rsid w:val="00F57C5D"/>
    <w:rsid w:val="00F57CB2"/>
    <w:rsid w:val="00F57D59"/>
    <w:rsid w:val="00F57D91"/>
    <w:rsid w:val="00F57ECC"/>
    <w:rsid w:val="00F600BB"/>
    <w:rsid w:val="00F600F5"/>
    <w:rsid w:val="00F60837"/>
    <w:rsid w:val="00F60885"/>
    <w:rsid w:val="00F608D0"/>
    <w:rsid w:val="00F608F9"/>
    <w:rsid w:val="00F60BCC"/>
    <w:rsid w:val="00F60BCD"/>
    <w:rsid w:val="00F60CC8"/>
    <w:rsid w:val="00F60EF9"/>
    <w:rsid w:val="00F60FFD"/>
    <w:rsid w:val="00F61237"/>
    <w:rsid w:val="00F613BD"/>
    <w:rsid w:val="00F614CA"/>
    <w:rsid w:val="00F6166B"/>
    <w:rsid w:val="00F6169F"/>
    <w:rsid w:val="00F617BB"/>
    <w:rsid w:val="00F61BF0"/>
    <w:rsid w:val="00F61E80"/>
    <w:rsid w:val="00F6215A"/>
    <w:rsid w:val="00F621EF"/>
    <w:rsid w:val="00F622AA"/>
    <w:rsid w:val="00F62352"/>
    <w:rsid w:val="00F623C7"/>
    <w:rsid w:val="00F625E6"/>
    <w:rsid w:val="00F6286B"/>
    <w:rsid w:val="00F6287C"/>
    <w:rsid w:val="00F62CB8"/>
    <w:rsid w:val="00F62EB0"/>
    <w:rsid w:val="00F630BC"/>
    <w:rsid w:val="00F63170"/>
    <w:rsid w:val="00F631CE"/>
    <w:rsid w:val="00F63886"/>
    <w:rsid w:val="00F63C6D"/>
    <w:rsid w:val="00F63DDF"/>
    <w:rsid w:val="00F63E65"/>
    <w:rsid w:val="00F6402F"/>
    <w:rsid w:val="00F64445"/>
    <w:rsid w:val="00F644E2"/>
    <w:rsid w:val="00F6456A"/>
    <w:rsid w:val="00F6487A"/>
    <w:rsid w:val="00F648AC"/>
    <w:rsid w:val="00F64970"/>
    <w:rsid w:val="00F64B83"/>
    <w:rsid w:val="00F64BDE"/>
    <w:rsid w:val="00F64E50"/>
    <w:rsid w:val="00F651B2"/>
    <w:rsid w:val="00F6522D"/>
    <w:rsid w:val="00F655D2"/>
    <w:rsid w:val="00F65800"/>
    <w:rsid w:val="00F658A2"/>
    <w:rsid w:val="00F659BC"/>
    <w:rsid w:val="00F65A35"/>
    <w:rsid w:val="00F65CD0"/>
    <w:rsid w:val="00F661B3"/>
    <w:rsid w:val="00F661EE"/>
    <w:rsid w:val="00F662C7"/>
    <w:rsid w:val="00F6635E"/>
    <w:rsid w:val="00F6656C"/>
    <w:rsid w:val="00F665A6"/>
    <w:rsid w:val="00F6666E"/>
    <w:rsid w:val="00F668E8"/>
    <w:rsid w:val="00F66DE7"/>
    <w:rsid w:val="00F66F8B"/>
    <w:rsid w:val="00F6717F"/>
    <w:rsid w:val="00F673C5"/>
    <w:rsid w:val="00F67518"/>
    <w:rsid w:val="00F6771C"/>
    <w:rsid w:val="00F677A1"/>
    <w:rsid w:val="00F677AE"/>
    <w:rsid w:val="00F67927"/>
    <w:rsid w:val="00F67C15"/>
    <w:rsid w:val="00F67CD8"/>
    <w:rsid w:val="00F67D6D"/>
    <w:rsid w:val="00F67FDE"/>
    <w:rsid w:val="00F7015C"/>
    <w:rsid w:val="00F701D0"/>
    <w:rsid w:val="00F70290"/>
    <w:rsid w:val="00F70602"/>
    <w:rsid w:val="00F70614"/>
    <w:rsid w:val="00F7068D"/>
    <w:rsid w:val="00F70C9F"/>
    <w:rsid w:val="00F70CED"/>
    <w:rsid w:val="00F70CFD"/>
    <w:rsid w:val="00F71149"/>
    <w:rsid w:val="00F71195"/>
    <w:rsid w:val="00F711AE"/>
    <w:rsid w:val="00F7125F"/>
    <w:rsid w:val="00F7136D"/>
    <w:rsid w:val="00F714FD"/>
    <w:rsid w:val="00F716A2"/>
    <w:rsid w:val="00F71AEE"/>
    <w:rsid w:val="00F71B7D"/>
    <w:rsid w:val="00F720F9"/>
    <w:rsid w:val="00F72344"/>
    <w:rsid w:val="00F72672"/>
    <w:rsid w:val="00F726E1"/>
    <w:rsid w:val="00F72A6A"/>
    <w:rsid w:val="00F72A97"/>
    <w:rsid w:val="00F72BCF"/>
    <w:rsid w:val="00F72C24"/>
    <w:rsid w:val="00F72FF7"/>
    <w:rsid w:val="00F7302C"/>
    <w:rsid w:val="00F7358D"/>
    <w:rsid w:val="00F736F8"/>
    <w:rsid w:val="00F73729"/>
    <w:rsid w:val="00F737F2"/>
    <w:rsid w:val="00F738F7"/>
    <w:rsid w:val="00F73C98"/>
    <w:rsid w:val="00F7400B"/>
    <w:rsid w:val="00F74161"/>
    <w:rsid w:val="00F74307"/>
    <w:rsid w:val="00F7470E"/>
    <w:rsid w:val="00F7473D"/>
    <w:rsid w:val="00F747C6"/>
    <w:rsid w:val="00F7480F"/>
    <w:rsid w:val="00F7486D"/>
    <w:rsid w:val="00F74F52"/>
    <w:rsid w:val="00F74FD4"/>
    <w:rsid w:val="00F75050"/>
    <w:rsid w:val="00F751DF"/>
    <w:rsid w:val="00F75213"/>
    <w:rsid w:val="00F75224"/>
    <w:rsid w:val="00F7539C"/>
    <w:rsid w:val="00F753C6"/>
    <w:rsid w:val="00F7548B"/>
    <w:rsid w:val="00F755CC"/>
    <w:rsid w:val="00F75AC2"/>
    <w:rsid w:val="00F75EDA"/>
    <w:rsid w:val="00F75F14"/>
    <w:rsid w:val="00F75F2B"/>
    <w:rsid w:val="00F7603C"/>
    <w:rsid w:val="00F762D0"/>
    <w:rsid w:val="00F76B4A"/>
    <w:rsid w:val="00F76E12"/>
    <w:rsid w:val="00F76EBD"/>
    <w:rsid w:val="00F76F35"/>
    <w:rsid w:val="00F7702A"/>
    <w:rsid w:val="00F77500"/>
    <w:rsid w:val="00F77507"/>
    <w:rsid w:val="00F777DA"/>
    <w:rsid w:val="00F7784F"/>
    <w:rsid w:val="00F778CC"/>
    <w:rsid w:val="00F778EC"/>
    <w:rsid w:val="00F77B4C"/>
    <w:rsid w:val="00F77BC3"/>
    <w:rsid w:val="00F77DBB"/>
    <w:rsid w:val="00F77DBC"/>
    <w:rsid w:val="00F8018B"/>
    <w:rsid w:val="00F803B7"/>
    <w:rsid w:val="00F803FC"/>
    <w:rsid w:val="00F8053E"/>
    <w:rsid w:val="00F805A5"/>
    <w:rsid w:val="00F805E0"/>
    <w:rsid w:val="00F80638"/>
    <w:rsid w:val="00F807B1"/>
    <w:rsid w:val="00F80EA0"/>
    <w:rsid w:val="00F81250"/>
    <w:rsid w:val="00F81340"/>
    <w:rsid w:val="00F815A9"/>
    <w:rsid w:val="00F81800"/>
    <w:rsid w:val="00F818CB"/>
    <w:rsid w:val="00F81ADB"/>
    <w:rsid w:val="00F81BF4"/>
    <w:rsid w:val="00F81FDF"/>
    <w:rsid w:val="00F823A8"/>
    <w:rsid w:val="00F823E3"/>
    <w:rsid w:val="00F824D5"/>
    <w:rsid w:val="00F8271A"/>
    <w:rsid w:val="00F828EA"/>
    <w:rsid w:val="00F82B75"/>
    <w:rsid w:val="00F82D7E"/>
    <w:rsid w:val="00F83132"/>
    <w:rsid w:val="00F83140"/>
    <w:rsid w:val="00F8326E"/>
    <w:rsid w:val="00F83397"/>
    <w:rsid w:val="00F833B9"/>
    <w:rsid w:val="00F834BD"/>
    <w:rsid w:val="00F83824"/>
    <w:rsid w:val="00F83922"/>
    <w:rsid w:val="00F83B6A"/>
    <w:rsid w:val="00F83C14"/>
    <w:rsid w:val="00F83C39"/>
    <w:rsid w:val="00F83D8D"/>
    <w:rsid w:val="00F83ED7"/>
    <w:rsid w:val="00F8401A"/>
    <w:rsid w:val="00F8424B"/>
    <w:rsid w:val="00F84397"/>
    <w:rsid w:val="00F84766"/>
    <w:rsid w:val="00F84805"/>
    <w:rsid w:val="00F85178"/>
    <w:rsid w:val="00F852AD"/>
    <w:rsid w:val="00F8532C"/>
    <w:rsid w:val="00F85551"/>
    <w:rsid w:val="00F8563C"/>
    <w:rsid w:val="00F85648"/>
    <w:rsid w:val="00F859A1"/>
    <w:rsid w:val="00F85A3B"/>
    <w:rsid w:val="00F861F2"/>
    <w:rsid w:val="00F8629E"/>
    <w:rsid w:val="00F862FF"/>
    <w:rsid w:val="00F8631E"/>
    <w:rsid w:val="00F865B7"/>
    <w:rsid w:val="00F867A7"/>
    <w:rsid w:val="00F867B9"/>
    <w:rsid w:val="00F86A02"/>
    <w:rsid w:val="00F86D55"/>
    <w:rsid w:val="00F86E1C"/>
    <w:rsid w:val="00F86EE3"/>
    <w:rsid w:val="00F871B9"/>
    <w:rsid w:val="00F876DE"/>
    <w:rsid w:val="00F87997"/>
    <w:rsid w:val="00F879D7"/>
    <w:rsid w:val="00F87F4A"/>
    <w:rsid w:val="00F905F6"/>
    <w:rsid w:val="00F90884"/>
    <w:rsid w:val="00F90A45"/>
    <w:rsid w:val="00F90AE9"/>
    <w:rsid w:val="00F90B5B"/>
    <w:rsid w:val="00F90F64"/>
    <w:rsid w:val="00F90F79"/>
    <w:rsid w:val="00F91131"/>
    <w:rsid w:val="00F9124B"/>
    <w:rsid w:val="00F912B4"/>
    <w:rsid w:val="00F915BA"/>
    <w:rsid w:val="00F91A50"/>
    <w:rsid w:val="00F91AFC"/>
    <w:rsid w:val="00F91EAB"/>
    <w:rsid w:val="00F92007"/>
    <w:rsid w:val="00F920C4"/>
    <w:rsid w:val="00F922F0"/>
    <w:rsid w:val="00F923DF"/>
    <w:rsid w:val="00F92554"/>
    <w:rsid w:val="00F926B1"/>
    <w:rsid w:val="00F927F0"/>
    <w:rsid w:val="00F92BD3"/>
    <w:rsid w:val="00F92EC7"/>
    <w:rsid w:val="00F92FE7"/>
    <w:rsid w:val="00F930C8"/>
    <w:rsid w:val="00F93176"/>
    <w:rsid w:val="00F931EE"/>
    <w:rsid w:val="00F932B6"/>
    <w:rsid w:val="00F933C7"/>
    <w:rsid w:val="00F9350D"/>
    <w:rsid w:val="00F937D3"/>
    <w:rsid w:val="00F9393A"/>
    <w:rsid w:val="00F93A1C"/>
    <w:rsid w:val="00F93A62"/>
    <w:rsid w:val="00F93A9F"/>
    <w:rsid w:val="00F93FEA"/>
    <w:rsid w:val="00F94201"/>
    <w:rsid w:val="00F944B3"/>
    <w:rsid w:val="00F94531"/>
    <w:rsid w:val="00F945CB"/>
    <w:rsid w:val="00F94890"/>
    <w:rsid w:val="00F94A24"/>
    <w:rsid w:val="00F94C0C"/>
    <w:rsid w:val="00F94CE7"/>
    <w:rsid w:val="00F94D5B"/>
    <w:rsid w:val="00F94ED5"/>
    <w:rsid w:val="00F950F7"/>
    <w:rsid w:val="00F9512B"/>
    <w:rsid w:val="00F95400"/>
    <w:rsid w:val="00F954CE"/>
    <w:rsid w:val="00F95537"/>
    <w:rsid w:val="00F95816"/>
    <w:rsid w:val="00F95B2E"/>
    <w:rsid w:val="00F95B96"/>
    <w:rsid w:val="00F95E2C"/>
    <w:rsid w:val="00F9606E"/>
    <w:rsid w:val="00F961A3"/>
    <w:rsid w:val="00F963B0"/>
    <w:rsid w:val="00F96426"/>
    <w:rsid w:val="00F9652F"/>
    <w:rsid w:val="00F9666B"/>
    <w:rsid w:val="00F9675E"/>
    <w:rsid w:val="00F96827"/>
    <w:rsid w:val="00F96873"/>
    <w:rsid w:val="00F96965"/>
    <w:rsid w:val="00F96D0E"/>
    <w:rsid w:val="00F970D1"/>
    <w:rsid w:val="00F970EE"/>
    <w:rsid w:val="00F97131"/>
    <w:rsid w:val="00F9730B"/>
    <w:rsid w:val="00F973B9"/>
    <w:rsid w:val="00F9765E"/>
    <w:rsid w:val="00F97792"/>
    <w:rsid w:val="00F97B31"/>
    <w:rsid w:val="00F97BEF"/>
    <w:rsid w:val="00F97CD5"/>
    <w:rsid w:val="00F97D98"/>
    <w:rsid w:val="00F97E0E"/>
    <w:rsid w:val="00FA0338"/>
    <w:rsid w:val="00FA0474"/>
    <w:rsid w:val="00FA0499"/>
    <w:rsid w:val="00FA051D"/>
    <w:rsid w:val="00FA05A2"/>
    <w:rsid w:val="00FA08F8"/>
    <w:rsid w:val="00FA0B4C"/>
    <w:rsid w:val="00FA13FE"/>
    <w:rsid w:val="00FA14A2"/>
    <w:rsid w:val="00FA1585"/>
    <w:rsid w:val="00FA17D9"/>
    <w:rsid w:val="00FA18E7"/>
    <w:rsid w:val="00FA1E0C"/>
    <w:rsid w:val="00FA1E75"/>
    <w:rsid w:val="00FA1F5C"/>
    <w:rsid w:val="00FA2045"/>
    <w:rsid w:val="00FA207A"/>
    <w:rsid w:val="00FA20FC"/>
    <w:rsid w:val="00FA21E0"/>
    <w:rsid w:val="00FA248A"/>
    <w:rsid w:val="00FA256B"/>
    <w:rsid w:val="00FA264D"/>
    <w:rsid w:val="00FA2757"/>
    <w:rsid w:val="00FA2D2A"/>
    <w:rsid w:val="00FA2EFB"/>
    <w:rsid w:val="00FA2F23"/>
    <w:rsid w:val="00FA3213"/>
    <w:rsid w:val="00FA32F3"/>
    <w:rsid w:val="00FA33A9"/>
    <w:rsid w:val="00FA33EF"/>
    <w:rsid w:val="00FA3914"/>
    <w:rsid w:val="00FA39C2"/>
    <w:rsid w:val="00FA3A81"/>
    <w:rsid w:val="00FA3D36"/>
    <w:rsid w:val="00FA3D39"/>
    <w:rsid w:val="00FA405F"/>
    <w:rsid w:val="00FA42DA"/>
    <w:rsid w:val="00FA4687"/>
    <w:rsid w:val="00FA4928"/>
    <w:rsid w:val="00FA49A5"/>
    <w:rsid w:val="00FA4B18"/>
    <w:rsid w:val="00FA527C"/>
    <w:rsid w:val="00FA52E7"/>
    <w:rsid w:val="00FA52E8"/>
    <w:rsid w:val="00FA5553"/>
    <w:rsid w:val="00FA5837"/>
    <w:rsid w:val="00FA585F"/>
    <w:rsid w:val="00FA58E9"/>
    <w:rsid w:val="00FA5962"/>
    <w:rsid w:val="00FA59F7"/>
    <w:rsid w:val="00FA5AB1"/>
    <w:rsid w:val="00FA5B49"/>
    <w:rsid w:val="00FA5C41"/>
    <w:rsid w:val="00FA5F4F"/>
    <w:rsid w:val="00FA68D9"/>
    <w:rsid w:val="00FA68ED"/>
    <w:rsid w:val="00FA6CC5"/>
    <w:rsid w:val="00FA6CF8"/>
    <w:rsid w:val="00FA6E05"/>
    <w:rsid w:val="00FA70C1"/>
    <w:rsid w:val="00FA733B"/>
    <w:rsid w:val="00FA75EA"/>
    <w:rsid w:val="00FA764C"/>
    <w:rsid w:val="00FA7CC3"/>
    <w:rsid w:val="00FA7CF9"/>
    <w:rsid w:val="00FA7CFB"/>
    <w:rsid w:val="00FA7F1E"/>
    <w:rsid w:val="00FB01FE"/>
    <w:rsid w:val="00FB04D1"/>
    <w:rsid w:val="00FB089B"/>
    <w:rsid w:val="00FB0927"/>
    <w:rsid w:val="00FB0A83"/>
    <w:rsid w:val="00FB0AB2"/>
    <w:rsid w:val="00FB0B5E"/>
    <w:rsid w:val="00FB0C72"/>
    <w:rsid w:val="00FB0FAD"/>
    <w:rsid w:val="00FB109B"/>
    <w:rsid w:val="00FB12D1"/>
    <w:rsid w:val="00FB1631"/>
    <w:rsid w:val="00FB2229"/>
    <w:rsid w:val="00FB226B"/>
    <w:rsid w:val="00FB236D"/>
    <w:rsid w:val="00FB273A"/>
    <w:rsid w:val="00FB2A73"/>
    <w:rsid w:val="00FB2C5C"/>
    <w:rsid w:val="00FB2CC9"/>
    <w:rsid w:val="00FB2D6D"/>
    <w:rsid w:val="00FB2D9F"/>
    <w:rsid w:val="00FB2E08"/>
    <w:rsid w:val="00FB3459"/>
    <w:rsid w:val="00FB359F"/>
    <w:rsid w:val="00FB3811"/>
    <w:rsid w:val="00FB38E8"/>
    <w:rsid w:val="00FB3961"/>
    <w:rsid w:val="00FB3AB3"/>
    <w:rsid w:val="00FB3B23"/>
    <w:rsid w:val="00FB3BDE"/>
    <w:rsid w:val="00FB3C3D"/>
    <w:rsid w:val="00FB3D31"/>
    <w:rsid w:val="00FB3D3C"/>
    <w:rsid w:val="00FB4176"/>
    <w:rsid w:val="00FB425E"/>
    <w:rsid w:val="00FB46A5"/>
    <w:rsid w:val="00FB4822"/>
    <w:rsid w:val="00FB4B34"/>
    <w:rsid w:val="00FB4C1F"/>
    <w:rsid w:val="00FB4C30"/>
    <w:rsid w:val="00FB4CCD"/>
    <w:rsid w:val="00FB4D27"/>
    <w:rsid w:val="00FB5155"/>
    <w:rsid w:val="00FB5263"/>
    <w:rsid w:val="00FB5649"/>
    <w:rsid w:val="00FB5746"/>
    <w:rsid w:val="00FB59C7"/>
    <w:rsid w:val="00FB5B1A"/>
    <w:rsid w:val="00FB5D6D"/>
    <w:rsid w:val="00FB5EF8"/>
    <w:rsid w:val="00FB5FC0"/>
    <w:rsid w:val="00FB6523"/>
    <w:rsid w:val="00FB671F"/>
    <w:rsid w:val="00FB68D1"/>
    <w:rsid w:val="00FB6989"/>
    <w:rsid w:val="00FB698C"/>
    <w:rsid w:val="00FB6CA9"/>
    <w:rsid w:val="00FB6D15"/>
    <w:rsid w:val="00FB6EA5"/>
    <w:rsid w:val="00FB702F"/>
    <w:rsid w:val="00FB72B1"/>
    <w:rsid w:val="00FB7426"/>
    <w:rsid w:val="00FB79A8"/>
    <w:rsid w:val="00FB7AF3"/>
    <w:rsid w:val="00FB7FA1"/>
    <w:rsid w:val="00FC019E"/>
    <w:rsid w:val="00FC05A9"/>
    <w:rsid w:val="00FC05C1"/>
    <w:rsid w:val="00FC0A43"/>
    <w:rsid w:val="00FC0C02"/>
    <w:rsid w:val="00FC0CFF"/>
    <w:rsid w:val="00FC0F7D"/>
    <w:rsid w:val="00FC10C7"/>
    <w:rsid w:val="00FC117F"/>
    <w:rsid w:val="00FC11F0"/>
    <w:rsid w:val="00FC1435"/>
    <w:rsid w:val="00FC144D"/>
    <w:rsid w:val="00FC15EA"/>
    <w:rsid w:val="00FC1695"/>
    <w:rsid w:val="00FC1898"/>
    <w:rsid w:val="00FC1B19"/>
    <w:rsid w:val="00FC1FEF"/>
    <w:rsid w:val="00FC22A0"/>
    <w:rsid w:val="00FC22BF"/>
    <w:rsid w:val="00FC23DA"/>
    <w:rsid w:val="00FC247A"/>
    <w:rsid w:val="00FC24B3"/>
    <w:rsid w:val="00FC2769"/>
    <w:rsid w:val="00FC2984"/>
    <w:rsid w:val="00FC2B37"/>
    <w:rsid w:val="00FC2C6C"/>
    <w:rsid w:val="00FC2D04"/>
    <w:rsid w:val="00FC3069"/>
    <w:rsid w:val="00FC30ED"/>
    <w:rsid w:val="00FC3100"/>
    <w:rsid w:val="00FC3405"/>
    <w:rsid w:val="00FC34AF"/>
    <w:rsid w:val="00FC350D"/>
    <w:rsid w:val="00FC3548"/>
    <w:rsid w:val="00FC3954"/>
    <w:rsid w:val="00FC3BCA"/>
    <w:rsid w:val="00FC3D0F"/>
    <w:rsid w:val="00FC3FC9"/>
    <w:rsid w:val="00FC3FE7"/>
    <w:rsid w:val="00FC40A5"/>
    <w:rsid w:val="00FC40A7"/>
    <w:rsid w:val="00FC4385"/>
    <w:rsid w:val="00FC456E"/>
    <w:rsid w:val="00FC47E2"/>
    <w:rsid w:val="00FC493E"/>
    <w:rsid w:val="00FC4D4A"/>
    <w:rsid w:val="00FC4F76"/>
    <w:rsid w:val="00FC5127"/>
    <w:rsid w:val="00FC51F7"/>
    <w:rsid w:val="00FC5323"/>
    <w:rsid w:val="00FC54F2"/>
    <w:rsid w:val="00FC56B8"/>
    <w:rsid w:val="00FC5726"/>
    <w:rsid w:val="00FC598F"/>
    <w:rsid w:val="00FC5BD2"/>
    <w:rsid w:val="00FC5C0B"/>
    <w:rsid w:val="00FC5C89"/>
    <w:rsid w:val="00FC5E17"/>
    <w:rsid w:val="00FC6067"/>
    <w:rsid w:val="00FC60C4"/>
    <w:rsid w:val="00FC625B"/>
    <w:rsid w:val="00FC645C"/>
    <w:rsid w:val="00FC66AB"/>
    <w:rsid w:val="00FC6734"/>
    <w:rsid w:val="00FC6777"/>
    <w:rsid w:val="00FC67EE"/>
    <w:rsid w:val="00FC6AB5"/>
    <w:rsid w:val="00FC6B73"/>
    <w:rsid w:val="00FC6C57"/>
    <w:rsid w:val="00FC6D3D"/>
    <w:rsid w:val="00FC6EEA"/>
    <w:rsid w:val="00FC7021"/>
    <w:rsid w:val="00FC73A7"/>
    <w:rsid w:val="00FC7483"/>
    <w:rsid w:val="00FC749A"/>
    <w:rsid w:val="00FC7507"/>
    <w:rsid w:val="00FC751D"/>
    <w:rsid w:val="00FC7669"/>
    <w:rsid w:val="00FC76A8"/>
    <w:rsid w:val="00FC780B"/>
    <w:rsid w:val="00FC781F"/>
    <w:rsid w:val="00FC78A6"/>
    <w:rsid w:val="00FC79ED"/>
    <w:rsid w:val="00FC7A0C"/>
    <w:rsid w:val="00FC7D6B"/>
    <w:rsid w:val="00FD015C"/>
    <w:rsid w:val="00FD02E4"/>
    <w:rsid w:val="00FD0455"/>
    <w:rsid w:val="00FD065C"/>
    <w:rsid w:val="00FD0740"/>
    <w:rsid w:val="00FD0A0D"/>
    <w:rsid w:val="00FD0A76"/>
    <w:rsid w:val="00FD0D15"/>
    <w:rsid w:val="00FD0FF0"/>
    <w:rsid w:val="00FD10D3"/>
    <w:rsid w:val="00FD1149"/>
    <w:rsid w:val="00FD195C"/>
    <w:rsid w:val="00FD1A02"/>
    <w:rsid w:val="00FD1CF6"/>
    <w:rsid w:val="00FD1D57"/>
    <w:rsid w:val="00FD1E05"/>
    <w:rsid w:val="00FD20A7"/>
    <w:rsid w:val="00FD21BD"/>
    <w:rsid w:val="00FD227B"/>
    <w:rsid w:val="00FD2376"/>
    <w:rsid w:val="00FD2429"/>
    <w:rsid w:val="00FD24F7"/>
    <w:rsid w:val="00FD2563"/>
    <w:rsid w:val="00FD262A"/>
    <w:rsid w:val="00FD2860"/>
    <w:rsid w:val="00FD2A08"/>
    <w:rsid w:val="00FD2A3D"/>
    <w:rsid w:val="00FD2A61"/>
    <w:rsid w:val="00FD2BE2"/>
    <w:rsid w:val="00FD2BFF"/>
    <w:rsid w:val="00FD2D12"/>
    <w:rsid w:val="00FD2D18"/>
    <w:rsid w:val="00FD2EC8"/>
    <w:rsid w:val="00FD3131"/>
    <w:rsid w:val="00FD315D"/>
    <w:rsid w:val="00FD3281"/>
    <w:rsid w:val="00FD33F3"/>
    <w:rsid w:val="00FD35D0"/>
    <w:rsid w:val="00FD36E4"/>
    <w:rsid w:val="00FD383D"/>
    <w:rsid w:val="00FD3890"/>
    <w:rsid w:val="00FD3B79"/>
    <w:rsid w:val="00FD3BC0"/>
    <w:rsid w:val="00FD3D65"/>
    <w:rsid w:val="00FD3E91"/>
    <w:rsid w:val="00FD3EB0"/>
    <w:rsid w:val="00FD3EFD"/>
    <w:rsid w:val="00FD4396"/>
    <w:rsid w:val="00FD4513"/>
    <w:rsid w:val="00FD46B4"/>
    <w:rsid w:val="00FD4710"/>
    <w:rsid w:val="00FD4847"/>
    <w:rsid w:val="00FD490D"/>
    <w:rsid w:val="00FD52D2"/>
    <w:rsid w:val="00FD5894"/>
    <w:rsid w:val="00FD5CF5"/>
    <w:rsid w:val="00FD5D5A"/>
    <w:rsid w:val="00FD5F65"/>
    <w:rsid w:val="00FD655D"/>
    <w:rsid w:val="00FD6A75"/>
    <w:rsid w:val="00FD6F08"/>
    <w:rsid w:val="00FD6F2E"/>
    <w:rsid w:val="00FD6FFB"/>
    <w:rsid w:val="00FD70BF"/>
    <w:rsid w:val="00FD70D2"/>
    <w:rsid w:val="00FD71BB"/>
    <w:rsid w:val="00FD729C"/>
    <w:rsid w:val="00FD7548"/>
    <w:rsid w:val="00FD759E"/>
    <w:rsid w:val="00FD7658"/>
    <w:rsid w:val="00FD771E"/>
    <w:rsid w:val="00FD7C39"/>
    <w:rsid w:val="00FD7D7D"/>
    <w:rsid w:val="00FE0135"/>
    <w:rsid w:val="00FE019E"/>
    <w:rsid w:val="00FE0409"/>
    <w:rsid w:val="00FE0952"/>
    <w:rsid w:val="00FE13C7"/>
    <w:rsid w:val="00FE14CF"/>
    <w:rsid w:val="00FE14F8"/>
    <w:rsid w:val="00FE15A9"/>
    <w:rsid w:val="00FE1693"/>
    <w:rsid w:val="00FE1A2D"/>
    <w:rsid w:val="00FE1CE1"/>
    <w:rsid w:val="00FE1ED6"/>
    <w:rsid w:val="00FE1FA5"/>
    <w:rsid w:val="00FE2028"/>
    <w:rsid w:val="00FE212D"/>
    <w:rsid w:val="00FE21A2"/>
    <w:rsid w:val="00FE22AA"/>
    <w:rsid w:val="00FE2385"/>
    <w:rsid w:val="00FE23C7"/>
    <w:rsid w:val="00FE2AC6"/>
    <w:rsid w:val="00FE31E3"/>
    <w:rsid w:val="00FE33F1"/>
    <w:rsid w:val="00FE37F0"/>
    <w:rsid w:val="00FE3884"/>
    <w:rsid w:val="00FE3A73"/>
    <w:rsid w:val="00FE3BBC"/>
    <w:rsid w:val="00FE409E"/>
    <w:rsid w:val="00FE4238"/>
    <w:rsid w:val="00FE42F2"/>
    <w:rsid w:val="00FE43DF"/>
    <w:rsid w:val="00FE4439"/>
    <w:rsid w:val="00FE46C7"/>
    <w:rsid w:val="00FE472E"/>
    <w:rsid w:val="00FE4CBF"/>
    <w:rsid w:val="00FE4D20"/>
    <w:rsid w:val="00FE4EDF"/>
    <w:rsid w:val="00FE508F"/>
    <w:rsid w:val="00FE50BB"/>
    <w:rsid w:val="00FE511C"/>
    <w:rsid w:val="00FE518C"/>
    <w:rsid w:val="00FE5325"/>
    <w:rsid w:val="00FE5336"/>
    <w:rsid w:val="00FE53A0"/>
    <w:rsid w:val="00FE5448"/>
    <w:rsid w:val="00FE54EF"/>
    <w:rsid w:val="00FE5655"/>
    <w:rsid w:val="00FE5ADE"/>
    <w:rsid w:val="00FE5CE2"/>
    <w:rsid w:val="00FE5E2A"/>
    <w:rsid w:val="00FE60F2"/>
    <w:rsid w:val="00FE6105"/>
    <w:rsid w:val="00FE6281"/>
    <w:rsid w:val="00FE629B"/>
    <w:rsid w:val="00FE6825"/>
    <w:rsid w:val="00FE6E94"/>
    <w:rsid w:val="00FE72B7"/>
    <w:rsid w:val="00FE7325"/>
    <w:rsid w:val="00FE7424"/>
    <w:rsid w:val="00FE755C"/>
    <w:rsid w:val="00FE7665"/>
    <w:rsid w:val="00FE774A"/>
    <w:rsid w:val="00FE77B0"/>
    <w:rsid w:val="00FE7870"/>
    <w:rsid w:val="00FE7943"/>
    <w:rsid w:val="00FE7ACA"/>
    <w:rsid w:val="00FE7B66"/>
    <w:rsid w:val="00FE7FF2"/>
    <w:rsid w:val="00FF002B"/>
    <w:rsid w:val="00FF00CB"/>
    <w:rsid w:val="00FF00FE"/>
    <w:rsid w:val="00FF0141"/>
    <w:rsid w:val="00FF03FF"/>
    <w:rsid w:val="00FF040E"/>
    <w:rsid w:val="00FF0485"/>
    <w:rsid w:val="00FF0860"/>
    <w:rsid w:val="00FF08FA"/>
    <w:rsid w:val="00FF0AAF"/>
    <w:rsid w:val="00FF0AFC"/>
    <w:rsid w:val="00FF0C86"/>
    <w:rsid w:val="00FF0C90"/>
    <w:rsid w:val="00FF0E37"/>
    <w:rsid w:val="00FF13B3"/>
    <w:rsid w:val="00FF1514"/>
    <w:rsid w:val="00FF1594"/>
    <w:rsid w:val="00FF1747"/>
    <w:rsid w:val="00FF1994"/>
    <w:rsid w:val="00FF1B6B"/>
    <w:rsid w:val="00FF1C2A"/>
    <w:rsid w:val="00FF1D45"/>
    <w:rsid w:val="00FF1FEB"/>
    <w:rsid w:val="00FF2174"/>
    <w:rsid w:val="00FF2493"/>
    <w:rsid w:val="00FF289D"/>
    <w:rsid w:val="00FF2A03"/>
    <w:rsid w:val="00FF2BAB"/>
    <w:rsid w:val="00FF2D56"/>
    <w:rsid w:val="00FF2F2E"/>
    <w:rsid w:val="00FF30B4"/>
    <w:rsid w:val="00FF31ED"/>
    <w:rsid w:val="00FF3385"/>
    <w:rsid w:val="00FF35A3"/>
    <w:rsid w:val="00FF377F"/>
    <w:rsid w:val="00FF3797"/>
    <w:rsid w:val="00FF3972"/>
    <w:rsid w:val="00FF41AC"/>
    <w:rsid w:val="00FF454A"/>
    <w:rsid w:val="00FF47AF"/>
    <w:rsid w:val="00FF47D4"/>
    <w:rsid w:val="00FF4CAC"/>
    <w:rsid w:val="00FF4CCB"/>
    <w:rsid w:val="00FF4EFB"/>
    <w:rsid w:val="00FF5304"/>
    <w:rsid w:val="00FF5310"/>
    <w:rsid w:val="00FF557D"/>
    <w:rsid w:val="00FF5703"/>
    <w:rsid w:val="00FF5CD4"/>
    <w:rsid w:val="00FF6055"/>
    <w:rsid w:val="00FF6453"/>
    <w:rsid w:val="00FF650C"/>
    <w:rsid w:val="00FF653F"/>
    <w:rsid w:val="00FF6865"/>
    <w:rsid w:val="00FF68EC"/>
    <w:rsid w:val="00FF6989"/>
    <w:rsid w:val="00FF6A42"/>
    <w:rsid w:val="00FF6C19"/>
    <w:rsid w:val="00FF6D96"/>
    <w:rsid w:val="00FF6E76"/>
    <w:rsid w:val="00FF7294"/>
    <w:rsid w:val="00FF72F9"/>
    <w:rsid w:val="00FF74AB"/>
    <w:rsid w:val="00FF7567"/>
    <w:rsid w:val="00FF76F5"/>
    <w:rsid w:val="00FF7BF6"/>
    <w:rsid w:val="00FF7D04"/>
    <w:rsid w:val="00FF7F36"/>
    <w:rsid w:val="013A6F99"/>
    <w:rsid w:val="013CA19D"/>
    <w:rsid w:val="013CC88A"/>
    <w:rsid w:val="0166D4AF"/>
    <w:rsid w:val="0176FE29"/>
    <w:rsid w:val="0178FB4A"/>
    <w:rsid w:val="0183A2D6"/>
    <w:rsid w:val="018B80E4"/>
    <w:rsid w:val="01C95135"/>
    <w:rsid w:val="01DDE22B"/>
    <w:rsid w:val="01F4CEA2"/>
    <w:rsid w:val="0201596C"/>
    <w:rsid w:val="021172E4"/>
    <w:rsid w:val="02199586"/>
    <w:rsid w:val="0221F6C0"/>
    <w:rsid w:val="0245D2B2"/>
    <w:rsid w:val="025532CD"/>
    <w:rsid w:val="0258E7AE"/>
    <w:rsid w:val="02597262"/>
    <w:rsid w:val="026886E5"/>
    <w:rsid w:val="026A796E"/>
    <w:rsid w:val="0271A43A"/>
    <w:rsid w:val="02C19AA8"/>
    <w:rsid w:val="02E1E69F"/>
    <w:rsid w:val="02E9F148"/>
    <w:rsid w:val="03118CF2"/>
    <w:rsid w:val="031A5C46"/>
    <w:rsid w:val="032FE3C8"/>
    <w:rsid w:val="03793D73"/>
    <w:rsid w:val="037B1291"/>
    <w:rsid w:val="03C4A463"/>
    <w:rsid w:val="03CE18BA"/>
    <w:rsid w:val="03FD0732"/>
    <w:rsid w:val="03FD1676"/>
    <w:rsid w:val="040C89C8"/>
    <w:rsid w:val="041246E1"/>
    <w:rsid w:val="041B4976"/>
    <w:rsid w:val="043C6686"/>
    <w:rsid w:val="04566FB5"/>
    <w:rsid w:val="04581E96"/>
    <w:rsid w:val="04590285"/>
    <w:rsid w:val="0475942D"/>
    <w:rsid w:val="047D9335"/>
    <w:rsid w:val="04842791"/>
    <w:rsid w:val="0485B515"/>
    <w:rsid w:val="04941915"/>
    <w:rsid w:val="04A481E0"/>
    <w:rsid w:val="04A94549"/>
    <w:rsid w:val="04BE887E"/>
    <w:rsid w:val="04F63928"/>
    <w:rsid w:val="0508DFEB"/>
    <w:rsid w:val="05106D66"/>
    <w:rsid w:val="055BFE13"/>
    <w:rsid w:val="0570657D"/>
    <w:rsid w:val="057CFFFA"/>
    <w:rsid w:val="059E11AF"/>
    <w:rsid w:val="05A523C8"/>
    <w:rsid w:val="05B9D0FF"/>
    <w:rsid w:val="05BBEE86"/>
    <w:rsid w:val="05BE7C79"/>
    <w:rsid w:val="05C38D9C"/>
    <w:rsid w:val="05FDD491"/>
    <w:rsid w:val="06129FB0"/>
    <w:rsid w:val="0613A858"/>
    <w:rsid w:val="062DB060"/>
    <w:rsid w:val="06450E00"/>
    <w:rsid w:val="064BD556"/>
    <w:rsid w:val="06630368"/>
    <w:rsid w:val="0671F6B5"/>
    <w:rsid w:val="068B3431"/>
    <w:rsid w:val="069B9B0D"/>
    <w:rsid w:val="06BB8C20"/>
    <w:rsid w:val="06BF14FB"/>
    <w:rsid w:val="06DC4EC5"/>
    <w:rsid w:val="06E22332"/>
    <w:rsid w:val="07154658"/>
    <w:rsid w:val="0719F53B"/>
    <w:rsid w:val="072CA60A"/>
    <w:rsid w:val="07544A49"/>
    <w:rsid w:val="07713ED8"/>
    <w:rsid w:val="07796199"/>
    <w:rsid w:val="0783FDF1"/>
    <w:rsid w:val="0787B857"/>
    <w:rsid w:val="07ABAB2E"/>
    <w:rsid w:val="07BC6B47"/>
    <w:rsid w:val="07BCE5FD"/>
    <w:rsid w:val="07C76D49"/>
    <w:rsid w:val="081F959E"/>
    <w:rsid w:val="0827D78D"/>
    <w:rsid w:val="0881E1C5"/>
    <w:rsid w:val="088F6425"/>
    <w:rsid w:val="089936E2"/>
    <w:rsid w:val="08AEA7ED"/>
    <w:rsid w:val="08AEAFA5"/>
    <w:rsid w:val="08B21337"/>
    <w:rsid w:val="08B8076D"/>
    <w:rsid w:val="08DC7706"/>
    <w:rsid w:val="090B0F27"/>
    <w:rsid w:val="090CD342"/>
    <w:rsid w:val="091A7617"/>
    <w:rsid w:val="093B9897"/>
    <w:rsid w:val="095298EE"/>
    <w:rsid w:val="098814DA"/>
    <w:rsid w:val="0989DE0B"/>
    <w:rsid w:val="099EB5EB"/>
    <w:rsid w:val="09A5CC31"/>
    <w:rsid w:val="09A74639"/>
    <w:rsid w:val="09B94FC5"/>
    <w:rsid w:val="0A01C092"/>
    <w:rsid w:val="0A02324C"/>
    <w:rsid w:val="0A0FD98F"/>
    <w:rsid w:val="0A325D10"/>
    <w:rsid w:val="0A48FA9B"/>
    <w:rsid w:val="0A570AC3"/>
    <w:rsid w:val="0A68F1EB"/>
    <w:rsid w:val="0A8B135F"/>
    <w:rsid w:val="0A8E0757"/>
    <w:rsid w:val="0A946A93"/>
    <w:rsid w:val="0A98811A"/>
    <w:rsid w:val="0A9B15D8"/>
    <w:rsid w:val="0AB8CD99"/>
    <w:rsid w:val="0AC0EC4F"/>
    <w:rsid w:val="0AC732F6"/>
    <w:rsid w:val="0AD7BF46"/>
    <w:rsid w:val="0B0143BF"/>
    <w:rsid w:val="0B18583A"/>
    <w:rsid w:val="0B5CD2E0"/>
    <w:rsid w:val="0B670F74"/>
    <w:rsid w:val="0B78C900"/>
    <w:rsid w:val="0BB912A9"/>
    <w:rsid w:val="0BF9A211"/>
    <w:rsid w:val="0BFB5125"/>
    <w:rsid w:val="0C0D2947"/>
    <w:rsid w:val="0C2152C5"/>
    <w:rsid w:val="0C26E8BE"/>
    <w:rsid w:val="0C364D11"/>
    <w:rsid w:val="0C385AE7"/>
    <w:rsid w:val="0C3C204A"/>
    <w:rsid w:val="0C3CA18F"/>
    <w:rsid w:val="0C3D375E"/>
    <w:rsid w:val="0C5D6E6E"/>
    <w:rsid w:val="0C664FA6"/>
    <w:rsid w:val="0C8F2F9E"/>
    <w:rsid w:val="0CA48E48"/>
    <w:rsid w:val="0CB50093"/>
    <w:rsid w:val="0CBBBC1B"/>
    <w:rsid w:val="0CC400C5"/>
    <w:rsid w:val="0CDBB728"/>
    <w:rsid w:val="0D033375"/>
    <w:rsid w:val="0D26C148"/>
    <w:rsid w:val="0D2F3197"/>
    <w:rsid w:val="0D41EE3B"/>
    <w:rsid w:val="0D4261D0"/>
    <w:rsid w:val="0D42980B"/>
    <w:rsid w:val="0D45A865"/>
    <w:rsid w:val="0D47B6F2"/>
    <w:rsid w:val="0D7055D1"/>
    <w:rsid w:val="0D7B7DAC"/>
    <w:rsid w:val="0D9A6FCE"/>
    <w:rsid w:val="0DB03C90"/>
    <w:rsid w:val="0DB0738D"/>
    <w:rsid w:val="0DFF2FAC"/>
    <w:rsid w:val="0E076EE0"/>
    <w:rsid w:val="0E0A3400"/>
    <w:rsid w:val="0E0B2B43"/>
    <w:rsid w:val="0E26BC24"/>
    <w:rsid w:val="0E2AC9E3"/>
    <w:rsid w:val="0E311465"/>
    <w:rsid w:val="0E33A5E7"/>
    <w:rsid w:val="0E6B24E7"/>
    <w:rsid w:val="0E861A03"/>
    <w:rsid w:val="0EA2282B"/>
    <w:rsid w:val="0EC4CE09"/>
    <w:rsid w:val="0EF16A38"/>
    <w:rsid w:val="0F17AD96"/>
    <w:rsid w:val="0F1F1A2B"/>
    <w:rsid w:val="0F290E38"/>
    <w:rsid w:val="0F36E9C3"/>
    <w:rsid w:val="0F4BCDEB"/>
    <w:rsid w:val="0F5246CC"/>
    <w:rsid w:val="0F578AA4"/>
    <w:rsid w:val="0FA435E3"/>
    <w:rsid w:val="0FDBAD4F"/>
    <w:rsid w:val="0FFABC4D"/>
    <w:rsid w:val="1032B843"/>
    <w:rsid w:val="1046C28F"/>
    <w:rsid w:val="1052EEE7"/>
    <w:rsid w:val="106DAE59"/>
    <w:rsid w:val="10ADF2F9"/>
    <w:rsid w:val="10B15F20"/>
    <w:rsid w:val="10CADCCB"/>
    <w:rsid w:val="10E081F2"/>
    <w:rsid w:val="1120838C"/>
    <w:rsid w:val="113B1E1E"/>
    <w:rsid w:val="114C182C"/>
    <w:rsid w:val="116D8E08"/>
    <w:rsid w:val="116EE013"/>
    <w:rsid w:val="117345D8"/>
    <w:rsid w:val="11965A4B"/>
    <w:rsid w:val="119D1549"/>
    <w:rsid w:val="11A24166"/>
    <w:rsid w:val="11A6344D"/>
    <w:rsid w:val="11DA0B10"/>
    <w:rsid w:val="11E7F16B"/>
    <w:rsid w:val="11FA30E7"/>
    <w:rsid w:val="120AF26D"/>
    <w:rsid w:val="1211FB9E"/>
    <w:rsid w:val="121B946E"/>
    <w:rsid w:val="1226C366"/>
    <w:rsid w:val="123AC8BE"/>
    <w:rsid w:val="124C3EA6"/>
    <w:rsid w:val="126BA1C8"/>
    <w:rsid w:val="127900AA"/>
    <w:rsid w:val="12D58E0E"/>
    <w:rsid w:val="12ECB106"/>
    <w:rsid w:val="12F1FBDF"/>
    <w:rsid w:val="12FD285A"/>
    <w:rsid w:val="13100A95"/>
    <w:rsid w:val="131BF1FF"/>
    <w:rsid w:val="13279EE8"/>
    <w:rsid w:val="1346EC37"/>
    <w:rsid w:val="13593004"/>
    <w:rsid w:val="1363D182"/>
    <w:rsid w:val="13A3E5BC"/>
    <w:rsid w:val="13F549F2"/>
    <w:rsid w:val="13FF1E68"/>
    <w:rsid w:val="14010952"/>
    <w:rsid w:val="1405BA59"/>
    <w:rsid w:val="14080848"/>
    <w:rsid w:val="140CE07F"/>
    <w:rsid w:val="141EF1D0"/>
    <w:rsid w:val="14466536"/>
    <w:rsid w:val="1455FC11"/>
    <w:rsid w:val="145FD1F4"/>
    <w:rsid w:val="1467203B"/>
    <w:rsid w:val="1484A626"/>
    <w:rsid w:val="148773D0"/>
    <w:rsid w:val="14F54BEA"/>
    <w:rsid w:val="150E6784"/>
    <w:rsid w:val="15143D2D"/>
    <w:rsid w:val="15217EBD"/>
    <w:rsid w:val="15294528"/>
    <w:rsid w:val="152BA022"/>
    <w:rsid w:val="154927E2"/>
    <w:rsid w:val="155865E4"/>
    <w:rsid w:val="1578750D"/>
    <w:rsid w:val="15942E2C"/>
    <w:rsid w:val="15B963A4"/>
    <w:rsid w:val="15F232B1"/>
    <w:rsid w:val="16343BF0"/>
    <w:rsid w:val="163DF6EF"/>
    <w:rsid w:val="163E8CDA"/>
    <w:rsid w:val="164D2587"/>
    <w:rsid w:val="1695B136"/>
    <w:rsid w:val="16AEAF94"/>
    <w:rsid w:val="16D02101"/>
    <w:rsid w:val="16D73F6A"/>
    <w:rsid w:val="16DC89E1"/>
    <w:rsid w:val="16E2AED6"/>
    <w:rsid w:val="16E4CBAB"/>
    <w:rsid w:val="16EA690C"/>
    <w:rsid w:val="16EB847D"/>
    <w:rsid w:val="16FFD099"/>
    <w:rsid w:val="1705DB94"/>
    <w:rsid w:val="1711ECD6"/>
    <w:rsid w:val="1712F53B"/>
    <w:rsid w:val="173F5D16"/>
    <w:rsid w:val="175B2994"/>
    <w:rsid w:val="1772B96D"/>
    <w:rsid w:val="17829FB0"/>
    <w:rsid w:val="17B881FE"/>
    <w:rsid w:val="17FD1AF8"/>
    <w:rsid w:val="18066DFC"/>
    <w:rsid w:val="181B329E"/>
    <w:rsid w:val="183CFAC8"/>
    <w:rsid w:val="1845CAE8"/>
    <w:rsid w:val="18641495"/>
    <w:rsid w:val="1889B7DA"/>
    <w:rsid w:val="1899A7CD"/>
    <w:rsid w:val="18A169DF"/>
    <w:rsid w:val="18AD37BA"/>
    <w:rsid w:val="18B7817A"/>
    <w:rsid w:val="18BB4E4A"/>
    <w:rsid w:val="18EFCFB5"/>
    <w:rsid w:val="18F06D1D"/>
    <w:rsid w:val="190286AA"/>
    <w:rsid w:val="191068ED"/>
    <w:rsid w:val="1911E2F0"/>
    <w:rsid w:val="192D56FD"/>
    <w:rsid w:val="19381A27"/>
    <w:rsid w:val="195BBC1F"/>
    <w:rsid w:val="198DBCAF"/>
    <w:rsid w:val="1996B4D3"/>
    <w:rsid w:val="19A08CA4"/>
    <w:rsid w:val="19ADA23E"/>
    <w:rsid w:val="19BAF7C8"/>
    <w:rsid w:val="19CF882E"/>
    <w:rsid w:val="19D4DEF7"/>
    <w:rsid w:val="19EEE39C"/>
    <w:rsid w:val="19FCA411"/>
    <w:rsid w:val="1A16A970"/>
    <w:rsid w:val="1A22F71F"/>
    <w:rsid w:val="1A63FA21"/>
    <w:rsid w:val="1A7C6B41"/>
    <w:rsid w:val="1A890995"/>
    <w:rsid w:val="1A9896C6"/>
    <w:rsid w:val="1AA95F3D"/>
    <w:rsid w:val="1ABA3903"/>
    <w:rsid w:val="1AC407FE"/>
    <w:rsid w:val="1AD041D6"/>
    <w:rsid w:val="1B4E5067"/>
    <w:rsid w:val="1B6829E3"/>
    <w:rsid w:val="1B76CA4E"/>
    <w:rsid w:val="1B79E587"/>
    <w:rsid w:val="1B8DC78E"/>
    <w:rsid w:val="1BA9C9DA"/>
    <w:rsid w:val="1BB095E4"/>
    <w:rsid w:val="1BBEC17D"/>
    <w:rsid w:val="1BC8235E"/>
    <w:rsid w:val="1BEC93DC"/>
    <w:rsid w:val="1BED1165"/>
    <w:rsid w:val="1BFC5D73"/>
    <w:rsid w:val="1BFE3EDB"/>
    <w:rsid w:val="1C11B9E1"/>
    <w:rsid w:val="1C37C220"/>
    <w:rsid w:val="1C419D44"/>
    <w:rsid w:val="1C550E02"/>
    <w:rsid w:val="1C5F3651"/>
    <w:rsid w:val="1CB5E718"/>
    <w:rsid w:val="1CE0D2B0"/>
    <w:rsid w:val="1D32FC67"/>
    <w:rsid w:val="1D4689D0"/>
    <w:rsid w:val="1D4A0255"/>
    <w:rsid w:val="1D642C4D"/>
    <w:rsid w:val="1D708C99"/>
    <w:rsid w:val="1D72CA2F"/>
    <w:rsid w:val="1D80D68F"/>
    <w:rsid w:val="1D8497F7"/>
    <w:rsid w:val="1DA300F2"/>
    <w:rsid w:val="1DA9A652"/>
    <w:rsid w:val="1E13ABC0"/>
    <w:rsid w:val="1E531710"/>
    <w:rsid w:val="1EA91BAC"/>
    <w:rsid w:val="1EACA164"/>
    <w:rsid w:val="1EBCA7A5"/>
    <w:rsid w:val="1F0C1A1C"/>
    <w:rsid w:val="1F12C81A"/>
    <w:rsid w:val="1F17B770"/>
    <w:rsid w:val="1F17FC36"/>
    <w:rsid w:val="1F3EA866"/>
    <w:rsid w:val="1F55489E"/>
    <w:rsid w:val="1F7A59D3"/>
    <w:rsid w:val="1F9AC277"/>
    <w:rsid w:val="1FCE511E"/>
    <w:rsid w:val="1FD92DDA"/>
    <w:rsid w:val="1FFCA7CD"/>
    <w:rsid w:val="2033046E"/>
    <w:rsid w:val="20728FAF"/>
    <w:rsid w:val="208C1C2F"/>
    <w:rsid w:val="208C7A14"/>
    <w:rsid w:val="2093D048"/>
    <w:rsid w:val="209D0864"/>
    <w:rsid w:val="20EF8500"/>
    <w:rsid w:val="20F7B8ED"/>
    <w:rsid w:val="20FFD4D5"/>
    <w:rsid w:val="2105CF69"/>
    <w:rsid w:val="21068263"/>
    <w:rsid w:val="2108B52E"/>
    <w:rsid w:val="21412ABC"/>
    <w:rsid w:val="21495E45"/>
    <w:rsid w:val="2162FCEB"/>
    <w:rsid w:val="219854CD"/>
    <w:rsid w:val="21AD14E7"/>
    <w:rsid w:val="2225261B"/>
    <w:rsid w:val="222CDB83"/>
    <w:rsid w:val="2232443A"/>
    <w:rsid w:val="22530AD0"/>
    <w:rsid w:val="2258D701"/>
    <w:rsid w:val="2266607F"/>
    <w:rsid w:val="2273494C"/>
    <w:rsid w:val="2275A0E9"/>
    <w:rsid w:val="22850502"/>
    <w:rsid w:val="2286C09D"/>
    <w:rsid w:val="229F4881"/>
    <w:rsid w:val="22AD0347"/>
    <w:rsid w:val="22AE52D2"/>
    <w:rsid w:val="22EF75F3"/>
    <w:rsid w:val="233716A8"/>
    <w:rsid w:val="23419464"/>
    <w:rsid w:val="235B2EC6"/>
    <w:rsid w:val="23677C02"/>
    <w:rsid w:val="2368DF8D"/>
    <w:rsid w:val="237372EF"/>
    <w:rsid w:val="239921F3"/>
    <w:rsid w:val="239B66B4"/>
    <w:rsid w:val="23DB51B9"/>
    <w:rsid w:val="23E32348"/>
    <w:rsid w:val="240AAEC7"/>
    <w:rsid w:val="2411E911"/>
    <w:rsid w:val="242B6C7F"/>
    <w:rsid w:val="247DBBD1"/>
    <w:rsid w:val="248FA965"/>
    <w:rsid w:val="24B326FB"/>
    <w:rsid w:val="24BE3751"/>
    <w:rsid w:val="24DC6707"/>
    <w:rsid w:val="24DFBE9F"/>
    <w:rsid w:val="24F290EE"/>
    <w:rsid w:val="2511C590"/>
    <w:rsid w:val="252CE132"/>
    <w:rsid w:val="252DF80F"/>
    <w:rsid w:val="2549C942"/>
    <w:rsid w:val="256CEACC"/>
    <w:rsid w:val="2576110D"/>
    <w:rsid w:val="257800A4"/>
    <w:rsid w:val="257F4518"/>
    <w:rsid w:val="25B723A4"/>
    <w:rsid w:val="25BFDB54"/>
    <w:rsid w:val="25EC8133"/>
    <w:rsid w:val="26097C36"/>
    <w:rsid w:val="26159E95"/>
    <w:rsid w:val="2616F4BF"/>
    <w:rsid w:val="26279B6F"/>
    <w:rsid w:val="263F5868"/>
    <w:rsid w:val="2651299C"/>
    <w:rsid w:val="266F28C6"/>
    <w:rsid w:val="26700A84"/>
    <w:rsid w:val="26789DA6"/>
    <w:rsid w:val="2683E343"/>
    <w:rsid w:val="26A714AF"/>
    <w:rsid w:val="26A87A76"/>
    <w:rsid w:val="26AE4F85"/>
    <w:rsid w:val="26CEAE4B"/>
    <w:rsid w:val="26F71DB1"/>
    <w:rsid w:val="2722760E"/>
    <w:rsid w:val="273B266E"/>
    <w:rsid w:val="2755E9CD"/>
    <w:rsid w:val="275BCDFE"/>
    <w:rsid w:val="275CB2BF"/>
    <w:rsid w:val="2766CF5B"/>
    <w:rsid w:val="278691D4"/>
    <w:rsid w:val="27887599"/>
    <w:rsid w:val="278D4875"/>
    <w:rsid w:val="27998C4A"/>
    <w:rsid w:val="279D0F24"/>
    <w:rsid w:val="27AEED57"/>
    <w:rsid w:val="27AF4A1E"/>
    <w:rsid w:val="280D7E27"/>
    <w:rsid w:val="281E591C"/>
    <w:rsid w:val="281FEBD3"/>
    <w:rsid w:val="2825A68F"/>
    <w:rsid w:val="285198F9"/>
    <w:rsid w:val="28545042"/>
    <w:rsid w:val="285E17C0"/>
    <w:rsid w:val="28727C25"/>
    <w:rsid w:val="287A8D7D"/>
    <w:rsid w:val="287BE6D1"/>
    <w:rsid w:val="288F0304"/>
    <w:rsid w:val="28AE2C97"/>
    <w:rsid w:val="28E6B14F"/>
    <w:rsid w:val="28FBD7FF"/>
    <w:rsid w:val="2946914B"/>
    <w:rsid w:val="297651C7"/>
    <w:rsid w:val="29904859"/>
    <w:rsid w:val="29ADC681"/>
    <w:rsid w:val="29C3B9AC"/>
    <w:rsid w:val="2A1C43E3"/>
    <w:rsid w:val="2A24F28E"/>
    <w:rsid w:val="2A4475A2"/>
    <w:rsid w:val="2A57F3B2"/>
    <w:rsid w:val="2A6196E3"/>
    <w:rsid w:val="2AAE59AB"/>
    <w:rsid w:val="2AB454A9"/>
    <w:rsid w:val="2ABC1760"/>
    <w:rsid w:val="2ABD39B5"/>
    <w:rsid w:val="2ADD3D94"/>
    <w:rsid w:val="2B17DE87"/>
    <w:rsid w:val="2B43F5D6"/>
    <w:rsid w:val="2B85A00A"/>
    <w:rsid w:val="2B8BDF60"/>
    <w:rsid w:val="2B963EE9"/>
    <w:rsid w:val="2BBC71D0"/>
    <w:rsid w:val="2BC2EE89"/>
    <w:rsid w:val="2BCA3819"/>
    <w:rsid w:val="2BD44FFC"/>
    <w:rsid w:val="2BE4ECF0"/>
    <w:rsid w:val="2C049283"/>
    <w:rsid w:val="2C148ACC"/>
    <w:rsid w:val="2C627474"/>
    <w:rsid w:val="2C69AB66"/>
    <w:rsid w:val="2C7A8DAD"/>
    <w:rsid w:val="2C82C045"/>
    <w:rsid w:val="2CA3541D"/>
    <w:rsid w:val="2CBCCB26"/>
    <w:rsid w:val="2CBD5904"/>
    <w:rsid w:val="2CE94FD6"/>
    <w:rsid w:val="2D03BD32"/>
    <w:rsid w:val="2D13280C"/>
    <w:rsid w:val="2D225326"/>
    <w:rsid w:val="2D2DE124"/>
    <w:rsid w:val="2D34CC1E"/>
    <w:rsid w:val="2D38AFD1"/>
    <w:rsid w:val="2D60D7F3"/>
    <w:rsid w:val="2D71050A"/>
    <w:rsid w:val="2D782275"/>
    <w:rsid w:val="2D867DE0"/>
    <w:rsid w:val="2D940AD6"/>
    <w:rsid w:val="2D94ED0D"/>
    <w:rsid w:val="2D9715C8"/>
    <w:rsid w:val="2E06F58A"/>
    <w:rsid w:val="2E1A32D5"/>
    <w:rsid w:val="2E4E4C21"/>
    <w:rsid w:val="2E52A278"/>
    <w:rsid w:val="2EC0C739"/>
    <w:rsid w:val="2EC531EC"/>
    <w:rsid w:val="2ECDFE8B"/>
    <w:rsid w:val="2ED971FE"/>
    <w:rsid w:val="2F10876C"/>
    <w:rsid w:val="2F1BACBB"/>
    <w:rsid w:val="2F26215F"/>
    <w:rsid w:val="2F5300AF"/>
    <w:rsid w:val="2F5A4AFC"/>
    <w:rsid w:val="2F7C3032"/>
    <w:rsid w:val="2FCEF954"/>
    <w:rsid w:val="2FD37CDB"/>
    <w:rsid w:val="2FF02FDE"/>
    <w:rsid w:val="301FDA98"/>
    <w:rsid w:val="3035A3EE"/>
    <w:rsid w:val="303D5DC0"/>
    <w:rsid w:val="304AF9F7"/>
    <w:rsid w:val="3056D9D5"/>
    <w:rsid w:val="30606143"/>
    <w:rsid w:val="3060F37B"/>
    <w:rsid w:val="3065CB7B"/>
    <w:rsid w:val="30AE797F"/>
    <w:rsid w:val="30B73F24"/>
    <w:rsid w:val="30B77522"/>
    <w:rsid w:val="30E2CBE6"/>
    <w:rsid w:val="30E90BD9"/>
    <w:rsid w:val="31321A74"/>
    <w:rsid w:val="3135EBF7"/>
    <w:rsid w:val="314A0513"/>
    <w:rsid w:val="315126D8"/>
    <w:rsid w:val="317094F5"/>
    <w:rsid w:val="317653BE"/>
    <w:rsid w:val="3182B562"/>
    <w:rsid w:val="3183BC85"/>
    <w:rsid w:val="31BD38F1"/>
    <w:rsid w:val="31C32084"/>
    <w:rsid w:val="3232807C"/>
    <w:rsid w:val="3245F6CB"/>
    <w:rsid w:val="328A1D81"/>
    <w:rsid w:val="32B13842"/>
    <w:rsid w:val="32E1EB0B"/>
    <w:rsid w:val="32E3F833"/>
    <w:rsid w:val="3321B04A"/>
    <w:rsid w:val="332A99A5"/>
    <w:rsid w:val="33356767"/>
    <w:rsid w:val="334667F0"/>
    <w:rsid w:val="335F4CC6"/>
    <w:rsid w:val="336E958C"/>
    <w:rsid w:val="337A3DAF"/>
    <w:rsid w:val="3396B343"/>
    <w:rsid w:val="33BC96BF"/>
    <w:rsid w:val="33C220FB"/>
    <w:rsid w:val="33D0F42D"/>
    <w:rsid w:val="33D90C96"/>
    <w:rsid w:val="33DCF5F6"/>
    <w:rsid w:val="33E2864E"/>
    <w:rsid w:val="33FE11AD"/>
    <w:rsid w:val="340E3288"/>
    <w:rsid w:val="341F3DEF"/>
    <w:rsid w:val="34251DEA"/>
    <w:rsid w:val="3461DAA1"/>
    <w:rsid w:val="34EA495B"/>
    <w:rsid w:val="34EE3536"/>
    <w:rsid w:val="34EE7FE5"/>
    <w:rsid w:val="34F59371"/>
    <w:rsid w:val="3507BB8C"/>
    <w:rsid w:val="353C3D25"/>
    <w:rsid w:val="3595223B"/>
    <w:rsid w:val="3599B792"/>
    <w:rsid w:val="359EF12A"/>
    <w:rsid w:val="35A7D745"/>
    <w:rsid w:val="35F0D92B"/>
    <w:rsid w:val="35F9CE1E"/>
    <w:rsid w:val="3606B57A"/>
    <w:rsid w:val="36303006"/>
    <w:rsid w:val="366DAE58"/>
    <w:rsid w:val="367C1A4A"/>
    <w:rsid w:val="36B545AA"/>
    <w:rsid w:val="3716B0A8"/>
    <w:rsid w:val="37211D9F"/>
    <w:rsid w:val="375C9399"/>
    <w:rsid w:val="37709CB9"/>
    <w:rsid w:val="3775CB92"/>
    <w:rsid w:val="37BF0B67"/>
    <w:rsid w:val="37E9CC97"/>
    <w:rsid w:val="37EF4BF3"/>
    <w:rsid w:val="37F85181"/>
    <w:rsid w:val="3802EF0D"/>
    <w:rsid w:val="380D1929"/>
    <w:rsid w:val="380EFCB3"/>
    <w:rsid w:val="3848B84C"/>
    <w:rsid w:val="385A6D9F"/>
    <w:rsid w:val="387F1843"/>
    <w:rsid w:val="38B13F69"/>
    <w:rsid w:val="38B98EAA"/>
    <w:rsid w:val="38BC96CE"/>
    <w:rsid w:val="39297BAE"/>
    <w:rsid w:val="392EA594"/>
    <w:rsid w:val="3946DB37"/>
    <w:rsid w:val="3949ECD1"/>
    <w:rsid w:val="39611BDC"/>
    <w:rsid w:val="3962D4DF"/>
    <w:rsid w:val="39716D11"/>
    <w:rsid w:val="3989D1BD"/>
    <w:rsid w:val="39987E6F"/>
    <w:rsid w:val="39AC58F2"/>
    <w:rsid w:val="39C2BAB2"/>
    <w:rsid w:val="39D96F08"/>
    <w:rsid w:val="39E2166E"/>
    <w:rsid w:val="39EE4ACF"/>
    <w:rsid w:val="3A037DE8"/>
    <w:rsid w:val="3A4D3A08"/>
    <w:rsid w:val="3A4DADCA"/>
    <w:rsid w:val="3A587CB4"/>
    <w:rsid w:val="3A661CEA"/>
    <w:rsid w:val="3AB6E270"/>
    <w:rsid w:val="3ACDAA20"/>
    <w:rsid w:val="3AFCDECC"/>
    <w:rsid w:val="3B1596DF"/>
    <w:rsid w:val="3B44E6AF"/>
    <w:rsid w:val="3B4FCEB8"/>
    <w:rsid w:val="3B8113A6"/>
    <w:rsid w:val="3B965888"/>
    <w:rsid w:val="3BA27075"/>
    <w:rsid w:val="3BCFA1E5"/>
    <w:rsid w:val="3BDAE8A2"/>
    <w:rsid w:val="3C276F64"/>
    <w:rsid w:val="3C413480"/>
    <w:rsid w:val="3C5DD10F"/>
    <w:rsid w:val="3C7357C7"/>
    <w:rsid w:val="3C8E0CA2"/>
    <w:rsid w:val="3CA52CF9"/>
    <w:rsid w:val="3CADF01F"/>
    <w:rsid w:val="3CC1C2F6"/>
    <w:rsid w:val="3CDB6C1C"/>
    <w:rsid w:val="3CDEC43A"/>
    <w:rsid w:val="3CE6158D"/>
    <w:rsid w:val="3CE6E8A5"/>
    <w:rsid w:val="3D15FA89"/>
    <w:rsid w:val="3D363FBB"/>
    <w:rsid w:val="3D469C0E"/>
    <w:rsid w:val="3D4E19A8"/>
    <w:rsid w:val="3D7D418A"/>
    <w:rsid w:val="3D88B621"/>
    <w:rsid w:val="3D9B84DF"/>
    <w:rsid w:val="3D9BE71A"/>
    <w:rsid w:val="3DA8826B"/>
    <w:rsid w:val="3DB3C1FB"/>
    <w:rsid w:val="3E226857"/>
    <w:rsid w:val="3E5ED511"/>
    <w:rsid w:val="3E63FCBA"/>
    <w:rsid w:val="3E64E621"/>
    <w:rsid w:val="3E750362"/>
    <w:rsid w:val="3E98310D"/>
    <w:rsid w:val="3E998EA9"/>
    <w:rsid w:val="3E9A3EF2"/>
    <w:rsid w:val="3EAF8664"/>
    <w:rsid w:val="3EB0006F"/>
    <w:rsid w:val="3ECB2A81"/>
    <w:rsid w:val="3ECB67FF"/>
    <w:rsid w:val="3ECFECB8"/>
    <w:rsid w:val="3EF54DFA"/>
    <w:rsid w:val="3EF89A38"/>
    <w:rsid w:val="3F241880"/>
    <w:rsid w:val="3F25E087"/>
    <w:rsid w:val="3F3A11C6"/>
    <w:rsid w:val="3F3E3A11"/>
    <w:rsid w:val="3F476420"/>
    <w:rsid w:val="3F905EA0"/>
    <w:rsid w:val="3F92BF0F"/>
    <w:rsid w:val="3F978D38"/>
    <w:rsid w:val="3FA05E0C"/>
    <w:rsid w:val="3FB28C1C"/>
    <w:rsid w:val="3FD0C1D9"/>
    <w:rsid w:val="40034499"/>
    <w:rsid w:val="4007A1F0"/>
    <w:rsid w:val="401D406F"/>
    <w:rsid w:val="4073AB51"/>
    <w:rsid w:val="4096A6E4"/>
    <w:rsid w:val="40A43722"/>
    <w:rsid w:val="40A6FF59"/>
    <w:rsid w:val="40A826FA"/>
    <w:rsid w:val="40C22F4A"/>
    <w:rsid w:val="40C4534D"/>
    <w:rsid w:val="40CB8A47"/>
    <w:rsid w:val="40CD6729"/>
    <w:rsid w:val="40D0103D"/>
    <w:rsid w:val="40D74C78"/>
    <w:rsid w:val="40EBE0E5"/>
    <w:rsid w:val="40F3A37B"/>
    <w:rsid w:val="40F57520"/>
    <w:rsid w:val="410A4CD2"/>
    <w:rsid w:val="4123D070"/>
    <w:rsid w:val="4124CEBA"/>
    <w:rsid w:val="4156844A"/>
    <w:rsid w:val="415974E6"/>
    <w:rsid w:val="41648AD2"/>
    <w:rsid w:val="419C373A"/>
    <w:rsid w:val="419EC3D8"/>
    <w:rsid w:val="41A20621"/>
    <w:rsid w:val="41BA22B5"/>
    <w:rsid w:val="41C8ED87"/>
    <w:rsid w:val="41D290DB"/>
    <w:rsid w:val="41E77CAF"/>
    <w:rsid w:val="41FF6BB2"/>
    <w:rsid w:val="420A12FD"/>
    <w:rsid w:val="42568406"/>
    <w:rsid w:val="42614B47"/>
    <w:rsid w:val="42698B25"/>
    <w:rsid w:val="426E2202"/>
    <w:rsid w:val="42850379"/>
    <w:rsid w:val="42BDECC8"/>
    <w:rsid w:val="432FCE06"/>
    <w:rsid w:val="4354B5BD"/>
    <w:rsid w:val="435CF824"/>
    <w:rsid w:val="4368FEBC"/>
    <w:rsid w:val="4392D5C2"/>
    <w:rsid w:val="4397B243"/>
    <w:rsid w:val="43D760B5"/>
    <w:rsid w:val="44048368"/>
    <w:rsid w:val="440E2672"/>
    <w:rsid w:val="44110990"/>
    <w:rsid w:val="442463B6"/>
    <w:rsid w:val="443B4748"/>
    <w:rsid w:val="443CE982"/>
    <w:rsid w:val="44496EAB"/>
    <w:rsid w:val="444FC62C"/>
    <w:rsid w:val="4456C5A5"/>
    <w:rsid w:val="446AC0CB"/>
    <w:rsid w:val="448B30E9"/>
    <w:rsid w:val="44A2B58D"/>
    <w:rsid w:val="44CC1241"/>
    <w:rsid w:val="451839F5"/>
    <w:rsid w:val="453580BD"/>
    <w:rsid w:val="454F4CC0"/>
    <w:rsid w:val="45542D24"/>
    <w:rsid w:val="457D31FA"/>
    <w:rsid w:val="45804B35"/>
    <w:rsid w:val="4584A45F"/>
    <w:rsid w:val="4584BC10"/>
    <w:rsid w:val="458E86F1"/>
    <w:rsid w:val="45BA7D55"/>
    <w:rsid w:val="45D345E1"/>
    <w:rsid w:val="45E87048"/>
    <w:rsid w:val="45F06B40"/>
    <w:rsid w:val="46112F0D"/>
    <w:rsid w:val="46200859"/>
    <w:rsid w:val="463F02A1"/>
    <w:rsid w:val="464ADBDD"/>
    <w:rsid w:val="465A12C6"/>
    <w:rsid w:val="465CBF3E"/>
    <w:rsid w:val="4671CAA3"/>
    <w:rsid w:val="46985015"/>
    <w:rsid w:val="469DFAEE"/>
    <w:rsid w:val="46DB3CA6"/>
    <w:rsid w:val="46E10C34"/>
    <w:rsid w:val="46F78C20"/>
    <w:rsid w:val="46F807EE"/>
    <w:rsid w:val="47220860"/>
    <w:rsid w:val="475ADF6F"/>
    <w:rsid w:val="479266AB"/>
    <w:rsid w:val="47B5FE90"/>
    <w:rsid w:val="4845FFBE"/>
    <w:rsid w:val="484F837D"/>
    <w:rsid w:val="48525577"/>
    <w:rsid w:val="486FCA43"/>
    <w:rsid w:val="488E31E8"/>
    <w:rsid w:val="48A51B64"/>
    <w:rsid w:val="48AE088F"/>
    <w:rsid w:val="48B3EC04"/>
    <w:rsid w:val="48C83C87"/>
    <w:rsid w:val="48C86AD7"/>
    <w:rsid w:val="48D1C475"/>
    <w:rsid w:val="48E87AE1"/>
    <w:rsid w:val="48ECBF3D"/>
    <w:rsid w:val="48F9710F"/>
    <w:rsid w:val="491E7146"/>
    <w:rsid w:val="49388AA9"/>
    <w:rsid w:val="494FE502"/>
    <w:rsid w:val="4959674D"/>
    <w:rsid w:val="4979771E"/>
    <w:rsid w:val="497C3FDB"/>
    <w:rsid w:val="49BE78CC"/>
    <w:rsid w:val="49E701B0"/>
    <w:rsid w:val="4A06D3CA"/>
    <w:rsid w:val="4A1C43CF"/>
    <w:rsid w:val="4A508A70"/>
    <w:rsid w:val="4A7D1C5E"/>
    <w:rsid w:val="4A9ED5F8"/>
    <w:rsid w:val="4AA17C9E"/>
    <w:rsid w:val="4AB45E2A"/>
    <w:rsid w:val="4AC20E82"/>
    <w:rsid w:val="4AD98DF0"/>
    <w:rsid w:val="4AFFE2D4"/>
    <w:rsid w:val="4B045C7E"/>
    <w:rsid w:val="4B20517A"/>
    <w:rsid w:val="4B552BE9"/>
    <w:rsid w:val="4B5EEFCA"/>
    <w:rsid w:val="4B97F7A7"/>
    <w:rsid w:val="4BB68871"/>
    <w:rsid w:val="4BC47AD1"/>
    <w:rsid w:val="4BDA8735"/>
    <w:rsid w:val="4BE7F672"/>
    <w:rsid w:val="4C1779A1"/>
    <w:rsid w:val="4C1C9BE2"/>
    <w:rsid w:val="4C2C198F"/>
    <w:rsid w:val="4C3E9921"/>
    <w:rsid w:val="4C6B5371"/>
    <w:rsid w:val="4C71C350"/>
    <w:rsid w:val="4C740E6C"/>
    <w:rsid w:val="4C7ADDF9"/>
    <w:rsid w:val="4C81D055"/>
    <w:rsid w:val="4C929F0A"/>
    <w:rsid w:val="4C96D9F0"/>
    <w:rsid w:val="4CA71701"/>
    <w:rsid w:val="4CD1515F"/>
    <w:rsid w:val="4CDE29BB"/>
    <w:rsid w:val="4CE88442"/>
    <w:rsid w:val="4D08F43F"/>
    <w:rsid w:val="4D1ED0AC"/>
    <w:rsid w:val="4D22DC20"/>
    <w:rsid w:val="4D75E847"/>
    <w:rsid w:val="4D7F14C6"/>
    <w:rsid w:val="4D929558"/>
    <w:rsid w:val="4D9A66A0"/>
    <w:rsid w:val="4DA09E2E"/>
    <w:rsid w:val="4DA4D136"/>
    <w:rsid w:val="4DA649D7"/>
    <w:rsid w:val="4DCCD1C6"/>
    <w:rsid w:val="4DD8D4A9"/>
    <w:rsid w:val="4E28B820"/>
    <w:rsid w:val="4E59CC50"/>
    <w:rsid w:val="4E5A6DFC"/>
    <w:rsid w:val="4EB880A4"/>
    <w:rsid w:val="4EC30454"/>
    <w:rsid w:val="4F3C7CA9"/>
    <w:rsid w:val="4F3EF6C5"/>
    <w:rsid w:val="4F509CA1"/>
    <w:rsid w:val="4F9446CD"/>
    <w:rsid w:val="4FB48301"/>
    <w:rsid w:val="4FD58A8A"/>
    <w:rsid w:val="4FF8C7A4"/>
    <w:rsid w:val="500B8A93"/>
    <w:rsid w:val="5014DF85"/>
    <w:rsid w:val="502CF3DE"/>
    <w:rsid w:val="505188DF"/>
    <w:rsid w:val="5053D91F"/>
    <w:rsid w:val="50AC9311"/>
    <w:rsid w:val="50BCB92E"/>
    <w:rsid w:val="50D5D926"/>
    <w:rsid w:val="50F01E0D"/>
    <w:rsid w:val="50F4B903"/>
    <w:rsid w:val="5102694C"/>
    <w:rsid w:val="510304BB"/>
    <w:rsid w:val="511CF320"/>
    <w:rsid w:val="512C4646"/>
    <w:rsid w:val="51315D70"/>
    <w:rsid w:val="514A7007"/>
    <w:rsid w:val="51523843"/>
    <w:rsid w:val="51610C18"/>
    <w:rsid w:val="519C5469"/>
    <w:rsid w:val="51BC4C39"/>
    <w:rsid w:val="51CA567B"/>
    <w:rsid w:val="51DDF9C8"/>
    <w:rsid w:val="51EFC9C5"/>
    <w:rsid w:val="51F39A2D"/>
    <w:rsid w:val="52135CA8"/>
    <w:rsid w:val="522870B8"/>
    <w:rsid w:val="524E3BA0"/>
    <w:rsid w:val="526D4E9B"/>
    <w:rsid w:val="527E5AB6"/>
    <w:rsid w:val="527E82EE"/>
    <w:rsid w:val="528BC369"/>
    <w:rsid w:val="529592D0"/>
    <w:rsid w:val="52A88AF4"/>
    <w:rsid w:val="52B55327"/>
    <w:rsid w:val="52CBCDEF"/>
    <w:rsid w:val="52CFA99B"/>
    <w:rsid w:val="52D78444"/>
    <w:rsid w:val="52E6BA6F"/>
    <w:rsid w:val="52F45C82"/>
    <w:rsid w:val="52F683CB"/>
    <w:rsid w:val="531AFFAB"/>
    <w:rsid w:val="53358D1F"/>
    <w:rsid w:val="536D943C"/>
    <w:rsid w:val="537F1F76"/>
    <w:rsid w:val="53A822E1"/>
    <w:rsid w:val="53BECDDF"/>
    <w:rsid w:val="53CA8453"/>
    <w:rsid w:val="53D53024"/>
    <w:rsid w:val="53E8B342"/>
    <w:rsid w:val="540AB0D3"/>
    <w:rsid w:val="540BDEF3"/>
    <w:rsid w:val="5413D393"/>
    <w:rsid w:val="5423659E"/>
    <w:rsid w:val="542B3740"/>
    <w:rsid w:val="5436D5D3"/>
    <w:rsid w:val="5437A072"/>
    <w:rsid w:val="543B5BB3"/>
    <w:rsid w:val="544A6FAC"/>
    <w:rsid w:val="5466C486"/>
    <w:rsid w:val="546E1235"/>
    <w:rsid w:val="546F7AEC"/>
    <w:rsid w:val="5484CAA3"/>
    <w:rsid w:val="5494007F"/>
    <w:rsid w:val="549B4210"/>
    <w:rsid w:val="54B3D67B"/>
    <w:rsid w:val="54B95627"/>
    <w:rsid w:val="54D95AB7"/>
    <w:rsid w:val="54EEDF68"/>
    <w:rsid w:val="54F9B7C6"/>
    <w:rsid w:val="54FB85A8"/>
    <w:rsid w:val="554F896B"/>
    <w:rsid w:val="555FA72D"/>
    <w:rsid w:val="5578A404"/>
    <w:rsid w:val="5580F08B"/>
    <w:rsid w:val="55A55B00"/>
    <w:rsid w:val="55B7CD32"/>
    <w:rsid w:val="55D7C114"/>
    <w:rsid w:val="55E38675"/>
    <w:rsid w:val="56475FDC"/>
    <w:rsid w:val="56620B9B"/>
    <w:rsid w:val="566E4B9B"/>
    <w:rsid w:val="5691ED2C"/>
    <w:rsid w:val="56C50D62"/>
    <w:rsid w:val="56D8CE7D"/>
    <w:rsid w:val="56DD57F7"/>
    <w:rsid w:val="56FC9CC7"/>
    <w:rsid w:val="570B4D9B"/>
    <w:rsid w:val="57194D44"/>
    <w:rsid w:val="57377B31"/>
    <w:rsid w:val="5740D3D9"/>
    <w:rsid w:val="57560F0D"/>
    <w:rsid w:val="575C8A24"/>
    <w:rsid w:val="577EC22A"/>
    <w:rsid w:val="57963663"/>
    <w:rsid w:val="579DA443"/>
    <w:rsid w:val="57B40DC5"/>
    <w:rsid w:val="57BA91A6"/>
    <w:rsid w:val="57C95FDF"/>
    <w:rsid w:val="57CEC92F"/>
    <w:rsid w:val="57DBC4D8"/>
    <w:rsid w:val="57F3FCE2"/>
    <w:rsid w:val="5877CC27"/>
    <w:rsid w:val="58905A23"/>
    <w:rsid w:val="58A49D34"/>
    <w:rsid w:val="58C3933D"/>
    <w:rsid w:val="58D2DC9B"/>
    <w:rsid w:val="58E0B947"/>
    <w:rsid w:val="59088F5A"/>
    <w:rsid w:val="5911CC43"/>
    <w:rsid w:val="5919116D"/>
    <w:rsid w:val="591C7802"/>
    <w:rsid w:val="591F0256"/>
    <w:rsid w:val="59334FF2"/>
    <w:rsid w:val="593FBE7D"/>
    <w:rsid w:val="594ECB53"/>
    <w:rsid w:val="595D0CE3"/>
    <w:rsid w:val="597B46F7"/>
    <w:rsid w:val="59A45474"/>
    <w:rsid w:val="59B01FB3"/>
    <w:rsid w:val="59DC437D"/>
    <w:rsid w:val="59EF23DC"/>
    <w:rsid w:val="5A00C60B"/>
    <w:rsid w:val="5A3E24B4"/>
    <w:rsid w:val="5A42299D"/>
    <w:rsid w:val="5A5F8897"/>
    <w:rsid w:val="5A9457F9"/>
    <w:rsid w:val="5AA435AF"/>
    <w:rsid w:val="5AAB293B"/>
    <w:rsid w:val="5AAD3584"/>
    <w:rsid w:val="5ACCCF02"/>
    <w:rsid w:val="5ACE964B"/>
    <w:rsid w:val="5AD61E42"/>
    <w:rsid w:val="5B0CDE1A"/>
    <w:rsid w:val="5B29561F"/>
    <w:rsid w:val="5B310940"/>
    <w:rsid w:val="5B524187"/>
    <w:rsid w:val="5B538570"/>
    <w:rsid w:val="5BBC4C89"/>
    <w:rsid w:val="5BC1FFFE"/>
    <w:rsid w:val="5BCA4CDC"/>
    <w:rsid w:val="5BD41ECF"/>
    <w:rsid w:val="5BE7881C"/>
    <w:rsid w:val="5BFBEED8"/>
    <w:rsid w:val="5C3276FE"/>
    <w:rsid w:val="5C757EC8"/>
    <w:rsid w:val="5C787841"/>
    <w:rsid w:val="5C812A8D"/>
    <w:rsid w:val="5C8B2876"/>
    <w:rsid w:val="5C90BF09"/>
    <w:rsid w:val="5CE00253"/>
    <w:rsid w:val="5CE66C70"/>
    <w:rsid w:val="5CE6F313"/>
    <w:rsid w:val="5CEC9772"/>
    <w:rsid w:val="5D057B82"/>
    <w:rsid w:val="5D168051"/>
    <w:rsid w:val="5D3DDE41"/>
    <w:rsid w:val="5D5E8DA6"/>
    <w:rsid w:val="5D8683E4"/>
    <w:rsid w:val="5DA7F206"/>
    <w:rsid w:val="5DAACF38"/>
    <w:rsid w:val="5DCCEF7A"/>
    <w:rsid w:val="5DFEC851"/>
    <w:rsid w:val="5E05BE77"/>
    <w:rsid w:val="5E0C3A7D"/>
    <w:rsid w:val="5E0C5110"/>
    <w:rsid w:val="5E1CB10A"/>
    <w:rsid w:val="5E34B0B0"/>
    <w:rsid w:val="5E44E2BB"/>
    <w:rsid w:val="5E5070C2"/>
    <w:rsid w:val="5E8645B3"/>
    <w:rsid w:val="5E980A38"/>
    <w:rsid w:val="5EB391BE"/>
    <w:rsid w:val="5ECFADBB"/>
    <w:rsid w:val="5EDB2575"/>
    <w:rsid w:val="5EE15FAD"/>
    <w:rsid w:val="5EE80A9C"/>
    <w:rsid w:val="5EFC3E5A"/>
    <w:rsid w:val="5F0A7887"/>
    <w:rsid w:val="5F179EB4"/>
    <w:rsid w:val="5F264B05"/>
    <w:rsid w:val="5F36E3BD"/>
    <w:rsid w:val="5F3B4B28"/>
    <w:rsid w:val="5F3FB1BA"/>
    <w:rsid w:val="5F4B68FD"/>
    <w:rsid w:val="5F51D749"/>
    <w:rsid w:val="5F5EE2EE"/>
    <w:rsid w:val="5F9C8F53"/>
    <w:rsid w:val="5FA6E5E4"/>
    <w:rsid w:val="5FAAD22C"/>
    <w:rsid w:val="5FE2416A"/>
    <w:rsid w:val="5FE6E854"/>
    <w:rsid w:val="5FE8C1BC"/>
    <w:rsid w:val="6017EF23"/>
    <w:rsid w:val="603EF1A7"/>
    <w:rsid w:val="60415239"/>
    <w:rsid w:val="60799DEF"/>
    <w:rsid w:val="609954D8"/>
    <w:rsid w:val="609EBB7A"/>
    <w:rsid w:val="60E6F556"/>
    <w:rsid w:val="60ED8D2A"/>
    <w:rsid w:val="611AF971"/>
    <w:rsid w:val="61819947"/>
    <w:rsid w:val="61908C88"/>
    <w:rsid w:val="6197C294"/>
    <w:rsid w:val="619DDA38"/>
    <w:rsid w:val="61B7EB77"/>
    <w:rsid w:val="61C31719"/>
    <w:rsid w:val="61E294A8"/>
    <w:rsid w:val="61E6A017"/>
    <w:rsid w:val="61F25F63"/>
    <w:rsid w:val="620F77D1"/>
    <w:rsid w:val="6219C4EE"/>
    <w:rsid w:val="623359A1"/>
    <w:rsid w:val="624F311F"/>
    <w:rsid w:val="625BFF0D"/>
    <w:rsid w:val="625DA969"/>
    <w:rsid w:val="626AE411"/>
    <w:rsid w:val="626DCB9A"/>
    <w:rsid w:val="628C392D"/>
    <w:rsid w:val="628E43C5"/>
    <w:rsid w:val="62967BD5"/>
    <w:rsid w:val="62A545A9"/>
    <w:rsid w:val="62B358CD"/>
    <w:rsid w:val="62BD1F5A"/>
    <w:rsid w:val="62BE42D7"/>
    <w:rsid w:val="62FD0816"/>
    <w:rsid w:val="63026532"/>
    <w:rsid w:val="633BB8A2"/>
    <w:rsid w:val="6342E7B8"/>
    <w:rsid w:val="634EDB41"/>
    <w:rsid w:val="6359CB1C"/>
    <w:rsid w:val="63735117"/>
    <w:rsid w:val="638B789A"/>
    <w:rsid w:val="63A11169"/>
    <w:rsid w:val="63A11AC2"/>
    <w:rsid w:val="63BAB382"/>
    <w:rsid w:val="63C2F36D"/>
    <w:rsid w:val="63CBC031"/>
    <w:rsid w:val="6415F026"/>
    <w:rsid w:val="6435AAFA"/>
    <w:rsid w:val="643AF540"/>
    <w:rsid w:val="6450CED9"/>
    <w:rsid w:val="645E73D9"/>
    <w:rsid w:val="6489E0AB"/>
    <w:rsid w:val="64939931"/>
    <w:rsid w:val="649C7C2D"/>
    <w:rsid w:val="64A29A6E"/>
    <w:rsid w:val="64D829DA"/>
    <w:rsid w:val="64E24EFB"/>
    <w:rsid w:val="6527469D"/>
    <w:rsid w:val="652754CA"/>
    <w:rsid w:val="653F51F8"/>
    <w:rsid w:val="65B7576A"/>
    <w:rsid w:val="65C92E96"/>
    <w:rsid w:val="65CFA258"/>
    <w:rsid w:val="65F29267"/>
    <w:rsid w:val="66100889"/>
    <w:rsid w:val="661C1E7D"/>
    <w:rsid w:val="66243D86"/>
    <w:rsid w:val="66358973"/>
    <w:rsid w:val="66369D50"/>
    <w:rsid w:val="66484B29"/>
    <w:rsid w:val="6661E2AD"/>
    <w:rsid w:val="6674C495"/>
    <w:rsid w:val="667A5DB0"/>
    <w:rsid w:val="6686C153"/>
    <w:rsid w:val="669307E8"/>
    <w:rsid w:val="66B12C93"/>
    <w:rsid w:val="66B46B10"/>
    <w:rsid w:val="66F11CD0"/>
    <w:rsid w:val="6720B50D"/>
    <w:rsid w:val="672D8597"/>
    <w:rsid w:val="67836A13"/>
    <w:rsid w:val="6784D538"/>
    <w:rsid w:val="67914DFA"/>
    <w:rsid w:val="67F9EF80"/>
    <w:rsid w:val="680A8CCC"/>
    <w:rsid w:val="682077EE"/>
    <w:rsid w:val="682AC2EF"/>
    <w:rsid w:val="683E4A04"/>
    <w:rsid w:val="685227E3"/>
    <w:rsid w:val="68750629"/>
    <w:rsid w:val="68843FB9"/>
    <w:rsid w:val="688F2AF8"/>
    <w:rsid w:val="68AE3128"/>
    <w:rsid w:val="68C6E2AB"/>
    <w:rsid w:val="68D0A68D"/>
    <w:rsid w:val="68D69A70"/>
    <w:rsid w:val="68EB4494"/>
    <w:rsid w:val="68FA4090"/>
    <w:rsid w:val="692513D8"/>
    <w:rsid w:val="695B3BE5"/>
    <w:rsid w:val="695DADBE"/>
    <w:rsid w:val="696C0A1B"/>
    <w:rsid w:val="699452F8"/>
    <w:rsid w:val="699D84DE"/>
    <w:rsid w:val="69D9AE8A"/>
    <w:rsid w:val="69EBD056"/>
    <w:rsid w:val="6A0C3214"/>
    <w:rsid w:val="6A2FD75E"/>
    <w:rsid w:val="6A757175"/>
    <w:rsid w:val="6A7C74D6"/>
    <w:rsid w:val="6A800042"/>
    <w:rsid w:val="6A8495B7"/>
    <w:rsid w:val="6AADE951"/>
    <w:rsid w:val="6ABABC11"/>
    <w:rsid w:val="6AFBF37A"/>
    <w:rsid w:val="6B07C48F"/>
    <w:rsid w:val="6B1125C2"/>
    <w:rsid w:val="6B507533"/>
    <w:rsid w:val="6B6AC360"/>
    <w:rsid w:val="6B82D1A7"/>
    <w:rsid w:val="6BB02CDD"/>
    <w:rsid w:val="6BF4BDC3"/>
    <w:rsid w:val="6BFA9B34"/>
    <w:rsid w:val="6BFE4A59"/>
    <w:rsid w:val="6BFFD9CF"/>
    <w:rsid w:val="6C04E65E"/>
    <w:rsid w:val="6C3391DB"/>
    <w:rsid w:val="6C4BEC00"/>
    <w:rsid w:val="6C759BC4"/>
    <w:rsid w:val="6CDB1E3C"/>
    <w:rsid w:val="6CF30430"/>
    <w:rsid w:val="6CF4FE98"/>
    <w:rsid w:val="6D068CE8"/>
    <w:rsid w:val="6D1B69FC"/>
    <w:rsid w:val="6D1C9E11"/>
    <w:rsid w:val="6D485B06"/>
    <w:rsid w:val="6D49610C"/>
    <w:rsid w:val="6D4ED6DB"/>
    <w:rsid w:val="6D513ACB"/>
    <w:rsid w:val="6D92DD83"/>
    <w:rsid w:val="6DBF0B37"/>
    <w:rsid w:val="6DD519EE"/>
    <w:rsid w:val="6DE714A2"/>
    <w:rsid w:val="6E0298EA"/>
    <w:rsid w:val="6E0E8881"/>
    <w:rsid w:val="6E207286"/>
    <w:rsid w:val="6E2395A0"/>
    <w:rsid w:val="6E3408DD"/>
    <w:rsid w:val="6E43EAA9"/>
    <w:rsid w:val="6E5AE4FF"/>
    <w:rsid w:val="6E8CEF41"/>
    <w:rsid w:val="6E9E39EC"/>
    <w:rsid w:val="6EA344BF"/>
    <w:rsid w:val="6EAD73B7"/>
    <w:rsid w:val="6EBD5B34"/>
    <w:rsid w:val="6ECA44E3"/>
    <w:rsid w:val="6F6672D3"/>
    <w:rsid w:val="6F759787"/>
    <w:rsid w:val="6FC908AE"/>
    <w:rsid w:val="6FE3B71B"/>
    <w:rsid w:val="6FE86A44"/>
    <w:rsid w:val="6FFBE364"/>
    <w:rsid w:val="7024FB94"/>
    <w:rsid w:val="70354818"/>
    <w:rsid w:val="7035FC70"/>
    <w:rsid w:val="70695094"/>
    <w:rsid w:val="707A3828"/>
    <w:rsid w:val="708D9E08"/>
    <w:rsid w:val="708EA4C3"/>
    <w:rsid w:val="70A41AC5"/>
    <w:rsid w:val="70BCF1A9"/>
    <w:rsid w:val="70C39B43"/>
    <w:rsid w:val="70C3AB61"/>
    <w:rsid w:val="70DA8106"/>
    <w:rsid w:val="70E587FA"/>
    <w:rsid w:val="70FC9CD4"/>
    <w:rsid w:val="7107663C"/>
    <w:rsid w:val="710E4A3B"/>
    <w:rsid w:val="71195F59"/>
    <w:rsid w:val="7126A4E5"/>
    <w:rsid w:val="714BB0D1"/>
    <w:rsid w:val="716EF5D1"/>
    <w:rsid w:val="7173F54C"/>
    <w:rsid w:val="717DA40D"/>
    <w:rsid w:val="71811554"/>
    <w:rsid w:val="719ED73D"/>
    <w:rsid w:val="71A39278"/>
    <w:rsid w:val="71B89F5D"/>
    <w:rsid w:val="71C786D5"/>
    <w:rsid w:val="71FEDE67"/>
    <w:rsid w:val="72014995"/>
    <w:rsid w:val="72032570"/>
    <w:rsid w:val="7208F57B"/>
    <w:rsid w:val="720CFA31"/>
    <w:rsid w:val="7214515D"/>
    <w:rsid w:val="7221FBF1"/>
    <w:rsid w:val="722D4501"/>
    <w:rsid w:val="72319B44"/>
    <w:rsid w:val="725C55E9"/>
    <w:rsid w:val="726D6CFB"/>
    <w:rsid w:val="7286E7F1"/>
    <w:rsid w:val="728FC2CB"/>
    <w:rsid w:val="729ED9E9"/>
    <w:rsid w:val="72CAC13A"/>
    <w:rsid w:val="72E812E5"/>
    <w:rsid w:val="72F7C459"/>
    <w:rsid w:val="72F82886"/>
    <w:rsid w:val="730A8960"/>
    <w:rsid w:val="731BF8B4"/>
    <w:rsid w:val="73450E0F"/>
    <w:rsid w:val="736A7683"/>
    <w:rsid w:val="73A5C5FB"/>
    <w:rsid w:val="73B8F029"/>
    <w:rsid w:val="73C75B17"/>
    <w:rsid w:val="7423EC05"/>
    <w:rsid w:val="745607CA"/>
    <w:rsid w:val="74773050"/>
    <w:rsid w:val="7487042A"/>
    <w:rsid w:val="74CF4FB4"/>
    <w:rsid w:val="74D1FF06"/>
    <w:rsid w:val="74D59FC1"/>
    <w:rsid w:val="74DD19FB"/>
    <w:rsid w:val="74E4D469"/>
    <w:rsid w:val="751402E7"/>
    <w:rsid w:val="751574F9"/>
    <w:rsid w:val="75274755"/>
    <w:rsid w:val="756553A9"/>
    <w:rsid w:val="75B9E370"/>
    <w:rsid w:val="75E72BE4"/>
    <w:rsid w:val="75E86B8F"/>
    <w:rsid w:val="75ED2867"/>
    <w:rsid w:val="75FDBF73"/>
    <w:rsid w:val="7612652E"/>
    <w:rsid w:val="761832DA"/>
    <w:rsid w:val="7629CA48"/>
    <w:rsid w:val="76364EB2"/>
    <w:rsid w:val="764C0B85"/>
    <w:rsid w:val="76630DC7"/>
    <w:rsid w:val="766FB296"/>
    <w:rsid w:val="767BBCC0"/>
    <w:rsid w:val="768B9899"/>
    <w:rsid w:val="7690B754"/>
    <w:rsid w:val="76A3E667"/>
    <w:rsid w:val="76BD67ED"/>
    <w:rsid w:val="76C921FC"/>
    <w:rsid w:val="76DBA94D"/>
    <w:rsid w:val="76F5B6E6"/>
    <w:rsid w:val="7707FDEB"/>
    <w:rsid w:val="7723FB0F"/>
    <w:rsid w:val="7788D44F"/>
    <w:rsid w:val="77CF440D"/>
    <w:rsid w:val="77D5A960"/>
    <w:rsid w:val="77E4F972"/>
    <w:rsid w:val="77F123CC"/>
    <w:rsid w:val="78382AA3"/>
    <w:rsid w:val="783E41E0"/>
    <w:rsid w:val="7843C6E5"/>
    <w:rsid w:val="78575E68"/>
    <w:rsid w:val="788ADC3C"/>
    <w:rsid w:val="78AB2550"/>
    <w:rsid w:val="78BB556B"/>
    <w:rsid w:val="78CF4207"/>
    <w:rsid w:val="78E67CD8"/>
    <w:rsid w:val="78E6D505"/>
    <w:rsid w:val="790F0A2E"/>
    <w:rsid w:val="791DA19A"/>
    <w:rsid w:val="7922F93C"/>
    <w:rsid w:val="7929D401"/>
    <w:rsid w:val="79A687C1"/>
    <w:rsid w:val="79B57D0C"/>
    <w:rsid w:val="79EE76B5"/>
    <w:rsid w:val="79FD491C"/>
    <w:rsid w:val="79FF024C"/>
    <w:rsid w:val="7A0B047F"/>
    <w:rsid w:val="7A2A9C5B"/>
    <w:rsid w:val="7A467CBD"/>
    <w:rsid w:val="7A47ADF9"/>
    <w:rsid w:val="7AC5B9DB"/>
    <w:rsid w:val="7AD128B0"/>
    <w:rsid w:val="7ADC7B5C"/>
    <w:rsid w:val="7AE7A86B"/>
    <w:rsid w:val="7AF71493"/>
    <w:rsid w:val="7AFB5770"/>
    <w:rsid w:val="7B295B60"/>
    <w:rsid w:val="7B436A04"/>
    <w:rsid w:val="7B54C0F3"/>
    <w:rsid w:val="7B70FA8E"/>
    <w:rsid w:val="7B8BCF69"/>
    <w:rsid w:val="7B8D5666"/>
    <w:rsid w:val="7BAC357B"/>
    <w:rsid w:val="7BEB8953"/>
    <w:rsid w:val="7C1263F5"/>
    <w:rsid w:val="7C1E8BBB"/>
    <w:rsid w:val="7C32A8EF"/>
    <w:rsid w:val="7CB8B373"/>
    <w:rsid w:val="7CC1BACC"/>
    <w:rsid w:val="7CCC3340"/>
    <w:rsid w:val="7CD33BB5"/>
    <w:rsid w:val="7CD935FC"/>
    <w:rsid w:val="7CD9A1E1"/>
    <w:rsid w:val="7CFA60BC"/>
    <w:rsid w:val="7D169DFF"/>
    <w:rsid w:val="7D486BAE"/>
    <w:rsid w:val="7D7BE0EC"/>
    <w:rsid w:val="7D870F73"/>
    <w:rsid w:val="7DB2F0C6"/>
    <w:rsid w:val="7E1F7936"/>
    <w:rsid w:val="7E324E02"/>
    <w:rsid w:val="7E5D217A"/>
    <w:rsid w:val="7E63EF10"/>
    <w:rsid w:val="7E6849E6"/>
    <w:rsid w:val="7EAC0627"/>
    <w:rsid w:val="7F09E8DD"/>
    <w:rsid w:val="7F194E2E"/>
    <w:rsid w:val="7F1A85F8"/>
    <w:rsid w:val="7F1B93C4"/>
    <w:rsid w:val="7F44F2C9"/>
    <w:rsid w:val="7F51C19A"/>
    <w:rsid w:val="7FADF327"/>
    <w:rsid w:val="7FB1EF69"/>
    <w:rsid w:val="7FC12BFD"/>
    <w:rsid w:val="7FD83814"/>
    <w:rsid w:val="7FE142C9"/>
    <w:rsid w:val="7FE869B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7EB2CB"/>
  <w15:chartTrackingRefBased/>
  <w15:docId w15:val="{C97CEF99-D0A1-4997-A986-A5FDC4355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658A"/>
    <w:pPr>
      <w:spacing w:after="200" w:line="276" w:lineRule="auto"/>
    </w:pPr>
    <w:rPr>
      <w:rFonts w:ascii="Calibri" w:eastAsia="Calibri" w:hAnsi="Calibri" w:cs="Myanmar Text"/>
      <w:kern w:val="0"/>
    </w:rPr>
  </w:style>
  <w:style w:type="paragraph" w:styleId="Heading1">
    <w:name w:val="heading 1"/>
    <w:basedOn w:val="Normal"/>
    <w:next w:val="Normal"/>
    <w:link w:val="Heading1Char"/>
    <w:uiPriority w:val="9"/>
    <w:qFormat/>
    <w:rsid w:val="00620A4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620A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620A46"/>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620A46"/>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unhideWhenUsed/>
    <w:qFormat/>
    <w:rsid w:val="00620A46"/>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20A4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0A4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0A4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0A4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Heading1Char">
    <w:name w:val="Heading 1 Char"/>
    <w:basedOn w:val="DefaultParagraphFont"/>
    <w:link w:val="Heading1"/>
    <w:uiPriority w:val="9"/>
    <w:rsid w:val="00620A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620A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620A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620A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00620A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20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A46"/>
    <w:rPr>
      <w:rFonts w:eastAsiaTheme="majorEastAsia" w:cstheme="majorBidi"/>
      <w:color w:val="272727" w:themeColor="text1" w:themeTint="D8"/>
    </w:rPr>
  </w:style>
  <w:style w:type="paragraph" w:styleId="Title">
    <w:name w:val="Title"/>
    <w:basedOn w:val="Normal"/>
    <w:next w:val="Normal"/>
    <w:link w:val="TitleChar"/>
    <w:uiPriority w:val="10"/>
    <w:qFormat/>
    <w:rsid w:val="00620A4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0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A4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0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A4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20A46"/>
    <w:rPr>
      <w:rFonts w:ascii="Calibri" w:hAnsi="Calibri" w:cs="Calibri"/>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620A46"/>
    <w:pPr>
      <w:ind w:left="720"/>
      <w:contextualSpacing/>
    </w:pPr>
  </w:style>
  <w:style w:type="character" w:styleId="IntenseEmphasis">
    <w:name w:val="Intense Emphasis"/>
    <w:basedOn w:val="DefaultParagraphFont"/>
    <w:uiPriority w:val="21"/>
    <w:qFormat/>
    <w:rsid w:val="00620A46"/>
    <w:rPr>
      <w:i/>
      <w:iCs/>
      <w:color w:val="365F91" w:themeColor="accent1" w:themeShade="BF"/>
    </w:rPr>
  </w:style>
  <w:style w:type="paragraph" w:styleId="IntenseQuote">
    <w:name w:val="Intense Quote"/>
    <w:basedOn w:val="Normal"/>
    <w:next w:val="Normal"/>
    <w:link w:val="IntenseQuoteChar"/>
    <w:uiPriority w:val="30"/>
    <w:qFormat/>
    <w:rsid w:val="00620A4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20A46"/>
    <w:rPr>
      <w:rFonts w:ascii="Calibri" w:hAnsi="Calibri" w:cs="Calibri"/>
      <w:i/>
      <w:iCs/>
      <w:color w:val="365F91" w:themeColor="accent1" w:themeShade="BF"/>
    </w:rPr>
  </w:style>
  <w:style w:type="character" w:styleId="IntenseReference">
    <w:name w:val="Intense Reference"/>
    <w:basedOn w:val="DefaultParagraphFont"/>
    <w:uiPriority w:val="32"/>
    <w:qFormat/>
    <w:rsid w:val="00620A46"/>
    <w:rPr>
      <w:b/>
      <w:bCs/>
      <w:smallCaps/>
      <w:color w:val="365F91" w:themeColor="accent1" w:themeShade="BF"/>
      <w:spacing w:val="5"/>
    </w:rPr>
  </w:style>
  <w:style w:type="paragraph" w:styleId="Header">
    <w:name w:val="header"/>
    <w:basedOn w:val="Normal"/>
    <w:link w:val="HeaderChar"/>
    <w:uiPriority w:val="99"/>
    <w:unhideWhenUsed/>
    <w:rsid w:val="00620A46"/>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620A46"/>
    <w:rPr>
      <w:rFonts w:ascii="Times New Roman" w:eastAsia="Calibri" w:hAnsi="Times New Roman" w:cs="Times New Roman"/>
      <w:kern w:val="0"/>
      <w:sz w:val="24"/>
      <w:lang w:val="de-DE"/>
    </w:rPr>
  </w:style>
  <w:style w:type="paragraph" w:styleId="Footer">
    <w:name w:val="footer"/>
    <w:basedOn w:val="Normal"/>
    <w:link w:val="FooterChar"/>
    <w:uiPriority w:val="99"/>
    <w:unhideWhenUsed/>
    <w:rsid w:val="00620A4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620A46"/>
    <w:rPr>
      <w:rFonts w:ascii="Times New Roman" w:eastAsia="Calibri" w:hAnsi="Times New Roman" w:cs="Times New Roman"/>
      <w:kern w:val="0"/>
      <w:sz w:val="24"/>
      <w:lang w:val="de-DE"/>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620A46"/>
    <w:rPr>
      <w:rFonts w:ascii="Calibri" w:hAnsi="Calibri" w:cs="Calibri"/>
    </w:rPr>
  </w:style>
  <w:style w:type="paragraph" w:customStyle="1" w:styleId="HeaderCouncilLarge">
    <w:name w:val="Header Council Large"/>
    <w:basedOn w:val="Normal"/>
    <w:link w:val="HeaderCouncilLargeChar"/>
    <w:rsid w:val="00620A46"/>
    <w:pPr>
      <w:spacing w:after="440"/>
    </w:pPr>
    <w:rPr>
      <w:rFonts w:ascii="Times New Roman" w:hAnsi="Times New Roman"/>
      <w:sz w:val="2"/>
    </w:rPr>
  </w:style>
  <w:style w:type="character" w:customStyle="1" w:styleId="HeaderCouncilLargeChar">
    <w:name w:val="Header Council Large Char"/>
    <w:basedOn w:val="DefaultParagraphFont"/>
    <w:link w:val="HeaderCouncilLarge"/>
    <w:rsid w:val="00620A46"/>
    <w:rPr>
      <w:rFonts w:ascii="Calibri" w:eastAsia="Calibri" w:hAnsi="Calibri" w:cs="Myanmar Text"/>
      <w:noProof/>
      <w:kern w:val="0"/>
      <w:sz w:val="2"/>
      <w:lang w:val="de-DE"/>
    </w:rPr>
  </w:style>
  <w:style w:type="paragraph" w:customStyle="1" w:styleId="FooterCouncil">
    <w:name w:val="Footer Council"/>
    <w:basedOn w:val="Normal"/>
    <w:link w:val="FooterCouncilChar"/>
    <w:rsid w:val="00620A46"/>
    <w:pPr>
      <w:spacing w:after="0"/>
    </w:pPr>
    <w:rPr>
      <w:rFonts w:ascii="Times New Roman" w:hAnsi="Times New Roman"/>
      <w:sz w:val="2"/>
    </w:rPr>
  </w:style>
  <w:style w:type="character" w:customStyle="1" w:styleId="FooterCouncilChar">
    <w:name w:val="Footer Council Char"/>
    <w:basedOn w:val="DefaultParagraphFont"/>
    <w:link w:val="FooterCouncil"/>
    <w:rsid w:val="00620A46"/>
    <w:rPr>
      <w:rFonts w:ascii="Calibri" w:eastAsia="Calibri" w:hAnsi="Calibri" w:cs="Myanmar Text"/>
      <w:noProof/>
      <w:kern w:val="0"/>
      <w:sz w:val="2"/>
      <w:lang w:val="de-DE"/>
    </w:rPr>
  </w:style>
  <w:style w:type="paragraph" w:styleId="Revision">
    <w:name w:val="Revision"/>
    <w:hidden/>
    <w:uiPriority w:val="99"/>
    <w:semiHidden/>
    <w:rsid w:val="00184BFD"/>
    <w:rPr>
      <w:rFonts w:ascii="Calibri" w:eastAsia="Calibri" w:hAnsi="Calibri" w:cs="Myanmar Text"/>
      <w:kern w:val="0"/>
      <w:lang w:val="de-DE"/>
    </w:rPr>
  </w:style>
  <w:style w:type="character" w:styleId="CommentReference">
    <w:name w:val="annotation reference"/>
    <w:basedOn w:val="DefaultParagraphFont"/>
    <w:uiPriority w:val="99"/>
    <w:unhideWhenUsed/>
    <w:rsid w:val="00717D82"/>
    <w:rPr>
      <w:sz w:val="16"/>
      <w:szCs w:val="16"/>
    </w:rPr>
  </w:style>
  <w:style w:type="paragraph" w:styleId="CommentText">
    <w:name w:val="annotation text"/>
    <w:basedOn w:val="Normal"/>
    <w:link w:val="CommentTextChar"/>
    <w:uiPriority w:val="99"/>
    <w:unhideWhenUsed/>
    <w:rsid w:val="00717D82"/>
    <w:pPr>
      <w:spacing w:line="240" w:lineRule="auto"/>
    </w:pPr>
    <w:rPr>
      <w:sz w:val="20"/>
      <w:szCs w:val="20"/>
    </w:rPr>
  </w:style>
  <w:style w:type="character" w:customStyle="1" w:styleId="CommentTextChar">
    <w:name w:val="Comment Text Char"/>
    <w:basedOn w:val="DefaultParagraphFont"/>
    <w:link w:val="CommentText"/>
    <w:uiPriority w:val="99"/>
    <w:rsid w:val="00717D82"/>
    <w:rPr>
      <w:rFonts w:ascii="Calibri" w:eastAsia="Calibri" w:hAnsi="Calibri" w:cs="Myanmar Text"/>
      <w:kern w:val="0"/>
      <w:sz w:val="20"/>
      <w:szCs w:val="20"/>
      <w:lang w:val="de-DE"/>
    </w:rPr>
  </w:style>
  <w:style w:type="paragraph" w:styleId="CommentSubject">
    <w:name w:val="annotation subject"/>
    <w:basedOn w:val="CommentText"/>
    <w:next w:val="CommentText"/>
    <w:link w:val="CommentSubjectChar"/>
    <w:uiPriority w:val="99"/>
    <w:semiHidden/>
    <w:unhideWhenUsed/>
    <w:rsid w:val="00717D82"/>
    <w:rPr>
      <w:b/>
      <w:bCs/>
    </w:rPr>
  </w:style>
  <w:style w:type="character" w:customStyle="1" w:styleId="CommentSubjectChar">
    <w:name w:val="Comment Subject Char"/>
    <w:basedOn w:val="CommentTextChar"/>
    <w:link w:val="CommentSubject"/>
    <w:uiPriority w:val="99"/>
    <w:semiHidden/>
    <w:rsid w:val="00717D82"/>
    <w:rPr>
      <w:rFonts w:ascii="Calibri" w:eastAsia="Calibri" w:hAnsi="Calibri" w:cs="Myanmar Text"/>
      <w:b/>
      <w:bCs/>
      <w:kern w:val="0"/>
      <w:sz w:val="20"/>
      <w:szCs w:val="20"/>
      <w:lang w:val="de-DE"/>
    </w:rPr>
  </w:style>
  <w:style w:type="character" w:customStyle="1" w:styleId="Mention1">
    <w:name w:val="Mention1"/>
    <w:basedOn w:val="DefaultParagraphFont"/>
    <w:uiPriority w:val="99"/>
    <w:unhideWhenUsed/>
    <w:rsid w:val="00CD745B"/>
    <w:rPr>
      <w:color w:val="2B579A"/>
      <w:shd w:val="clear" w:color="auto" w:fill="E1DFDD"/>
    </w:rPr>
  </w:style>
  <w:style w:type="character" w:styleId="Hyperlink">
    <w:name w:val="Hyperlink"/>
    <w:basedOn w:val="DefaultParagraphFont"/>
    <w:uiPriority w:val="99"/>
    <w:unhideWhenUsed/>
    <w:rsid w:val="0090177B"/>
    <w:rPr>
      <w:color w:val="0000FF" w:themeColor="hyperlink"/>
      <w:u w:val="single"/>
    </w:rPr>
  </w:style>
  <w:style w:type="character" w:customStyle="1" w:styleId="UnresolvedMention1">
    <w:name w:val="Unresolved Mention1"/>
    <w:basedOn w:val="DefaultParagraphFont"/>
    <w:uiPriority w:val="99"/>
    <w:semiHidden/>
    <w:unhideWhenUsed/>
    <w:rsid w:val="0090177B"/>
    <w:rPr>
      <w:color w:val="605E5C"/>
      <w:shd w:val="clear" w:color="auto" w:fill="E1DFDD"/>
    </w:rPr>
  </w:style>
  <w:style w:type="paragraph" w:styleId="FootnoteText">
    <w:name w:val="footnote text"/>
    <w:basedOn w:val="Normal"/>
    <w:link w:val="FootnoteTextChar"/>
    <w:uiPriority w:val="99"/>
    <w:unhideWhenUsed/>
    <w:rsid w:val="00315FC0"/>
    <w:pPr>
      <w:spacing w:after="0" w:line="240" w:lineRule="auto"/>
      <w:ind w:left="720" w:hanging="720"/>
      <w:jc w:val="both"/>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sid w:val="00315FC0"/>
    <w:rPr>
      <w:rFonts w:ascii="Times New Roman" w:eastAsia="Calibri" w:hAnsi="Times New Roman" w:cs="Times New Roman"/>
      <w:kern w:val="0"/>
      <w:sz w:val="20"/>
      <w:szCs w:val="20"/>
      <w:lang w:val="de-DE"/>
    </w:rPr>
  </w:style>
  <w:style w:type="character" w:styleId="FootnoteReference">
    <w:name w:val="footnote reference"/>
    <w:uiPriority w:val="99"/>
    <w:unhideWhenUsed/>
    <w:rsid w:val="00315FC0"/>
    <w:rPr>
      <w:shd w:val="clear" w:color="auto" w:fill="auto"/>
      <w:vertAlign w:val="superscript"/>
    </w:rPr>
  </w:style>
  <w:style w:type="character" w:customStyle="1" w:styleId="normaltextrun">
    <w:name w:val="normaltextrun"/>
    <w:basedOn w:val="DefaultParagraphFont"/>
    <w:rsid w:val="00315FC0"/>
  </w:style>
  <w:style w:type="paragraph" w:customStyle="1" w:styleId="LegalNumPar">
    <w:name w:val="LegalNumPar"/>
    <w:basedOn w:val="Normal"/>
    <w:rsid w:val="00315FC0"/>
    <w:pPr>
      <w:numPr>
        <w:numId w:val="1"/>
      </w:numPr>
      <w:spacing w:after="160" w:line="259" w:lineRule="auto"/>
    </w:pPr>
    <w:rPr>
      <w:rFonts w:asciiTheme="minorHAnsi" w:eastAsiaTheme="minorHAnsi" w:hAnsiTheme="minorHAnsi" w:cstheme="minorBidi"/>
      <w:lang w:val="en-US"/>
    </w:rPr>
  </w:style>
  <w:style w:type="paragraph" w:customStyle="1" w:styleId="LegalNumPar2">
    <w:name w:val="LegalNumPar2"/>
    <w:basedOn w:val="Normal"/>
    <w:rsid w:val="00315FC0"/>
    <w:pPr>
      <w:numPr>
        <w:ilvl w:val="1"/>
        <w:numId w:val="1"/>
      </w:numPr>
      <w:spacing w:after="160" w:line="259" w:lineRule="auto"/>
    </w:pPr>
    <w:rPr>
      <w:rFonts w:asciiTheme="minorHAnsi" w:eastAsiaTheme="minorHAnsi" w:hAnsiTheme="minorHAnsi" w:cstheme="minorBidi"/>
      <w:lang w:val="en-US"/>
    </w:rPr>
  </w:style>
  <w:style w:type="paragraph" w:customStyle="1" w:styleId="LegalNumPar3">
    <w:name w:val="LegalNumPar3"/>
    <w:basedOn w:val="Normal"/>
    <w:rsid w:val="00315FC0"/>
    <w:pPr>
      <w:numPr>
        <w:ilvl w:val="2"/>
        <w:numId w:val="1"/>
      </w:numPr>
      <w:spacing w:after="160" w:line="259" w:lineRule="auto"/>
    </w:pPr>
    <w:rPr>
      <w:rFonts w:asciiTheme="minorHAnsi" w:eastAsiaTheme="minorHAnsi" w:hAnsiTheme="minorHAnsi" w:cstheme="minorBidi"/>
      <w:lang w:val="en-US"/>
    </w:rPr>
  </w:style>
  <w:style w:type="table" w:styleId="TableGrid">
    <w:name w:val="Table Grid"/>
    <w:basedOn w:val="TableNormal"/>
    <w:uiPriority w:val="39"/>
    <w:rsid w:val="00315FC0"/>
    <w:rPr>
      <w:kern w:val="0"/>
      <w:lang w:val="de-DE"/>
    </w:rPr>
    <w:tblPr/>
  </w:style>
  <w:style w:type="paragraph" w:customStyle="1" w:styleId="xmsonormal">
    <w:name w:val="x_msonormal"/>
    <w:basedOn w:val="Normal"/>
    <w:rsid w:val="00315FC0"/>
    <w:pPr>
      <w:spacing w:after="0" w:line="240" w:lineRule="auto"/>
    </w:pPr>
    <w:rPr>
      <w:rFonts w:ascii="Times New Roman" w:eastAsiaTheme="minorHAnsi" w:hAnsi="Times New Roman" w:cs="Times New Roman"/>
      <w:sz w:val="24"/>
      <w:szCs w:val="24"/>
      <w:lang w:bidi="he-IL"/>
    </w:rPr>
  </w:style>
  <w:style w:type="paragraph" w:customStyle="1" w:styleId="paragraph">
    <w:name w:val="paragraph"/>
    <w:basedOn w:val="Normal"/>
    <w:rsid w:val="00315F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15FC0"/>
  </w:style>
  <w:style w:type="paragraph" w:customStyle="1" w:styleId="Default">
    <w:name w:val="Default"/>
    <w:rsid w:val="00315FC0"/>
    <w:pPr>
      <w:autoSpaceDE w:val="0"/>
      <w:autoSpaceDN w:val="0"/>
      <w:adjustRightInd w:val="0"/>
    </w:pPr>
    <w:rPr>
      <w:rFonts w:ascii="Calibri" w:hAnsi="Calibri" w:cs="Calibri"/>
      <w:color w:val="000000"/>
      <w:kern w:val="0"/>
      <w:sz w:val="24"/>
      <w:szCs w:val="24"/>
      <w:lang w:val="de-DE"/>
    </w:rPr>
  </w:style>
  <w:style w:type="paragraph" w:styleId="PlainText">
    <w:name w:val="Plain Text"/>
    <w:basedOn w:val="Normal"/>
    <w:link w:val="PlainTextChar"/>
    <w:uiPriority w:val="99"/>
    <w:unhideWhenUsed/>
    <w:rsid w:val="00315FC0"/>
    <w:pPr>
      <w:spacing w:after="0" w:line="240" w:lineRule="auto"/>
    </w:pPr>
    <w:rPr>
      <w:rFonts w:eastAsiaTheme="minorHAnsi" w:cs="Calibri"/>
      <w:lang w:val="en-US"/>
    </w:rPr>
  </w:style>
  <w:style w:type="character" w:customStyle="1" w:styleId="PlainTextChar">
    <w:name w:val="Plain Text Char"/>
    <w:basedOn w:val="DefaultParagraphFont"/>
    <w:link w:val="PlainText"/>
    <w:uiPriority w:val="99"/>
    <w:rsid w:val="00315FC0"/>
    <w:rPr>
      <w:rFonts w:ascii="Calibri" w:hAnsi="Calibri" w:cs="Calibri"/>
      <w:kern w:val="0"/>
      <w:lang w:val="en-US"/>
    </w:rPr>
  </w:style>
  <w:style w:type="numbering" w:customStyle="1" w:styleId="NoList1">
    <w:name w:val="No List1"/>
    <w:next w:val="NoList"/>
    <w:uiPriority w:val="99"/>
    <w:semiHidden/>
    <w:unhideWhenUsed/>
    <w:rsid w:val="00315FC0"/>
  </w:style>
  <w:style w:type="paragraph" w:styleId="TOCHeading">
    <w:name w:val="TOC Heading"/>
    <w:basedOn w:val="Normal"/>
    <w:next w:val="Normal"/>
    <w:uiPriority w:val="39"/>
    <w:semiHidden/>
    <w:unhideWhenUsed/>
    <w:qFormat/>
    <w:rsid w:val="00315FC0"/>
    <w:pPr>
      <w:spacing w:before="120" w:after="240" w:line="240" w:lineRule="auto"/>
      <w:jc w:val="center"/>
    </w:pPr>
    <w:rPr>
      <w:rFonts w:ascii="Times New Roman" w:hAnsi="Times New Roman" w:cs="Times New Roman"/>
      <w:b/>
      <w:sz w:val="28"/>
    </w:rPr>
  </w:style>
  <w:style w:type="paragraph" w:styleId="TOC1">
    <w:name w:val="toc 1"/>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2">
    <w:name w:val="toc 2"/>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3">
    <w:name w:val="toc 3"/>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4">
    <w:name w:val="toc 4"/>
    <w:basedOn w:val="Normal"/>
    <w:next w:val="Normal"/>
    <w:uiPriority w:val="39"/>
    <w:semiHidden/>
    <w:unhideWhenUsed/>
    <w:rsid w:val="00315FC0"/>
    <w:pPr>
      <w:tabs>
        <w:tab w:val="right" w:leader="dot" w:pos="9071"/>
      </w:tabs>
      <w:spacing w:before="60" w:after="120" w:line="240" w:lineRule="auto"/>
      <w:ind w:left="850" w:hanging="850"/>
    </w:pPr>
    <w:rPr>
      <w:rFonts w:ascii="Times New Roman" w:hAnsi="Times New Roman" w:cs="Times New Roman"/>
      <w:sz w:val="24"/>
    </w:rPr>
  </w:style>
  <w:style w:type="paragraph" w:styleId="TOC5">
    <w:name w:val="toc 5"/>
    <w:basedOn w:val="Normal"/>
    <w:next w:val="Normal"/>
    <w:uiPriority w:val="39"/>
    <w:semiHidden/>
    <w:unhideWhenUsed/>
    <w:rsid w:val="00315FC0"/>
    <w:pPr>
      <w:tabs>
        <w:tab w:val="right" w:leader="dot" w:pos="9071"/>
      </w:tabs>
      <w:spacing w:before="300" w:after="120" w:line="240" w:lineRule="auto"/>
    </w:pPr>
    <w:rPr>
      <w:rFonts w:ascii="Times New Roman" w:hAnsi="Times New Roman" w:cs="Times New Roman"/>
      <w:sz w:val="24"/>
    </w:rPr>
  </w:style>
  <w:style w:type="paragraph" w:styleId="TOC6">
    <w:name w:val="toc 6"/>
    <w:basedOn w:val="Normal"/>
    <w:next w:val="Normal"/>
    <w:uiPriority w:val="39"/>
    <w:semiHidden/>
    <w:unhideWhenUsed/>
    <w:rsid w:val="00315FC0"/>
    <w:pPr>
      <w:tabs>
        <w:tab w:val="right" w:leader="dot" w:pos="9071"/>
      </w:tabs>
      <w:spacing w:before="240" w:after="120" w:line="240" w:lineRule="auto"/>
    </w:pPr>
    <w:rPr>
      <w:rFonts w:ascii="Times New Roman" w:hAnsi="Times New Roman" w:cs="Times New Roman"/>
      <w:sz w:val="24"/>
    </w:rPr>
  </w:style>
  <w:style w:type="paragraph" w:styleId="TOC7">
    <w:name w:val="toc 7"/>
    <w:basedOn w:val="Normal"/>
    <w:next w:val="Normal"/>
    <w:uiPriority w:val="39"/>
    <w:semiHidden/>
    <w:unhideWhenUsed/>
    <w:rsid w:val="00315FC0"/>
    <w:pPr>
      <w:tabs>
        <w:tab w:val="right" w:leader="dot" w:pos="9071"/>
      </w:tabs>
      <w:spacing w:before="180" w:after="120" w:line="240" w:lineRule="auto"/>
    </w:pPr>
    <w:rPr>
      <w:rFonts w:ascii="Times New Roman" w:hAnsi="Times New Roman" w:cs="Times New Roman"/>
      <w:sz w:val="24"/>
    </w:rPr>
  </w:style>
  <w:style w:type="paragraph" w:styleId="TOC8">
    <w:name w:val="toc 8"/>
    <w:basedOn w:val="Normal"/>
    <w:next w:val="Normal"/>
    <w:uiPriority w:val="39"/>
    <w:semiHidden/>
    <w:unhideWhenUsed/>
    <w:rsid w:val="00315FC0"/>
    <w:pPr>
      <w:tabs>
        <w:tab w:val="right" w:leader="dot" w:pos="9071"/>
      </w:tabs>
      <w:spacing w:before="120" w:after="120" w:line="240" w:lineRule="auto"/>
    </w:pPr>
    <w:rPr>
      <w:rFonts w:ascii="Times New Roman" w:hAnsi="Times New Roman" w:cs="Times New Roman"/>
      <w:sz w:val="24"/>
    </w:rPr>
  </w:style>
  <w:style w:type="paragraph" w:styleId="TOC9">
    <w:name w:val="toc 9"/>
    <w:basedOn w:val="Normal"/>
    <w:next w:val="Normal"/>
    <w:uiPriority w:val="39"/>
    <w:semiHidden/>
    <w:unhideWhenUsed/>
    <w:rsid w:val="00315FC0"/>
    <w:pPr>
      <w:tabs>
        <w:tab w:val="right" w:leader="dot" w:pos="9071"/>
      </w:tabs>
      <w:spacing w:before="120" w:after="120" w:line="240" w:lineRule="auto"/>
      <w:jc w:val="both"/>
    </w:pPr>
    <w:rPr>
      <w:rFonts w:ascii="Times New Roman" w:hAnsi="Times New Roman" w:cs="Times New Roman"/>
      <w:sz w:val="24"/>
    </w:rPr>
  </w:style>
  <w:style w:type="paragraph" w:customStyle="1" w:styleId="HeaderLandscape">
    <w:name w:val="HeaderLandscape"/>
    <w:basedOn w:val="Normal"/>
    <w:rsid w:val="00315FC0"/>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rsid w:val="00315FC0"/>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HeaderSensitivity">
    <w:name w:val="Header Sensitivity"/>
    <w:basedOn w:val="Normal"/>
    <w:rsid w:val="00315FC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15FC0"/>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15FC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315FC0"/>
    <w:pPr>
      <w:spacing w:before="120" w:after="120" w:line="240" w:lineRule="auto"/>
      <w:ind w:left="850"/>
      <w:jc w:val="both"/>
    </w:pPr>
    <w:rPr>
      <w:rFonts w:ascii="Times New Roman" w:hAnsi="Times New Roman" w:cs="Times New Roman"/>
      <w:sz w:val="24"/>
    </w:rPr>
  </w:style>
  <w:style w:type="paragraph" w:customStyle="1" w:styleId="Text2">
    <w:name w:val="Text 2"/>
    <w:basedOn w:val="Normal"/>
    <w:rsid w:val="00315FC0"/>
    <w:pPr>
      <w:spacing w:before="120" w:after="120" w:line="240" w:lineRule="auto"/>
      <w:ind w:left="1417"/>
      <w:jc w:val="both"/>
    </w:pPr>
    <w:rPr>
      <w:rFonts w:ascii="Times New Roman" w:hAnsi="Times New Roman" w:cs="Times New Roman"/>
      <w:sz w:val="24"/>
    </w:rPr>
  </w:style>
  <w:style w:type="paragraph" w:customStyle="1" w:styleId="Text3">
    <w:name w:val="Text 3"/>
    <w:basedOn w:val="Normal"/>
    <w:rsid w:val="00315FC0"/>
    <w:pPr>
      <w:spacing w:before="120" w:after="120" w:line="240" w:lineRule="auto"/>
      <w:ind w:left="1984"/>
      <w:jc w:val="both"/>
    </w:pPr>
    <w:rPr>
      <w:rFonts w:ascii="Times New Roman" w:hAnsi="Times New Roman" w:cs="Times New Roman"/>
      <w:sz w:val="24"/>
    </w:rPr>
  </w:style>
  <w:style w:type="paragraph" w:customStyle="1" w:styleId="Text4">
    <w:name w:val="Text 4"/>
    <w:basedOn w:val="Normal"/>
    <w:rsid w:val="00315FC0"/>
    <w:pPr>
      <w:spacing w:before="120" w:after="120" w:line="240" w:lineRule="auto"/>
      <w:ind w:left="2551"/>
      <w:jc w:val="both"/>
    </w:pPr>
    <w:rPr>
      <w:rFonts w:ascii="Times New Roman" w:hAnsi="Times New Roman" w:cs="Times New Roman"/>
      <w:sz w:val="24"/>
    </w:rPr>
  </w:style>
  <w:style w:type="paragraph" w:customStyle="1" w:styleId="NormalCentered">
    <w:name w:val="Normal Centered"/>
    <w:basedOn w:val="Normal"/>
    <w:rsid w:val="00315FC0"/>
    <w:pPr>
      <w:spacing w:before="120" w:after="120" w:line="240" w:lineRule="auto"/>
      <w:jc w:val="center"/>
    </w:pPr>
    <w:rPr>
      <w:rFonts w:ascii="Times New Roman" w:hAnsi="Times New Roman" w:cs="Times New Roman"/>
      <w:sz w:val="24"/>
    </w:rPr>
  </w:style>
  <w:style w:type="paragraph" w:customStyle="1" w:styleId="NormalLeft">
    <w:name w:val="Normal Left"/>
    <w:basedOn w:val="Normal"/>
    <w:rsid w:val="00315FC0"/>
    <w:pPr>
      <w:spacing w:before="120" w:after="120" w:line="240" w:lineRule="auto"/>
    </w:pPr>
    <w:rPr>
      <w:rFonts w:ascii="Times New Roman" w:hAnsi="Times New Roman" w:cs="Times New Roman"/>
      <w:sz w:val="24"/>
    </w:rPr>
  </w:style>
  <w:style w:type="paragraph" w:customStyle="1" w:styleId="NormalRight">
    <w:name w:val="Normal Right"/>
    <w:basedOn w:val="Normal"/>
    <w:rsid w:val="00315FC0"/>
    <w:pPr>
      <w:spacing w:before="120" w:after="120" w:line="240" w:lineRule="auto"/>
      <w:jc w:val="right"/>
    </w:pPr>
    <w:rPr>
      <w:rFonts w:ascii="Times New Roman" w:hAnsi="Times New Roman" w:cs="Times New Roman"/>
      <w:sz w:val="24"/>
    </w:rPr>
  </w:style>
  <w:style w:type="paragraph" w:customStyle="1" w:styleId="QuotedText">
    <w:name w:val="Quoted Text"/>
    <w:basedOn w:val="Normal"/>
    <w:rsid w:val="00315FC0"/>
    <w:pPr>
      <w:spacing w:before="120" w:after="120" w:line="240" w:lineRule="auto"/>
      <w:ind w:left="1417"/>
      <w:jc w:val="both"/>
    </w:pPr>
    <w:rPr>
      <w:rFonts w:ascii="Times New Roman" w:hAnsi="Times New Roman" w:cs="Times New Roman"/>
      <w:sz w:val="24"/>
    </w:rPr>
  </w:style>
  <w:style w:type="paragraph" w:customStyle="1" w:styleId="Point0">
    <w:name w:val="Point 0"/>
    <w:basedOn w:val="Normal"/>
    <w:rsid w:val="00315FC0"/>
    <w:pPr>
      <w:spacing w:before="120" w:after="120" w:line="240" w:lineRule="auto"/>
      <w:ind w:left="850" w:hanging="850"/>
      <w:jc w:val="both"/>
    </w:pPr>
    <w:rPr>
      <w:rFonts w:ascii="Times New Roman" w:hAnsi="Times New Roman" w:cs="Times New Roman"/>
      <w:sz w:val="24"/>
    </w:rPr>
  </w:style>
  <w:style w:type="paragraph" w:customStyle="1" w:styleId="Point1">
    <w:name w:val="Point 1"/>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Point2">
    <w:name w:val="Point 2"/>
    <w:basedOn w:val="Normal"/>
    <w:rsid w:val="00315FC0"/>
    <w:pPr>
      <w:spacing w:before="120" w:after="120" w:line="240" w:lineRule="auto"/>
      <w:ind w:left="1984" w:hanging="567"/>
      <w:jc w:val="both"/>
    </w:pPr>
    <w:rPr>
      <w:rFonts w:ascii="Times New Roman" w:hAnsi="Times New Roman" w:cs="Times New Roman"/>
      <w:sz w:val="24"/>
    </w:rPr>
  </w:style>
  <w:style w:type="paragraph" w:customStyle="1" w:styleId="Point3">
    <w:name w:val="Point 3"/>
    <w:basedOn w:val="Normal"/>
    <w:rsid w:val="00315FC0"/>
    <w:pPr>
      <w:spacing w:before="120" w:after="120" w:line="240" w:lineRule="auto"/>
      <w:ind w:left="2551" w:hanging="567"/>
      <w:jc w:val="both"/>
    </w:pPr>
    <w:rPr>
      <w:rFonts w:ascii="Times New Roman" w:hAnsi="Times New Roman" w:cs="Times New Roman"/>
      <w:sz w:val="24"/>
    </w:rPr>
  </w:style>
  <w:style w:type="paragraph" w:customStyle="1" w:styleId="Point4">
    <w:name w:val="Point 4"/>
    <w:basedOn w:val="Normal"/>
    <w:rsid w:val="00315FC0"/>
    <w:pPr>
      <w:spacing w:before="120" w:after="120" w:line="240" w:lineRule="auto"/>
      <w:ind w:left="3118" w:hanging="567"/>
      <w:jc w:val="both"/>
    </w:pPr>
    <w:rPr>
      <w:rFonts w:ascii="Times New Roman" w:hAnsi="Times New Roman" w:cs="Times New Roman"/>
      <w:sz w:val="24"/>
    </w:rPr>
  </w:style>
  <w:style w:type="paragraph" w:customStyle="1" w:styleId="Tiret0">
    <w:name w:val="Tiret 0"/>
    <w:basedOn w:val="Point0"/>
    <w:rsid w:val="00315FC0"/>
    <w:pPr>
      <w:numPr>
        <w:numId w:val="2"/>
      </w:numPr>
      <w:tabs>
        <w:tab w:val="clear" w:pos="850"/>
        <w:tab w:val="num" w:pos="3118"/>
      </w:tabs>
      <w:ind w:left="3118" w:hanging="567"/>
    </w:pPr>
  </w:style>
  <w:style w:type="paragraph" w:customStyle="1" w:styleId="Tiret1">
    <w:name w:val="Tiret 1"/>
    <w:basedOn w:val="Point1"/>
    <w:rsid w:val="00315FC0"/>
    <w:pPr>
      <w:numPr>
        <w:numId w:val="3"/>
      </w:numPr>
      <w:tabs>
        <w:tab w:val="clear" w:pos="1417"/>
        <w:tab w:val="num" w:pos="850"/>
      </w:tabs>
      <w:ind w:left="850" w:hanging="850"/>
    </w:pPr>
  </w:style>
  <w:style w:type="paragraph" w:customStyle="1" w:styleId="Tiret2">
    <w:name w:val="Tiret 2"/>
    <w:basedOn w:val="Point2"/>
    <w:rsid w:val="00315FC0"/>
    <w:pPr>
      <w:numPr>
        <w:numId w:val="4"/>
      </w:numPr>
      <w:tabs>
        <w:tab w:val="clear" w:pos="1984"/>
        <w:tab w:val="num" w:pos="850"/>
      </w:tabs>
      <w:ind w:left="850" w:hanging="850"/>
    </w:pPr>
  </w:style>
  <w:style w:type="paragraph" w:customStyle="1" w:styleId="Tiret3">
    <w:name w:val="Tiret 3"/>
    <w:basedOn w:val="Point3"/>
    <w:rsid w:val="00315FC0"/>
    <w:pPr>
      <w:numPr>
        <w:numId w:val="5"/>
      </w:numPr>
      <w:tabs>
        <w:tab w:val="clear" w:pos="2551"/>
        <w:tab w:val="num" w:pos="850"/>
      </w:tabs>
      <w:ind w:left="850" w:hanging="850"/>
    </w:pPr>
  </w:style>
  <w:style w:type="paragraph" w:customStyle="1" w:styleId="Tiret4">
    <w:name w:val="Tiret 4"/>
    <w:basedOn w:val="Point4"/>
    <w:rsid w:val="00315FC0"/>
    <w:pPr>
      <w:numPr>
        <w:numId w:val="6"/>
      </w:numPr>
      <w:tabs>
        <w:tab w:val="clear" w:pos="3118"/>
        <w:tab w:val="num" w:pos="850"/>
      </w:tabs>
      <w:ind w:left="850" w:hanging="850"/>
    </w:pPr>
  </w:style>
  <w:style w:type="paragraph" w:customStyle="1" w:styleId="PointDouble0">
    <w:name w:val="PointDouble 0"/>
    <w:basedOn w:val="Normal"/>
    <w:rsid w:val="00315FC0"/>
    <w:pPr>
      <w:tabs>
        <w:tab w:val="left" w:pos="850"/>
      </w:tabs>
      <w:spacing w:before="120" w:after="120" w:line="240" w:lineRule="auto"/>
      <w:ind w:left="1417" w:hanging="1417"/>
      <w:jc w:val="both"/>
    </w:pPr>
    <w:rPr>
      <w:rFonts w:ascii="Times New Roman" w:hAnsi="Times New Roman" w:cs="Times New Roman"/>
      <w:sz w:val="24"/>
    </w:rPr>
  </w:style>
  <w:style w:type="paragraph" w:customStyle="1" w:styleId="PointDouble1">
    <w:name w:val="PointDouble 1"/>
    <w:basedOn w:val="Normal"/>
    <w:rsid w:val="00315FC0"/>
    <w:pPr>
      <w:tabs>
        <w:tab w:val="left" w:pos="1417"/>
      </w:tabs>
      <w:spacing w:before="120" w:after="120" w:line="240" w:lineRule="auto"/>
      <w:ind w:left="1984" w:hanging="1134"/>
      <w:jc w:val="both"/>
    </w:pPr>
    <w:rPr>
      <w:rFonts w:ascii="Times New Roman" w:hAnsi="Times New Roman" w:cs="Times New Roman"/>
      <w:sz w:val="24"/>
    </w:rPr>
  </w:style>
  <w:style w:type="paragraph" w:customStyle="1" w:styleId="PointDouble2">
    <w:name w:val="PointDouble 2"/>
    <w:basedOn w:val="Normal"/>
    <w:rsid w:val="00315FC0"/>
    <w:pPr>
      <w:tabs>
        <w:tab w:val="left" w:pos="1984"/>
      </w:tabs>
      <w:spacing w:before="120" w:after="120" w:line="240" w:lineRule="auto"/>
      <w:ind w:left="2551" w:hanging="1134"/>
      <w:jc w:val="both"/>
    </w:pPr>
    <w:rPr>
      <w:rFonts w:ascii="Times New Roman" w:hAnsi="Times New Roman" w:cs="Times New Roman"/>
      <w:sz w:val="24"/>
    </w:rPr>
  </w:style>
  <w:style w:type="paragraph" w:customStyle="1" w:styleId="PointDouble3">
    <w:name w:val="PointDouble 3"/>
    <w:basedOn w:val="Normal"/>
    <w:rsid w:val="00315FC0"/>
    <w:pPr>
      <w:tabs>
        <w:tab w:val="left" w:pos="2551"/>
      </w:tabs>
      <w:spacing w:before="120" w:after="120" w:line="240" w:lineRule="auto"/>
      <w:ind w:left="3118" w:hanging="1134"/>
      <w:jc w:val="both"/>
    </w:pPr>
    <w:rPr>
      <w:rFonts w:ascii="Times New Roman" w:hAnsi="Times New Roman" w:cs="Times New Roman"/>
      <w:sz w:val="24"/>
    </w:rPr>
  </w:style>
  <w:style w:type="paragraph" w:customStyle="1" w:styleId="PointDouble4">
    <w:name w:val="PointDouble 4"/>
    <w:basedOn w:val="Normal"/>
    <w:rsid w:val="00315FC0"/>
    <w:pPr>
      <w:tabs>
        <w:tab w:val="left" w:pos="3118"/>
      </w:tabs>
      <w:spacing w:before="120" w:after="120" w:line="240" w:lineRule="auto"/>
      <w:ind w:left="3685" w:hanging="1134"/>
      <w:jc w:val="both"/>
    </w:pPr>
    <w:rPr>
      <w:rFonts w:ascii="Times New Roman" w:hAnsi="Times New Roman" w:cs="Times New Roman"/>
      <w:sz w:val="24"/>
    </w:rPr>
  </w:style>
  <w:style w:type="paragraph" w:customStyle="1" w:styleId="PointTriple0">
    <w:name w:val="PointTriple 0"/>
    <w:basedOn w:val="Normal"/>
    <w:rsid w:val="00315FC0"/>
    <w:pPr>
      <w:tabs>
        <w:tab w:val="left" w:pos="850"/>
        <w:tab w:val="left" w:pos="1417"/>
      </w:tabs>
      <w:spacing w:before="120" w:after="120" w:line="240" w:lineRule="auto"/>
      <w:ind w:left="1984" w:hanging="1984"/>
      <w:jc w:val="both"/>
    </w:pPr>
    <w:rPr>
      <w:rFonts w:ascii="Times New Roman" w:hAnsi="Times New Roman" w:cs="Times New Roman"/>
      <w:sz w:val="24"/>
    </w:rPr>
  </w:style>
  <w:style w:type="paragraph" w:customStyle="1" w:styleId="PointTriple1">
    <w:name w:val="PointTriple 1"/>
    <w:basedOn w:val="Normal"/>
    <w:rsid w:val="00315FC0"/>
    <w:pPr>
      <w:tabs>
        <w:tab w:val="left" w:pos="1417"/>
        <w:tab w:val="left" w:pos="1984"/>
      </w:tabs>
      <w:spacing w:before="120" w:after="120" w:line="240" w:lineRule="auto"/>
      <w:ind w:left="2551" w:hanging="1701"/>
      <w:jc w:val="both"/>
    </w:pPr>
    <w:rPr>
      <w:rFonts w:ascii="Times New Roman" w:hAnsi="Times New Roman" w:cs="Times New Roman"/>
      <w:sz w:val="24"/>
    </w:rPr>
  </w:style>
  <w:style w:type="paragraph" w:customStyle="1" w:styleId="PointTriple2">
    <w:name w:val="PointTriple 2"/>
    <w:basedOn w:val="Normal"/>
    <w:rsid w:val="00315FC0"/>
    <w:pPr>
      <w:tabs>
        <w:tab w:val="left" w:pos="1984"/>
        <w:tab w:val="left" w:pos="2551"/>
      </w:tabs>
      <w:spacing w:before="120" w:after="120" w:line="240" w:lineRule="auto"/>
      <w:ind w:left="3118" w:hanging="1701"/>
      <w:jc w:val="both"/>
    </w:pPr>
    <w:rPr>
      <w:rFonts w:ascii="Times New Roman" w:hAnsi="Times New Roman" w:cs="Times New Roman"/>
      <w:sz w:val="24"/>
    </w:rPr>
  </w:style>
  <w:style w:type="paragraph" w:customStyle="1" w:styleId="PointTriple3">
    <w:name w:val="PointTriple 3"/>
    <w:basedOn w:val="Normal"/>
    <w:rsid w:val="00315FC0"/>
    <w:pPr>
      <w:tabs>
        <w:tab w:val="left" w:pos="2551"/>
        <w:tab w:val="left" w:pos="3118"/>
      </w:tabs>
      <w:spacing w:before="120" w:after="120" w:line="240" w:lineRule="auto"/>
      <w:ind w:left="3685" w:hanging="1701"/>
      <w:jc w:val="both"/>
    </w:pPr>
    <w:rPr>
      <w:rFonts w:ascii="Times New Roman" w:hAnsi="Times New Roman" w:cs="Times New Roman"/>
      <w:sz w:val="24"/>
    </w:rPr>
  </w:style>
  <w:style w:type="paragraph" w:customStyle="1" w:styleId="PointTriple4">
    <w:name w:val="PointTriple 4"/>
    <w:basedOn w:val="Normal"/>
    <w:rsid w:val="00315FC0"/>
    <w:pPr>
      <w:tabs>
        <w:tab w:val="left" w:pos="3118"/>
        <w:tab w:val="left" w:pos="3685"/>
      </w:tabs>
      <w:spacing w:before="120" w:after="120" w:line="240" w:lineRule="auto"/>
      <w:ind w:left="4252" w:hanging="1701"/>
      <w:jc w:val="both"/>
    </w:pPr>
    <w:rPr>
      <w:rFonts w:ascii="Times New Roman" w:hAnsi="Times New Roman" w:cs="Times New Roman"/>
      <w:sz w:val="24"/>
    </w:rPr>
  </w:style>
  <w:style w:type="paragraph" w:customStyle="1" w:styleId="NumPar1">
    <w:name w:val="NumPar 1"/>
    <w:basedOn w:val="Normal"/>
    <w:next w:val="Text1"/>
    <w:rsid w:val="00315FC0"/>
    <w:pPr>
      <w:numPr>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2">
    <w:name w:val="NumPar 2"/>
    <w:basedOn w:val="Normal"/>
    <w:next w:val="Text1"/>
    <w:rsid w:val="00315FC0"/>
    <w:pPr>
      <w:numPr>
        <w:ilvl w:val="1"/>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3">
    <w:name w:val="NumPar 3"/>
    <w:basedOn w:val="Normal"/>
    <w:next w:val="Text1"/>
    <w:rsid w:val="00315FC0"/>
    <w:pPr>
      <w:numPr>
        <w:ilvl w:val="2"/>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NumPar4">
    <w:name w:val="NumPar 4"/>
    <w:basedOn w:val="Normal"/>
    <w:next w:val="Text1"/>
    <w:rsid w:val="00315FC0"/>
    <w:pPr>
      <w:numPr>
        <w:ilvl w:val="3"/>
        <w:numId w:val="7"/>
      </w:numPr>
      <w:tabs>
        <w:tab w:val="clear" w:pos="850"/>
        <w:tab w:val="num" w:pos="1417"/>
      </w:tabs>
      <w:spacing w:before="120" w:after="120" w:line="240" w:lineRule="auto"/>
      <w:ind w:left="1417" w:hanging="567"/>
      <w:jc w:val="both"/>
    </w:pPr>
    <w:rPr>
      <w:rFonts w:ascii="Times New Roman" w:hAnsi="Times New Roman" w:cs="Times New Roman"/>
      <w:sz w:val="24"/>
    </w:rPr>
  </w:style>
  <w:style w:type="paragraph" w:customStyle="1" w:styleId="ManualNumPar1">
    <w:name w:val="Manual NumPar 1"/>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2">
    <w:name w:val="Manual NumPar 2"/>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3">
    <w:name w:val="Manual NumPar 3"/>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ManualNumPar4">
    <w:name w:val="Manual NumPar 4"/>
    <w:basedOn w:val="Normal"/>
    <w:next w:val="Text1"/>
    <w:rsid w:val="00315FC0"/>
    <w:pPr>
      <w:spacing w:before="120" w:after="120" w:line="240" w:lineRule="auto"/>
      <w:ind w:left="850" w:hanging="850"/>
      <w:jc w:val="both"/>
    </w:pPr>
    <w:rPr>
      <w:rFonts w:ascii="Times New Roman" w:hAnsi="Times New Roman" w:cs="Times New Roman"/>
      <w:sz w:val="24"/>
    </w:rPr>
  </w:style>
  <w:style w:type="paragraph" w:customStyle="1" w:styleId="QuotedNumPar">
    <w:name w:val="Quoted NumPar"/>
    <w:basedOn w:val="Normal"/>
    <w:rsid w:val="00315FC0"/>
    <w:pPr>
      <w:spacing w:before="120" w:after="120" w:line="240" w:lineRule="auto"/>
      <w:ind w:left="1417" w:hanging="567"/>
      <w:jc w:val="both"/>
    </w:pPr>
    <w:rPr>
      <w:rFonts w:ascii="Times New Roman" w:hAnsi="Times New Roman" w:cs="Times New Roman"/>
      <w:sz w:val="24"/>
    </w:rPr>
  </w:style>
  <w:style w:type="paragraph" w:customStyle="1" w:styleId="ManualHeading1">
    <w:name w:val="Manual Heading 1"/>
    <w:basedOn w:val="Normal"/>
    <w:next w:val="Text1"/>
    <w:rsid w:val="00315FC0"/>
    <w:pPr>
      <w:keepNext/>
      <w:tabs>
        <w:tab w:val="left" w:pos="850"/>
      </w:tabs>
      <w:spacing w:before="360" w:after="120" w:line="240" w:lineRule="auto"/>
      <w:ind w:left="850" w:hanging="850"/>
      <w:jc w:val="both"/>
      <w:outlineLvl w:val="0"/>
    </w:pPr>
    <w:rPr>
      <w:rFonts w:ascii="Times New Roman" w:hAnsi="Times New Roman" w:cs="Times New Roman"/>
      <w:b/>
      <w:smallCaps/>
      <w:sz w:val="24"/>
    </w:rPr>
  </w:style>
  <w:style w:type="paragraph" w:customStyle="1" w:styleId="ManualHeading2">
    <w:name w:val="Manual Heading 2"/>
    <w:basedOn w:val="Normal"/>
    <w:next w:val="Text1"/>
    <w:rsid w:val="00315FC0"/>
    <w:pPr>
      <w:keepNext/>
      <w:tabs>
        <w:tab w:val="left" w:pos="850"/>
      </w:tabs>
      <w:spacing w:before="120" w:after="120" w:line="240" w:lineRule="auto"/>
      <w:ind w:left="850" w:hanging="850"/>
      <w:jc w:val="both"/>
      <w:outlineLvl w:val="1"/>
    </w:pPr>
    <w:rPr>
      <w:rFonts w:ascii="Times New Roman" w:hAnsi="Times New Roman" w:cs="Times New Roman"/>
      <w:b/>
      <w:sz w:val="24"/>
    </w:rPr>
  </w:style>
  <w:style w:type="paragraph" w:customStyle="1" w:styleId="ManualHeading3">
    <w:name w:val="Manual Heading 3"/>
    <w:basedOn w:val="Normal"/>
    <w:next w:val="Text1"/>
    <w:rsid w:val="00315FC0"/>
    <w:pPr>
      <w:keepNext/>
      <w:tabs>
        <w:tab w:val="left" w:pos="850"/>
      </w:tabs>
      <w:spacing w:before="120" w:after="120" w:line="240" w:lineRule="auto"/>
      <w:ind w:left="850" w:hanging="850"/>
      <w:jc w:val="both"/>
      <w:outlineLvl w:val="2"/>
    </w:pPr>
    <w:rPr>
      <w:rFonts w:ascii="Times New Roman" w:hAnsi="Times New Roman" w:cs="Times New Roman"/>
      <w:i/>
      <w:sz w:val="24"/>
    </w:rPr>
  </w:style>
  <w:style w:type="paragraph" w:customStyle="1" w:styleId="ManualHeading4">
    <w:name w:val="Manual Heading 4"/>
    <w:basedOn w:val="Normal"/>
    <w:next w:val="Text1"/>
    <w:rsid w:val="00315FC0"/>
    <w:pPr>
      <w:keepNext/>
      <w:tabs>
        <w:tab w:val="left" w:pos="850"/>
      </w:tabs>
      <w:spacing w:before="120" w:after="120" w:line="240" w:lineRule="auto"/>
      <w:ind w:left="850" w:hanging="850"/>
      <w:jc w:val="both"/>
      <w:outlineLvl w:val="3"/>
    </w:pPr>
    <w:rPr>
      <w:rFonts w:ascii="Times New Roman" w:hAnsi="Times New Roman" w:cs="Times New Roman"/>
      <w:sz w:val="24"/>
    </w:rPr>
  </w:style>
  <w:style w:type="paragraph" w:customStyle="1" w:styleId="ChapterTitle">
    <w:name w:val="ChapterTitle"/>
    <w:basedOn w:val="Normal"/>
    <w:next w:val="Normal"/>
    <w:rsid w:val="00315FC0"/>
    <w:pPr>
      <w:keepNext/>
      <w:spacing w:before="120" w:after="360" w:line="240" w:lineRule="auto"/>
      <w:jc w:val="center"/>
    </w:pPr>
    <w:rPr>
      <w:rFonts w:ascii="Times New Roman" w:hAnsi="Times New Roman" w:cs="Times New Roman"/>
      <w:b/>
      <w:sz w:val="32"/>
    </w:rPr>
  </w:style>
  <w:style w:type="paragraph" w:customStyle="1" w:styleId="PartTitle">
    <w:name w:val="PartTitle"/>
    <w:basedOn w:val="Normal"/>
    <w:next w:val="ChapterTitle"/>
    <w:rsid w:val="00315FC0"/>
    <w:pPr>
      <w:keepNext/>
      <w:pageBreakBefore/>
      <w:spacing w:before="120" w:after="360" w:line="240" w:lineRule="auto"/>
      <w:jc w:val="center"/>
    </w:pPr>
    <w:rPr>
      <w:rFonts w:ascii="Times New Roman" w:hAnsi="Times New Roman" w:cs="Times New Roman"/>
      <w:b/>
      <w:sz w:val="36"/>
    </w:rPr>
  </w:style>
  <w:style w:type="paragraph" w:customStyle="1" w:styleId="SectionTitle">
    <w:name w:val="SectionTitle"/>
    <w:basedOn w:val="Normal"/>
    <w:next w:val="Heading1"/>
    <w:rsid w:val="00315FC0"/>
    <w:pPr>
      <w:keepNext/>
      <w:spacing w:before="120" w:after="360" w:line="240" w:lineRule="auto"/>
      <w:jc w:val="center"/>
    </w:pPr>
    <w:rPr>
      <w:rFonts w:ascii="Times New Roman" w:hAnsi="Times New Roman" w:cs="Times New Roman"/>
      <w:b/>
      <w:smallCaps/>
      <w:sz w:val="28"/>
    </w:rPr>
  </w:style>
  <w:style w:type="paragraph" w:customStyle="1" w:styleId="TableTitle">
    <w:name w:val="Table Title"/>
    <w:basedOn w:val="Normal"/>
    <w:next w:val="Normal"/>
    <w:rsid w:val="00315FC0"/>
    <w:pPr>
      <w:spacing w:before="120" w:after="120" w:line="240" w:lineRule="auto"/>
      <w:jc w:val="center"/>
    </w:pPr>
    <w:rPr>
      <w:rFonts w:ascii="Times New Roman" w:hAnsi="Times New Roman" w:cs="Times New Roman"/>
      <w:b/>
      <w:sz w:val="24"/>
    </w:rPr>
  </w:style>
  <w:style w:type="character" w:customStyle="1" w:styleId="Marker">
    <w:name w:val="Marker"/>
    <w:basedOn w:val="DefaultParagraphFont"/>
    <w:rsid w:val="00315FC0"/>
    <w:rPr>
      <w:color w:val="0000FF"/>
      <w:bdr w:val="none" w:sz="0" w:space="0" w:color="auto"/>
      <w:shd w:val="clear" w:color="auto" w:fill="auto"/>
    </w:rPr>
  </w:style>
  <w:style w:type="character" w:customStyle="1" w:styleId="Marker1">
    <w:name w:val="Marker1"/>
    <w:rsid w:val="00315FC0"/>
    <w:rPr>
      <w:color w:val="008000"/>
      <w:shd w:val="clear" w:color="auto" w:fill="auto"/>
    </w:rPr>
  </w:style>
  <w:style w:type="character" w:customStyle="1" w:styleId="Marker2">
    <w:name w:val="Marker2"/>
    <w:rsid w:val="00315FC0"/>
    <w:rPr>
      <w:color w:val="FF0000"/>
      <w:shd w:val="clear" w:color="auto" w:fill="auto"/>
    </w:rPr>
  </w:style>
  <w:style w:type="paragraph" w:customStyle="1" w:styleId="Point0number">
    <w:name w:val="Point 0 (number)"/>
    <w:basedOn w:val="Normal"/>
    <w:rsid w:val="00315FC0"/>
    <w:pPr>
      <w:numPr>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number">
    <w:name w:val="Point 1 (number)"/>
    <w:basedOn w:val="Normal"/>
    <w:rsid w:val="00315FC0"/>
    <w:pPr>
      <w:numPr>
        <w:ilvl w:val="2"/>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number">
    <w:name w:val="Point 2 (number)"/>
    <w:basedOn w:val="Normal"/>
    <w:rsid w:val="00315FC0"/>
    <w:pPr>
      <w:numPr>
        <w:ilvl w:val="4"/>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number">
    <w:name w:val="Point 3 (number)"/>
    <w:basedOn w:val="Normal"/>
    <w:rsid w:val="00315FC0"/>
    <w:pPr>
      <w:numPr>
        <w:ilvl w:val="6"/>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0letter">
    <w:name w:val="Point 0 (letter)"/>
    <w:basedOn w:val="Normal"/>
    <w:rsid w:val="00315FC0"/>
    <w:pPr>
      <w:numPr>
        <w:ilvl w:val="1"/>
        <w:numId w:val="8"/>
      </w:numPr>
      <w:tabs>
        <w:tab w:val="clear" w:pos="850"/>
        <w:tab w:val="num" w:pos="360"/>
        <w:tab w:val="num" w:pos="2551"/>
      </w:tabs>
      <w:spacing w:before="120" w:after="120" w:line="240" w:lineRule="auto"/>
      <w:ind w:left="2551" w:hanging="567"/>
      <w:jc w:val="both"/>
    </w:pPr>
    <w:rPr>
      <w:rFonts w:ascii="Times New Roman" w:hAnsi="Times New Roman" w:cs="Times New Roman"/>
      <w:sz w:val="24"/>
    </w:rPr>
  </w:style>
  <w:style w:type="paragraph" w:customStyle="1" w:styleId="Point1letter">
    <w:name w:val="Point 1 (letter)"/>
    <w:basedOn w:val="Normal"/>
    <w:rsid w:val="00315FC0"/>
    <w:pPr>
      <w:numPr>
        <w:ilvl w:val="3"/>
        <w:numId w:val="8"/>
      </w:numPr>
      <w:tabs>
        <w:tab w:val="clear" w:pos="1417"/>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2letter">
    <w:name w:val="Point 2 (letter)"/>
    <w:basedOn w:val="Normal"/>
    <w:rsid w:val="00315FC0"/>
    <w:pPr>
      <w:numPr>
        <w:ilvl w:val="5"/>
        <w:numId w:val="8"/>
      </w:numPr>
      <w:tabs>
        <w:tab w:val="clear" w:pos="1984"/>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Point3letter">
    <w:name w:val="Point 3 (letter)"/>
    <w:basedOn w:val="Normal"/>
    <w:rsid w:val="00315FC0"/>
    <w:pPr>
      <w:numPr>
        <w:ilvl w:val="7"/>
        <w:numId w:val="8"/>
      </w:numPr>
      <w:tabs>
        <w:tab w:val="clear" w:pos="2551"/>
        <w:tab w:val="num" w:pos="360"/>
      </w:tabs>
      <w:spacing w:before="120" w:after="120" w:line="240" w:lineRule="auto"/>
      <w:ind w:left="0" w:firstLine="0"/>
      <w:jc w:val="both"/>
    </w:pPr>
    <w:rPr>
      <w:rFonts w:ascii="Times New Roman" w:hAnsi="Times New Roman" w:cs="Times New Roman"/>
      <w:sz w:val="24"/>
    </w:rPr>
  </w:style>
  <w:style w:type="paragraph" w:customStyle="1" w:styleId="Point4letter">
    <w:name w:val="Point 4 (letter)"/>
    <w:basedOn w:val="Normal"/>
    <w:rsid w:val="00315FC0"/>
    <w:pPr>
      <w:numPr>
        <w:ilvl w:val="8"/>
        <w:numId w:val="8"/>
      </w:numPr>
      <w:tabs>
        <w:tab w:val="clear" w:pos="3118"/>
        <w:tab w:val="num" w:pos="360"/>
        <w:tab w:val="num" w:pos="2551"/>
      </w:tabs>
      <w:spacing w:before="120" w:after="120" w:line="240" w:lineRule="auto"/>
      <w:ind w:left="2551" w:firstLine="0"/>
      <w:jc w:val="both"/>
    </w:pPr>
    <w:rPr>
      <w:rFonts w:ascii="Times New Roman" w:hAnsi="Times New Roman" w:cs="Times New Roman"/>
      <w:sz w:val="24"/>
    </w:rPr>
  </w:style>
  <w:style w:type="paragraph" w:customStyle="1" w:styleId="Bullet0">
    <w:name w:val="Bullet 0"/>
    <w:basedOn w:val="Normal"/>
    <w:rsid w:val="00315FC0"/>
    <w:pPr>
      <w:numPr>
        <w:numId w:val="9"/>
      </w:numPr>
      <w:tabs>
        <w:tab w:val="clear" w:pos="850"/>
        <w:tab w:val="num" w:pos="360"/>
        <w:tab w:val="num" w:pos="3118"/>
      </w:tabs>
      <w:spacing w:before="120" w:after="120" w:line="240" w:lineRule="auto"/>
      <w:ind w:left="3118" w:hanging="567"/>
      <w:jc w:val="both"/>
    </w:pPr>
    <w:rPr>
      <w:rFonts w:ascii="Times New Roman" w:hAnsi="Times New Roman" w:cs="Times New Roman"/>
      <w:sz w:val="24"/>
    </w:rPr>
  </w:style>
  <w:style w:type="paragraph" w:customStyle="1" w:styleId="Bullet1">
    <w:name w:val="Bullet 1"/>
    <w:basedOn w:val="Normal"/>
    <w:rsid w:val="00315FC0"/>
    <w:pPr>
      <w:numPr>
        <w:numId w:val="10"/>
      </w:numPr>
      <w:tabs>
        <w:tab w:val="clear" w:pos="1417"/>
        <w:tab w:val="num" w:pos="360"/>
        <w:tab w:val="num" w:pos="709"/>
      </w:tabs>
      <w:spacing w:before="120" w:after="120" w:line="240" w:lineRule="auto"/>
      <w:ind w:left="709" w:hanging="709"/>
      <w:jc w:val="both"/>
    </w:pPr>
    <w:rPr>
      <w:rFonts w:ascii="Times New Roman" w:hAnsi="Times New Roman" w:cs="Times New Roman"/>
      <w:sz w:val="24"/>
    </w:rPr>
  </w:style>
  <w:style w:type="paragraph" w:customStyle="1" w:styleId="Bullet2">
    <w:name w:val="Bullet 2"/>
    <w:basedOn w:val="Normal"/>
    <w:rsid w:val="00315FC0"/>
    <w:pPr>
      <w:numPr>
        <w:numId w:val="11"/>
      </w:numPr>
      <w:tabs>
        <w:tab w:val="clear" w:pos="1984"/>
        <w:tab w:val="num" w:pos="360"/>
        <w:tab w:val="num" w:pos="850"/>
      </w:tabs>
      <w:spacing w:before="120" w:after="120" w:line="240" w:lineRule="auto"/>
      <w:ind w:left="850" w:hanging="850"/>
      <w:jc w:val="both"/>
    </w:pPr>
    <w:rPr>
      <w:rFonts w:ascii="Times New Roman" w:hAnsi="Times New Roman" w:cs="Times New Roman"/>
      <w:sz w:val="24"/>
    </w:rPr>
  </w:style>
  <w:style w:type="paragraph" w:customStyle="1" w:styleId="Bullet3">
    <w:name w:val="Bullet 3"/>
    <w:basedOn w:val="Normal"/>
    <w:rsid w:val="00315FC0"/>
    <w:pPr>
      <w:numPr>
        <w:numId w:val="12"/>
      </w:numPr>
      <w:tabs>
        <w:tab w:val="clear" w:pos="2551"/>
        <w:tab w:val="num" w:pos="360"/>
      </w:tabs>
      <w:spacing w:before="120" w:after="120" w:line="240" w:lineRule="auto"/>
      <w:ind w:left="360" w:hanging="360"/>
      <w:jc w:val="both"/>
    </w:pPr>
    <w:rPr>
      <w:rFonts w:ascii="Times New Roman" w:hAnsi="Times New Roman" w:cs="Times New Roman"/>
      <w:sz w:val="24"/>
    </w:rPr>
  </w:style>
  <w:style w:type="paragraph" w:customStyle="1" w:styleId="Bullet4">
    <w:name w:val="Bullet 4"/>
    <w:basedOn w:val="Normal"/>
    <w:rsid w:val="00315FC0"/>
    <w:pPr>
      <w:numPr>
        <w:numId w:val="13"/>
      </w:numPr>
      <w:tabs>
        <w:tab w:val="clear" w:pos="3118"/>
        <w:tab w:val="num" w:pos="360"/>
        <w:tab w:val="num" w:pos="643"/>
      </w:tabs>
      <w:spacing w:before="120" w:after="120" w:line="240" w:lineRule="auto"/>
      <w:ind w:left="643" w:hanging="360"/>
      <w:jc w:val="both"/>
    </w:pPr>
    <w:rPr>
      <w:rFonts w:ascii="Times New Roman" w:hAnsi="Times New Roman" w:cs="Times New Roman"/>
      <w:sz w:val="24"/>
    </w:rPr>
  </w:style>
  <w:style w:type="paragraph" w:customStyle="1" w:styleId="Langue">
    <w:name w:val="Langue"/>
    <w:basedOn w:val="Normal"/>
    <w:next w:val="Rfrenceinterne"/>
    <w:rsid w:val="00315FC0"/>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Emission"/>
    <w:rsid w:val="00315FC0"/>
    <w:pPr>
      <w:spacing w:after="0" w:line="240" w:lineRule="auto"/>
    </w:pPr>
    <w:rPr>
      <w:rFonts w:ascii="Arial" w:hAnsi="Arial" w:cs="Arial"/>
      <w:sz w:val="24"/>
    </w:rPr>
  </w:style>
  <w:style w:type="paragraph" w:customStyle="1" w:styleId="Emission">
    <w:name w:val="Emission"/>
    <w:basedOn w:val="Normal"/>
    <w:next w:val="Rfrenceinstitutionnelle"/>
    <w:rsid w:val="00315FC0"/>
    <w:pPr>
      <w:spacing w:after="0" w:line="240" w:lineRule="auto"/>
      <w:ind w:left="5103"/>
    </w:pPr>
    <w:rPr>
      <w:rFonts w:ascii="Times New Roman" w:hAnsi="Times New Roman" w:cs="Times New Roman"/>
      <w:sz w:val="24"/>
    </w:rPr>
  </w:style>
  <w:style w:type="paragraph" w:customStyle="1" w:styleId="Rfrenceinstitutionnelle">
    <w:name w:val="Référence institutionnelle"/>
    <w:basedOn w:val="Normal"/>
    <w:next w:val="Confidentialit"/>
    <w:rsid w:val="00315FC0"/>
    <w:pPr>
      <w:spacing w:after="240" w:line="240" w:lineRule="auto"/>
      <w:ind w:left="5103"/>
    </w:pPr>
    <w:rPr>
      <w:rFonts w:ascii="Times New Roman" w:hAnsi="Times New Roman" w:cs="Times New Roman"/>
      <w:sz w:val="24"/>
    </w:rPr>
  </w:style>
  <w:style w:type="paragraph" w:customStyle="1" w:styleId="Pagedecouverture">
    <w:name w:val="Page de couverture"/>
    <w:basedOn w:val="Normal"/>
    <w:next w:val="Normal"/>
    <w:rsid w:val="00315FC0"/>
    <w:pPr>
      <w:spacing w:after="0" w:line="240" w:lineRule="auto"/>
      <w:jc w:val="both"/>
    </w:pPr>
    <w:rPr>
      <w:rFonts w:ascii="Times New Roman" w:hAnsi="Times New Roman" w:cs="Times New Roman"/>
      <w:sz w:val="24"/>
    </w:rPr>
  </w:style>
  <w:style w:type="paragraph" w:customStyle="1" w:styleId="Declassification">
    <w:name w:val="Declassification"/>
    <w:basedOn w:val="Normal"/>
    <w:next w:val="Normal"/>
    <w:rsid w:val="00315FC0"/>
    <w:pPr>
      <w:spacing w:after="0" w:line="240" w:lineRule="auto"/>
      <w:jc w:val="both"/>
    </w:pPr>
    <w:rPr>
      <w:rFonts w:ascii="Times New Roman" w:hAnsi="Times New Roman" w:cs="Times New Roman"/>
      <w:sz w:val="24"/>
    </w:rPr>
  </w:style>
  <w:style w:type="paragraph" w:customStyle="1" w:styleId="Disclaimer">
    <w:name w:val="Disclaimer"/>
    <w:basedOn w:val="Normal"/>
    <w:rsid w:val="00315FC0"/>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315FC0"/>
    <w:pPr>
      <w:spacing w:after="0"/>
      <w:ind w:left="5103"/>
    </w:pPr>
    <w:rPr>
      <w:rFonts w:ascii="Times New Roman" w:eastAsiaTheme="minorHAnsi" w:hAnsi="Times New Roman" w:cs="Times New Roman"/>
      <w:sz w:val="28"/>
    </w:rPr>
  </w:style>
  <w:style w:type="paragraph" w:customStyle="1" w:styleId="DateMarking">
    <w:name w:val="DateMarking"/>
    <w:basedOn w:val="Normal"/>
    <w:rsid w:val="00315FC0"/>
    <w:pPr>
      <w:spacing w:after="0"/>
      <w:ind w:left="5103"/>
    </w:pPr>
    <w:rPr>
      <w:rFonts w:ascii="Times New Roman" w:eastAsiaTheme="minorHAnsi" w:hAnsi="Times New Roman" w:cs="Times New Roman"/>
      <w:i/>
      <w:sz w:val="28"/>
    </w:rPr>
  </w:style>
  <w:style w:type="paragraph" w:customStyle="1" w:styleId="ReleasableTo">
    <w:name w:val="ReleasableTo"/>
    <w:basedOn w:val="Normal"/>
    <w:rsid w:val="00315FC0"/>
    <w:pPr>
      <w:spacing w:after="0"/>
      <w:ind w:left="5103"/>
    </w:pPr>
    <w:rPr>
      <w:rFonts w:ascii="Times New Roman" w:eastAsiaTheme="minorHAnsi" w:hAnsi="Times New Roman" w:cs="Times New Roman"/>
      <w:i/>
      <w:sz w:val="28"/>
    </w:rPr>
  </w:style>
  <w:style w:type="paragraph" w:customStyle="1" w:styleId="Annexetitreexpos">
    <w:name w:val="Annexe titre (exposé)"/>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
    <w:name w:val="Annex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nnexetitrefichefinancire">
    <w:name w:val="Annexe titre (fiche financiè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Applicationdirecte">
    <w:name w:val="Application directe"/>
    <w:basedOn w:val="Normal"/>
    <w:next w:val="Fait"/>
    <w:rsid w:val="00315FC0"/>
    <w:pPr>
      <w:spacing w:before="480" w:after="120" w:line="240" w:lineRule="auto"/>
      <w:jc w:val="both"/>
    </w:pPr>
    <w:rPr>
      <w:rFonts w:ascii="Times New Roman" w:hAnsi="Times New Roman" w:cs="Times New Roman"/>
      <w:sz w:val="24"/>
    </w:rPr>
  </w:style>
  <w:style w:type="paragraph" w:customStyle="1" w:styleId="Avertissementtitre">
    <w:name w:val="Avertissement titre"/>
    <w:basedOn w:val="Normal"/>
    <w:next w:val="Normal"/>
    <w:rsid w:val="00315FC0"/>
    <w:pPr>
      <w:keepNext/>
      <w:spacing w:before="480" w:after="120" w:line="240" w:lineRule="auto"/>
      <w:jc w:val="both"/>
    </w:pPr>
    <w:rPr>
      <w:rFonts w:ascii="Times New Roman" w:hAnsi="Times New Roman" w:cs="Times New Roman"/>
      <w:sz w:val="24"/>
      <w:u w:val="single"/>
    </w:rPr>
  </w:style>
  <w:style w:type="paragraph" w:customStyle="1" w:styleId="Confidence">
    <w:name w:val="Confidence"/>
    <w:basedOn w:val="Normal"/>
    <w:next w:val="Normal"/>
    <w:rsid w:val="00315FC0"/>
    <w:pPr>
      <w:spacing w:before="360" w:after="120" w:line="240" w:lineRule="auto"/>
      <w:jc w:val="center"/>
    </w:pPr>
    <w:rPr>
      <w:rFonts w:ascii="Times New Roman" w:hAnsi="Times New Roman" w:cs="Times New Roman"/>
      <w:sz w:val="24"/>
    </w:rPr>
  </w:style>
  <w:style w:type="paragraph" w:customStyle="1" w:styleId="Confidentialit">
    <w:name w:val="Confidentialité"/>
    <w:basedOn w:val="Normal"/>
    <w:next w:val="TypedudocumentPagedecouverture"/>
    <w:rsid w:val="00315FC0"/>
    <w:pPr>
      <w:spacing w:before="240" w:after="240" w:line="240" w:lineRule="auto"/>
      <w:ind w:left="5103"/>
    </w:pPr>
    <w:rPr>
      <w:rFonts w:ascii="Times New Roman" w:hAnsi="Times New Roman" w:cs="Times New Roman"/>
      <w:i/>
      <w:sz w:val="32"/>
    </w:rPr>
  </w:style>
  <w:style w:type="paragraph" w:customStyle="1" w:styleId="Considrant">
    <w:name w:val="Considérant"/>
    <w:basedOn w:val="Normal"/>
    <w:rsid w:val="00315FC0"/>
    <w:pPr>
      <w:numPr>
        <w:numId w:val="14"/>
      </w:numPr>
      <w:tabs>
        <w:tab w:val="clear" w:pos="709"/>
        <w:tab w:val="num" w:pos="360"/>
        <w:tab w:val="num" w:pos="926"/>
      </w:tabs>
      <w:spacing w:before="120" w:after="120" w:line="240" w:lineRule="auto"/>
      <w:ind w:left="926" w:hanging="360"/>
      <w:jc w:val="both"/>
    </w:pPr>
    <w:rPr>
      <w:rFonts w:ascii="Times New Roman" w:hAnsi="Times New Roman" w:cs="Times New Roman"/>
      <w:sz w:val="24"/>
    </w:rPr>
  </w:style>
  <w:style w:type="paragraph" w:customStyle="1" w:styleId="Corrigendum">
    <w:name w:val="Corrigendum"/>
    <w:basedOn w:val="Normal"/>
    <w:next w:val="Normal"/>
    <w:rsid w:val="00315FC0"/>
    <w:pPr>
      <w:spacing w:after="240" w:line="240" w:lineRule="auto"/>
    </w:pPr>
    <w:rPr>
      <w:rFonts w:ascii="Times New Roman" w:hAnsi="Times New Roman" w:cs="Times New Roman"/>
      <w:sz w:val="24"/>
    </w:rPr>
  </w:style>
  <w:style w:type="paragraph" w:customStyle="1" w:styleId="Datedadoption">
    <w:name w:val="Date d'adoption"/>
    <w:basedOn w:val="Normal"/>
    <w:next w:val="IntrtEEE"/>
    <w:rsid w:val="00315FC0"/>
    <w:pPr>
      <w:spacing w:before="360" w:after="0" w:line="240" w:lineRule="auto"/>
      <w:jc w:val="center"/>
    </w:pPr>
    <w:rPr>
      <w:rFonts w:ascii="Times New Roman" w:hAnsi="Times New Roman" w:cs="Times New Roman"/>
      <w:b/>
      <w:sz w:val="24"/>
    </w:rPr>
  </w:style>
  <w:style w:type="paragraph" w:customStyle="1" w:styleId="Exposdesmotifstitre">
    <w:name w:val="Exposé des motifs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Fait">
    <w:name w:val="Fait à"/>
    <w:basedOn w:val="Normal"/>
    <w:next w:val="Institutionquisigne"/>
    <w:rsid w:val="00315FC0"/>
    <w:pPr>
      <w:keepNext/>
      <w:spacing w:before="120" w:after="0" w:line="240" w:lineRule="auto"/>
      <w:jc w:val="both"/>
    </w:pPr>
    <w:rPr>
      <w:rFonts w:ascii="Times New Roman" w:hAnsi="Times New Roman" w:cs="Times New Roman"/>
      <w:sz w:val="24"/>
    </w:rPr>
  </w:style>
  <w:style w:type="paragraph" w:customStyle="1" w:styleId="Formuledadoption">
    <w:name w:val="Formule d'adoption"/>
    <w:basedOn w:val="Normal"/>
    <w:next w:val="Titrearticle"/>
    <w:rsid w:val="00315FC0"/>
    <w:pPr>
      <w:keepNext/>
      <w:spacing w:before="120" w:after="120" w:line="240" w:lineRule="auto"/>
      <w:jc w:val="both"/>
    </w:pPr>
    <w:rPr>
      <w:rFonts w:ascii="Times New Roman" w:hAnsi="Times New Roman" w:cs="Times New Roman"/>
      <w:sz w:val="24"/>
    </w:rPr>
  </w:style>
  <w:style w:type="paragraph" w:customStyle="1" w:styleId="Institutionquiagit">
    <w:name w:val="Institution qui agit"/>
    <w:basedOn w:val="Normal"/>
    <w:next w:val="Normal"/>
    <w:rsid w:val="00315FC0"/>
    <w:pPr>
      <w:keepNext/>
      <w:spacing w:before="600" w:after="120" w:line="240" w:lineRule="auto"/>
      <w:jc w:val="both"/>
    </w:pPr>
    <w:rPr>
      <w:rFonts w:ascii="Times New Roman" w:hAnsi="Times New Roman" w:cs="Times New Roman"/>
      <w:sz w:val="24"/>
    </w:rPr>
  </w:style>
  <w:style w:type="paragraph" w:customStyle="1" w:styleId="Institutionquisigne">
    <w:name w:val="Institution qui signe"/>
    <w:basedOn w:val="Normal"/>
    <w:next w:val="Personnequisigne"/>
    <w:rsid w:val="00315FC0"/>
    <w:pPr>
      <w:keepNext/>
      <w:tabs>
        <w:tab w:val="left" w:pos="4252"/>
      </w:tabs>
      <w:spacing w:before="720" w:after="0" w:line="240" w:lineRule="auto"/>
      <w:jc w:val="both"/>
    </w:pPr>
    <w:rPr>
      <w:rFonts w:ascii="Times New Roman" w:hAnsi="Times New Roman" w:cs="Times New Roman"/>
      <w:i/>
      <w:sz w:val="24"/>
    </w:rPr>
  </w:style>
  <w:style w:type="paragraph" w:customStyle="1" w:styleId="ManualConsidrant">
    <w:name w:val="Manual Considérant"/>
    <w:basedOn w:val="Normal"/>
    <w:rsid w:val="00315FC0"/>
    <w:pPr>
      <w:spacing w:before="120" w:after="120" w:line="240" w:lineRule="auto"/>
      <w:ind w:left="709" w:hanging="709"/>
      <w:jc w:val="both"/>
    </w:pPr>
    <w:rPr>
      <w:rFonts w:ascii="Times New Roman" w:hAnsi="Times New Roman" w:cs="Times New Roman"/>
      <w:sz w:val="24"/>
    </w:rPr>
  </w:style>
  <w:style w:type="paragraph" w:customStyle="1" w:styleId="Personnequisigne">
    <w:name w:val="Personne qui signe"/>
    <w:basedOn w:val="Normal"/>
    <w:next w:val="Institutionquisigne"/>
    <w:rsid w:val="00315FC0"/>
    <w:pPr>
      <w:tabs>
        <w:tab w:val="left" w:pos="4252"/>
      </w:tabs>
      <w:spacing w:after="0" w:line="240" w:lineRule="auto"/>
    </w:pPr>
    <w:rPr>
      <w:rFonts w:ascii="Times New Roman" w:hAnsi="Times New Roman" w:cs="Times New Roman"/>
      <w:i/>
      <w:sz w:val="24"/>
    </w:rPr>
  </w:style>
  <w:style w:type="paragraph" w:customStyle="1" w:styleId="Rfrenceinterinstitutionnelle">
    <w:name w:val="Référence interinstitutionnelle"/>
    <w:basedOn w:val="Normal"/>
    <w:next w:val="Statut"/>
    <w:rsid w:val="00315FC0"/>
    <w:pPr>
      <w:spacing w:after="0" w:line="240" w:lineRule="auto"/>
      <w:ind w:left="5103"/>
    </w:pPr>
    <w:rPr>
      <w:rFonts w:ascii="Times New Roman" w:hAnsi="Times New Roman" w:cs="Times New Roman"/>
      <w:sz w:val="24"/>
    </w:rPr>
  </w:style>
  <w:style w:type="paragraph" w:customStyle="1" w:styleId="Rfrenceinterne">
    <w:name w:val="Référence interne"/>
    <w:basedOn w:val="Normal"/>
    <w:next w:val="Rfrenceinterinstitutionnelle"/>
    <w:rsid w:val="00315FC0"/>
    <w:pPr>
      <w:spacing w:after="0" w:line="240" w:lineRule="auto"/>
      <w:ind w:left="5103"/>
    </w:pPr>
    <w:rPr>
      <w:rFonts w:ascii="Times New Roman" w:hAnsi="Times New Roman" w:cs="Times New Roman"/>
      <w:sz w:val="24"/>
    </w:rPr>
  </w:style>
  <w:style w:type="paragraph" w:customStyle="1" w:styleId="Statut">
    <w:name w:val="Statut"/>
    <w:basedOn w:val="Normal"/>
    <w:next w:val="Typedudocument"/>
    <w:rsid w:val="00315FC0"/>
    <w:pPr>
      <w:spacing w:after="240" w:line="240" w:lineRule="auto"/>
      <w:jc w:val="center"/>
    </w:pPr>
    <w:rPr>
      <w:rFonts w:ascii="Times New Roman" w:hAnsi="Times New Roman" w:cs="Times New Roman"/>
      <w:sz w:val="24"/>
    </w:rPr>
  </w:style>
  <w:style w:type="paragraph" w:customStyle="1" w:styleId="Titrearticle">
    <w:name w:val="Titre article"/>
    <w:basedOn w:val="Normal"/>
    <w:next w:val="Normal"/>
    <w:rsid w:val="00315FC0"/>
    <w:pPr>
      <w:keepNext/>
      <w:spacing w:before="360" w:after="120" w:line="240" w:lineRule="auto"/>
      <w:jc w:val="center"/>
    </w:pPr>
    <w:rPr>
      <w:rFonts w:ascii="Times New Roman" w:hAnsi="Times New Roman" w:cs="Times New Roman"/>
      <w:i/>
      <w:sz w:val="24"/>
    </w:rPr>
  </w:style>
  <w:style w:type="paragraph" w:customStyle="1" w:styleId="Typedudocument">
    <w:name w:val="Type du document"/>
    <w:basedOn w:val="Normal"/>
    <w:next w:val="Accompagnant"/>
    <w:rsid w:val="00315FC0"/>
    <w:pPr>
      <w:spacing w:before="360" w:after="180" w:line="240" w:lineRule="auto"/>
      <w:jc w:val="center"/>
    </w:pPr>
    <w:rPr>
      <w:rFonts w:ascii="Times New Roman" w:hAnsi="Times New Roman" w:cs="Times New Roman"/>
      <w:b/>
      <w:sz w:val="24"/>
    </w:rPr>
  </w:style>
  <w:style w:type="character" w:customStyle="1" w:styleId="Added">
    <w:name w:val="Added"/>
    <w:rsid w:val="00315FC0"/>
    <w:rPr>
      <w:b/>
      <w:u w:val="single"/>
      <w:shd w:val="clear" w:color="auto" w:fill="auto"/>
    </w:rPr>
  </w:style>
  <w:style w:type="character" w:customStyle="1" w:styleId="Deleted">
    <w:name w:val="Deleted"/>
    <w:rsid w:val="00315FC0"/>
    <w:rPr>
      <w:strike/>
      <w:dstrike w:val="0"/>
      <w:shd w:val="clear" w:color="auto" w:fill="auto"/>
    </w:rPr>
  </w:style>
  <w:style w:type="paragraph" w:customStyle="1" w:styleId="Address">
    <w:name w:val="Address"/>
    <w:basedOn w:val="Normal"/>
    <w:next w:val="Normal"/>
    <w:rsid w:val="00315FC0"/>
    <w:pPr>
      <w:keepLines/>
      <w:spacing w:before="120" w:after="120" w:line="360" w:lineRule="auto"/>
      <w:ind w:left="3402"/>
    </w:pPr>
    <w:rPr>
      <w:rFonts w:ascii="Times New Roman" w:hAnsi="Times New Roman" w:cs="Times New Roman"/>
      <w:sz w:val="24"/>
    </w:rPr>
  </w:style>
  <w:style w:type="paragraph" w:customStyle="1" w:styleId="Objetexterne">
    <w:name w:val="Objet externe"/>
    <w:basedOn w:val="Normal"/>
    <w:next w:val="Normal"/>
    <w:rsid w:val="00315FC0"/>
    <w:pPr>
      <w:spacing w:before="120" w:after="120" w:line="240" w:lineRule="auto"/>
      <w:jc w:val="both"/>
    </w:pPr>
    <w:rPr>
      <w:rFonts w:ascii="Times New Roman" w:hAnsi="Times New Roman" w:cs="Times New Roman"/>
      <w:i/>
      <w:caps/>
      <w:sz w:val="24"/>
    </w:rPr>
  </w:style>
  <w:style w:type="paragraph" w:customStyle="1" w:styleId="Supertitre">
    <w:name w:val="Supertitre"/>
    <w:basedOn w:val="Normal"/>
    <w:next w:val="Normal"/>
    <w:rsid w:val="00315FC0"/>
    <w:pPr>
      <w:spacing w:after="600" w:line="240" w:lineRule="auto"/>
      <w:jc w:val="center"/>
    </w:pPr>
    <w:rPr>
      <w:rFonts w:ascii="Times New Roman" w:hAnsi="Times New Roman" w:cs="Times New Roman"/>
      <w:b/>
      <w:sz w:val="24"/>
    </w:rPr>
  </w:style>
  <w:style w:type="paragraph" w:customStyle="1" w:styleId="Languesfaisantfoi">
    <w:name w:val="Langues faisant foi"/>
    <w:basedOn w:val="Normal"/>
    <w:next w:val="Normal"/>
    <w:rsid w:val="00315FC0"/>
    <w:pPr>
      <w:spacing w:before="360" w:after="0" w:line="240" w:lineRule="auto"/>
      <w:jc w:val="center"/>
    </w:pPr>
    <w:rPr>
      <w:rFonts w:ascii="Times New Roman" w:hAnsi="Times New Roman" w:cs="Times New Roman"/>
      <w:sz w:val="24"/>
    </w:rPr>
  </w:style>
  <w:style w:type="paragraph" w:customStyle="1" w:styleId="Rfrencecroise">
    <w:name w:val="Référence croisée"/>
    <w:basedOn w:val="Normal"/>
    <w:rsid w:val="00315FC0"/>
    <w:pPr>
      <w:spacing w:after="0" w:line="240" w:lineRule="auto"/>
      <w:jc w:val="center"/>
    </w:pPr>
    <w:rPr>
      <w:rFonts w:ascii="Times New Roman" w:hAnsi="Times New Roman" w:cs="Times New Roman"/>
      <w:sz w:val="24"/>
    </w:rPr>
  </w:style>
  <w:style w:type="paragraph" w:customStyle="1" w:styleId="Fichefinanciretitre">
    <w:name w:val="Fiche financière titre"/>
    <w:basedOn w:val="Normal"/>
    <w:next w:val="Normal"/>
    <w:rsid w:val="00315FC0"/>
    <w:pPr>
      <w:spacing w:before="120" w:after="120" w:line="240" w:lineRule="auto"/>
      <w:jc w:val="center"/>
    </w:pPr>
    <w:rPr>
      <w:rFonts w:ascii="Times New Roman" w:hAnsi="Times New Roman" w:cs="Times New Roman"/>
      <w:b/>
      <w:sz w:val="24"/>
      <w:u w:val="single"/>
    </w:rPr>
  </w:style>
  <w:style w:type="paragraph" w:customStyle="1" w:styleId="DatedadoptionPagedecouverture">
    <w:name w:val="Date d'adoption (Page de couverture)"/>
    <w:basedOn w:val="Datedadoption"/>
    <w:next w:val="IntrtEEEPagedecouverture"/>
    <w:rsid w:val="00315FC0"/>
  </w:style>
  <w:style w:type="paragraph" w:customStyle="1" w:styleId="RfrenceinterinstitutionnellePagedecouverture">
    <w:name w:val="Référence interinstitutionnelle (Page de couverture)"/>
    <w:basedOn w:val="Rfrenceinterinstitutionnelle"/>
    <w:next w:val="Confidentialit"/>
    <w:rsid w:val="00315FC0"/>
  </w:style>
  <w:style w:type="paragraph" w:customStyle="1" w:styleId="StatutPagedecouverture">
    <w:name w:val="Statut (Page de couverture)"/>
    <w:basedOn w:val="Statut"/>
    <w:next w:val="TypedudocumentPagedecouverture"/>
    <w:rsid w:val="00315FC0"/>
  </w:style>
  <w:style w:type="paragraph" w:customStyle="1" w:styleId="TypedudocumentPagedecouverture">
    <w:name w:val="Type du document (Page de couverture)"/>
    <w:basedOn w:val="Typedudocument"/>
    <w:next w:val="AccompagnantPagedecouverture"/>
    <w:rsid w:val="00315FC0"/>
  </w:style>
  <w:style w:type="paragraph" w:customStyle="1" w:styleId="Volume">
    <w:name w:val="Volume"/>
    <w:basedOn w:val="Normal"/>
    <w:next w:val="Confidentialit"/>
    <w:rsid w:val="00315FC0"/>
    <w:pPr>
      <w:spacing w:after="240" w:line="240" w:lineRule="auto"/>
      <w:ind w:left="5103"/>
    </w:pPr>
    <w:rPr>
      <w:rFonts w:ascii="Times New Roman" w:hAnsi="Times New Roman" w:cs="Times New Roman"/>
      <w:sz w:val="24"/>
    </w:rPr>
  </w:style>
  <w:style w:type="paragraph" w:customStyle="1" w:styleId="IntrtEEE">
    <w:name w:val="Intérêt EEE"/>
    <w:basedOn w:val="Languesfaisantfoi"/>
    <w:next w:val="Normal"/>
    <w:rsid w:val="00315FC0"/>
    <w:pPr>
      <w:spacing w:after="240"/>
    </w:pPr>
  </w:style>
  <w:style w:type="paragraph" w:customStyle="1" w:styleId="Accompagnant">
    <w:name w:val="Accompagnant"/>
    <w:basedOn w:val="Normal"/>
    <w:next w:val="Typeacteprincipal"/>
    <w:rsid w:val="00315FC0"/>
    <w:pPr>
      <w:spacing w:before="180" w:after="240" w:line="240" w:lineRule="auto"/>
      <w:jc w:val="center"/>
    </w:pPr>
    <w:rPr>
      <w:rFonts w:ascii="Times New Roman" w:hAnsi="Times New Roman" w:cs="Times New Roman"/>
      <w:b/>
      <w:sz w:val="24"/>
    </w:rPr>
  </w:style>
  <w:style w:type="paragraph" w:customStyle="1" w:styleId="Typeacteprincipal">
    <w:name w:val="Type acte principal"/>
    <w:basedOn w:val="Normal"/>
    <w:next w:val="Objetacteprincipal"/>
    <w:rsid w:val="00315FC0"/>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Titrearticle"/>
    <w:rsid w:val="00315FC0"/>
    <w:pPr>
      <w:spacing w:after="360" w:line="240" w:lineRule="auto"/>
      <w:jc w:val="center"/>
    </w:pPr>
    <w:rPr>
      <w:rFonts w:ascii="Times New Roman" w:hAnsi="Times New Roman" w:cs="Times New Roman"/>
      <w:b/>
      <w:sz w:val="24"/>
    </w:rPr>
  </w:style>
  <w:style w:type="paragraph" w:customStyle="1" w:styleId="IntrtEEEPagedecouverture">
    <w:name w:val="Intérêt EEE (Page de couverture)"/>
    <w:basedOn w:val="IntrtEEE"/>
    <w:next w:val="Rfrencecroise"/>
    <w:rsid w:val="00315FC0"/>
  </w:style>
  <w:style w:type="paragraph" w:customStyle="1" w:styleId="AccompagnantPagedecouverture">
    <w:name w:val="Accompagnant (Page de couverture)"/>
    <w:basedOn w:val="Accompagnant"/>
    <w:next w:val="TypeacteprincipalPagedecouverture"/>
    <w:rsid w:val="00315FC0"/>
  </w:style>
  <w:style w:type="paragraph" w:customStyle="1" w:styleId="TypeacteprincipalPagedecouverture">
    <w:name w:val="Type acte principal (Page de couverture)"/>
    <w:basedOn w:val="Typeacteprincipal"/>
    <w:next w:val="ObjetacteprincipalPagedecouverture"/>
    <w:rsid w:val="00315FC0"/>
  </w:style>
  <w:style w:type="paragraph" w:customStyle="1" w:styleId="ObjetacteprincipalPagedecouverture">
    <w:name w:val="Objet acte principal (Page de couverture)"/>
    <w:basedOn w:val="Objetacteprincipal"/>
    <w:next w:val="Rfrencecroise"/>
    <w:rsid w:val="00315FC0"/>
  </w:style>
  <w:style w:type="paragraph" w:customStyle="1" w:styleId="LanguesfaisantfoiPagedecouverture">
    <w:name w:val="Langues faisant foi (Page de couverture)"/>
    <w:basedOn w:val="Normal"/>
    <w:next w:val="Normal"/>
    <w:rsid w:val="00315FC0"/>
    <w:pPr>
      <w:spacing w:before="360" w:after="0" w:line="240" w:lineRule="auto"/>
      <w:jc w:val="center"/>
    </w:pPr>
    <w:rPr>
      <w:rFonts w:ascii="Times New Roman" w:hAnsi="Times New Roman" w:cs="Times New Roman"/>
      <w:sz w:val="24"/>
    </w:rPr>
  </w:style>
  <w:style w:type="paragraph" w:styleId="BalloonText">
    <w:name w:val="Balloon Text"/>
    <w:basedOn w:val="Normal"/>
    <w:link w:val="BalloonTextChar"/>
    <w:uiPriority w:val="99"/>
    <w:semiHidden/>
    <w:unhideWhenUsed/>
    <w:rsid w:val="00315FC0"/>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FC0"/>
    <w:rPr>
      <w:rFonts w:ascii="Segoe UI" w:eastAsia="Calibri" w:hAnsi="Segoe UI" w:cs="Segoe UI"/>
      <w:kern w:val="0"/>
      <w:sz w:val="18"/>
      <w:szCs w:val="18"/>
      <w:lang w:val="de-DE"/>
    </w:rPr>
  </w:style>
  <w:style w:type="paragraph" w:styleId="ListBullet">
    <w:name w:val="List Bullet"/>
    <w:basedOn w:val="Normal"/>
    <w:uiPriority w:val="99"/>
    <w:semiHidden/>
    <w:unhideWhenUsed/>
    <w:rsid w:val="00315FC0"/>
    <w:pPr>
      <w:numPr>
        <w:numId w:val="15"/>
      </w:numPr>
      <w:tabs>
        <w:tab w:val="clear" w:pos="360"/>
      </w:tabs>
      <w:spacing w:before="120" w:after="120" w:line="240" w:lineRule="auto"/>
      <w:ind w:left="0" w:firstLine="0"/>
      <w:contextualSpacing/>
      <w:jc w:val="both"/>
    </w:pPr>
    <w:rPr>
      <w:rFonts w:ascii="Times New Roman" w:hAnsi="Times New Roman" w:cs="Times New Roman"/>
      <w:sz w:val="24"/>
    </w:rPr>
  </w:style>
  <w:style w:type="paragraph" w:styleId="ListBullet2">
    <w:name w:val="List Bullet 2"/>
    <w:basedOn w:val="Normal"/>
    <w:uiPriority w:val="99"/>
    <w:semiHidden/>
    <w:unhideWhenUsed/>
    <w:rsid w:val="00315FC0"/>
    <w:pPr>
      <w:numPr>
        <w:numId w:val="16"/>
      </w:numPr>
      <w:tabs>
        <w:tab w:val="clear" w:pos="643"/>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3">
    <w:name w:val="List Bullet 3"/>
    <w:basedOn w:val="Normal"/>
    <w:uiPriority w:val="99"/>
    <w:semiHidden/>
    <w:unhideWhenUsed/>
    <w:rsid w:val="00315FC0"/>
    <w:pPr>
      <w:numPr>
        <w:numId w:val="17"/>
      </w:numPr>
      <w:tabs>
        <w:tab w:val="clear" w:pos="926"/>
        <w:tab w:val="num" w:pos="360"/>
      </w:tabs>
      <w:spacing w:before="120" w:after="120" w:line="240" w:lineRule="auto"/>
      <w:ind w:left="720" w:firstLine="0"/>
      <w:contextualSpacing/>
      <w:jc w:val="both"/>
    </w:pPr>
    <w:rPr>
      <w:rFonts w:ascii="Times New Roman" w:hAnsi="Times New Roman" w:cs="Times New Roman"/>
      <w:sz w:val="24"/>
    </w:rPr>
  </w:style>
  <w:style w:type="paragraph" w:styleId="ListBullet4">
    <w:name w:val="List Bullet 4"/>
    <w:basedOn w:val="Normal"/>
    <w:uiPriority w:val="99"/>
    <w:semiHidden/>
    <w:unhideWhenUsed/>
    <w:rsid w:val="00315FC0"/>
    <w:pPr>
      <w:numPr>
        <w:numId w:val="18"/>
      </w:numPr>
      <w:tabs>
        <w:tab w:val="num" w:pos="360"/>
      </w:tabs>
      <w:spacing w:before="120" w:after="120" w:line="240" w:lineRule="auto"/>
      <w:ind w:left="720" w:firstLine="0"/>
      <w:contextualSpacing/>
      <w:jc w:val="both"/>
    </w:pPr>
    <w:rPr>
      <w:rFonts w:ascii="Times New Roman" w:hAnsi="Times New Roman" w:cs="Times New Roman"/>
      <w:sz w:val="24"/>
    </w:rPr>
  </w:style>
  <w:style w:type="paragraph" w:customStyle="1" w:styleId="FooterCoverPage">
    <w:name w:val="Footer Cover Page"/>
    <w:basedOn w:val="Normal"/>
    <w:link w:val="FooterCoverPageChar"/>
    <w:rsid w:val="00315FC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link w:val="FooterCoverPage"/>
    <w:rsid w:val="00315FC0"/>
    <w:rPr>
      <w:rFonts w:ascii="Times New Roman" w:eastAsia="Calibri" w:hAnsi="Times New Roman" w:cs="Times New Roman"/>
      <w:kern w:val="0"/>
      <w:sz w:val="24"/>
    </w:rPr>
  </w:style>
  <w:style w:type="paragraph" w:customStyle="1" w:styleId="HeaderCoverPage">
    <w:name w:val="Header Cover Page"/>
    <w:basedOn w:val="Normal"/>
    <w:link w:val="HeaderCoverPageChar"/>
    <w:rsid w:val="00315FC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link w:val="HeaderCoverPage"/>
    <w:rsid w:val="00315FC0"/>
    <w:rPr>
      <w:rFonts w:ascii="Times New Roman" w:eastAsia="Calibri" w:hAnsi="Times New Roman" w:cs="Times New Roman"/>
      <w:kern w:val="0"/>
      <w:sz w:val="24"/>
    </w:rPr>
  </w:style>
  <w:style w:type="numbering" w:customStyle="1" w:styleId="NoList2">
    <w:name w:val="No List2"/>
    <w:next w:val="NoList"/>
    <w:uiPriority w:val="99"/>
    <w:semiHidden/>
    <w:unhideWhenUsed/>
    <w:rsid w:val="00315FC0"/>
  </w:style>
  <w:style w:type="paragraph" w:customStyle="1" w:styleId="Titreobjet">
    <w:name w:val="Titre objet"/>
    <w:basedOn w:val="Normal"/>
    <w:next w:val="IntrtEEE"/>
    <w:rsid w:val="00315FC0"/>
    <w:pPr>
      <w:spacing w:before="360" w:after="360" w:line="240" w:lineRule="auto"/>
      <w:jc w:val="center"/>
    </w:pPr>
    <w:rPr>
      <w:rFonts w:ascii="Times New Roman" w:hAnsi="Times New Roman" w:cs="Times New Roman"/>
      <w:b/>
      <w:sz w:val="24"/>
    </w:rPr>
  </w:style>
  <w:style w:type="paragraph" w:customStyle="1" w:styleId="TitreobjetPagedecouverture">
    <w:name w:val="Titre objet (Page de couverture)"/>
    <w:basedOn w:val="Titreobjet"/>
    <w:next w:val="IntrtEEEPagedecouverture"/>
    <w:rsid w:val="00315FC0"/>
  </w:style>
  <w:style w:type="numbering" w:customStyle="1" w:styleId="NoList3">
    <w:name w:val="No List3"/>
    <w:next w:val="NoList"/>
    <w:uiPriority w:val="99"/>
    <w:semiHidden/>
    <w:unhideWhenUsed/>
    <w:rsid w:val="00315FC0"/>
  </w:style>
  <w:style w:type="character" w:customStyle="1" w:styleId="findhit">
    <w:name w:val="findhit"/>
    <w:basedOn w:val="DefaultParagraphFont"/>
    <w:rsid w:val="00315FC0"/>
  </w:style>
  <w:style w:type="numbering" w:customStyle="1" w:styleId="NoList4">
    <w:name w:val="No List4"/>
    <w:next w:val="NoList"/>
    <w:uiPriority w:val="99"/>
    <w:semiHidden/>
    <w:unhideWhenUsed/>
    <w:rsid w:val="00315FC0"/>
  </w:style>
  <w:style w:type="paragraph" w:customStyle="1" w:styleId="TechnicalBlock">
    <w:name w:val="Technical Block"/>
    <w:basedOn w:val="Normal"/>
    <w:link w:val="TechnicalBlockChar"/>
    <w:rsid w:val="00315FC0"/>
    <w:pPr>
      <w:spacing w:after="240" w:line="240" w:lineRule="auto"/>
      <w:jc w:val="center"/>
    </w:pPr>
  </w:style>
  <w:style w:type="character" w:customStyle="1" w:styleId="TechnicalBlockChar">
    <w:name w:val="Technical Block Char"/>
    <w:basedOn w:val="DefaultParagraphFont"/>
    <w:link w:val="TechnicalBlock"/>
    <w:rsid w:val="00315FC0"/>
    <w:rPr>
      <w:rFonts w:ascii="Calibri" w:eastAsia="Calibri" w:hAnsi="Calibri" w:cs="Myanmar Text"/>
      <w:kern w:val="0"/>
      <w:lang w:val="de-DE"/>
    </w:rPr>
  </w:style>
  <w:style w:type="paragraph" w:customStyle="1" w:styleId="EntText">
    <w:name w:val="EntText"/>
    <w:basedOn w:val="Normal"/>
    <w:rsid w:val="00315FC0"/>
    <w:pPr>
      <w:spacing w:before="120" w:after="120" w:line="360" w:lineRule="auto"/>
    </w:pPr>
    <w:rPr>
      <w:rFonts w:ascii="Times New Roman" w:eastAsiaTheme="minorHAnsi" w:hAnsi="Times New Roman" w:cs="Times New Roman"/>
      <w:sz w:val="24"/>
    </w:rPr>
  </w:style>
  <w:style w:type="paragraph" w:customStyle="1" w:styleId="Lignefinal">
    <w:name w:val="Ligne final"/>
    <w:basedOn w:val="Normal"/>
    <w:next w:val="Normal"/>
    <w:rsid w:val="00315FC0"/>
    <w:pPr>
      <w:pBdr>
        <w:bottom w:val="single" w:sz="4" w:space="0" w:color="000000"/>
      </w:pBdr>
      <w:spacing w:before="360" w:after="120" w:line="360" w:lineRule="auto"/>
      <w:ind w:left="3400" w:right="3400"/>
      <w:jc w:val="center"/>
    </w:pPr>
    <w:rPr>
      <w:rFonts w:ascii="Times New Roman" w:eastAsiaTheme="minorHAnsi" w:hAnsi="Times New Roman" w:cs="Times New Roman"/>
      <w:b/>
      <w:sz w:val="24"/>
    </w:rPr>
  </w:style>
  <w:style w:type="paragraph" w:customStyle="1" w:styleId="pj">
    <w:name w:val="p.j."/>
    <w:basedOn w:val="Normal"/>
    <w:link w:val="pjChar"/>
    <w:rsid w:val="00315FC0"/>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315FC0"/>
    <w:rPr>
      <w:rFonts w:ascii="Times New Roman" w:eastAsia="Calibri" w:hAnsi="Times New Roman" w:cs="Times New Roman"/>
      <w:kern w:val="0"/>
      <w:sz w:val="24"/>
      <w:lang w:val="de-DE"/>
    </w:rPr>
  </w:style>
  <w:style w:type="paragraph" w:customStyle="1" w:styleId="nbbordered">
    <w:name w:val="nb bordered"/>
    <w:basedOn w:val="Normal"/>
    <w:link w:val="nbborderedChar"/>
    <w:rsid w:val="00315FC0"/>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315FC0"/>
    <w:rPr>
      <w:rFonts w:ascii="Times New Roman" w:eastAsia="Calibri" w:hAnsi="Times New Roman" w:cs="Times New Roman"/>
      <w:b/>
      <w:kern w:val="0"/>
      <w:sz w:val="24"/>
      <w:lang w:val="de-DE"/>
    </w:rPr>
  </w:style>
  <w:style w:type="paragraph" w:customStyle="1" w:styleId="HeaderCouncil">
    <w:name w:val="Header Council"/>
    <w:basedOn w:val="Normal"/>
    <w:link w:val="HeaderCouncilChar"/>
    <w:rsid w:val="00315FC0"/>
    <w:pPr>
      <w:spacing w:after="0"/>
    </w:pPr>
    <w:rPr>
      <w:rFonts w:ascii="Times New Roman" w:hAnsi="Times New Roman"/>
      <w:sz w:val="2"/>
    </w:rPr>
  </w:style>
  <w:style w:type="character" w:customStyle="1" w:styleId="HeaderCouncilChar">
    <w:name w:val="Header Council Char"/>
    <w:basedOn w:val="DefaultParagraphFont"/>
    <w:link w:val="HeaderCouncil"/>
    <w:rsid w:val="00315FC0"/>
    <w:rPr>
      <w:rFonts w:ascii="Calibri" w:eastAsia="Calibri" w:hAnsi="Calibri" w:cs="Myanmar Text"/>
      <w:noProof/>
      <w:kern w:val="0"/>
      <w:sz w:val="2"/>
      <w:lang w:val="de-DE"/>
    </w:rPr>
  </w:style>
  <w:style w:type="paragraph" w:customStyle="1" w:styleId="FooterText">
    <w:name w:val="Footer Text"/>
    <w:basedOn w:val="Normal"/>
    <w:rsid w:val="00315FC0"/>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315FC0"/>
    <w:rPr>
      <w:color w:val="808080"/>
    </w:rPr>
  </w:style>
  <w:style w:type="character" w:styleId="FollowedHyperlink">
    <w:name w:val="FollowedHyperlink"/>
    <w:basedOn w:val="DefaultParagraphFont"/>
    <w:uiPriority w:val="99"/>
    <w:semiHidden/>
    <w:unhideWhenUsed/>
    <w:rsid w:val="00315FC0"/>
    <w:rPr>
      <w:color w:val="800080" w:themeColor="followedHyperlink"/>
      <w:u w:val="single"/>
    </w:rPr>
  </w:style>
  <w:style w:type="character" w:customStyle="1" w:styleId="Mention10">
    <w:name w:val="Mention10"/>
    <w:basedOn w:val="DefaultParagraphFont"/>
    <w:uiPriority w:val="99"/>
    <w:unhideWhenUsed/>
    <w:rsid w:val="00315FC0"/>
    <w:rPr>
      <w:color w:val="2B579A"/>
      <w:shd w:val="clear" w:color="auto" w:fill="E1DFDD"/>
    </w:rPr>
  </w:style>
  <w:style w:type="character" w:customStyle="1" w:styleId="Mention20">
    <w:name w:val="Mention20"/>
    <w:basedOn w:val="DefaultParagraphFont"/>
    <w:uiPriority w:val="99"/>
    <w:unhideWhenUsed/>
    <w:rsid w:val="00315FC0"/>
    <w:rPr>
      <w:color w:val="2B579A"/>
      <w:shd w:val="clear" w:color="auto" w:fill="E1DFDD"/>
    </w:rPr>
  </w:style>
  <w:style w:type="character" w:customStyle="1" w:styleId="Mention2">
    <w:name w:val="Mention2"/>
    <w:basedOn w:val="DefaultParagraphFont"/>
    <w:uiPriority w:val="99"/>
    <w:unhideWhenUsed/>
    <w:rsid w:val="00315FC0"/>
    <w:rPr>
      <w:color w:val="2B579A"/>
      <w:shd w:val="clear" w:color="auto" w:fill="E1DFDD"/>
    </w:rPr>
  </w:style>
  <w:style w:type="character" w:customStyle="1" w:styleId="Mention3">
    <w:name w:val="Mention3"/>
    <w:basedOn w:val="DefaultParagraphFont"/>
    <w:uiPriority w:val="99"/>
    <w:unhideWhenUsed/>
    <w:rsid w:val="00315FC0"/>
    <w:rPr>
      <w:color w:val="2B579A"/>
      <w:shd w:val="clear" w:color="auto" w:fill="E1DFDD"/>
    </w:rPr>
  </w:style>
  <w:style w:type="character" w:customStyle="1" w:styleId="Mention30">
    <w:name w:val="Mention30"/>
    <w:basedOn w:val="DefaultParagraphFont"/>
    <w:uiPriority w:val="99"/>
    <w:unhideWhenUsed/>
    <w:rsid w:val="00315FC0"/>
    <w:rPr>
      <w:color w:val="2B579A"/>
      <w:shd w:val="clear" w:color="auto" w:fill="E1DFDD"/>
    </w:rPr>
  </w:style>
  <w:style w:type="character" w:customStyle="1" w:styleId="Mention4">
    <w:name w:val="Mention4"/>
    <w:basedOn w:val="DefaultParagraphFont"/>
    <w:uiPriority w:val="99"/>
    <w:unhideWhenUsed/>
    <w:rsid w:val="00315FC0"/>
    <w:rPr>
      <w:color w:val="2B579A"/>
      <w:shd w:val="clear" w:color="auto" w:fill="E1DFDD"/>
    </w:rPr>
  </w:style>
  <w:style w:type="character" w:customStyle="1" w:styleId="Mention100">
    <w:name w:val="Mention100"/>
    <w:basedOn w:val="DefaultParagraphFont"/>
    <w:uiPriority w:val="99"/>
    <w:unhideWhenUsed/>
    <w:rsid w:val="00315FC0"/>
    <w:rPr>
      <w:color w:val="2B579A"/>
      <w:shd w:val="clear" w:color="auto" w:fill="E6E6E6"/>
    </w:rPr>
  </w:style>
  <w:style w:type="character" w:customStyle="1" w:styleId="ui-provider">
    <w:name w:val="ui-provider"/>
    <w:basedOn w:val="DefaultParagraphFont"/>
    <w:rsid w:val="00315FC0"/>
  </w:style>
  <w:style w:type="character" w:customStyle="1" w:styleId="Mention1000">
    <w:name w:val="Mention1000"/>
    <w:basedOn w:val="DefaultParagraphFont"/>
    <w:uiPriority w:val="99"/>
    <w:unhideWhenUsed/>
    <w:rsid w:val="00315FC0"/>
    <w:rPr>
      <w:color w:val="2B579A"/>
      <w:shd w:val="clear" w:color="auto" w:fill="E6E6E6"/>
    </w:rPr>
  </w:style>
  <w:style w:type="character" w:customStyle="1" w:styleId="contentcontrolboundarysink">
    <w:name w:val="contentcontrolboundarysink"/>
    <w:basedOn w:val="DefaultParagraphFont"/>
    <w:rsid w:val="00315FC0"/>
  </w:style>
  <w:style w:type="character" w:customStyle="1" w:styleId="Mention5">
    <w:name w:val="Mention5"/>
    <w:basedOn w:val="DefaultParagraphFont"/>
    <w:uiPriority w:val="99"/>
    <w:unhideWhenUsed/>
    <w:rsid w:val="00315FC0"/>
    <w:rPr>
      <w:color w:val="2B579A"/>
      <w:shd w:val="clear" w:color="auto" w:fill="E1DFDD"/>
    </w:rPr>
  </w:style>
  <w:style w:type="character" w:customStyle="1" w:styleId="Mention50">
    <w:name w:val="Mention50"/>
    <w:basedOn w:val="DefaultParagraphFont"/>
    <w:uiPriority w:val="99"/>
    <w:unhideWhenUsed/>
    <w:rsid w:val="00315FC0"/>
    <w:rPr>
      <w:color w:val="2B579A"/>
      <w:shd w:val="clear" w:color="auto" w:fill="E1DFDD"/>
    </w:rPr>
  </w:style>
  <w:style w:type="character" w:customStyle="1" w:styleId="Mention6">
    <w:name w:val="Mention6"/>
    <w:basedOn w:val="DefaultParagraphFont"/>
    <w:uiPriority w:val="99"/>
    <w:unhideWhenUsed/>
    <w:rsid w:val="00315FC0"/>
    <w:rPr>
      <w:color w:val="2B579A"/>
      <w:shd w:val="clear" w:color="auto" w:fill="E1DFDD"/>
    </w:rPr>
  </w:style>
  <w:style w:type="character" w:customStyle="1" w:styleId="Mention7">
    <w:name w:val="Mention7"/>
    <w:basedOn w:val="DefaultParagraphFont"/>
    <w:uiPriority w:val="99"/>
    <w:unhideWhenUsed/>
    <w:rsid w:val="00315FC0"/>
    <w:rPr>
      <w:color w:val="2B579A"/>
      <w:shd w:val="clear" w:color="auto" w:fill="E6E6E6"/>
    </w:rPr>
  </w:style>
  <w:style w:type="character" w:customStyle="1" w:styleId="Mention8">
    <w:name w:val="Mention8"/>
    <w:basedOn w:val="DefaultParagraphFont"/>
    <w:uiPriority w:val="99"/>
    <w:unhideWhenUsed/>
    <w:rsid w:val="00315FC0"/>
    <w:rPr>
      <w:color w:val="2B579A"/>
      <w:shd w:val="clear" w:color="auto" w:fill="E1DFDD"/>
    </w:rPr>
  </w:style>
  <w:style w:type="character" w:customStyle="1" w:styleId="cf01">
    <w:name w:val="cf01"/>
    <w:basedOn w:val="DefaultParagraphFont"/>
    <w:rsid w:val="00315FC0"/>
    <w:rPr>
      <w:rFonts w:ascii="Segoe UI" w:hAnsi="Segoe UI" w:cs="Segoe UI" w:hint="default"/>
      <w:sz w:val="18"/>
      <w:szCs w:val="18"/>
    </w:rPr>
  </w:style>
  <w:style w:type="character" w:styleId="Strong">
    <w:name w:val="Strong"/>
    <w:basedOn w:val="DefaultParagraphFont"/>
    <w:uiPriority w:val="22"/>
    <w:qFormat/>
    <w:rsid w:val="00315FC0"/>
    <w:rPr>
      <w:b/>
      <w:bCs/>
    </w:rPr>
  </w:style>
  <w:style w:type="character" w:customStyle="1" w:styleId="Mention60">
    <w:name w:val="Mention60"/>
    <w:basedOn w:val="DefaultParagraphFont"/>
    <w:uiPriority w:val="99"/>
    <w:unhideWhenUsed/>
    <w:rsid w:val="00315FC0"/>
    <w:rPr>
      <w:color w:val="2B579A"/>
      <w:shd w:val="clear" w:color="auto" w:fill="E1DFDD"/>
    </w:rPr>
  </w:style>
  <w:style w:type="character" w:customStyle="1" w:styleId="cf21">
    <w:name w:val="cf21"/>
    <w:basedOn w:val="DefaultParagraphFont"/>
    <w:rsid w:val="00315FC0"/>
    <w:rPr>
      <w:rFonts w:ascii="Segoe UI" w:hAnsi="Segoe UI" w:cs="Segoe UI" w:hint="default"/>
      <w:color w:val="006100"/>
    </w:rPr>
  </w:style>
  <w:style w:type="paragraph" w:customStyle="1" w:styleId="Style1">
    <w:name w:val="Style1"/>
    <w:basedOn w:val="Normal"/>
    <w:link w:val="Style1Char"/>
    <w:qFormat/>
    <w:rsid w:val="00315FC0"/>
    <w:pPr>
      <w:spacing w:before="120" w:after="120"/>
    </w:pPr>
    <w:rPr>
      <w:rFonts w:ascii="Times New Roman" w:hAnsi="Times New Roman" w:cs="Times New Roman"/>
      <w:b/>
      <w:sz w:val="24"/>
      <w:szCs w:val="24"/>
    </w:rPr>
  </w:style>
  <w:style w:type="character" w:customStyle="1" w:styleId="Style1Char">
    <w:name w:val="Style1 Char"/>
    <w:basedOn w:val="DefaultParagraphFont"/>
    <w:link w:val="Style1"/>
    <w:rsid w:val="00315FC0"/>
    <w:rPr>
      <w:rFonts w:ascii="Times New Roman" w:eastAsia="Calibri" w:hAnsi="Times New Roman" w:cs="Times New Roman"/>
      <w:b/>
      <w:kern w:val="0"/>
      <w:sz w:val="24"/>
      <w:szCs w:val="24"/>
      <w:lang w:val="de-DE"/>
    </w:rPr>
  </w:style>
  <w:style w:type="character" w:customStyle="1" w:styleId="Mention9">
    <w:name w:val="Mention9"/>
    <w:basedOn w:val="DefaultParagraphFont"/>
    <w:uiPriority w:val="99"/>
    <w:unhideWhenUsed/>
    <w:rsid w:val="00315FC0"/>
    <w:rPr>
      <w:color w:val="2B579A"/>
      <w:shd w:val="clear" w:color="auto" w:fill="E1DFDD"/>
    </w:rPr>
  </w:style>
  <w:style w:type="character" w:customStyle="1" w:styleId="Mention11">
    <w:name w:val="Mention11"/>
    <w:basedOn w:val="DefaultParagraphFont"/>
    <w:uiPriority w:val="99"/>
    <w:unhideWhenUsed/>
    <w:rsid w:val="00315FC0"/>
    <w:rPr>
      <w:color w:val="2B579A"/>
      <w:shd w:val="clear" w:color="auto" w:fill="E1DFDD"/>
    </w:rPr>
  </w:style>
  <w:style w:type="character" w:customStyle="1" w:styleId="Mention12">
    <w:name w:val="Mention12"/>
    <w:basedOn w:val="DefaultParagraphFont"/>
    <w:uiPriority w:val="99"/>
    <w:unhideWhenUsed/>
    <w:rsid w:val="00315FC0"/>
    <w:rPr>
      <w:color w:val="2B579A"/>
      <w:shd w:val="clear" w:color="auto" w:fill="E1DFDD"/>
    </w:rPr>
  </w:style>
  <w:style w:type="character" w:customStyle="1" w:styleId="UnresolvedMention10">
    <w:name w:val="Unresolved Mention10"/>
    <w:basedOn w:val="DefaultParagraphFont"/>
    <w:uiPriority w:val="99"/>
    <w:semiHidden/>
    <w:unhideWhenUsed/>
    <w:rsid w:val="00315FC0"/>
    <w:rPr>
      <w:color w:val="605E5C"/>
      <w:shd w:val="clear" w:color="auto" w:fill="E1DFDD"/>
    </w:rPr>
  </w:style>
  <w:style w:type="character" w:customStyle="1" w:styleId="UnresolvedMention2">
    <w:name w:val="Unresolved Mention2"/>
    <w:basedOn w:val="DefaultParagraphFont"/>
    <w:uiPriority w:val="99"/>
    <w:semiHidden/>
    <w:unhideWhenUsed/>
    <w:rsid w:val="00315FC0"/>
    <w:rPr>
      <w:color w:val="605E5C"/>
      <w:shd w:val="clear" w:color="auto" w:fill="E1DFDD"/>
    </w:rPr>
  </w:style>
  <w:style w:type="character" w:customStyle="1" w:styleId="Mention13">
    <w:name w:val="Mention13"/>
    <w:basedOn w:val="DefaultParagraphFont"/>
    <w:uiPriority w:val="99"/>
    <w:unhideWhenUsed/>
    <w:rsid w:val="00315FC0"/>
    <w:rPr>
      <w:color w:val="2B579A"/>
      <w:shd w:val="clear" w:color="auto" w:fill="E1DFDD"/>
    </w:rPr>
  </w:style>
  <w:style w:type="character" w:customStyle="1" w:styleId="UnresolvedMention3">
    <w:name w:val="Unresolved Mention3"/>
    <w:basedOn w:val="DefaultParagraphFont"/>
    <w:uiPriority w:val="99"/>
    <w:semiHidden/>
    <w:unhideWhenUsed/>
    <w:rsid w:val="00315FC0"/>
    <w:rPr>
      <w:color w:val="605E5C"/>
      <w:shd w:val="clear" w:color="auto" w:fill="E1DFDD"/>
    </w:rPr>
  </w:style>
  <w:style w:type="character" w:customStyle="1" w:styleId="Mention14">
    <w:name w:val="Mention14"/>
    <w:basedOn w:val="DefaultParagraphFont"/>
    <w:uiPriority w:val="99"/>
    <w:unhideWhenUsed/>
    <w:rsid w:val="00315FC0"/>
    <w:rPr>
      <w:color w:val="2B579A"/>
      <w:shd w:val="clear" w:color="auto" w:fill="E1DFDD"/>
    </w:rPr>
  </w:style>
  <w:style w:type="paragraph" w:styleId="NormalWeb">
    <w:name w:val="Normal (Web)"/>
    <w:basedOn w:val="Normal"/>
    <w:uiPriority w:val="99"/>
    <w:semiHidden/>
    <w:unhideWhenUsed/>
    <w:rsid w:val="00315FC0"/>
    <w:rPr>
      <w:rFonts w:ascii="Times New Roman" w:hAnsi="Times New Roman" w:cs="Times New Roman"/>
      <w:sz w:val="24"/>
      <w:szCs w:val="24"/>
    </w:rPr>
  </w:style>
  <w:style w:type="character" w:customStyle="1" w:styleId="Mention">
    <w:name w:val="Mention"/>
    <w:basedOn w:val="DefaultParagraphFont"/>
    <w:uiPriority w:val="99"/>
    <w:unhideWhenUsed/>
    <w:rsid w:val="004565C8"/>
    <w:rPr>
      <w:color w:val="2B579A"/>
      <w:shd w:val="clear" w:color="auto" w:fill="E1DFDD"/>
    </w:rPr>
  </w:style>
  <w:style w:type="table" w:customStyle="1" w:styleId="TableGrid1">
    <w:name w:val="Table Grid1"/>
    <w:basedOn w:val="TableNormal"/>
    <w:next w:val="TableGrid"/>
    <w:uiPriority w:val="39"/>
    <w:rsid w:val="00F613BD"/>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613BD"/>
    <w:rPr>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1710">
      <w:bodyDiv w:val="1"/>
      <w:marLeft w:val="0"/>
      <w:marRight w:val="0"/>
      <w:marTop w:val="0"/>
      <w:marBottom w:val="0"/>
      <w:divBdr>
        <w:top w:val="none" w:sz="0" w:space="0" w:color="auto"/>
        <w:left w:val="none" w:sz="0" w:space="0" w:color="auto"/>
        <w:bottom w:val="none" w:sz="0" w:space="0" w:color="auto"/>
        <w:right w:val="none" w:sz="0" w:space="0" w:color="auto"/>
      </w:divBdr>
      <w:divsChild>
        <w:div w:id="524904397">
          <w:marLeft w:val="0"/>
          <w:marRight w:val="0"/>
          <w:marTop w:val="0"/>
          <w:marBottom w:val="0"/>
          <w:divBdr>
            <w:top w:val="none" w:sz="0" w:space="0" w:color="auto"/>
            <w:left w:val="none" w:sz="0" w:space="0" w:color="auto"/>
            <w:bottom w:val="none" w:sz="0" w:space="0" w:color="auto"/>
            <w:right w:val="none" w:sz="0" w:space="0" w:color="auto"/>
          </w:divBdr>
          <w:divsChild>
            <w:div w:id="268896401">
              <w:marLeft w:val="0"/>
              <w:marRight w:val="0"/>
              <w:marTop w:val="0"/>
              <w:marBottom w:val="0"/>
              <w:divBdr>
                <w:top w:val="none" w:sz="0" w:space="0" w:color="auto"/>
                <w:left w:val="none" w:sz="0" w:space="0" w:color="auto"/>
                <w:bottom w:val="none" w:sz="0" w:space="0" w:color="auto"/>
                <w:right w:val="none" w:sz="0" w:space="0" w:color="auto"/>
              </w:divBdr>
            </w:div>
          </w:divsChild>
        </w:div>
        <w:div w:id="605357092">
          <w:marLeft w:val="0"/>
          <w:marRight w:val="0"/>
          <w:marTop w:val="0"/>
          <w:marBottom w:val="0"/>
          <w:divBdr>
            <w:top w:val="none" w:sz="0" w:space="0" w:color="auto"/>
            <w:left w:val="none" w:sz="0" w:space="0" w:color="auto"/>
            <w:bottom w:val="none" w:sz="0" w:space="0" w:color="auto"/>
            <w:right w:val="none" w:sz="0" w:space="0" w:color="auto"/>
          </w:divBdr>
          <w:divsChild>
            <w:div w:id="1312254864">
              <w:marLeft w:val="0"/>
              <w:marRight w:val="0"/>
              <w:marTop w:val="0"/>
              <w:marBottom w:val="0"/>
              <w:divBdr>
                <w:top w:val="none" w:sz="0" w:space="0" w:color="auto"/>
                <w:left w:val="none" w:sz="0" w:space="0" w:color="auto"/>
                <w:bottom w:val="none" w:sz="0" w:space="0" w:color="auto"/>
                <w:right w:val="none" w:sz="0" w:space="0" w:color="auto"/>
              </w:divBdr>
            </w:div>
          </w:divsChild>
        </w:div>
        <w:div w:id="1815757289">
          <w:marLeft w:val="0"/>
          <w:marRight w:val="0"/>
          <w:marTop w:val="0"/>
          <w:marBottom w:val="0"/>
          <w:divBdr>
            <w:top w:val="none" w:sz="0" w:space="0" w:color="auto"/>
            <w:left w:val="none" w:sz="0" w:space="0" w:color="auto"/>
            <w:bottom w:val="none" w:sz="0" w:space="0" w:color="auto"/>
            <w:right w:val="none" w:sz="0" w:space="0" w:color="auto"/>
          </w:divBdr>
          <w:divsChild>
            <w:div w:id="1751272970">
              <w:marLeft w:val="0"/>
              <w:marRight w:val="0"/>
              <w:marTop w:val="0"/>
              <w:marBottom w:val="0"/>
              <w:divBdr>
                <w:top w:val="none" w:sz="0" w:space="0" w:color="auto"/>
                <w:left w:val="none" w:sz="0" w:space="0" w:color="auto"/>
                <w:bottom w:val="none" w:sz="0" w:space="0" w:color="auto"/>
                <w:right w:val="none" w:sz="0" w:space="0" w:color="auto"/>
              </w:divBdr>
            </w:div>
          </w:divsChild>
        </w:div>
        <w:div w:id="1856842909">
          <w:marLeft w:val="0"/>
          <w:marRight w:val="0"/>
          <w:marTop w:val="0"/>
          <w:marBottom w:val="0"/>
          <w:divBdr>
            <w:top w:val="none" w:sz="0" w:space="0" w:color="auto"/>
            <w:left w:val="none" w:sz="0" w:space="0" w:color="auto"/>
            <w:bottom w:val="none" w:sz="0" w:space="0" w:color="auto"/>
            <w:right w:val="none" w:sz="0" w:space="0" w:color="auto"/>
          </w:divBdr>
          <w:divsChild>
            <w:div w:id="144789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1549">
      <w:bodyDiv w:val="1"/>
      <w:marLeft w:val="0"/>
      <w:marRight w:val="0"/>
      <w:marTop w:val="0"/>
      <w:marBottom w:val="0"/>
      <w:divBdr>
        <w:top w:val="none" w:sz="0" w:space="0" w:color="auto"/>
        <w:left w:val="none" w:sz="0" w:space="0" w:color="auto"/>
        <w:bottom w:val="none" w:sz="0" w:space="0" w:color="auto"/>
        <w:right w:val="none" w:sz="0" w:space="0" w:color="auto"/>
      </w:divBdr>
      <w:divsChild>
        <w:div w:id="65224769">
          <w:marLeft w:val="0"/>
          <w:marRight w:val="0"/>
          <w:marTop w:val="0"/>
          <w:marBottom w:val="0"/>
          <w:divBdr>
            <w:top w:val="none" w:sz="0" w:space="0" w:color="auto"/>
            <w:left w:val="none" w:sz="0" w:space="0" w:color="auto"/>
            <w:bottom w:val="none" w:sz="0" w:space="0" w:color="auto"/>
            <w:right w:val="none" w:sz="0" w:space="0" w:color="auto"/>
          </w:divBdr>
        </w:div>
        <w:div w:id="101272170">
          <w:marLeft w:val="0"/>
          <w:marRight w:val="0"/>
          <w:marTop w:val="0"/>
          <w:marBottom w:val="0"/>
          <w:divBdr>
            <w:top w:val="none" w:sz="0" w:space="0" w:color="auto"/>
            <w:left w:val="none" w:sz="0" w:space="0" w:color="auto"/>
            <w:bottom w:val="none" w:sz="0" w:space="0" w:color="auto"/>
            <w:right w:val="none" w:sz="0" w:space="0" w:color="auto"/>
          </w:divBdr>
        </w:div>
        <w:div w:id="1011878411">
          <w:marLeft w:val="0"/>
          <w:marRight w:val="0"/>
          <w:marTop w:val="0"/>
          <w:marBottom w:val="0"/>
          <w:divBdr>
            <w:top w:val="none" w:sz="0" w:space="0" w:color="auto"/>
            <w:left w:val="none" w:sz="0" w:space="0" w:color="auto"/>
            <w:bottom w:val="none" w:sz="0" w:space="0" w:color="auto"/>
            <w:right w:val="none" w:sz="0" w:space="0" w:color="auto"/>
          </w:divBdr>
        </w:div>
        <w:div w:id="1114863501">
          <w:marLeft w:val="0"/>
          <w:marRight w:val="0"/>
          <w:marTop w:val="0"/>
          <w:marBottom w:val="0"/>
          <w:divBdr>
            <w:top w:val="none" w:sz="0" w:space="0" w:color="auto"/>
            <w:left w:val="none" w:sz="0" w:space="0" w:color="auto"/>
            <w:bottom w:val="none" w:sz="0" w:space="0" w:color="auto"/>
            <w:right w:val="none" w:sz="0" w:space="0" w:color="auto"/>
          </w:divBdr>
        </w:div>
        <w:div w:id="1528368801">
          <w:marLeft w:val="0"/>
          <w:marRight w:val="0"/>
          <w:marTop w:val="0"/>
          <w:marBottom w:val="0"/>
          <w:divBdr>
            <w:top w:val="none" w:sz="0" w:space="0" w:color="auto"/>
            <w:left w:val="none" w:sz="0" w:space="0" w:color="auto"/>
            <w:bottom w:val="none" w:sz="0" w:space="0" w:color="auto"/>
            <w:right w:val="none" w:sz="0" w:space="0" w:color="auto"/>
          </w:divBdr>
        </w:div>
        <w:div w:id="1558666633">
          <w:marLeft w:val="0"/>
          <w:marRight w:val="0"/>
          <w:marTop w:val="0"/>
          <w:marBottom w:val="0"/>
          <w:divBdr>
            <w:top w:val="none" w:sz="0" w:space="0" w:color="auto"/>
            <w:left w:val="none" w:sz="0" w:space="0" w:color="auto"/>
            <w:bottom w:val="none" w:sz="0" w:space="0" w:color="auto"/>
            <w:right w:val="none" w:sz="0" w:space="0" w:color="auto"/>
          </w:divBdr>
        </w:div>
        <w:div w:id="1622109210">
          <w:marLeft w:val="0"/>
          <w:marRight w:val="0"/>
          <w:marTop w:val="0"/>
          <w:marBottom w:val="0"/>
          <w:divBdr>
            <w:top w:val="none" w:sz="0" w:space="0" w:color="auto"/>
            <w:left w:val="none" w:sz="0" w:space="0" w:color="auto"/>
            <w:bottom w:val="none" w:sz="0" w:space="0" w:color="auto"/>
            <w:right w:val="none" w:sz="0" w:space="0" w:color="auto"/>
          </w:divBdr>
        </w:div>
      </w:divsChild>
    </w:div>
    <w:div w:id="204174028">
      <w:bodyDiv w:val="1"/>
      <w:marLeft w:val="0"/>
      <w:marRight w:val="0"/>
      <w:marTop w:val="0"/>
      <w:marBottom w:val="0"/>
      <w:divBdr>
        <w:top w:val="none" w:sz="0" w:space="0" w:color="auto"/>
        <w:left w:val="none" w:sz="0" w:space="0" w:color="auto"/>
        <w:bottom w:val="none" w:sz="0" w:space="0" w:color="auto"/>
        <w:right w:val="none" w:sz="0" w:space="0" w:color="auto"/>
      </w:divBdr>
    </w:div>
    <w:div w:id="292102799">
      <w:bodyDiv w:val="1"/>
      <w:marLeft w:val="0"/>
      <w:marRight w:val="0"/>
      <w:marTop w:val="0"/>
      <w:marBottom w:val="0"/>
      <w:divBdr>
        <w:top w:val="none" w:sz="0" w:space="0" w:color="auto"/>
        <w:left w:val="none" w:sz="0" w:space="0" w:color="auto"/>
        <w:bottom w:val="none" w:sz="0" w:space="0" w:color="auto"/>
        <w:right w:val="none" w:sz="0" w:space="0" w:color="auto"/>
      </w:divBdr>
    </w:div>
    <w:div w:id="661083189">
      <w:bodyDiv w:val="1"/>
      <w:marLeft w:val="0"/>
      <w:marRight w:val="0"/>
      <w:marTop w:val="0"/>
      <w:marBottom w:val="0"/>
      <w:divBdr>
        <w:top w:val="none" w:sz="0" w:space="0" w:color="auto"/>
        <w:left w:val="none" w:sz="0" w:space="0" w:color="auto"/>
        <w:bottom w:val="none" w:sz="0" w:space="0" w:color="auto"/>
        <w:right w:val="none" w:sz="0" w:space="0" w:color="auto"/>
      </w:divBdr>
    </w:div>
    <w:div w:id="684677554">
      <w:bodyDiv w:val="1"/>
      <w:marLeft w:val="0"/>
      <w:marRight w:val="0"/>
      <w:marTop w:val="0"/>
      <w:marBottom w:val="0"/>
      <w:divBdr>
        <w:top w:val="none" w:sz="0" w:space="0" w:color="auto"/>
        <w:left w:val="none" w:sz="0" w:space="0" w:color="auto"/>
        <w:bottom w:val="none" w:sz="0" w:space="0" w:color="auto"/>
        <w:right w:val="none" w:sz="0" w:space="0" w:color="auto"/>
      </w:divBdr>
    </w:div>
    <w:div w:id="732394021">
      <w:bodyDiv w:val="1"/>
      <w:marLeft w:val="0"/>
      <w:marRight w:val="0"/>
      <w:marTop w:val="0"/>
      <w:marBottom w:val="0"/>
      <w:divBdr>
        <w:top w:val="none" w:sz="0" w:space="0" w:color="auto"/>
        <w:left w:val="none" w:sz="0" w:space="0" w:color="auto"/>
        <w:bottom w:val="none" w:sz="0" w:space="0" w:color="auto"/>
        <w:right w:val="none" w:sz="0" w:space="0" w:color="auto"/>
      </w:divBdr>
    </w:div>
    <w:div w:id="738672971">
      <w:bodyDiv w:val="1"/>
      <w:marLeft w:val="0"/>
      <w:marRight w:val="0"/>
      <w:marTop w:val="0"/>
      <w:marBottom w:val="0"/>
      <w:divBdr>
        <w:top w:val="none" w:sz="0" w:space="0" w:color="auto"/>
        <w:left w:val="none" w:sz="0" w:space="0" w:color="auto"/>
        <w:bottom w:val="none" w:sz="0" w:space="0" w:color="auto"/>
        <w:right w:val="none" w:sz="0" w:space="0" w:color="auto"/>
      </w:divBdr>
      <w:divsChild>
        <w:div w:id="118299388">
          <w:marLeft w:val="0"/>
          <w:marRight w:val="0"/>
          <w:marTop w:val="0"/>
          <w:marBottom w:val="0"/>
          <w:divBdr>
            <w:top w:val="none" w:sz="0" w:space="0" w:color="auto"/>
            <w:left w:val="none" w:sz="0" w:space="0" w:color="auto"/>
            <w:bottom w:val="none" w:sz="0" w:space="0" w:color="auto"/>
            <w:right w:val="none" w:sz="0" w:space="0" w:color="auto"/>
          </w:divBdr>
          <w:divsChild>
            <w:div w:id="802818042">
              <w:marLeft w:val="0"/>
              <w:marRight w:val="0"/>
              <w:marTop w:val="0"/>
              <w:marBottom w:val="0"/>
              <w:divBdr>
                <w:top w:val="none" w:sz="0" w:space="0" w:color="auto"/>
                <w:left w:val="none" w:sz="0" w:space="0" w:color="auto"/>
                <w:bottom w:val="none" w:sz="0" w:space="0" w:color="auto"/>
                <w:right w:val="none" w:sz="0" w:space="0" w:color="auto"/>
              </w:divBdr>
            </w:div>
          </w:divsChild>
        </w:div>
        <w:div w:id="1044447447">
          <w:marLeft w:val="0"/>
          <w:marRight w:val="0"/>
          <w:marTop w:val="0"/>
          <w:marBottom w:val="0"/>
          <w:divBdr>
            <w:top w:val="none" w:sz="0" w:space="0" w:color="auto"/>
            <w:left w:val="none" w:sz="0" w:space="0" w:color="auto"/>
            <w:bottom w:val="none" w:sz="0" w:space="0" w:color="auto"/>
            <w:right w:val="none" w:sz="0" w:space="0" w:color="auto"/>
          </w:divBdr>
          <w:divsChild>
            <w:div w:id="447746951">
              <w:marLeft w:val="0"/>
              <w:marRight w:val="0"/>
              <w:marTop w:val="0"/>
              <w:marBottom w:val="0"/>
              <w:divBdr>
                <w:top w:val="none" w:sz="0" w:space="0" w:color="auto"/>
                <w:left w:val="none" w:sz="0" w:space="0" w:color="auto"/>
                <w:bottom w:val="none" w:sz="0" w:space="0" w:color="auto"/>
                <w:right w:val="none" w:sz="0" w:space="0" w:color="auto"/>
              </w:divBdr>
            </w:div>
          </w:divsChild>
        </w:div>
        <w:div w:id="1458723874">
          <w:marLeft w:val="0"/>
          <w:marRight w:val="0"/>
          <w:marTop w:val="0"/>
          <w:marBottom w:val="0"/>
          <w:divBdr>
            <w:top w:val="none" w:sz="0" w:space="0" w:color="auto"/>
            <w:left w:val="none" w:sz="0" w:space="0" w:color="auto"/>
            <w:bottom w:val="none" w:sz="0" w:space="0" w:color="auto"/>
            <w:right w:val="none" w:sz="0" w:space="0" w:color="auto"/>
          </w:divBdr>
          <w:divsChild>
            <w:div w:id="1459566765">
              <w:marLeft w:val="0"/>
              <w:marRight w:val="0"/>
              <w:marTop w:val="0"/>
              <w:marBottom w:val="0"/>
              <w:divBdr>
                <w:top w:val="none" w:sz="0" w:space="0" w:color="auto"/>
                <w:left w:val="none" w:sz="0" w:space="0" w:color="auto"/>
                <w:bottom w:val="none" w:sz="0" w:space="0" w:color="auto"/>
                <w:right w:val="none" w:sz="0" w:space="0" w:color="auto"/>
              </w:divBdr>
            </w:div>
          </w:divsChild>
        </w:div>
        <w:div w:id="1978759075">
          <w:marLeft w:val="0"/>
          <w:marRight w:val="0"/>
          <w:marTop w:val="0"/>
          <w:marBottom w:val="0"/>
          <w:divBdr>
            <w:top w:val="none" w:sz="0" w:space="0" w:color="auto"/>
            <w:left w:val="none" w:sz="0" w:space="0" w:color="auto"/>
            <w:bottom w:val="none" w:sz="0" w:space="0" w:color="auto"/>
            <w:right w:val="none" w:sz="0" w:space="0" w:color="auto"/>
          </w:divBdr>
          <w:divsChild>
            <w:div w:id="18099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48187">
      <w:bodyDiv w:val="1"/>
      <w:marLeft w:val="0"/>
      <w:marRight w:val="0"/>
      <w:marTop w:val="0"/>
      <w:marBottom w:val="0"/>
      <w:divBdr>
        <w:top w:val="none" w:sz="0" w:space="0" w:color="auto"/>
        <w:left w:val="none" w:sz="0" w:space="0" w:color="auto"/>
        <w:bottom w:val="none" w:sz="0" w:space="0" w:color="auto"/>
        <w:right w:val="none" w:sz="0" w:space="0" w:color="auto"/>
      </w:divBdr>
    </w:div>
    <w:div w:id="1031496973">
      <w:bodyDiv w:val="1"/>
      <w:marLeft w:val="0"/>
      <w:marRight w:val="0"/>
      <w:marTop w:val="0"/>
      <w:marBottom w:val="0"/>
      <w:divBdr>
        <w:top w:val="none" w:sz="0" w:space="0" w:color="auto"/>
        <w:left w:val="none" w:sz="0" w:space="0" w:color="auto"/>
        <w:bottom w:val="none" w:sz="0" w:space="0" w:color="auto"/>
        <w:right w:val="none" w:sz="0" w:space="0" w:color="auto"/>
      </w:divBdr>
    </w:div>
    <w:div w:id="1105157352">
      <w:bodyDiv w:val="1"/>
      <w:marLeft w:val="0"/>
      <w:marRight w:val="0"/>
      <w:marTop w:val="0"/>
      <w:marBottom w:val="0"/>
      <w:divBdr>
        <w:top w:val="none" w:sz="0" w:space="0" w:color="auto"/>
        <w:left w:val="none" w:sz="0" w:space="0" w:color="auto"/>
        <w:bottom w:val="none" w:sz="0" w:space="0" w:color="auto"/>
        <w:right w:val="none" w:sz="0" w:space="0" w:color="auto"/>
      </w:divBdr>
    </w:div>
    <w:div w:id="1751462706">
      <w:bodyDiv w:val="1"/>
      <w:marLeft w:val="0"/>
      <w:marRight w:val="0"/>
      <w:marTop w:val="0"/>
      <w:marBottom w:val="0"/>
      <w:divBdr>
        <w:top w:val="none" w:sz="0" w:space="0" w:color="auto"/>
        <w:left w:val="none" w:sz="0" w:space="0" w:color="auto"/>
        <w:bottom w:val="none" w:sz="0" w:space="0" w:color="auto"/>
        <w:right w:val="none" w:sz="0" w:space="0" w:color="auto"/>
      </w:divBdr>
    </w:div>
    <w:div w:id="1800879435">
      <w:bodyDiv w:val="1"/>
      <w:marLeft w:val="0"/>
      <w:marRight w:val="0"/>
      <w:marTop w:val="0"/>
      <w:marBottom w:val="0"/>
      <w:divBdr>
        <w:top w:val="none" w:sz="0" w:space="0" w:color="auto"/>
        <w:left w:val="none" w:sz="0" w:space="0" w:color="auto"/>
        <w:bottom w:val="none" w:sz="0" w:space="0" w:color="auto"/>
        <w:right w:val="none" w:sz="0" w:space="0" w:color="auto"/>
      </w:divBdr>
      <w:divsChild>
        <w:div w:id="79572453">
          <w:marLeft w:val="0"/>
          <w:marRight w:val="0"/>
          <w:marTop w:val="0"/>
          <w:marBottom w:val="0"/>
          <w:divBdr>
            <w:top w:val="none" w:sz="0" w:space="0" w:color="auto"/>
            <w:left w:val="none" w:sz="0" w:space="0" w:color="auto"/>
            <w:bottom w:val="none" w:sz="0" w:space="0" w:color="auto"/>
            <w:right w:val="none" w:sz="0" w:space="0" w:color="auto"/>
          </w:divBdr>
        </w:div>
        <w:div w:id="215706438">
          <w:marLeft w:val="0"/>
          <w:marRight w:val="0"/>
          <w:marTop w:val="0"/>
          <w:marBottom w:val="0"/>
          <w:divBdr>
            <w:top w:val="none" w:sz="0" w:space="0" w:color="auto"/>
            <w:left w:val="none" w:sz="0" w:space="0" w:color="auto"/>
            <w:bottom w:val="none" w:sz="0" w:space="0" w:color="auto"/>
            <w:right w:val="none" w:sz="0" w:space="0" w:color="auto"/>
          </w:divBdr>
        </w:div>
        <w:div w:id="396050701">
          <w:marLeft w:val="0"/>
          <w:marRight w:val="0"/>
          <w:marTop w:val="0"/>
          <w:marBottom w:val="0"/>
          <w:divBdr>
            <w:top w:val="none" w:sz="0" w:space="0" w:color="auto"/>
            <w:left w:val="none" w:sz="0" w:space="0" w:color="auto"/>
            <w:bottom w:val="none" w:sz="0" w:space="0" w:color="auto"/>
            <w:right w:val="none" w:sz="0" w:space="0" w:color="auto"/>
          </w:divBdr>
        </w:div>
        <w:div w:id="493299724">
          <w:marLeft w:val="0"/>
          <w:marRight w:val="0"/>
          <w:marTop w:val="0"/>
          <w:marBottom w:val="0"/>
          <w:divBdr>
            <w:top w:val="none" w:sz="0" w:space="0" w:color="auto"/>
            <w:left w:val="none" w:sz="0" w:space="0" w:color="auto"/>
            <w:bottom w:val="none" w:sz="0" w:space="0" w:color="auto"/>
            <w:right w:val="none" w:sz="0" w:space="0" w:color="auto"/>
          </w:divBdr>
        </w:div>
        <w:div w:id="1074818142">
          <w:marLeft w:val="0"/>
          <w:marRight w:val="0"/>
          <w:marTop w:val="0"/>
          <w:marBottom w:val="0"/>
          <w:divBdr>
            <w:top w:val="none" w:sz="0" w:space="0" w:color="auto"/>
            <w:left w:val="none" w:sz="0" w:space="0" w:color="auto"/>
            <w:bottom w:val="none" w:sz="0" w:space="0" w:color="auto"/>
            <w:right w:val="none" w:sz="0" w:space="0" w:color="auto"/>
          </w:divBdr>
        </w:div>
        <w:div w:id="1184250354">
          <w:marLeft w:val="0"/>
          <w:marRight w:val="0"/>
          <w:marTop w:val="0"/>
          <w:marBottom w:val="0"/>
          <w:divBdr>
            <w:top w:val="none" w:sz="0" w:space="0" w:color="auto"/>
            <w:left w:val="none" w:sz="0" w:space="0" w:color="auto"/>
            <w:bottom w:val="none" w:sz="0" w:space="0" w:color="auto"/>
            <w:right w:val="none" w:sz="0" w:space="0" w:color="auto"/>
          </w:divBdr>
        </w:div>
        <w:div w:id="2135833119">
          <w:marLeft w:val="0"/>
          <w:marRight w:val="0"/>
          <w:marTop w:val="0"/>
          <w:marBottom w:val="0"/>
          <w:divBdr>
            <w:top w:val="none" w:sz="0" w:space="0" w:color="auto"/>
            <w:left w:val="none" w:sz="0" w:space="0" w:color="auto"/>
            <w:bottom w:val="none" w:sz="0" w:space="0" w:color="auto"/>
            <w:right w:val="none" w:sz="0" w:space="0" w:color="auto"/>
          </w:divBdr>
        </w:div>
      </w:divsChild>
    </w:div>
    <w:div w:id="2062708855">
      <w:bodyDiv w:val="1"/>
      <w:marLeft w:val="0"/>
      <w:marRight w:val="0"/>
      <w:marTop w:val="0"/>
      <w:marBottom w:val="0"/>
      <w:divBdr>
        <w:top w:val="none" w:sz="0" w:space="0" w:color="auto"/>
        <w:left w:val="none" w:sz="0" w:space="0" w:color="auto"/>
        <w:bottom w:val="none" w:sz="0" w:space="0" w:color="auto"/>
        <w:right w:val="none" w:sz="0" w:space="0" w:color="auto"/>
      </w:divBdr>
    </w:div>
    <w:div w:id="21383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433" Type="http://schemas.openxmlformats.org/officeDocument/2006/relationships/header" Target="header212.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footer" Target="foot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header" Target="header196.xml"/><Relationship Id="rId279" Type="http://schemas.openxmlformats.org/officeDocument/2006/relationships/footer" Target="footer134.xml"/><Relationship Id="rId444" Type="http://schemas.openxmlformats.org/officeDocument/2006/relationships/header" Target="header217.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46" Type="http://schemas.openxmlformats.org/officeDocument/2006/relationships/header" Target="header168.xml"/><Relationship Id="rId388" Type="http://schemas.openxmlformats.org/officeDocument/2006/relationships/header" Target="header189.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413" Type="http://schemas.openxmlformats.org/officeDocument/2006/relationships/footer" Target="footer201.xml"/><Relationship Id="rId248" Type="http://schemas.openxmlformats.org/officeDocument/2006/relationships/footer" Target="footer118.xml"/><Relationship Id="rId455" Type="http://schemas.openxmlformats.org/officeDocument/2006/relationships/footer" Target="footer222.xml"/><Relationship Id="rId12" Type="http://schemas.openxmlformats.org/officeDocument/2006/relationships/header" Target="header1.xml"/><Relationship Id="rId108" Type="http://schemas.openxmlformats.org/officeDocument/2006/relationships/header" Target="header49.xml"/><Relationship Id="rId315" Type="http://schemas.openxmlformats.org/officeDocument/2006/relationships/footer" Target="footer152.xml"/><Relationship Id="rId357" Type="http://schemas.openxmlformats.org/officeDocument/2006/relationships/footer" Target="footer173.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footer" Target="footer75.xml"/><Relationship Id="rId217" Type="http://schemas.openxmlformats.org/officeDocument/2006/relationships/header" Target="header104.xml"/><Relationship Id="rId399" Type="http://schemas.openxmlformats.org/officeDocument/2006/relationships/footer" Target="footer194.xml"/><Relationship Id="rId259" Type="http://schemas.openxmlformats.org/officeDocument/2006/relationships/header" Target="header125.xml"/><Relationship Id="rId424" Type="http://schemas.openxmlformats.org/officeDocument/2006/relationships/header" Target="header207.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326" Type="http://schemas.openxmlformats.org/officeDocument/2006/relationships/footer" Target="footer157.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footer" Target="foot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header" Target="header202.xml"/><Relationship Id="rId435" Type="http://schemas.openxmlformats.org/officeDocument/2006/relationships/footer" Target="footer212.xml"/><Relationship Id="rId456" Type="http://schemas.openxmlformats.org/officeDocument/2006/relationships/header" Target="header223.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header" Target="header174.xml"/><Relationship Id="rId379" Type="http://schemas.openxmlformats.org/officeDocument/2006/relationships/header" Target="header185.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404" Type="http://schemas.openxmlformats.org/officeDocument/2006/relationships/footer" Target="footer196.xml"/><Relationship Id="rId425" Type="http://schemas.openxmlformats.org/officeDocument/2006/relationships/footer" Target="footer207.xml"/><Relationship Id="rId446" Type="http://schemas.openxmlformats.org/officeDocument/2006/relationships/footer" Target="footer21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415" Type="http://schemas.openxmlformats.org/officeDocument/2006/relationships/header" Target="header203.xml"/><Relationship Id="rId436" Type="http://schemas.openxmlformats.org/officeDocument/2006/relationships/header" Target="header213.xml"/><Relationship Id="rId457" Type="http://schemas.openxmlformats.org/officeDocument/2006/relationships/header" Target="header22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footer" Target="foot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header" Target="header180.xml"/><Relationship Id="rId391" Type="http://schemas.openxmlformats.org/officeDocument/2006/relationships/header" Target="header191.xml"/><Relationship Id="rId405" Type="http://schemas.openxmlformats.org/officeDocument/2006/relationships/footer" Target="footer197.xml"/><Relationship Id="rId426" Type="http://schemas.openxmlformats.org/officeDocument/2006/relationships/header" Target="header208.xml"/><Relationship Id="rId447" Type="http://schemas.openxmlformats.org/officeDocument/2006/relationships/footer" Target="footer218.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footer" Target="footer185.xml"/><Relationship Id="rId416" Type="http://schemas.openxmlformats.org/officeDocument/2006/relationships/footer" Target="footer202.xml"/><Relationship Id="rId220" Type="http://schemas.openxmlformats.org/officeDocument/2006/relationships/header" Target="header105.xml"/><Relationship Id="rId241" Type="http://schemas.openxmlformats.org/officeDocument/2006/relationships/header" Target="header116.xml"/><Relationship Id="rId437" Type="http://schemas.openxmlformats.org/officeDocument/2006/relationships/footer" Target="footer213.xml"/><Relationship Id="rId458" Type="http://schemas.openxmlformats.org/officeDocument/2006/relationships/footer" Target="footer223.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footer" Target="footer180.xml"/><Relationship Id="rId406" Type="http://schemas.openxmlformats.org/officeDocument/2006/relationships/header" Target="header198.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427" Type="http://schemas.openxmlformats.org/officeDocument/2006/relationships/header" Target="header209.xml"/><Relationship Id="rId448" Type="http://schemas.openxmlformats.org/officeDocument/2006/relationships/header" Target="header219.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6.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header" Target="header186.xml"/><Relationship Id="rId417" Type="http://schemas.openxmlformats.org/officeDocument/2006/relationships/footer" Target="footer203.xml"/><Relationship Id="rId438" Type="http://schemas.openxmlformats.org/officeDocument/2006/relationships/header" Target="header214.xml"/><Relationship Id="rId459" Type="http://schemas.openxmlformats.org/officeDocument/2006/relationships/footer" Target="footer22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header" Target="header181.xml"/><Relationship Id="rId393" Type="http://schemas.openxmlformats.org/officeDocument/2006/relationships/footer" Target="footer191.xml"/><Relationship Id="rId407" Type="http://schemas.openxmlformats.org/officeDocument/2006/relationships/footer" Target="footer198.xml"/><Relationship Id="rId428" Type="http://schemas.openxmlformats.org/officeDocument/2006/relationships/footer" Target="footer208.xml"/><Relationship Id="rId449" Type="http://schemas.openxmlformats.org/officeDocument/2006/relationships/footer" Target="footer219.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460" Type="http://schemas.openxmlformats.org/officeDocument/2006/relationships/header" Target="header225.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footer" Target="footer175.xml"/><Relationship Id="rId383" Type="http://schemas.openxmlformats.org/officeDocument/2006/relationships/footer" Target="footer186.xml"/><Relationship Id="rId418" Type="http://schemas.openxmlformats.org/officeDocument/2006/relationships/header" Target="header204.xml"/><Relationship Id="rId439" Type="http://schemas.openxmlformats.org/officeDocument/2006/relationships/header" Target="header215.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450" Type="http://schemas.openxmlformats.org/officeDocument/2006/relationships/header" Target="header220.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2.xml"/><Relationship Id="rId394" Type="http://schemas.openxmlformats.org/officeDocument/2006/relationships/header" Target="header192.xml"/><Relationship Id="rId408" Type="http://schemas.openxmlformats.org/officeDocument/2006/relationships/header" Target="header199.xml"/><Relationship Id="rId429" Type="http://schemas.openxmlformats.org/officeDocument/2006/relationships/footer" Target="footer20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440" Type="http://schemas.openxmlformats.org/officeDocument/2006/relationships/footer" Target="footer214.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461" Type="http://schemas.openxmlformats.org/officeDocument/2006/relationships/footer" Target="footer22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6.xml"/><Relationship Id="rId384" Type="http://schemas.openxmlformats.org/officeDocument/2006/relationships/header" Target="header187.xml"/><Relationship Id="rId419" Type="http://schemas.openxmlformats.org/officeDocument/2006/relationships/footer" Target="foot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430" Type="http://schemas.openxmlformats.org/officeDocument/2006/relationships/header" Target="header210.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451" Type="http://schemas.openxmlformats.org/officeDocument/2006/relationships/header" Target="header221.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footer" Target="footer181.xml"/><Relationship Id="rId395" Type="http://schemas.openxmlformats.org/officeDocument/2006/relationships/footer" Target="footer192.xml"/><Relationship Id="rId409" Type="http://schemas.openxmlformats.org/officeDocument/2006/relationships/header" Target="header200.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header" Target="header205.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41" Type="http://schemas.openxmlformats.org/officeDocument/2006/relationships/footer" Target="footer215.xml"/><Relationship Id="rId462" Type="http://schemas.openxmlformats.org/officeDocument/2006/relationships/fontTable" Target="fontTable.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header" Target="header177.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8.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footer" Target="footer199.xml"/><Relationship Id="rId431" Type="http://schemas.openxmlformats.org/officeDocument/2006/relationships/footer" Target="footer210.xml"/><Relationship Id="rId452" Type="http://schemas.openxmlformats.org/officeDocument/2006/relationships/footer" Target="footer22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header" Target="header195.xml"/><Relationship Id="rId421" Type="http://schemas.openxmlformats.org/officeDocument/2006/relationships/header" Target="header206.xml"/><Relationship Id="rId442" Type="http://schemas.openxmlformats.org/officeDocument/2006/relationships/header" Target="header216.xml"/><Relationship Id="rId463" Type="http://schemas.openxmlformats.org/officeDocument/2006/relationships/theme" Target="theme/theme1.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footer" Target="foot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200.xml"/><Relationship Id="rId432" Type="http://schemas.openxmlformats.org/officeDocument/2006/relationships/header" Target="header211.xml"/><Relationship Id="rId453" Type="http://schemas.openxmlformats.org/officeDocument/2006/relationships/footer" Target="footer221.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3.xml"/><Relationship Id="rId376" Type="http://schemas.openxmlformats.org/officeDocument/2006/relationships/header" Target="header183.xml"/><Relationship Id="rId397" Type="http://schemas.openxmlformats.org/officeDocument/2006/relationships/header" Target="header194.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oter" Target="footer195.xml"/><Relationship Id="rId422" Type="http://schemas.openxmlformats.org/officeDocument/2006/relationships/footer" Target="footer205.xml"/><Relationship Id="rId443" Type="http://schemas.openxmlformats.org/officeDocument/2006/relationships/footer" Target="footer216.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header" Target="header201.xml"/><Relationship Id="rId107" Type="http://schemas.openxmlformats.org/officeDocument/2006/relationships/footer" Target="footer48.xml"/><Relationship Id="rId289" Type="http://schemas.openxmlformats.org/officeDocument/2006/relationships/header" Target="header140.xml"/><Relationship Id="rId454" Type="http://schemas.openxmlformats.org/officeDocument/2006/relationships/header" Target="header222.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footer" Target="footer172.xml"/><Relationship Id="rId398" Type="http://schemas.openxmlformats.org/officeDocument/2006/relationships/footer" Target="footer193.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423" Type="http://schemas.openxmlformats.org/officeDocument/2006/relationships/footer" Target="footer206.xml"/><Relationship Id="rId258" Type="http://schemas.openxmlformats.org/officeDocument/2006/relationships/header" Target="header124.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325" Type="http://schemas.openxmlformats.org/officeDocument/2006/relationships/header" Target="header158.xml"/><Relationship Id="rId367" Type="http://schemas.openxmlformats.org/officeDocument/2006/relationships/header" Target="header179.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434" Type="http://schemas.openxmlformats.org/officeDocument/2006/relationships/footer" Target="footer211.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336" Type="http://schemas.openxmlformats.org/officeDocument/2006/relationships/header" Target="header163.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 Id="rId378" Type="http://schemas.openxmlformats.org/officeDocument/2006/relationships/header" Target="header184.xml"/><Relationship Id="rId403" Type="http://schemas.openxmlformats.org/officeDocument/2006/relationships/header" Target="header197.xml"/><Relationship Id="rId6" Type="http://schemas.openxmlformats.org/officeDocument/2006/relationships/styles" Target="styles.xml"/><Relationship Id="rId238" Type="http://schemas.openxmlformats.org/officeDocument/2006/relationships/header" Target="header114.xml"/><Relationship Id="rId445" Type="http://schemas.openxmlformats.org/officeDocument/2006/relationships/header" Target="header218.xml"/><Relationship Id="rId291" Type="http://schemas.openxmlformats.org/officeDocument/2006/relationships/footer" Target="footer140.xml"/><Relationship Id="rId305" Type="http://schemas.openxmlformats.org/officeDocument/2006/relationships/footer" Target="footer147.xml"/><Relationship Id="rId347" Type="http://schemas.openxmlformats.org/officeDocument/2006/relationships/footer" Target="footer16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F75065C516B24AA4ED9964D7F23498" ma:contentTypeVersion="24" ma:contentTypeDescription="Create a new document." ma:contentTypeScope="" ma:versionID="691655810f3f62762b3162cea27daf68">
  <xsd:schema xmlns:xsd="http://www.w3.org/2001/XMLSchema" xmlns:xs="http://www.w3.org/2001/XMLSchema" xmlns:p="http://schemas.microsoft.com/office/2006/metadata/properties" xmlns:ns1="http://schemas.microsoft.com/sharepoint/v3" xmlns:ns2="11e77377-0db5-45fd-a1ac-9f5e38a33c6f" xmlns:ns3="e4d0ae30-99de-4b75-b374-de0637405ec7" xmlns:ns4="http://schemas.microsoft.com/sharepoint/v4" targetNamespace="http://schemas.microsoft.com/office/2006/metadata/properties" ma:root="true" ma:fieldsID="db6ca9e3fb0e8587ae89dc1684163d2b" ns1:_="" ns2:_="" ns3:_="" ns4:_="">
    <xsd:import namespace="http://schemas.microsoft.com/sharepoint/v3"/>
    <xsd:import namespace="11e77377-0db5-45fd-a1ac-9f5e38a33c6f"/>
    <xsd:import namespace="e4d0ae30-99de-4b75-b374-de0637405ec7"/>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e77377-0db5-45fd-a1ac-9f5e38a33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d0ae30-99de-4b75-b374-de0637405ec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9c1a9c5-7436-4665-9c01-4721abda3979}" ma:internalName="TaxCatchAll" ma:showField="CatchAllData" ma:web="e4d0ae30-99de-4b75-b374-de0637405ec7">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d0ae30-99de-4b75-b374-de0637405ec7" xsi:nil="true"/>
    <EC_ARES_NUMBER xmlns="e4d0ae30-99de-4b75-b374-de0637405ec7">
      <Url xsi:nil="true"/>
      <Description xsi:nil="true"/>
    </EC_ARES_NUMBER>
    <IconOverlay xmlns="http://schemas.microsoft.com/sharepoint/v4" xsi:nil="true"/>
    <lcf76f155ced4ddcb4097134ff3c332f xmlns="11e77377-0db5-45fd-a1ac-9f5e38a33c6f">
      <Terms xmlns="http://schemas.microsoft.com/office/infopath/2007/PartnerControls"/>
    </lcf76f155ced4ddcb4097134ff3c332f>
    <EC_ARES_DATE_TRANSFERRED xmlns="e4d0ae30-99de-4b75-b374-de0637405ec7" xsi:nil="true"/>
    <EC_ARES_TRANSFERRED_BY xmlns="e4d0ae30-99de-4b75-b374-de0637405e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A8BCD-E5B8-44BA-8703-CF164446F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1e77377-0db5-45fd-a1ac-9f5e38a33c6f"/>
    <ds:schemaRef ds:uri="e4d0ae30-99de-4b75-b374-de0637405ec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2BE0D9-398E-44F9-87BC-5476090AFD27}">
  <ds:schemaRefs>
    <ds:schemaRef ds:uri="http://schemas.microsoft.com/office/2006/metadata/properties"/>
    <ds:schemaRef ds:uri="http://schemas.microsoft.com/office/infopath/2007/PartnerControls"/>
    <ds:schemaRef ds:uri="e4d0ae30-99de-4b75-b374-de0637405ec7"/>
    <ds:schemaRef ds:uri="http://schemas.microsoft.com/sharepoint/v4"/>
    <ds:schemaRef ds:uri="11e77377-0db5-45fd-a1ac-9f5e38a33c6f"/>
  </ds:schemaRefs>
</ds:datastoreItem>
</file>

<file path=customXml/itemProps3.xml><?xml version="1.0" encoding="utf-8"?>
<ds:datastoreItem xmlns:ds="http://schemas.openxmlformats.org/officeDocument/2006/customXml" ds:itemID="{ED124240-FBA3-492A-87C9-6C26A5DBA115}">
  <ds:schemaRefs>
    <ds:schemaRef ds:uri="http://schemas.microsoft.com/sharepoint/v3/contenttype/forms"/>
  </ds:schemaRefs>
</ds:datastoreItem>
</file>

<file path=customXml/itemProps4.xml><?xml version="1.0" encoding="utf-8"?>
<ds:datastoreItem xmlns:ds="http://schemas.openxmlformats.org/officeDocument/2006/customXml" ds:itemID="{B516125B-5A70-48A6-983E-345D3DB3A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1188</TotalTime>
  <Pages>5</Pages>
  <Words>75808</Words>
  <Characters>432109</Characters>
  <Application>Microsoft Office Word</Application>
  <DocSecurity>0</DocSecurity>
  <Lines>3600</Lines>
  <Paragraphs>1013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4729</cp:revision>
  <dcterms:created xsi:type="dcterms:W3CDTF">2026-06-01T23:59:00Z</dcterms:created>
  <dcterms:modified xsi:type="dcterms:W3CDTF">2026-07-22T18:54:00Z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2025-12-09T14:05:45Z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0x010100BAF75065C516B24AA4ED9964D7F23498</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2026-05-22T08:59:45Z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fff32f15-ce70-472d-9735-084557510cb2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